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870026428"/>
        <w:docPartObj>
          <w:docPartGallery w:val="AutoText"/>
        </w:docPartObj>
      </w:sdtPr>
      <w:sdtEndPr>
        <w:rPr>
          <w:rFonts w:cs="Times New Roman"/>
          <w:szCs w:val="24"/>
        </w:rPr>
      </w:sdtEndPr>
      <w:sdtContent>
        <w:p>
          <w:pPr>
            <w:jc w:val="center"/>
          </w:pPr>
          <w:r>
            <w:drawing>
              <wp:inline distT="0" distB="0" distL="0" distR="0">
                <wp:extent cx="2157095" cy="862965"/>
                <wp:effectExtent l="0" t="0" r="0" b="0"/>
                <wp:docPr id="2"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 up of a logo&#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p>
          <w:pPr>
            <w:jc w:val="right"/>
            <w:rPr>
              <w:rFonts w:cs="Times New Roman"/>
              <w:szCs w:val="24"/>
            </w:rPr>
          </w:pPr>
        </w:p>
        <w:p>
          <w:pPr>
            <w:tabs>
              <w:tab w:val="left" w:pos="2768"/>
            </w:tabs>
            <w:jc w:val="center"/>
            <w:rPr>
              <w:rFonts w:cs="Times New Roman"/>
              <w:sz w:val="32"/>
              <w:szCs w:val="32"/>
            </w:rPr>
          </w:pPr>
          <w:r>
            <w:rPr>
              <w:rFonts w:cs="Times New Roman"/>
              <w:sz w:val="40"/>
              <w:szCs w:val="40"/>
            </w:rPr>
            <w:t>International Business LCMB7014</w:t>
          </w:r>
        </w:p>
        <w:p>
          <w:pPr>
            <w:jc w:val="right"/>
            <w:rPr>
              <w:rFonts w:cs="Times New Roman"/>
              <w:szCs w:val="24"/>
            </w:rPr>
          </w:pPr>
        </w:p>
        <w:p>
          <w:pPr>
            <w:jc w:val="right"/>
            <w:rPr>
              <w:rFonts w:cs="Times New Roman"/>
              <w:szCs w:val="24"/>
            </w:rPr>
          </w:pPr>
        </w:p>
        <w:p>
          <w:pPr>
            <w:jc w:val="center"/>
            <w:rPr>
              <w:rFonts w:ascii="Arial Black" w:hAnsi="Arial Black" w:cs="Times New Roman"/>
              <w:sz w:val="36"/>
              <w:szCs w:val="36"/>
            </w:rPr>
          </w:pPr>
          <w:r>
            <w:drawing>
              <wp:anchor distT="0" distB="0" distL="114300" distR="114300" simplePos="0" relativeHeight="251659264" behindDoc="0" locked="0" layoutInCell="1" allowOverlap="1">
                <wp:simplePos x="0" y="0"/>
                <wp:positionH relativeFrom="column">
                  <wp:posOffset>1866900</wp:posOffset>
                </wp:positionH>
                <wp:positionV relativeFrom="paragraph">
                  <wp:posOffset>372745</wp:posOffset>
                </wp:positionV>
                <wp:extent cx="1790700" cy="1790700"/>
                <wp:effectExtent l="0" t="0" r="0" b="0"/>
                <wp:wrapThrough wrapText="bothSides">
                  <wp:wrapPolygon>
                    <wp:start x="0" y="0"/>
                    <wp:lineTo x="0" y="21447"/>
                    <wp:lineTo x="21447" y="21447"/>
                    <wp:lineTo x="21447" y="0"/>
                    <wp:lineTo x="0" y="0"/>
                  </wp:wrapPolygon>
                </wp:wrapThrough>
                <wp:docPr id="2016965088" name="Picture 2" descr="Vodafone 5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965088" name="Picture 2" descr="Vodafone 5G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790700" cy="1790700"/>
                        </a:xfrm>
                        <a:prstGeom prst="rect">
                          <a:avLst/>
                        </a:prstGeom>
                        <a:noFill/>
                        <a:ln>
                          <a:noFill/>
                        </a:ln>
                      </pic:spPr>
                    </pic:pic>
                  </a:graphicData>
                </a:graphic>
              </wp:anchor>
            </w:drawing>
          </w:r>
          <w:r>
            <w:rPr>
              <w:rFonts w:ascii="Arial Black" w:hAnsi="Arial Black" w:cs="Times New Roman"/>
              <w:color w:val="FF0000"/>
              <w:sz w:val="36"/>
              <w:szCs w:val="36"/>
            </w:rPr>
            <w:t>Vodafone</w:t>
          </w:r>
          <w:r>
            <w:rPr>
              <w:rFonts w:ascii="Arial Black" w:hAnsi="Arial Black" w:cs="Times New Roman"/>
              <w:sz w:val="36"/>
              <w:szCs w:val="36"/>
            </w:rPr>
            <w:t xml:space="preserve"> International Business in </w:t>
          </w:r>
          <w:r>
            <w:rPr>
              <w:rFonts w:ascii="Arial Black" w:hAnsi="Arial Black" w:cs="Times New Roman"/>
              <w:color w:val="FF0000"/>
              <w:sz w:val="36"/>
              <w:szCs w:val="36"/>
            </w:rPr>
            <w:t>Germany</w:t>
          </w:r>
          <w:r>
            <w:rPr>
              <w:rFonts w:ascii="Arial Black" w:hAnsi="Arial Black" w:cs="Times New Roman"/>
              <w:sz w:val="36"/>
              <w:szCs w:val="36"/>
            </w:rPr>
            <w:t xml:space="preserve">  </w:t>
          </w:r>
        </w:p>
        <w:p>
          <w:pPr>
            <w:jc w:val="center"/>
            <w:rPr>
              <w:rFonts w:ascii="Arial Black" w:hAnsi="Arial Black" w:cs="Times New Roman"/>
              <w:sz w:val="40"/>
              <w:szCs w:val="40"/>
            </w:rPr>
          </w:pPr>
          <w:r>
            <w:fldChar w:fldCharType="begin"/>
          </w:r>
          <w:r>
            <w:instrText xml:space="preserve"> INCLUDEPICTURE "https://northerntelecom.co.uk/media/catalog/product/cache/9865e7c78010b30dbab4bfc2196f1976/v/o/vodaphone_6.jpg" \* MERGEFORMATINET </w:instrText>
          </w:r>
          <w:r>
            <w:fldChar w:fldCharType="separate"/>
          </w:r>
          <w:r>
            <w:fldChar w:fldCharType="end"/>
          </w:r>
        </w:p>
        <w:p>
          <w:pPr>
            <w:jc w:val="right"/>
            <w:rPr>
              <w:rFonts w:cs="Times New Roman"/>
              <w:szCs w:val="24"/>
            </w:rPr>
          </w:pPr>
        </w:p>
        <w:p>
          <w:pPr>
            <w:jc w:val="right"/>
            <w:rPr>
              <w:rFonts w:cs="Times New Roman"/>
              <w:szCs w:val="24"/>
            </w:rPr>
          </w:pPr>
        </w:p>
        <w:p>
          <w:pPr>
            <w:jc w:val="right"/>
            <w:rPr>
              <w:rFonts w:cs="Times New Roman"/>
              <w:szCs w:val="24"/>
            </w:rPr>
          </w:pPr>
        </w:p>
        <w:p>
          <w:pPr>
            <w:jc w:val="right"/>
            <w:rPr>
              <w:rFonts w:cs="Times New Roman"/>
              <w:szCs w:val="24"/>
            </w:rPr>
          </w:pPr>
        </w:p>
        <w:p>
          <w:pPr>
            <w:jc w:val="right"/>
            <w:rPr>
              <w:rFonts w:cs="Times New Roman"/>
              <w:szCs w:val="24"/>
            </w:rPr>
          </w:pPr>
        </w:p>
        <w:p>
          <w:pPr>
            <w:jc w:val="right"/>
            <w:rPr>
              <w:rFonts w:cs="Times New Roman"/>
              <w:szCs w:val="24"/>
            </w:rPr>
          </w:pPr>
        </w:p>
        <w:p>
          <w:pPr>
            <w:jc w:val="right"/>
            <w:rPr>
              <w:rFonts w:cs="Times New Roman"/>
              <w:szCs w:val="24"/>
            </w:rPr>
          </w:pPr>
        </w:p>
        <w:p>
          <w:pPr>
            <w:jc w:val="right"/>
            <w:rPr>
              <w:rFonts w:cs="Times New Roman"/>
              <w:szCs w:val="24"/>
            </w:rPr>
          </w:pPr>
        </w:p>
        <w:p>
          <w:pPr>
            <w:jc w:val="right"/>
            <w:rPr>
              <w:rFonts w:cs="Times New Roman"/>
              <w:szCs w:val="24"/>
            </w:rPr>
          </w:pPr>
        </w:p>
        <w:p>
          <w:pPr>
            <w:rPr>
              <w:rFonts w:hint="default" w:cs="Times New Roman"/>
              <w:sz w:val="28"/>
              <w:szCs w:val="28"/>
              <w:lang w:val="en-US"/>
            </w:rPr>
          </w:pPr>
          <w:r>
            <w:rPr>
              <w:rFonts w:cs="Times New Roman"/>
              <w:sz w:val="28"/>
              <w:szCs w:val="28"/>
            </w:rPr>
            <w:t xml:space="preserve">Student name: </w:t>
          </w:r>
          <w:r>
            <w:rPr>
              <w:rFonts w:hint="default" w:cs="Times New Roman"/>
              <w:sz w:val="28"/>
              <w:szCs w:val="28"/>
              <w:lang w:val="en-US"/>
            </w:rPr>
            <w:t>Rimpal Yadav</w:t>
          </w:r>
        </w:p>
        <w:p>
          <w:pPr>
            <w:rPr>
              <w:rFonts w:hint="default" w:cs="Times New Roman"/>
              <w:sz w:val="28"/>
              <w:szCs w:val="28"/>
              <w:lang w:val="en-US"/>
            </w:rPr>
          </w:pPr>
          <w:r>
            <w:rPr>
              <w:rFonts w:cs="Times New Roman"/>
              <w:sz w:val="28"/>
              <w:szCs w:val="28"/>
            </w:rPr>
            <w:t xml:space="preserve">Student Number: </w:t>
          </w:r>
          <w:r>
            <w:rPr>
              <w:rFonts w:hint="default" w:cs="Times New Roman"/>
              <w:sz w:val="28"/>
              <w:szCs w:val="28"/>
              <w:lang w:val="en-US"/>
            </w:rPr>
            <w:t>2132837</w:t>
          </w:r>
        </w:p>
        <w:p>
          <w:pPr>
            <w:rPr>
              <w:rFonts w:cs="Times New Roman"/>
              <w:sz w:val="28"/>
              <w:szCs w:val="28"/>
            </w:rPr>
          </w:pPr>
          <w:r>
            <w:rPr>
              <w:rFonts w:cs="Times New Roman"/>
              <w:sz w:val="28"/>
              <w:szCs w:val="28"/>
            </w:rPr>
            <w:t>Lecturer: Dr Hossein Shokri</w:t>
          </w:r>
        </w:p>
        <w:p>
          <w:pPr>
            <w:rPr>
              <w:rFonts w:hint="default" w:cs="Times New Roman"/>
              <w:sz w:val="28"/>
              <w:szCs w:val="28"/>
              <w:lang w:val="en-US"/>
            </w:rPr>
          </w:pPr>
          <w:r>
            <w:rPr>
              <w:rFonts w:cs="Times New Roman"/>
              <w:sz w:val="28"/>
              <w:szCs w:val="28"/>
            </w:rPr>
            <w:t xml:space="preserve">Submission Date: </w:t>
          </w:r>
          <w:r>
            <w:rPr>
              <w:rFonts w:hint="default" w:cs="Times New Roman"/>
              <w:sz w:val="28"/>
              <w:szCs w:val="28"/>
              <w:lang w:val="en-US"/>
            </w:rPr>
            <w:t>21/08/2023</w:t>
          </w:r>
          <w:bookmarkStart w:id="27" w:name="_GoBack"/>
          <w:bookmarkEnd w:id="27"/>
        </w:p>
        <w:p>
          <w:pPr>
            <w:rPr>
              <w:rFonts w:cs="Times New Roman"/>
              <w:sz w:val="28"/>
              <w:szCs w:val="28"/>
            </w:rPr>
          </w:pPr>
        </w:p>
        <w:sdt>
          <w:sdtPr>
            <w:rPr>
              <w:rFonts w:asciiTheme="minorHAnsi" w:hAnsiTheme="minorHAnsi" w:eastAsiaTheme="minorHAnsi" w:cstheme="minorBidi"/>
              <w:color w:val="auto"/>
              <w:sz w:val="22"/>
              <w:szCs w:val="22"/>
              <w:lang w:eastAsia="en-US"/>
            </w:rPr>
            <w:id w:val="-1516920417"/>
            <w:docPartObj>
              <w:docPartGallery w:val="Table of Contents"/>
              <w:docPartUnique/>
            </w:docPartObj>
          </w:sdtPr>
          <w:sdtEndPr>
            <w:rPr>
              <w:rFonts w:ascii="Times New Roman" w:hAnsi="Times New Roman" w:eastAsiaTheme="minorHAnsi" w:cstheme="minorBidi"/>
              <w:b w:val="0"/>
              <w:bCs w:val="0"/>
              <w:color w:val="auto"/>
              <w:sz w:val="24"/>
              <w:szCs w:val="22"/>
              <w:lang w:eastAsia="en-US"/>
            </w:rPr>
          </w:sdtEndPr>
          <w:sdtContent>
            <w:p>
              <w:pPr>
                <w:pStyle w:val="2"/>
                <w:rPr>
                  <w:rStyle w:val="28"/>
                  <w:b w:val="0"/>
                  <w:bCs w:val="0"/>
                </w:rPr>
              </w:pPr>
              <w:bookmarkStart w:id="0" w:name="_Toc142950658"/>
              <w:r>
                <w:rPr>
                  <w:rStyle w:val="28"/>
                  <w:b w:val="0"/>
                  <w:bCs w:val="0"/>
                </w:rPr>
                <w:t>Table of Contents</w:t>
              </w:r>
              <w:bookmarkEnd w:id="0"/>
            </w:p>
            <w:p>
              <w:pPr>
                <w:pStyle w:val="19"/>
                <w:tabs>
                  <w:tab w:val="right" w:leader="dot" w:pos="9016"/>
                </w:tabs>
                <w:rPr>
                  <w:rFonts w:asciiTheme="minorHAnsi" w:hAnsiTheme="minorHAnsi" w:eastAsiaTheme="minorEastAsia"/>
                  <w:szCs w:val="24"/>
                  <w:lang w:eastAsia="en-GB"/>
                </w:rPr>
              </w:pPr>
              <w:r>
                <w:fldChar w:fldCharType="begin"/>
              </w:r>
              <w:r>
                <w:instrText xml:space="preserve"> TOC \o "1-4" \h \z \u </w:instrText>
              </w:r>
              <w:r>
                <w:fldChar w:fldCharType="separate"/>
              </w:r>
              <w:r>
                <w:fldChar w:fldCharType="begin"/>
              </w:r>
              <w:r>
                <w:instrText xml:space="preserve"> HYPERLINK \l "_Toc142950658" </w:instrText>
              </w:r>
              <w:r>
                <w:fldChar w:fldCharType="separate"/>
              </w:r>
              <w:r>
                <w:rPr>
                  <w:rStyle w:val="16"/>
                </w:rPr>
                <w:t>Table of Contents</w:t>
              </w:r>
              <w:r>
                <w:tab/>
              </w:r>
              <w:r>
                <w:fldChar w:fldCharType="begin"/>
              </w:r>
              <w:r>
                <w:instrText xml:space="preserve"> PAGEREF _Toc142950658 \h </w:instrText>
              </w:r>
              <w:r>
                <w:fldChar w:fldCharType="separate"/>
              </w:r>
              <w:r>
                <w:t>1</w:t>
              </w:r>
              <w:r>
                <w:fldChar w:fldCharType="end"/>
              </w:r>
              <w:r>
                <w:fldChar w:fldCharType="end"/>
              </w:r>
            </w:p>
            <w:p>
              <w:pPr>
                <w:pStyle w:val="19"/>
                <w:tabs>
                  <w:tab w:val="right" w:leader="dot" w:pos="9016"/>
                </w:tabs>
                <w:rPr>
                  <w:rFonts w:asciiTheme="minorHAnsi" w:hAnsiTheme="minorHAnsi" w:eastAsiaTheme="minorEastAsia"/>
                  <w:szCs w:val="24"/>
                  <w:lang w:eastAsia="en-GB"/>
                </w:rPr>
              </w:pPr>
              <w:r>
                <w:fldChar w:fldCharType="begin"/>
              </w:r>
              <w:r>
                <w:instrText xml:space="preserve"> HYPERLINK \l "_Toc142950659" </w:instrText>
              </w:r>
              <w:r>
                <w:fldChar w:fldCharType="separate"/>
              </w:r>
              <w:r>
                <w:rPr>
                  <w:rStyle w:val="16"/>
                </w:rPr>
                <w:t>1. Introduction</w:t>
              </w:r>
              <w:r>
                <w:tab/>
              </w:r>
              <w:r>
                <w:fldChar w:fldCharType="begin"/>
              </w:r>
              <w:r>
                <w:instrText xml:space="preserve"> PAGEREF _Toc142950659 \h </w:instrText>
              </w:r>
              <w:r>
                <w:fldChar w:fldCharType="separate"/>
              </w:r>
              <w:r>
                <w:t>2</w:t>
              </w:r>
              <w:r>
                <w:fldChar w:fldCharType="end"/>
              </w:r>
              <w:r>
                <w:fldChar w:fldCharType="end"/>
              </w:r>
            </w:p>
            <w:p>
              <w:pPr>
                <w:pStyle w:val="19"/>
                <w:tabs>
                  <w:tab w:val="right" w:leader="dot" w:pos="9016"/>
                </w:tabs>
                <w:rPr>
                  <w:rFonts w:asciiTheme="minorHAnsi" w:hAnsiTheme="minorHAnsi" w:eastAsiaTheme="minorEastAsia"/>
                  <w:szCs w:val="24"/>
                  <w:lang w:eastAsia="en-GB"/>
                </w:rPr>
              </w:pPr>
              <w:r>
                <w:fldChar w:fldCharType="begin"/>
              </w:r>
              <w:r>
                <w:instrText xml:space="preserve"> HYPERLINK \l "_Toc142950660" </w:instrText>
              </w:r>
              <w:r>
                <w:fldChar w:fldCharType="separate"/>
              </w:r>
              <w:r>
                <w:rPr>
                  <w:rStyle w:val="16"/>
                </w:rPr>
                <w:t>2. Company Background: Vodafone</w:t>
              </w:r>
              <w:r>
                <w:tab/>
              </w:r>
              <w:r>
                <w:fldChar w:fldCharType="begin"/>
              </w:r>
              <w:r>
                <w:instrText xml:space="preserve"> PAGEREF _Toc142950660 \h </w:instrText>
              </w:r>
              <w:r>
                <w:fldChar w:fldCharType="separate"/>
              </w:r>
              <w:r>
                <w:t>3</w:t>
              </w:r>
              <w:r>
                <w:fldChar w:fldCharType="end"/>
              </w:r>
              <w:r>
                <w:fldChar w:fldCharType="end"/>
              </w:r>
            </w:p>
            <w:p>
              <w:pPr>
                <w:pStyle w:val="20"/>
                <w:tabs>
                  <w:tab w:val="right" w:leader="dot" w:pos="9016"/>
                </w:tabs>
                <w:rPr>
                  <w:rFonts w:asciiTheme="minorHAnsi" w:hAnsiTheme="minorHAnsi" w:eastAsiaTheme="minorEastAsia"/>
                  <w:szCs w:val="24"/>
                  <w:lang w:eastAsia="en-GB"/>
                </w:rPr>
              </w:pPr>
              <w:r>
                <w:fldChar w:fldCharType="begin"/>
              </w:r>
              <w:r>
                <w:instrText xml:space="preserve"> HYPERLINK \l "_Toc142950661" </w:instrText>
              </w:r>
              <w:r>
                <w:fldChar w:fldCharType="separate"/>
              </w:r>
              <w:r>
                <w:rPr>
                  <w:rStyle w:val="16"/>
                </w:rPr>
                <w:t>2.1 Company’s Objectives and Strategies</w:t>
              </w:r>
              <w:r>
                <w:tab/>
              </w:r>
              <w:r>
                <w:fldChar w:fldCharType="begin"/>
              </w:r>
              <w:r>
                <w:instrText xml:space="preserve"> PAGEREF _Toc142950661 \h </w:instrText>
              </w:r>
              <w:r>
                <w:fldChar w:fldCharType="separate"/>
              </w:r>
              <w:r>
                <w:t>5</w:t>
              </w:r>
              <w:r>
                <w:fldChar w:fldCharType="end"/>
              </w:r>
              <w:r>
                <w:fldChar w:fldCharType="end"/>
              </w:r>
            </w:p>
            <w:p>
              <w:pPr>
                <w:pStyle w:val="21"/>
                <w:tabs>
                  <w:tab w:val="right" w:leader="dot" w:pos="9016"/>
                </w:tabs>
                <w:rPr>
                  <w:rFonts w:asciiTheme="minorHAnsi" w:hAnsiTheme="minorHAnsi" w:eastAsiaTheme="minorEastAsia"/>
                  <w:szCs w:val="24"/>
                  <w:lang w:eastAsia="en-GB"/>
                </w:rPr>
              </w:pPr>
              <w:r>
                <w:fldChar w:fldCharType="begin"/>
              </w:r>
              <w:r>
                <w:instrText xml:space="preserve"> HYPERLINK \l "_Toc142950662" </w:instrText>
              </w:r>
              <w:r>
                <w:fldChar w:fldCharType="separate"/>
              </w:r>
              <w:r>
                <w:rPr>
                  <w:rStyle w:val="16"/>
                </w:rPr>
                <w:t>2.1.1 Vodafon’s Objectives</w:t>
              </w:r>
              <w:r>
                <w:tab/>
              </w:r>
              <w:r>
                <w:fldChar w:fldCharType="begin"/>
              </w:r>
              <w:r>
                <w:instrText xml:space="preserve"> PAGEREF _Toc142950662 \h </w:instrText>
              </w:r>
              <w:r>
                <w:fldChar w:fldCharType="separate"/>
              </w:r>
              <w:r>
                <w:t>5</w:t>
              </w:r>
              <w:r>
                <w:fldChar w:fldCharType="end"/>
              </w:r>
              <w:r>
                <w:fldChar w:fldCharType="end"/>
              </w:r>
            </w:p>
            <w:p>
              <w:pPr>
                <w:pStyle w:val="21"/>
                <w:tabs>
                  <w:tab w:val="right" w:leader="dot" w:pos="9016"/>
                </w:tabs>
                <w:rPr>
                  <w:rFonts w:asciiTheme="minorHAnsi" w:hAnsiTheme="minorHAnsi" w:eastAsiaTheme="minorEastAsia"/>
                  <w:szCs w:val="24"/>
                  <w:lang w:eastAsia="en-GB"/>
                </w:rPr>
              </w:pPr>
              <w:r>
                <w:fldChar w:fldCharType="begin"/>
              </w:r>
              <w:r>
                <w:instrText xml:space="preserve"> HYPERLINK \l "_Toc142950663" </w:instrText>
              </w:r>
              <w:r>
                <w:fldChar w:fldCharType="separate"/>
              </w:r>
              <w:r>
                <w:rPr>
                  <w:rStyle w:val="16"/>
                </w:rPr>
                <w:t>2.1.2 Vodafone’s Overall strategies in contex on international business</w:t>
              </w:r>
              <w:r>
                <w:tab/>
              </w:r>
              <w:r>
                <w:fldChar w:fldCharType="begin"/>
              </w:r>
              <w:r>
                <w:instrText xml:space="preserve"> PAGEREF _Toc142950663 \h </w:instrText>
              </w:r>
              <w:r>
                <w:fldChar w:fldCharType="separate"/>
              </w:r>
              <w:r>
                <w:t>6</w:t>
              </w:r>
              <w:r>
                <w:fldChar w:fldCharType="end"/>
              </w:r>
              <w:r>
                <w:fldChar w:fldCharType="end"/>
              </w:r>
            </w:p>
            <w:p>
              <w:pPr>
                <w:pStyle w:val="19"/>
                <w:tabs>
                  <w:tab w:val="right" w:leader="dot" w:pos="9016"/>
                </w:tabs>
                <w:rPr>
                  <w:rFonts w:asciiTheme="minorHAnsi" w:hAnsiTheme="minorHAnsi" w:eastAsiaTheme="minorEastAsia"/>
                  <w:szCs w:val="24"/>
                  <w:lang w:eastAsia="en-GB"/>
                </w:rPr>
              </w:pPr>
              <w:r>
                <w:fldChar w:fldCharType="begin"/>
              </w:r>
              <w:r>
                <w:instrText xml:space="preserve"> HYPERLINK \l "_Toc142950664" </w:instrText>
              </w:r>
              <w:r>
                <w:fldChar w:fldCharType="separate"/>
              </w:r>
              <w:r>
                <w:rPr>
                  <w:rStyle w:val="16"/>
                </w:rPr>
                <w:t>3. Countries’ Specifications</w:t>
              </w:r>
              <w:r>
                <w:tab/>
              </w:r>
              <w:r>
                <w:fldChar w:fldCharType="begin"/>
              </w:r>
              <w:r>
                <w:instrText xml:space="preserve"> PAGEREF _Toc142950664 \h </w:instrText>
              </w:r>
              <w:r>
                <w:fldChar w:fldCharType="separate"/>
              </w:r>
              <w:r>
                <w:t>7</w:t>
              </w:r>
              <w:r>
                <w:fldChar w:fldCharType="end"/>
              </w:r>
              <w:r>
                <w:fldChar w:fldCharType="end"/>
              </w:r>
            </w:p>
            <w:p>
              <w:pPr>
                <w:pStyle w:val="20"/>
                <w:tabs>
                  <w:tab w:val="right" w:leader="dot" w:pos="9016"/>
                </w:tabs>
                <w:rPr>
                  <w:rFonts w:asciiTheme="minorHAnsi" w:hAnsiTheme="minorHAnsi" w:eastAsiaTheme="minorEastAsia"/>
                  <w:szCs w:val="24"/>
                  <w:lang w:eastAsia="en-GB"/>
                </w:rPr>
              </w:pPr>
              <w:r>
                <w:fldChar w:fldCharType="begin"/>
              </w:r>
              <w:r>
                <w:instrText xml:space="preserve"> HYPERLINK \l "_Toc142950665" </w:instrText>
              </w:r>
              <w:r>
                <w:fldChar w:fldCharType="separate"/>
              </w:r>
              <w:r>
                <w:rPr>
                  <w:rStyle w:val="16"/>
                </w:rPr>
                <w:t>3.1 Home Country</w:t>
              </w:r>
              <w:r>
                <w:rPr>
                  <w:rStyle w:val="16"/>
                  <w:rFonts w:cs="Times New Roman"/>
                </w:rPr>
                <w:t xml:space="preserve"> (UK)</w:t>
              </w:r>
              <w:r>
                <w:tab/>
              </w:r>
              <w:r>
                <w:fldChar w:fldCharType="begin"/>
              </w:r>
              <w:r>
                <w:instrText xml:space="preserve"> PAGEREF _Toc142950665 \h </w:instrText>
              </w:r>
              <w:r>
                <w:fldChar w:fldCharType="separate"/>
              </w:r>
              <w:r>
                <w:t>8</w:t>
              </w:r>
              <w:r>
                <w:fldChar w:fldCharType="end"/>
              </w:r>
              <w:r>
                <w:fldChar w:fldCharType="end"/>
              </w:r>
            </w:p>
            <w:p>
              <w:pPr>
                <w:pStyle w:val="20"/>
                <w:tabs>
                  <w:tab w:val="right" w:leader="dot" w:pos="9016"/>
                </w:tabs>
                <w:rPr>
                  <w:rFonts w:asciiTheme="minorHAnsi" w:hAnsiTheme="minorHAnsi" w:eastAsiaTheme="minorEastAsia"/>
                  <w:szCs w:val="24"/>
                  <w:lang w:eastAsia="en-GB"/>
                </w:rPr>
              </w:pPr>
              <w:r>
                <w:fldChar w:fldCharType="begin"/>
              </w:r>
              <w:r>
                <w:instrText xml:space="preserve"> HYPERLINK \l "_Toc142950666" </w:instrText>
              </w:r>
              <w:r>
                <w:fldChar w:fldCharType="separate"/>
              </w:r>
              <w:r>
                <w:rPr>
                  <w:rStyle w:val="16"/>
                </w:rPr>
                <w:t>3.2 Host Country</w:t>
              </w:r>
              <w:r>
                <w:rPr>
                  <w:rStyle w:val="16"/>
                  <w:rFonts w:cs="Times New Roman"/>
                </w:rPr>
                <w:t xml:space="preserve"> (Germany)</w:t>
              </w:r>
              <w:r>
                <w:tab/>
              </w:r>
              <w:r>
                <w:fldChar w:fldCharType="begin"/>
              </w:r>
              <w:r>
                <w:instrText xml:space="preserve"> PAGEREF _Toc142950666 \h </w:instrText>
              </w:r>
              <w:r>
                <w:fldChar w:fldCharType="separate"/>
              </w:r>
              <w:r>
                <w:t>9</w:t>
              </w:r>
              <w:r>
                <w:fldChar w:fldCharType="end"/>
              </w:r>
              <w:r>
                <w:fldChar w:fldCharType="end"/>
              </w:r>
            </w:p>
            <w:p>
              <w:pPr>
                <w:pStyle w:val="19"/>
                <w:tabs>
                  <w:tab w:val="right" w:leader="dot" w:pos="9016"/>
                </w:tabs>
                <w:rPr>
                  <w:rFonts w:asciiTheme="minorHAnsi" w:hAnsiTheme="minorHAnsi" w:eastAsiaTheme="minorEastAsia"/>
                  <w:szCs w:val="24"/>
                  <w:lang w:eastAsia="en-GB"/>
                </w:rPr>
              </w:pPr>
              <w:r>
                <w:fldChar w:fldCharType="begin"/>
              </w:r>
              <w:r>
                <w:instrText xml:space="preserve"> HYPERLINK \l "_Toc142950667" </w:instrText>
              </w:r>
              <w:r>
                <w:fldChar w:fldCharType="separate"/>
              </w:r>
              <w:r>
                <w:rPr>
                  <w:rStyle w:val="16"/>
                </w:rPr>
                <w:t>4. External Analysis</w:t>
              </w:r>
              <w:r>
                <w:tab/>
              </w:r>
              <w:r>
                <w:fldChar w:fldCharType="begin"/>
              </w:r>
              <w:r>
                <w:instrText xml:space="preserve"> PAGEREF _Toc142950667 \h </w:instrText>
              </w:r>
              <w:r>
                <w:fldChar w:fldCharType="separate"/>
              </w:r>
              <w:r>
                <w:t>10</w:t>
              </w:r>
              <w:r>
                <w:fldChar w:fldCharType="end"/>
              </w:r>
              <w:r>
                <w:fldChar w:fldCharType="end"/>
              </w:r>
            </w:p>
            <w:p>
              <w:pPr>
                <w:pStyle w:val="20"/>
                <w:tabs>
                  <w:tab w:val="right" w:leader="dot" w:pos="9016"/>
                </w:tabs>
                <w:rPr>
                  <w:rFonts w:asciiTheme="minorHAnsi" w:hAnsiTheme="minorHAnsi" w:eastAsiaTheme="minorEastAsia"/>
                  <w:szCs w:val="24"/>
                  <w:lang w:eastAsia="en-GB"/>
                </w:rPr>
              </w:pPr>
              <w:r>
                <w:fldChar w:fldCharType="begin"/>
              </w:r>
              <w:r>
                <w:instrText xml:space="preserve"> HYPERLINK \l "_Toc142950668" </w:instrText>
              </w:r>
              <w:r>
                <w:fldChar w:fldCharType="separate"/>
              </w:r>
              <w:r>
                <w:rPr>
                  <w:rStyle w:val="16"/>
                </w:rPr>
                <w:t>4.1 A Comparative PESTEL Analysis</w:t>
              </w:r>
              <w:r>
                <w:tab/>
              </w:r>
              <w:r>
                <w:fldChar w:fldCharType="begin"/>
              </w:r>
              <w:r>
                <w:instrText xml:space="preserve"> PAGEREF _Toc142950668 \h </w:instrText>
              </w:r>
              <w:r>
                <w:fldChar w:fldCharType="separate"/>
              </w:r>
              <w:r>
                <w:t>12</w:t>
              </w:r>
              <w:r>
                <w:fldChar w:fldCharType="end"/>
              </w:r>
              <w:r>
                <w:fldChar w:fldCharType="end"/>
              </w:r>
            </w:p>
            <w:p>
              <w:pPr>
                <w:pStyle w:val="20"/>
                <w:tabs>
                  <w:tab w:val="right" w:leader="dot" w:pos="9016"/>
                </w:tabs>
                <w:rPr>
                  <w:rFonts w:asciiTheme="minorHAnsi" w:hAnsiTheme="minorHAnsi" w:eastAsiaTheme="minorEastAsia"/>
                  <w:szCs w:val="24"/>
                  <w:lang w:eastAsia="en-GB"/>
                </w:rPr>
              </w:pPr>
              <w:r>
                <w:fldChar w:fldCharType="begin"/>
              </w:r>
              <w:r>
                <w:instrText xml:space="preserve"> HYPERLINK \l "_Toc142950669" </w:instrText>
              </w:r>
              <w:r>
                <w:fldChar w:fldCharType="separate"/>
              </w:r>
              <w:r>
                <w:rPr>
                  <w:rStyle w:val="16"/>
                </w:rPr>
                <w:t>4.2 Industry Five Forces</w:t>
              </w:r>
              <w:r>
                <w:tab/>
              </w:r>
              <w:r>
                <w:fldChar w:fldCharType="begin"/>
              </w:r>
              <w:r>
                <w:instrText xml:space="preserve"> PAGEREF _Toc142950669 \h </w:instrText>
              </w:r>
              <w:r>
                <w:fldChar w:fldCharType="separate"/>
              </w:r>
              <w:r>
                <w:t>13</w:t>
              </w:r>
              <w:r>
                <w:fldChar w:fldCharType="end"/>
              </w:r>
              <w:r>
                <w:fldChar w:fldCharType="end"/>
              </w:r>
            </w:p>
            <w:p>
              <w:pPr>
                <w:pStyle w:val="20"/>
                <w:tabs>
                  <w:tab w:val="right" w:leader="dot" w:pos="9016"/>
                </w:tabs>
                <w:rPr>
                  <w:rFonts w:asciiTheme="minorHAnsi" w:hAnsiTheme="minorHAnsi" w:eastAsiaTheme="minorEastAsia"/>
                  <w:szCs w:val="24"/>
                  <w:lang w:eastAsia="en-GB"/>
                </w:rPr>
              </w:pPr>
              <w:r>
                <w:fldChar w:fldCharType="begin"/>
              </w:r>
              <w:r>
                <w:instrText xml:space="preserve"> HYPERLINK \l "_Toc142950670" </w:instrText>
              </w:r>
              <w:r>
                <w:fldChar w:fldCharType="separate"/>
              </w:r>
              <w:r>
                <w:rPr>
                  <w:rStyle w:val="16"/>
                </w:rPr>
                <w:t>4.3 Market Analysis</w:t>
              </w:r>
              <w:r>
                <w:tab/>
              </w:r>
              <w:r>
                <w:fldChar w:fldCharType="begin"/>
              </w:r>
              <w:r>
                <w:instrText xml:space="preserve"> PAGEREF _Toc142950670 \h </w:instrText>
              </w:r>
              <w:r>
                <w:fldChar w:fldCharType="separate"/>
              </w:r>
              <w:r>
                <w:t>14</w:t>
              </w:r>
              <w:r>
                <w:fldChar w:fldCharType="end"/>
              </w:r>
              <w:r>
                <w:fldChar w:fldCharType="end"/>
              </w:r>
            </w:p>
            <w:p>
              <w:pPr>
                <w:pStyle w:val="19"/>
                <w:tabs>
                  <w:tab w:val="right" w:leader="dot" w:pos="9016"/>
                </w:tabs>
                <w:rPr>
                  <w:rFonts w:asciiTheme="minorHAnsi" w:hAnsiTheme="minorHAnsi" w:eastAsiaTheme="minorEastAsia"/>
                  <w:szCs w:val="24"/>
                  <w:lang w:eastAsia="en-GB"/>
                </w:rPr>
              </w:pPr>
              <w:r>
                <w:fldChar w:fldCharType="begin"/>
              </w:r>
              <w:r>
                <w:instrText xml:space="preserve"> HYPERLINK \l "_Toc142950671" </w:instrText>
              </w:r>
              <w:r>
                <w:fldChar w:fldCharType="separate"/>
              </w:r>
              <w:r>
                <w:rPr>
                  <w:rStyle w:val="16"/>
                </w:rPr>
                <w:t>5. Host Country Analysis</w:t>
              </w:r>
              <w:r>
                <w:tab/>
              </w:r>
              <w:r>
                <w:fldChar w:fldCharType="begin"/>
              </w:r>
              <w:r>
                <w:instrText xml:space="preserve"> PAGEREF _Toc142950671 \h </w:instrText>
              </w:r>
              <w:r>
                <w:fldChar w:fldCharType="separate"/>
              </w:r>
              <w:r>
                <w:t>16</w:t>
              </w:r>
              <w:r>
                <w:fldChar w:fldCharType="end"/>
              </w:r>
              <w:r>
                <w:fldChar w:fldCharType="end"/>
              </w:r>
            </w:p>
            <w:p>
              <w:pPr>
                <w:pStyle w:val="20"/>
                <w:tabs>
                  <w:tab w:val="right" w:leader="dot" w:pos="9016"/>
                </w:tabs>
                <w:rPr>
                  <w:rFonts w:asciiTheme="minorHAnsi" w:hAnsiTheme="minorHAnsi" w:eastAsiaTheme="minorEastAsia"/>
                  <w:szCs w:val="24"/>
                  <w:lang w:eastAsia="en-GB"/>
                </w:rPr>
              </w:pPr>
              <w:r>
                <w:fldChar w:fldCharType="begin"/>
              </w:r>
              <w:r>
                <w:instrText xml:space="preserve"> HYPERLINK \l "_Toc142950672" </w:instrText>
              </w:r>
              <w:r>
                <w:fldChar w:fldCharType="separate"/>
              </w:r>
              <w:r>
                <w:rPr>
                  <w:rStyle w:val="16"/>
                </w:rPr>
                <w:t>5.1 Country’s National Diamond</w:t>
              </w:r>
              <w:r>
                <w:tab/>
              </w:r>
              <w:r>
                <w:fldChar w:fldCharType="begin"/>
              </w:r>
              <w:r>
                <w:instrText xml:space="preserve"> PAGEREF _Toc142950672 \h </w:instrText>
              </w:r>
              <w:r>
                <w:fldChar w:fldCharType="separate"/>
              </w:r>
              <w:r>
                <w:t>16</w:t>
              </w:r>
              <w:r>
                <w:fldChar w:fldCharType="end"/>
              </w:r>
              <w:r>
                <w:fldChar w:fldCharType="end"/>
              </w:r>
            </w:p>
            <w:p>
              <w:pPr>
                <w:pStyle w:val="21"/>
                <w:tabs>
                  <w:tab w:val="right" w:leader="dot" w:pos="9016"/>
                </w:tabs>
                <w:rPr>
                  <w:rFonts w:asciiTheme="minorHAnsi" w:hAnsiTheme="minorHAnsi" w:eastAsiaTheme="minorEastAsia"/>
                  <w:szCs w:val="24"/>
                  <w:lang w:eastAsia="en-GB"/>
                </w:rPr>
              </w:pPr>
              <w:r>
                <w:fldChar w:fldCharType="begin"/>
              </w:r>
              <w:r>
                <w:instrText xml:space="preserve"> HYPERLINK \l "_Toc142950673" </w:instrText>
              </w:r>
              <w:r>
                <w:fldChar w:fldCharType="separate"/>
              </w:r>
              <w:r>
                <w:rPr>
                  <w:rStyle w:val="16"/>
                </w:rPr>
                <w:t>5.1.1 Michael Porter's National Diamond analysis for Vodafone</w:t>
              </w:r>
              <w:r>
                <w:tab/>
              </w:r>
              <w:r>
                <w:fldChar w:fldCharType="begin"/>
              </w:r>
              <w:r>
                <w:instrText xml:space="preserve"> PAGEREF _Toc142950673 \h </w:instrText>
              </w:r>
              <w:r>
                <w:fldChar w:fldCharType="separate"/>
              </w:r>
              <w:r>
                <w:t>17</w:t>
              </w:r>
              <w:r>
                <w:fldChar w:fldCharType="end"/>
              </w:r>
              <w:r>
                <w:fldChar w:fldCharType="end"/>
              </w:r>
            </w:p>
            <w:p>
              <w:pPr>
                <w:pStyle w:val="20"/>
                <w:tabs>
                  <w:tab w:val="right" w:leader="dot" w:pos="9016"/>
                </w:tabs>
                <w:rPr>
                  <w:rFonts w:asciiTheme="minorHAnsi" w:hAnsiTheme="minorHAnsi" w:eastAsiaTheme="minorEastAsia"/>
                  <w:szCs w:val="24"/>
                  <w:lang w:eastAsia="en-GB"/>
                </w:rPr>
              </w:pPr>
              <w:r>
                <w:fldChar w:fldCharType="begin"/>
              </w:r>
              <w:r>
                <w:instrText xml:space="preserve"> HYPERLINK \l "_Toc142950674" </w:instrText>
              </w:r>
              <w:r>
                <w:fldChar w:fldCharType="separate"/>
              </w:r>
              <w:r>
                <w:rPr>
                  <w:rStyle w:val="16"/>
                </w:rPr>
                <w:t>5.2 Country Business Risks</w:t>
              </w:r>
              <w:r>
                <w:tab/>
              </w:r>
              <w:r>
                <w:fldChar w:fldCharType="begin"/>
              </w:r>
              <w:r>
                <w:instrText xml:space="preserve"> PAGEREF _Toc142950674 \h </w:instrText>
              </w:r>
              <w:r>
                <w:fldChar w:fldCharType="separate"/>
              </w:r>
              <w:r>
                <w:t>18</w:t>
              </w:r>
              <w:r>
                <w:fldChar w:fldCharType="end"/>
              </w:r>
              <w:r>
                <w:fldChar w:fldCharType="end"/>
              </w:r>
            </w:p>
            <w:p>
              <w:pPr>
                <w:pStyle w:val="19"/>
                <w:tabs>
                  <w:tab w:val="right" w:leader="dot" w:pos="9016"/>
                </w:tabs>
                <w:rPr>
                  <w:rFonts w:asciiTheme="minorHAnsi" w:hAnsiTheme="minorHAnsi" w:eastAsiaTheme="minorEastAsia"/>
                  <w:szCs w:val="24"/>
                  <w:lang w:eastAsia="en-GB"/>
                </w:rPr>
              </w:pPr>
              <w:r>
                <w:fldChar w:fldCharType="begin"/>
              </w:r>
              <w:r>
                <w:instrText xml:space="preserve"> HYPERLINK \l "_Toc142950675" </w:instrText>
              </w:r>
              <w:r>
                <w:fldChar w:fldCharType="separate"/>
              </w:r>
              <w:r>
                <w:rPr>
                  <w:rStyle w:val="16"/>
                </w:rPr>
                <w:t>6. Internal Analysis</w:t>
              </w:r>
              <w:r>
                <w:tab/>
              </w:r>
              <w:r>
                <w:fldChar w:fldCharType="begin"/>
              </w:r>
              <w:r>
                <w:instrText xml:space="preserve"> PAGEREF _Toc142950675 \h </w:instrText>
              </w:r>
              <w:r>
                <w:fldChar w:fldCharType="separate"/>
              </w:r>
              <w:r>
                <w:t>19</w:t>
              </w:r>
              <w:r>
                <w:fldChar w:fldCharType="end"/>
              </w:r>
              <w:r>
                <w:fldChar w:fldCharType="end"/>
              </w:r>
            </w:p>
            <w:p>
              <w:pPr>
                <w:pStyle w:val="20"/>
                <w:tabs>
                  <w:tab w:val="right" w:leader="dot" w:pos="9016"/>
                </w:tabs>
                <w:rPr>
                  <w:rFonts w:asciiTheme="minorHAnsi" w:hAnsiTheme="minorHAnsi" w:eastAsiaTheme="minorEastAsia"/>
                  <w:szCs w:val="24"/>
                  <w:lang w:eastAsia="en-GB"/>
                </w:rPr>
              </w:pPr>
              <w:r>
                <w:fldChar w:fldCharType="begin"/>
              </w:r>
              <w:r>
                <w:instrText xml:space="preserve"> HYPERLINK \l "_Toc142950676" </w:instrText>
              </w:r>
              <w:r>
                <w:fldChar w:fldCharType="separate"/>
              </w:r>
              <w:r>
                <w:rPr>
                  <w:rStyle w:val="16"/>
                </w:rPr>
                <w:t>6.1 SWOT analysis</w:t>
              </w:r>
              <w:r>
                <w:tab/>
              </w:r>
              <w:r>
                <w:fldChar w:fldCharType="begin"/>
              </w:r>
              <w:r>
                <w:instrText xml:space="preserve"> PAGEREF _Toc142950676 \h </w:instrText>
              </w:r>
              <w:r>
                <w:fldChar w:fldCharType="separate"/>
              </w:r>
              <w:r>
                <w:t>19</w:t>
              </w:r>
              <w:r>
                <w:fldChar w:fldCharType="end"/>
              </w:r>
              <w:r>
                <w:fldChar w:fldCharType="end"/>
              </w:r>
            </w:p>
            <w:p>
              <w:pPr>
                <w:pStyle w:val="19"/>
                <w:tabs>
                  <w:tab w:val="right" w:leader="dot" w:pos="9016"/>
                </w:tabs>
                <w:rPr>
                  <w:rFonts w:asciiTheme="minorHAnsi" w:hAnsiTheme="minorHAnsi" w:eastAsiaTheme="minorEastAsia"/>
                  <w:szCs w:val="24"/>
                  <w:lang w:eastAsia="en-GB"/>
                </w:rPr>
              </w:pPr>
              <w:r>
                <w:fldChar w:fldCharType="begin"/>
              </w:r>
              <w:r>
                <w:instrText xml:space="preserve"> HYPERLINK \l "_Toc142950677" </w:instrText>
              </w:r>
              <w:r>
                <w:fldChar w:fldCharType="separate"/>
              </w:r>
              <w:r>
                <w:rPr>
                  <w:rStyle w:val="16"/>
                </w:rPr>
                <w:t>7. International Strategies</w:t>
              </w:r>
              <w:r>
                <w:tab/>
              </w:r>
              <w:r>
                <w:fldChar w:fldCharType="begin"/>
              </w:r>
              <w:r>
                <w:instrText xml:space="preserve"> PAGEREF _Toc142950677 \h </w:instrText>
              </w:r>
              <w:r>
                <w:fldChar w:fldCharType="separate"/>
              </w:r>
              <w:r>
                <w:t>21</w:t>
              </w:r>
              <w:r>
                <w:fldChar w:fldCharType="end"/>
              </w:r>
              <w:r>
                <w:fldChar w:fldCharType="end"/>
              </w:r>
            </w:p>
            <w:p>
              <w:pPr>
                <w:pStyle w:val="19"/>
                <w:tabs>
                  <w:tab w:val="right" w:leader="dot" w:pos="9016"/>
                </w:tabs>
                <w:rPr>
                  <w:rFonts w:asciiTheme="minorHAnsi" w:hAnsiTheme="minorHAnsi" w:eastAsiaTheme="minorEastAsia"/>
                  <w:szCs w:val="24"/>
                  <w:lang w:eastAsia="en-GB"/>
                </w:rPr>
              </w:pPr>
              <w:r>
                <w:fldChar w:fldCharType="begin"/>
              </w:r>
              <w:r>
                <w:instrText xml:space="preserve"> HYPERLINK \l "_Toc142950678" </w:instrText>
              </w:r>
              <w:r>
                <w:fldChar w:fldCharType="separate"/>
              </w:r>
              <w:r>
                <w:rPr>
                  <w:rStyle w:val="16"/>
                </w:rPr>
                <w:t>8. Corporate Social Responsibility</w:t>
              </w:r>
              <w:r>
                <w:tab/>
              </w:r>
              <w:r>
                <w:fldChar w:fldCharType="begin"/>
              </w:r>
              <w:r>
                <w:instrText xml:space="preserve"> PAGEREF _Toc142950678 \h </w:instrText>
              </w:r>
              <w:r>
                <w:fldChar w:fldCharType="separate"/>
              </w:r>
              <w:r>
                <w:t>23</w:t>
              </w:r>
              <w:r>
                <w:fldChar w:fldCharType="end"/>
              </w:r>
              <w:r>
                <w:fldChar w:fldCharType="end"/>
              </w:r>
            </w:p>
            <w:p>
              <w:pPr>
                <w:pStyle w:val="19"/>
                <w:tabs>
                  <w:tab w:val="right" w:leader="dot" w:pos="9016"/>
                </w:tabs>
                <w:rPr>
                  <w:rFonts w:asciiTheme="minorHAnsi" w:hAnsiTheme="minorHAnsi" w:eastAsiaTheme="minorEastAsia"/>
                  <w:szCs w:val="24"/>
                  <w:lang w:eastAsia="en-GB"/>
                </w:rPr>
              </w:pPr>
              <w:r>
                <w:fldChar w:fldCharType="begin"/>
              </w:r>
              <w:r>
                <w:instrText xml:space="preserve"> HYPERLINK \l "_Toc142950679" </w:instrText>
              </w:r>
              <w:r>
                <w:fldChar w:fldCharType="separate"/>
              </w:r>
              <w:r>
                <w:rPr>
                  <w:rStyle w:val="16"/>
                </w:rPr>
                <w:t>Conclusion</w:t>
              </w:r>
              <w:r>
                <w:tab/>
              </w:r>
              <w:r>
                <w:fldChar w:fldCharType="begin"/>
              </w:r>
              <w:r>
                <w:instrText xml:space="preserve"> PAGEREF _Toc142950679 \h </w:instrText>
              </w:r>
              <w:r>
                <w:fldChar w:fldCharType="separate"/>
              </w:r>
              <w:r>
                <w:t>26</w:t>
              </w:r>
              <w:r>
                <w:fldChar w:fldCharType="end"/>
              </w:r>
              <w:r>
                <w:fldChar w:fldCharType="end"/>
              </w:r>
            </w:p>
            <w:p>
              <w:pPr>
                <w:pStyle w:val="19"/>
                <w:tabs>
                  <w:tab w:val="right" w:leader="dot" w:pos="9016"/>
                </w:tabs>
                <w:rPr>
                  <w:rFonts w:asciiTheme="minorHAnsi" w:hAnsiTheme="minorHAnsi" w:eastAsiaTheme="minorEastAsia"/>
                  <w:szCs w:val="24"/>
                  <w:lang w:eastAsia="en-GB"/>
                </w:rPr>
              </w:pPr>
              <w:r>
                <w:fldChar w:fldCharType="begin"/>
              </w:r>
              <w:r>
                <w:instrText xml:space="preserve"> HYPERLINK \l "_Toc142950680" </w:instrText>
              </w:r>
              <w:r>
                <w:fldChar w:fldCharType="separate"/>
              </w:r>
              <w:r>
                <w:rPr>
                  <w:rStyle w:val="16"/>
                </w:rPr>
                <w:t>References</w:t>
              </w:r>
              <w:r>
                <w:tab/>
              </w:r>
              <w:r>
                <w:fldChar w:fldCharType="begin"/>
              </w:r>
              <w:r>
                <w:instrText xml:space="preserve"> PAGEREF _Toc142950680 \h </w:instrText>
              </w:r>
              <w:r>
                <w:fldChar w:fldCharType="separate"/>
              </w:r>
              <w:r>
                <w:t>28</w:t>
              </w:r>
              <w:r>
                <w:fldChar w:fldCharType="end"/>
              </w:r>
              <w:r>
                <w:fldChar w:fldCharType="end"/>
              </w:r>
            </w:p>
            <w:p>
              <w:r>
                <w:fldChar w:fldCharType="end"/>
              </w:r>
            </w:p>
            <w:p>
              <w:r>
                <w:t xml:space="preserve"> </w:t>
              </w:r>
            </w:p>
          </w:sdtContent>
        </w:sdt>
        <w:p>
          <w:pPr>
            <w:rPr>
              <w:rFonts w:ascii="Arial" w:hAnsi="Arial" w:cs="Times New Roman" w:eastAsiaTheme="majorEastAsia"/>
              <w:b/>
              <w:bCs/>
              <w:color w:val="17375E" w:themeColor="text2" w:themeShade="BF"/>
              <w:szCs w:val="24"/>
              <w:lang w:eastAsia="ja-JP"/>
            </w:rPr>
          </w:pPr>
          <w:r>
            <w:br w:type="page"/>
          </w:r>
        </w:p>
        <w:p>
          <w:pPr>
            <w:pStyle w:val="2"/>
          </w:pPr>
          <w:bookmarkStart w:id="1" w:name="_Toc142950659"/>
          <w:r>
            <w:t>1. Introduction</w:t>
          </w:r>
          <w:bookmarkEnd w:id="1"/>
        </w:p>
        <w:p>
          <w:pPr>
            <w:spacing w:line="480" w:lineRule="auto"/>
            <w:jc w:val="both"/>
            <w:rPr>
              <w:rFonts w:ascii="Arial" w:hAnsi="Arial" w:cs="Arial"/>
              <w:sz w:val="22"/>
            </w:rPr>
          </w:pPr>
          <w:r>
            <w:rPr>
              <w:rFonts w:ascii="Arial" w:hAnsi="Arial" w:cs="Arial"/>
              <w:sz w:val="22"/>
            </w:rPr>
            <w:t xml:space="preserve">The realm of international business has undergone a profound transformation in recent decades. As globalization accelerates and technological advancements redefine boundaries, businesses are presented with unparalleled opportunities to expand beyond their domestic confines. However, this expansion is not without its challenges. Navigating the intricate dynamics of different markets, understanding diverse cultural nuances, and adapting to varied regulatory landscapes are just a few of the complexities that multinational enterprises (MNEs) grapple with. </w:t>
          </w:r>
        </w:p>
        <w:p>
          <w:pPr>
            <w:spacing w:line="480" w:lineRule="auto"/>
            <w:jc w:val="both"/>
            <w:rPr>
              <w:rFonts w:ascii="Arial" w:hAnsi="Arial" w:cs="Arial"/>
              <w:sz w:val="22"/>
            </w:rPr>
          </w:pPr>
          <w:r>
            <w:rPr>
              <w:rFonts w:ascii="Arial" w:hAnsi="Arial" w:cs="Arial"/>
              <w:sz w:val="22"/>
            </w:rPr>
            <w:t>The purpose of this report is to provide an in-depth analysis of Vodafone's international business strategy. It aims to answer key questions related to how Vodafone entered and operates in different international markets, how it organizes its resources and capabilities in an international context, and how it manages country-specific risks. The report will also critically evaluate Vodafone's modes of entry into foreign markets.</w:t>
          </w:r>
        </w:p>
        <w:p>
          <w:pPr>
            <w:spacing w:line="480" w:lineRule="auto"/>
            <w:jc w:val="both"/>
            <w:rPr>
              <w:rFonts w:ascii="Arial" w:hAnsi="Arial" w:cs="Arial"/>
              <w:sz w:val="22"/>
            </w:rPr>
          </w:pPr>
          <w:r>
            <w:rPr>
              <w:rFonts w:ascii="Arial" w:hAnsi="Arial" w:cs="Arial"/>
              <w:sz w:val="22"/>
            </w:rPr>
            <w:t>The report is structured as follows: After this introduction, a comprehensive overview of Vodafone as a company is provided. This is followed by an analysis of Vodafone's international strategy, focusing on management-specific, industry-specific, and country-specific factors. The subsequent section delves into an examination of Vodafone's operations in the international context, including its approach to marketing, operations, and human resource management. The report then evaluates Vodafone's entry modes into foreign markets and provides an analysis of how the company manages country risk. The report concludes with a summary of the findings and their implications for Vodafone and international business strategy more broadly.</w:t>
          </w:r>
        </w:p>
        <w:p>
          <w:pPr>
            <w:spacing w:line="480" w:lineRule="auto"/>
            <w:jc w:val="both"/>
            <w:rPr>
              <w:rFonts w:ascii="Arial" w:hAnsi="Arial" w:cs="Arial"/>
              <w:sz w:val="22"/>
            </w:rPr>
          </w:pPr>
        </w:p>
        <w:p>
          <w:pPr>
            <w:pStyle w:val="2"/>
          </w:pPr>
          <w:bookmarkStart w:id="2" w:name="_Toc142950660"/>
          <w:r>
            <w:t>2. Company Background: Vodafone</w:t>
          </w:r>
          <w:bookmarkEnd w:id="2"/>
        </w:p>
        <w:p>
          <w:pPr>
            <w:spacing w:line="480" w:lineRule="auto"/>
            <w:ind w:left="360"/>
            <w:jc w:val="both"/>
            <w:rPr>
              <w:rFonts w:ascii="Arial" w:hAnsi="Arial" w:cs="Arial"/>
              <w:sz w:val="22"/>
              <w:lang w:eastAsia="ja-JP"/>
            </w:rPr>
          </w:pPr>
          <w:r>
            <w:rPr>
              <w:rFonts w:ascii="Arial" w:hAnsi="Arial" w:cs="Arial"/>
              <w:sz w:val="22"/>
              <w:lang w:eastAsia="ja-JP"/>
            </w:rPr>
            <w:t>Vodafone's rich heritage began in 1982 when it was launched as a subsidiary of Racal Electronics Plc, a British company specializing in military radio technology. The name "Vodafone" is a contraction of "voice data fone," signifying the delivery of voice and data services through mobile phones. In 1991, Vodafone achieved a significant milestone by making the first-ever mobile phone call in the UK. That same year, the company separated from Racal Electronics, marking a pivotal moment in its evolution as it became an independent entity</w:t>
          </w:r>
          <w:sdt>
            <w:sdtPr>
              <w:rPr>
                <w:rFonts w:ascii="Arial" w:hAnsi="Arial" w:cs="Arial"/>
                <w:sz w:val="22"/>
                <w:lang w:eastAsia="ja-JP"/>
              </w:rPr>
              <w:id w:val="717009520"/>
            </w:sdtPr>
            <w:sdtEndPr>
              <w:rPr>
                <w:rFonts w:ascii="Arial" w:hAnsi="Arial" w:cs="Arial"/>
                <w:sz w:val="22"/>
                <w:lang w:eastAsia="ja-JP"/>
              </w:rPr>
            </w:sdtEndPr>
            <w:sdtContent>
              <w:r>
                <w:rPr>
                  <w:rFonts w:ascii="Arial" w:hAnsi="Arial" w:cs="Arial"/>
                  <w:sz w:val="22"/>
                  <w:lang w:eastAsia="ja-JP"/>
                </w:rPr>
                <w:fldChar w:fldCharType="begin"/>
              </w:r>
              <w:r>
                <w:rPr>
                  <w:rFonts w:ascii="Arial" w:hAnsi="Arial" w:cs="Arial"/>
                  <w:sz w:val="22"/>
                  <w:lang w:eastAsia="ja-JP"/>
                </w:rPr>
                <w:instrText xml:space="preserve">CITATION Vod03 \l 2057 </w:instrText>
              </w:r>
              <w:r>
                <w:rPr>
                  <w:rFonts w:ascii="Arial" w:hAnsi="Arial" w:cs="Arial"/>
                  <w:sz w:val="22"/>
                  <w:lang w:eastAsia="ja-JP"/>
                </w:rPr>
                <w:fldChar w:fldCharType="separate"/>
              </w:r>
              <w:r>
                <w:rPr>
                  <w:rFonts w:ascii="Arial" w:hAnsi="Arial" w:cs="Arial"/>
                  <w:sz w:val="22"/>
                  <w:lang w:eastAsia="ja-JP"/>
                </w:rPr>
                <w:t xml:space="preserve"> (Vodafone Group Plc, 2023)</w:t>
              </w:r>
              <w:r>
                <w:rPr>
                  <w:rFonts w:ascii="Arial" w:hAnsi="Arial" w:cs="Arial"/>
                  <w:sz w:val="22"/>
                  <w:lang w:eastAsia="ja-JP"/>
                </w:rPr>
                <w:fldChar w:fldCharType="end"/>
              </w:r>
            </w:sdtContent>
          </w:sdt>
          <w:r>
            <w:rPr>
              <w:rFonts w:ascii="Arial" w:hAnsi="Arial" w:cs="Arial"/>
              <w:sz w:val="22"/>
              <w:lang w:eastAsia="ja-JP"/>
            </w:rPr>
            <w:t>.</w:t>
          </w: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r>
            <w:drawing>
              <wp:anchor distT="0" distB="0" distL="114300" distR="114300" simplePos="0" relativeHeight="251660288" behindDoc="0" locked="0" layoutInCell="1" allowOverlap="1">
                <wp:simplePos x="0" y="0"/>
                <wp:positionH relativeFrom="column">
                  <wp:posOffset>1003300</wp:posOffset>
                </wp:positionH>
                <wp:positionV relativeFrom="paragraph">
                  <wp:posOffset>0</wp:posOffset>
                </wp:positionV>
                <wp:extent cx="3327400" cy="2133600"/>
                <wp:effectExtent l="0" t="0" r="0" b="0"/>
                <wp:wrapThrough wrapText="bothSides">
                  <wp:wrapPolygon>
                    <wp:start x="0" y="0"/>
                    <wp:lineTo x="0" y="21471"/>
                    <wp:lineTo x="21518" y="21471"/>
                    <wp:lineTo x="21518" y="0"/>
                    <wp:lineTo x="0" y="0"/>
                  </wp:wrapPolygon>
                </wp:wrapThrough>
                <wp:docPr id="1428487917" name="Picture 3" descr="Vodafone unit offers redundancy to about 2,000 staff in New Zea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487917" name="Picture 3" descr="Vodafone unit offers redundancy to about 2,000 staff in New Zeala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327400" cy="2133600"/>
                        </a:xfrm>
                        <a:prstGeom prst="rect">
                          <a:avLst/>
                        </a:prstGeom>
                        <a:noFill/>
                        <a:ln>
                          <a:noFill/>
                        </a:ln>
                      </pic:spPr>
                    </pic:pic>
                  </a:graphicData>
                </a:graphic>
              </wp:anchor>
            </w:drawing>
          </w: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r>
            <mc:AlternateContent>
              <mc:Choice Requires="wps">
                <w:drawing>
                  <wp:anchor distT="0" distB="0" distL="114300" distR="114300" simplePos="0" relativeHeight="251661312" behindDoc="0" locked="0" layoutInCell="1" allowOverlap="1">
                    <wp:simplePos x="0" y="0"/>
                    <wp:positionH relativeFrom="column">
                      <wp:posOffset>1089660</wp:posOffset>
                    </wp:positionH>
                    <wp:positionV relativeFrom="paragraph">
                      <wp:posOffset>429895</wp:posOffset>
                    </wp:positionV>
                    <wp:extent cx="3327400" cy="635"/>
                    <wp:effectExtent l="0" t="0" r="0" b="12065"/>
                    <wp:wrapThrough wrapText="bothSides">
                      <wp:wrapPolygon>
                        <wp:start x="0" y="0"/>
                        <wp:lineTo x="0" y="0"/>
                        <wp:lineTo x="21518" y="0"/>
                        <wp:lineTo x="21518" y="0"/>
                        <wp:lineTo x="0" y="0"/>
                      </wp:wrapPolygon>
                    </wp:wrapThrough>
                    <wp:docPr id="400621682" name="Text Box 4"/>
                    <wp:cNvGraphicFramePr/>
                    <a:graphic xmlns:a="http://schemas.openxmlformats.org/drawingml/2006/main">
                      <a:graphicData uri="http://schemas.microsoft.com/office/word/2010/wordprocessingShape">
                        <wps:wsp>
                          <wps:cNvSpPr txBox="1"/>
                          <wps:spPr>
                            <a:xfrm>
                              <a:off x="0" y="0"/>
                              <a:ext cx="3327400" cy="635"/>
                            </a:xfrm>
                            <a:prstGeom prst="rect">
                              <a:avLst/>
                            </a:prstGeom>
                            <a:solidFill>
                              <a:prstClr val="white"/>
                            </a:solidFill>
                            <a:ln>
                              <a:noFill/>
                            </a:ln>
                          </wps:spPr>
                          <wps:txbx>
                            <w:txbxContent>
                              <w:p>
                                <w:pPr>
                                  <w:pStyle w:val="9"/>
                                  <w:jc w:val="center"/>
                                  <w:rPr>
                                    <w:color w:val="000000" w:themeColor="text1"/>
                                    <w14:textFill>
                                      <w14:solidFill>
                                        <w14:schemeClr w14:val="tx1"/>
                                      </w14:solidFill>
                                    </w14:textFill>
                                  </w:rPr>
                                </w:pPr>
                                <w:bookmarkStart w:id="26" w:name="_Toc140536341"/>
                                <w:r>
                                  <w:rPr>
                                    <w:color w:val="000000" w:themeColor="text1"/>
                                    <w14:textFill>
                                      <w14:solidFill>
                                        <w14:schemeClr w14:val="tx1"/>
                                      </w14:solidFill>
                                    </w14:textFill>
                                  </w:rPr>
                                  <w:t xml:space="preserve">Figure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SEQ Figure \* ARABIC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Vodafone Store. Source ( </w:t>
                                </w:r>
                                <w:bookmarkEnd w:id="26"/>
                                <w:r>
                                  <w:rPr>
                                    <w:color w:val="000000" w:themeColor="text1"/>
                                    <w14:textFill>
                                      <w14:solidFill>
                                        <w14:schemeClr w14:val="tx1"/>
                                      </w14:solidFill>
                                    </w14:textFill>
                                  </w:rPr>
                                  <w:t>bbc.co.uk 2023)</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4" o:spid="_x0000_s1026" o:spt="202" type="#_x0000_t202" style="position:absolute;left:0pt;margin-left:85.8pt;margin-top:33.85pt;height:0.05pt;width:262pt;mso-wrap-distance-left:9pt;mso-wrap-distance-right:9pt;z-index:251661312;mso-width-relative:page;mso-height-relative:page;" fillcolor="#FFFFFF" filled="t" stroked="f" coordsize="21600,21600" wrapcoords="0 0 0 0 21518 0 21518 0 0 0" o:gfxdata="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etCQm2AAAAAkBAAAPAAAAAAAAAAEAIAAAACIAAABkcnMvZG93bnJldi54bWxQ&#10;SwECFAAUAAAACACHTuJALmKufzACAAB5BAAADgAAAAAAAAABACAAAAAnAQAAZHJzL2Uyb0RvYy54&#10;bWxQSwUGAAAAAAYABgBZAQAAyQUAAAAA&#10;">
                    <v:fill on="t" focussize="0,0"/>
                    <v:stroke on="f"/>
                    <v:imagedata o:title=""/>
                    <o:lock v:ext="edit" aspectratio="f"/>
                    <v:textbox inset="0mm,0mm,0mm,0mm" style="mso-fit-shape-to-text:t;">
                      <w:txbxContent>
                        <w:p>
                          <w:pPr>
                            <w:pStyle w:val="9"/>
                            <w:jc w:val="center"/>
                            <w:rPr>
                              <w:color w:val="000000" w:themeColor="text1"/>
                              <w14:textFill>
                                <w14:solidFill>
                                  <w14:schemeClr w14:val="tx1"/>
                                </w14:solidFill>
                              </w14:textFill>
                            </w:rPr>
                          </w:pPr>
                          <w:bookmarkStart w:id="26" w:name="_Toc140536341"/>
                          <w:r>
                            <w:rPr>
                              <w:color w:val="000000" w:themeColor="text1"/>
                              <w14:textFill>
                                <w14:solidFill>
                                  <w14:schemeClr w14:val="tx1"/>
                                </w14:solidFill>
                              </w14:textFill>
                            </w:rPr>
                            <w:t xml:space="preserve">Figure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SEQ Figure \* ARABIC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Vodafone Store. Source ( </w:t>
                          </w:r>
                          <w:bookmarkEnd w:id="26"/>
                          <w:r>
                            <w:rPr>
                              <w:color w:val="000000" w:themeColor="text1"/>
                              <w14:textFill>
                                <w14:solidFill>
                                  <w14:schemeClr w14:val="tx1"/>
                                </w14:solidFill>
                              </w14:textFill>
                            </w:rPr>
                            <w:t>bbc.co.uk 2023)</w:t>
                          </w:r>
                        </w:p>
                      </w:txbxContent>
                    </v:textbox>
                    <w10:wrap type="through"/>
                  </v:shape>
                </w:pict>
              </mc:Fallback>
            </mc:AlternateContent>
          </w: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r>
            <w:rPr>
              <w:rFonts w:ascii="Arial" w:hAnsi="Arial" w:cs="Arial"/>
              <w:sz w:val="22"/>
            </w:rPr>
            <w:t>Vodafone Group Plc, a telecommunications juggernaut with its roots in the United Kingdom, boasts a vast global presence with its headquarters nestled in the bustling city of London, England. Its expansive reach extends to the far corners of Asia, Africa, Europe, and Oceania, where it delivers an array of top-notch services. As the calendar flipped to 2021, Vodafone commanded ownership and spearheaded operations across a staggering 26 countries, while concurrently establishing strategic partnerships with over 50 additional nations through their network alliances. Not stopping at mere geographical boundaries, Vodafone's influential arm, known as Vodafone Global Enterprise, takes centre stage, showcasing their prowess in providing exceptional telecommunications and information technology services to esteemed business clients spanning a breath-taking 150 countries worldwide</w:t>
          </w:r>
          <w:sdt>
            <w:sdtPr>
              <w:rPr>
                <w:rFonts w:ascii="Arial" w:hAnsi="Arial" w:cs="Arial"/>
                <w:sz w:val="22"/>
              </w:rPr>
              <w:id w:val="-442147765"/>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Vod23 \l 2057 </w:instrText>
              </w:r>
              <w:r>
                <w:rPr>
                  <w:rFonts w:ascii="Arial" w:hAnsi="Arial" w:cs="Arial"/>
                  <w:sz w:val="22"/>
                </w:rPr>
                <w:fldChar w:fldCharType="separate"/>
              </w:r>
              <w:r>
                <w:rPr>
                  <w:rFonts w:ascii="Arial" w:hAnsi="Arial" w:cs="Arial"/>
                  <w:sz w:val="22"/>
                </w:rPr>
                <w:t xml:space="preserve"> (Vodafone Group Plc, 2023)</w:t>
              </w:r>
              <w:r>
                <w:rPr>
                  <w:rFonts w:ascii="Arial" w:hAnsi="Arial" w:cs="Arial"/>
                  <w:sz w:val="22"/>
                </w:rPr>
                <w:fldChar w:fldCharType="end"/>
              </w:r>
            </w:sdtContent>
          </w:sdt>
          <w:r>
            <w:rPr>
              <w:rFonts w:ascii="Arial" w:hAnsi="Arial" w:cs="Arial"/>
              <w:sz w:val="22"/>
            </w:rPr>
            <w:t>.</w:t>
          </w:r>
        </w:p>
        <w:p>
          <w:pPr>
            <w:pStyle w:val="9"/>
            <w:rPr>
              <w:rFonts w:cs="Times New Roman"/>
              <w:color w:val="auto"/>
              <w:szCs w:val="24"/>
            </w:rPr>
          </w:pPr>
          <w:r>
            <w:drawing>
              <wp:anchor distT="0" distB="0" distL="114300" distR="114300" simplePos="0" relativeHeight="251671552" behindDoc="0" locked="0" layoutInCell="1" allowOverlap="1">
                <wp:simplePos x="0" y="0"/>
                <wp:positionH relativeFrom="column">
                  <wp:posOffset>-137160</wp:posOffset>
                </wp:positionH>
                <wp:positionV relativeFrom="paragraph">
                  <wp:posOffset>333375</wp:posOffset>
                </wp:positionV>
                <wp:extent cx="5731510" cy="5991225"/>
                <wp:effectExtent l="0" t="0" r="0" b="3175"/>
                <wp:wrapThrough wrapText="bothSides">
                  <wp:wrapPolygon>
                    <wp:start x="0" y="0"/>
                    <wp:lineTo x="0" y="21566"/>
                    <wp:lineTo x="21538" y="21566"/>
                    <wp:lineTo x="21538" y="0"/>
                    <wp:lineTo x="0" y="0"/>
                  </wp:wrapPolygon>
                </wp:wrapThrough>
                <wp:docPr id="1759437922"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437922" name="Picture 2" descr="A screenshot of a phone&#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31510" cy="5991225"/>
                        </a:xfrm>
                        <a:prstGeom prst="rect">
                          <a:avLst/>
                        </a:prstGeom>
                      </pic:spPr>
                    </pic:pic>
                  </a:graphicData>
                </a:graphic>
              </wp:anchor>
            </w:drawing>
          </w:r>
          <w:r>
            <w:t xml:space="preserve">Table </w:t>
          </w:r>
          <w:r>
            <w:fldChar w:fldCharType="begin"/>
          </w:r>
          <w:r>
            <w:instrText xml:space="preserve"> SEQ Table \* ARABIC </w:instrText>
          </w:r>
          <w:r>
            <w:fldChar w:fldCharType="separate"/>
          </w:r>
          <w:r>
            <w:t>1</w:t>
          </w:r>
          <w:r>
            <w:fldChar w:fldCharType="end"/>
          </w:r>
          <w:r>
            <w:rPr>
              <w:color w:val="000000" w:themeColor="text1"/>
              <w14:textFill>
                <w14:solidFill>
                  <w14:schemeClr w14:val="tx1"/>
                </w14:solidFill>
              </w14:textFill>
            </w:rPr>
            <w:t>: Vodafone's Overview table</w:t>
          </w:r>
        </w:p>
        <w:p>
          <w:pPr>
            <w:rPr>
              <w:lang w:eastAsia="ja-JP"/>
            </w:rPr>
          </w:pPr>
        </w:p>
        <w:p>
          <w:pPr>
            <w:rPr>
              <w:lang w:eastAsia="ja-JP"/>
            </w:rPr>
          </w:pPr>
        </w:p>
        <w:p>
          <w:pPr>
            <w:rPr>
              <w:lang w:eastAsia="ja-JP"/>
            </w:rPr>
          </w:pPr>
        </w:p>
        <w:p>
          <w:pPr>
            <w:pStyle w:val="3"/>
          </w:pPr>
        </w:p>
        <w:p>
          <w:pPr>
            <w:pStyle w:val="3"/>
          </w:pPr>
          <w:bookmarkStart w:id="3" w:name="_Toc142950661"/>
          <w:r>
            <w:t>2.1 Company’s Objectives and Strategies</w:t>
          </w:r>
          <w:bookmarkEnd w:id="3"/>
        </w:p>
        <w:p>
          <w:pPr>
            <w:spacing w:line="360" w:lineRule="auto"/>
            <w:jc w:val="both"/>
            <w:rPr>
              <w:rFonts w:cs="Times New Roman"/>
              <w:szCs w:val="24"/>
            </w:rPr>
          </w:pPr>
        </w:p>
        <w:p>
          <w:pPr>
            <w:pStyle w:val="4"/>
          </w:pPr>
          <w:bookmarkStart w:id="4" w:name="_Toc142950662"/>
          <w:r>
            <w:t>2.1.1 Vodafon’s Objectives</w:t>
          </w:r>
          <w:bookmarkEnd w:id="4"/>
          <w:r>
            <w:t xml:space="preserve"> </w:t>
          </w:r>
        </w:p>
        <w:p>
          <w:pPr>
            <w:spacing w:line="480" w:lineRule="auto"/>
            <w:jc w:val="both"/>
            <w:rPr>
              <w:rFonts w:ascii="Arial" w:hAnsi="Arial" w:cs="Arial"/>
              <w:sz w:val="22"/>
            </w:rPr>
          </w:pPr>
          <w:r>
            <w:rPr>
              <w:rFonts w:ascii="Arial" w:hAnsi="Arial" w:cs="Arial"/>
              <w:sz w:val="22"/>
            </w:rPr>
            <w:t>As a leading international telecommunications entity, Vodafone maintains a clear, precise set of goals that inform its strategic decisions and business activities. The core of these goals is their mission to "build connections for a more promising future"</w:t>
          </w:r>
          <w:sdt>
            <w:sdtPr>
              <w:rPr>
                <w:rFonts w:ascii="Arial" w:hAnsi="Arial" w:cs="Arial"/>
                <w:sz w:val="22"/>
              </w:rPr>
              <w:id w:val="206296981"/>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GSM19 \l 2057 </w:instrText>
              </w:r>
              <w:r>
                <w:rPr>
                  <w:rFonts w:ascii="Arial" w:hAnsi="Arial" w:cs="Arial"/>
                  <w:sz w:val="22"/>
                </w:rPr>
                <w:fldChar w:fldCharType="separate"/>
              </w:r>
              <w:r>
                <w:rPr>
                  <w:rFonts w:ascii="Arial" w:hAnsi="Arial" w:cs="Arial"/>
                  <w:sz w:val="22"/>
                </w:rPr>
                <w:t xml:space="preserve"> (GSMA, 2019)</w:t>
              </w:r>
              <w:r>
                <w:rPr>
                  <w:rFonts w:ascii="Arial" w:hAnsi="Arial" w:cs="Arial"/>
                  <w:sz w:val="22"/>
                </w:rPr>
                <w:fldChar w:fldCharType="end"/>
              </w:r>
            </w:sdtContent>
          </w:sdt>
          <w:r>
            <w:rPr>
              <w:rFonts w:ascii="Arial" w:hAnsi="Arial" w:cs="Arial"/>
              <w:sz w:val="22"/>
            </w:rPr>
            <w:t>. This mission is underlined by their devotion to developing an all-inclusive, sustainable digital society, where technology and connectivity have the potential to shape the future and enrich the lives of individuals.</w:t>
          </w:r>
        </w:p>
        <w:p>
          <w:pPr>
            <w:pStyle w:val="9"/>
            <w:keepNext/>
          </w:pPr>
          <w:r>
            <w:rPr>
              <w:rFonts w:ascii="Arial" w:hAnsi="Arial" w:cs="Arial"/>
              <w:sz w:val="22"/>
            </w:rPr>
            <w:drawing>
              <wp:anchor distT="0" distB="0" distL="114300" distR="114300" simplePos="0" relativeHeight="251672576" behindDoc="0" locked="0" layoutInCell="1" allowOverlap="1">
                <wp:simplePos x="0" y="0"/>
                <wp:positionH relativeFrom="column">
                  <wp:posOffset>-43180</wp:posOffset>
                </wp:positionH>
                <wp:positionV relativeFrom="paragraph">
                  <wp:posOffset>224155</wp:posOffset>
                </wp:positionV>
                <wp:extent cx="5156200" cy="2844800"/>
                <wp:effectExtent l="0" t="0" r="0" b="0"/>
                <wp:wrapThrough wrapText="bothSides">
                  <wp:wrapPolygon>
                    <wp:start x="0" y="0"/>
                    <wp:lineTo x="0" y="21504"/>
                    <wp:lineTo x="21547" y="21504"/>
                    <wp:lineTo x="21547" y="0"/>
                    <wp:lineTo x="0" y="0"/>
                  </wp:wrapPolygon>
                </wp:wrapThrough>
                <wp:docPr id="433928470" name="Picture 5"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28470" name="Picture 5" descr="A screenshot of a document&#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156200" cy="2844800"/>
                        </a:xfrm>
                        <a:prstGeom prst="rect">
                          <a:avLst/>
                        </a:prstGeom>
                      </pic:spPr>
                    </pic:pic>
                  </a:graphicData>
                </a:graphic>
              </wp:anchor>
            </w:drawing>
          </w:r>
          <w:r>
            <w:t xml:space="preserve">Table </w:t>
          </w:r>
          <w:r>
            <w:fldChar w:fldCharType="begin"/>
          </w:r>
          <w:r>
            <w:instrText xml:space="preserve"> SEQ Table \* ARABIC </w:instrText>
          </w:r>
          <w:r>
            <w:fldChar w:fldCharType="separate"/>
          </w:r>
          <w:r>
            <w:t>2</w:t>
          </w:r>
          <w:r>
            <w:fldChar w:fldCharType="end"/>
          </w:r>
          <w:r>
            <w:t>: Vodafone's Objectives</w:t>
          </w: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r>
            <w:rPr>
              <w:rFonts w:ascii="Arial" w:hAnsi="Arial" w:cs="Arial"/>
              <w:sz w:val="22"/>
            </w:rPr>
            <w:t>Vodafone's overarching aims go beyond financial growth, focusing on generating a positive societal impact. They are determined to conduct business sustainably and ethically in all regions they operate in and contribute to the United Nations' Sustainable Development Goals (SDGs). Vodafone recognizes the role of digital technology in hastening progress towards achieving the SDGs, and they are dedicated to participating in this effort.</w:t>
          </w:r>
        </w:p>
        <w:p>
          <w:pPr>
            <w:spacing w:line="480" w:lineRule="auto"/>
            <w:jc w:val="both"/>
            <w:rPr>
              <w:rFonts w:ascii="Arial" w:hAnsi="Arial" w:cs="Arial"/>
              <w:sz w:val="22"/>
            </w:rPr>
          </w:pPr>
          <w:r>
            <w:rPr>
              <w:rFonts w:ascii="Arial" w:hAnsi="Arial" w:cs="Arial"/>
              <w:sz w:val="22"/>
            </w:rPr>
            <w:t>In essence, Vodafone's primary objectives revolve around delivering top-tier connectivity and digital services, promoting inclusivity, and tackling environmental issues. Their goal is to leverage their international reach and proficiency to foster positive changes and contribute to the construction of a better future for everyone.</w:t>
          </w:r>
        </w:p>
        <w:p>
          <w:pPr>
            <w:pStyle w:val="4"/>
            <w:rPr>
              <w:b/>
            </w:rPr>
          </w:pPr>
          <w:bookmarkStart w:id="5" w:name="_Toc142950663"/>
          <w:r>
            <w:t>2.1.2 Vodafone’s Overall strategies in contex on international business</w:t>
          </w:r>
          <w:bookmarkEnd w:id="5"/>
          <w:r>
            <w:t xml:space="preserve"> </w:t>
          </w:r>
        </w:p>
        <w:p>
          <w:pPr>
            <w:spacing w:line="480" w:lineRule="auto"/>
            <w:jc w:val="both"/>
            <w:rPr>
              <w:rFonts w:ascii="Arial" w:hAnsi="Arial" w:cs="Arial"/>
              <w:sz w:val="22"/>
            </w:rPr>
          </w:pPr>
          <w:r>
            <w:rPr>
              <w:rFonts w:ascii="Arial" w:hAnsi="Arial" w:cs="Arial"/>
              <w:sz w:val="22"/>
            </w:rPr>
            <w:t>Vodafone, a telecommunications giant headquartered in West Berkshire, England, has a rich history of strategic moves that have shaped its international business strategy. The company's overall strategy is focused on sustainable growth, with a vision to become a new generation connectivity and digital services provider, primarily for Europe.</w:t>
          </w:r>
        </w:p>
        <w:p>
          <w:pPr>
            <w:spacing w:line="480" w:lineRule="auto"/>
            <w:jc w:val="both"/>
            <w:rPr>
              <w:rFonts w:ascii="Arial" w:hAnsi="Arial" w:cs="Arial"/>
              <w:sz w:val="22"/>
            </w:rPr>
          </w:pPr>
          <w:r>
            <w:rPr>
              <w:rFonts w:ascii="Arial" w:hAnsi="Arial" w:cs="Arial"/>
              <w:sz w:val="22"/>
            </w:rPr>
            <w:t>One of the key strategies of Vodafone's international business is to enter new markets that show potential for growth. An example of this is Vietnam, where Vodafone proposed entering the market due to the country's young population and growing economy. The company's strategy in Vietnam was to acquire a controlling stake in VMS MobiFone, Vietnam’s state-run mobile services operator and the largest mobile player in the country. This move was aimed at gaining an improved foothold in the Asia-Pacific marketplace and picking up a quick win in a market that would be easier to penetrate than China</w:t>
          </w:r>
          <w:sdt>
            <w:sdtPr>
              <w:rPr>
                <w:rFonts w:ascii="Arial" w:hAnsi="Arial" w:cs="Arial"/>
                <w:sz w:val="22"/>
              </w:rPr>
              <w:id w:val="-733545433"/>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Dod03 \l 2057 </w:instrText>
              </w:r>
              <w:r>
                <w:rPr>
                  <w:rFonts w:ascii="Arial" w:hAnsi="Arial" w:cs="Arial"/>
                  <w:sz w:val="22"/>
                </w:rPr>
                <w:fldChar w:fldCharType="separate"/>
              </w:r>
              <w:r>
                <w:rPr>
                  <w:rFonts w:ascii="Arial" w:hAnsi="Arial" w:cs="Arial"/>
                  <w:sz w:val="22"/>
                </w:rPr>
                <w:t xml:space="preserve"> (Dodourova, 2003)</w:t>
              </w:r>
              <w:r>
                <w:rPr>
                  <w:rFonts w:ascii="Arial" w:hAnsi="Arial" w:cs="Arial"/>
                  <w:sz w:val="22"/>
                </w:rPr>
                <w:fldChar w:fldCharType="end"/>
              </w:r>
            </w:sdtContent>
          </w:sdt>
          <w:r>
            <w:rPr>
              <w:rFonts w:ascii="Arial" w:hAnsi="Arial" w:cs="Arial"/>
              <w:sz w:val="22"/>
            </w:rPr>
            <w:t>.</w:t>
          </w:r>
        </w:p>
        <w:p>
          <w:pPr>
            <w:spacing w:line="480" w:lineRule="auto"/>
            <w:jc w:val="both"/>
            <w:rPr>
              <w:rFonts w:ascii="Arial" w:hAnsi="Arial" w:cs="Arial"/>
              <w:sz w:val="22"/>
            </w:rPr>
          </w:pPr>
          <w:r>
            <w:rPr>
              <w:rFonts w:ascii="Arial" w:hAnsi="Arial" w:cs="Arial"/>
              <w:sz w:val="22"/>
            </w:rPr>
            <w:t>Vodafone's international strategy also involves localization, especially in terms of human resources and marketing. In Vietnam, for instance, Vodafone relied on the existing marketing plan of MobiFone and retained the MobiFone name, messaging, and advertising strategies with minimal interference from Vodafone. This approach was based on the lessons Vodafone learned from its unsuccessful venture in Japan, where it failed to cater to the local consumer preferences.</w:t>
          </w:r>
        </w:p>
        <w:p>
          <w:pPr>
            <w:spacing w:line="480" w:lineRule="auto"/>
            <w:jc w:val="both"/>
            <w:rPr>
              <w:rFonts w:ascii="Arial" w:hAnsi="Arial" w:cs="Arial"/>
              <w:sz w:val="22"/>
            </w:rPr>
          </w:pPr>
          <w:r>
            <w:rPr>
              <w:rFonts w:ascii="Arial" w:hAnsi="Arial" w:cs="Arial"/>
              <w:sz w:val="22"/>
            </w:rPr>
            <w:t>In conclusion, Vodafone's international business strategy is a blend of expansion, acquisition, and localization. The company seeks to enter new markets that show potential for growth, acquire controlling stakes in local operators, and adapt to local preferences and business practices. This strategy has allowed Vodafone to become a global player in the telecommunications industry. However, the success of this strategy also depends on the company's ability to learn from its past mistakes and adapt to the unique challenges of each market it enters.</w:t>
          </w:r>
          <w:r>
            <w:rPr>
              <w:rFonts w:ascii="Arial" w:hAnsi="Arial" w:cs="Arial"/>
              <w:vanish/>
              <w:sz w:val="22"/>
            </w:rPr>
            <w:t>Top of Form</w:t>
          </w:r>
          <w:r>
            <w:rPr>
              <w:rFonts w:cs="Times New Roman"/>
              <w:vanish/>
              <w:szCs w:val="24"/>
            </w:rPr>
            <w:t>Bottom of Form</w:t>
          </w:r>
        </w:p>
        <w:p>
          <w:pPr>
            <w:pStyle w:val="2"/>
          </w:pPr>
          <w:bookmarkStart w:id="6" w:name="_Toc142950664"/>
          <w:r>
            <w:t>3. Countries’ Specifications</w:t>
          </w:r>
          <w:bookmarkEnd w:id="6"/>
          <w:r>
            <w:t xml:space="preserve"> </w:t>
          </w:r>
        </w:p>
        <w:p>
          <w:pPr>
            <w:spacing w:line="480" w:lineRule="auto"/>
            <w:jc w:val="both"/>
            <w:rPr>
              <w:rFonts w:ascii="Arial" w:hAnsi="Arial" w:cs="Arial"/>
              <w:sz w:val="22"/>
            </w:rPr>
          </w:pPr>
          <w:r>
            <mc:AlternateContent>
              <mc:Choice Requires="wps">
                <w:drawing>
                  <wp:anchor distT="0" distB="0" distL="114300" distR="114300" simplePos="0" relativeHeight="251663360" behindDoc="0" locked="0" layoutInCell="1" allowOverlap="1">
                    <wp:simplePos x="0" y="0"/>
                    <wp:positionH relativeFrom="column">
                      <wp:posOffset>1398905</wp:posOffset>
                    </wp:positionH>
                    <wp:positionV relativeFrom="paragraph">
                      <wp:posOffset>4729480</wp:posOffset>
                    </wp:positionV>
                    <wp:extent cx="2723515" cy="635"/>
                    <wp:effectExtent l="0" t="0" r="0" b="12065"/>
                    <wp:wrapThrough wrapText="bothSides">
                      <wp:wrapPolygon>
                        <wp:start x="0" y="0"/>
                        <wp:lineTo x="0" y="0"/>
                        <wp:lineTo x="21454" y="0"/>
                        <wp:lineTo x="21454" y="0"/>
                        <wp:lineTo x="0" y="0"/>
                      </wp:wrapPolygon>
                    </wp:wrapThrough>
                    <wp:docPr id="562203130" name="Text Box 2"/>
                    <wp:cNvGraphicFramePr/>
                    <a:graphic xmlns:a="http://schemas.openxmlformats.org/drawingml/2006/main">
                      <a:graphicData uri="http://schemas.microsoft.com/office/word/2010/wordprocessingShape">
                        <wps:wsp>
                          <wps:cNvSpPr txBox="1"/>
                          <wps:spPr>
                            <a:xfrm>
                              <a:off x="0" y="0"/>
                              <a:ext cx="2723515" cy="635"/>
                            </a:xfrm>
                            <a:prstGeom prst="rect">
                              <a:avLst/>
                            </a:prstGeom>
                            <a:solidFill>
                              <a:prstClr val="white"/>
                            </a:solidFill>
                            <a:ln>
                              <a:noFill/>
                            </a:ln>
                          </wps:spPr>
                          <wps:txbx>
                            <w:txbxContent>
                              <w:p>
                                <w:pPr>
                                  <w:pStyle w:val="9"/>
                                  <w:rPr>
                                    <w:rFonts w:ascii="Times New Roman" w:hAnsi="Times New Roman" w:cs="Times New Roman"/>
                                  </w:rPr>
                                </w:pPr>
                                <w:r>
                                  <w:t xml:space="preserve">Figure </w:t>
                                </w:r>
                                <w:r>
                                  <w:fldChar w:fldCharType="begin"/>
                                </w:r>
                                <w:r>
                                  <w:instrText xml:space="preserve"> SEQ Figure \* ARABIC </w:instrText>
                                </w:r>
                                <w:r>
                                  <w:fldChar w:fldCharType="separate"/>
                                </w:r>
                                <w:r>
                                  <w:t>2</w:t>
                                </w:r>
                                <w:r>
                                  <w:fldChar w:fldCharType="end"/>
                                </w:r>
                                <w:r>
                                  <w:t xml:space="preserve">: Country specification. Source </w:t>
                                </w:r>
                                <w:sdt>
                                  <w:sdtPr>
                                    <w:id w:val="559678677"/>
                                  </w:sdtPr>
                                  <w:sdtContent>
                                    <w:r>
                                      <w:fldChar w:fldCharType="begin"/>
                                    </w:r>
                                    <w:r>
                                      <w:instrText xml:space="preserve"> CITATION Dan19 \l 2057 </w:instrText>
                                    </w:r>
                                    <w:r>
                                      <w:fldChar w:fldCharType="separate"/>
                                    </w:r>
                                    <w:r>
                                      <w:t>(Daniels, 2019)</w:t>
                                    </w:r>
                                    <w:r>
                                      <w:fldChar w:fldCharType="end"/>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2" o:spid="_x0000_s1026" o:spt="202" type="#_x0000_t202" style="position:absolute;left:0pt;margin-left:110.15pt;margin-top:372.4pt;height:0.05pt;width:214.45pt;mso-wrap-distance-left:9pt;mso-wrap-distance-right:9pt;z-index:251663360;mso-width-relative:page;mso-height-relative:page;" fillcolor="#FFFFFF" filled="t" stroked="f" coordsize="21600,21600" wrapcoords="0 0 0 0 21454 0 21454 0 0 0" o:gfxdata="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Y6jIn2gAAAAsBAAAPAAAAAAAAAAEAIAAAACIAAABkcnMvZG93bnJldi54&#10;bWxQSwECFAAUAAAACACHTuJArbB11DECAAB5BAAADgAAAAAAAAABACAAAAApAQAAZHJzL2Uyb0Rv&#10;Yy54bWxQSwUGAAAAAAYABgBZAQAAzAUAAAAA&#10;">
                    <v:fill on="t" focussize="0,0"/>
                    <v:stroke on="f"/>
                    <v:imagedata o:title=""/>
                    <o:lock v:ext="edit" aspectratio="f"/>
                    <v:textbox inset="0mm,0mm,0mm,0mm" style="mso-fit-shape-to-text:t;">
                      <w:txbxContent>
                        <w:p>
                          <w:pPr>
                            <w:pStyle w:val="9"/>
                            <w:rPr>
                              <w:rFonts w:ascii="Times New Roman" w:hAnsi="Times New Roman" w:cs="Times New Roman"/>
                            </w:rPr>
                          </w:pPr>
                          <w:r>
                            <w:t xml:space="preserve">Figure </w:t>
                          </w:r>
                          <w:r>
                            <w:fldChar w:fldCharType="begin"/>
                          </w:r>
                          <w:r>
                            <w:instrText xml:space="preserve"> SEQ Figure \* ARABIC </w:instrText>
                          </w:r>
                          <w:r>
                            <w:fldChar w:fldCharType="separate"/>
                          </w:r>
                          <w:r>
                            <w:t>2</w:t>
                          </w:r>
                          <w:r>
                            <w:fldChar w:fldCharType="end"/>
                          </w:r>
                          <w:r>
                            <w:t xml:space="preserve">: Country specification. Source </w:t>
                          </w:r>
                          <w:sdt>
                            <w:sdtPr>
                              <w:id w:val="559678677"/>
                            </w:sdtPr>
                            <w:sdtContent>
                              <w:r>
                                <w:fldChar w:fldCharType="begin"/>
                              </w:r>
                              <w:r>
                                <w:instrText xml:space="preserve"> CITATION Dan19 \l 2057 </w:instrText>
                              </w:r>
                              <w:r>
                                <w:fldChar w:fldCharType="separate"/>
                              </w:r>
                              <w:r>
                                <w:t>(Daniels, 2019)</w:t>
                              </w:r>
                              <w:r>
                                <w:fldChar w:fldCharType="end"/>
                              </w:r>
                            </w:sdtContent>
                          </w:sdt>
                        </w:p>
                      </w:txbxContent>
                    </v:textbox>
                    <w10:wrap type="through"/>
                  </v:shape>
                </w:pict>
              </mc:Fallback>
            </mc:AlternateContent>
          </w:r>
          <w:r>
            <w:rPr>
              <w:rFonts w:cs="Times New Roman"/>
              <w:szCs w:val="24"/>
            </w:rPr>
            <w:drawing>
              <wp:anchor distT="0" distB="0" distL="114300" distR="114300" simplePos="0" relativeHeight="251662336" behindDoc="0" locked="0" layoutInCell="1" allowOverlap="1">
                <wp:simplePos x="0" y="0"/>
                <wp:positionH relativeFrom="column">
                  <wp:posOffset>1398905</wp:posOffset>
                </wp:positionH>
                <wp:positionV relativeFrom="paragraph">
                  <wp:posOffset>2505075</wp:posOffset>
                </wp:positionV>
                <wp:extent cx="2723515" cy="2167255"/>
                <wp:effectExtent l="0" t="0" r="0" b="4445"/>
                <wp:wrapThrough wrapText="bothSides">
                  <wp:wrapPolygon>
                    <wp:start x="0" y="0"/>
                    <wp:lineTo x="0" y="21518"/>
                    <wp:lineTo x="21454" y="21518"/>
                    <wp:lineTo x="21454" y="0"/>
                    <wp:lineTo x="0" y="0"/>
                  </wp:wrapPolygon>
                </wp:wrapThrough>
                <wp:docPr id="651795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795580" name="Picture 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3515" cy="2167255"/>
                        </a:xfrm>
                        <a:prstGeom prst="rect">
                          <a:avLst/>
                        </a:prstGeom>
                      </pic:spPr>
                    </pic:pic>
                  </a:graphicData>
                </a:graphic>
              </wp:anchor>
            </w:drawing>
          </w:r>
          <w:r>
            <w:rPr>
              <w:rFonts w:ascii="Arial" w:hAnsi="Arial" w:cs="Arial"/>
              <w:sz w:val="22"/>
            </w:rPr>
            <w:t>In the world of global business planning, the attributes of both the home and foreign countries significantly influence the operations and strategic decisions of a multinational corporation. For Vodafone, its roots are in the United Kingdom, which has been the initial backdrop that has guided its growth and strategic direction. In contrast, the countries where Vodafone has extended its operations, known as host countries, offer unique circumstances that call for bespoke strategies. This section delves into the specific qualities of Vodafone's home country, the UK, and Germany as  host country, to investigate how these environments have directed Vodafone's approach to international business.</w:t>
          </w: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spacing w:line="360" w:lineRule="auto"/>
            <w:jc w:val="both"/>
            <w:rPr>
              <w:rFonts w:cs="Times New Roman"/>
              <w:szCs w:val="24"/>
            </w:rPr>
          </w:pPr>
        </w:p>
        <w:p>
          <w:pPr>
            <w:pStyle w:val="3"/>
            <w:rPr>
              <w:rFonts w:cs="Times New Roman"/>
              <w:color w:val="FF0000"/>
              <w:szCs w:val="24"/>
            </w:rPr>
          </w:pPr>
          <w:bookmarkStart w:id="7" w:name="_Toc142950665"/>
          <w:r>
            <w:t>3.1 Home Country</w:t>
          </w:r>
          <w:r>
            <w:rPr>
              <w:rFonts w:cs="Times New Roman"/>
              <w:szCs w:val="24"/>
            </w:rPr>
            <w:t xml:space="preserve"> </w:t>
          </w:r>
          <w:r>
            <w:rPr>
              <w:rFonts w:cs="Times New Roman"/>
              <w:color w:val="FF0000"/>
              <w:szCs w:val="24"/>
            </w:rPr>
            <w:t>(UK)</w:t>
          </w:r>
          <w:bookmarkEnd w:id="7"/>
        </w:p>
        <w:p>
          <w:pPr>
            <w:spacing w:line="480" w:lineRule="auto"/>
            <w:jc w:val="both"/>
            <w:rPr>
              <w:rFonts w:ascii="Arial" w:hAnsi="Arial" w:cs="Arial"/>
              <w:sz w:val="22"/>
              <w:szCs w:val="21"/>
              <w:lang w:eastAsia="ja-JP"/>
            </w:rPr>
          </w:pPr>
          <w:r>
            <w:rPr>
              <w:rFonts w:ascii="Arial" w:hAnsi="Arial" w:cs="Arial"/>
              <w:sz w:val="22"/>
              <w:szCs w:val="21"/>
              <w:lang w:eastAsia="ja-JP"/>
            </w:rPr>
            <w:t>Vodafone, a multinational telecommunications firm hailing from the UK, was launched in 1984. The robust economic, political, and cultural climate of the UK has played a substantial role in shaping Vodafone's international business strategy</w:t>
          </w:r>
          <w:sdt>
            <w:sdtPr>
              <w:rPr>
                <w:rFonts w:ascii="Arial" w:hAnsi="Arial" w:cs="Arial"/>
                <w:sz w:val="22"/>
                <w:szCs w:val="21"/>
                <w:lang w:eastAsia="ja-JP"/>
              </w:rPr>
              <w:id w:val="-222065104"/>
            </w:sdtPr>
            <w:sdtEndPr>
              <w:rPr>
                <w:rFonts w:ascii="Arial" w:hAnsi="Arial" w:cs="Arial"/>
                <w:sz w:val="22"/>
                <w:szCs w:val="21"/>
                <w:lang w:eastAsia="ja-JP"/>
              </w:rPr>
            </w:sdtEndPr>
            <w:sdtContent>
              <w:r>
                <w:rPr>
                  <w:rFonts w:ascii="Arial" w:hAnsi="Arial" w:cs="Arial"/>
                  <w:sz w:val="22"/>
                  <w:szCs w:val="21"/>
                  <w:lang w:eastAsia="ja-JP"/>
                </w:rPr>
                <w:fldChar w:fldCharType="begin"/>
              </w:r>
              <w:r>
                <w:rPr>
                  <w:rFonts w:ascii="Arial" w:hAnsi="Arial" w:cs="Arial"/>
                  <w:sz w:val="22"/>
                  <w:szCs w:val="21"/>
                  <w:lang w:eastAsia="ja-JP"/>
                </w:rPr>
                <w:instrText xml:space="preserve"> CITATION Vod23 \l 2057 </w:instrText>
              </w:r>
              <w:r>
                <w:rPr>
                  <w:rFonts w:ascii="Arial" w:hAnsi="Arial" w:cs="Arial"/>
                  <w:sz w:val="22"/>
                  <w:szCs w:val="21"/>
                  <w:lang w:eastAsia="ja-JP"/>
                </w:rPr>
                <w:fldChar w:fldCharType="separate"/>
              </w:r>
              <w:r>
                <w:rPr>
                  <w:rFonts w:ascii="Arial" w:hAnsi="Arial" w:cs="Arial"/>
                  <w:sz w:val="22"/>
                  <w:szCs w:val="21"/>
                  <w:lang w:eastAsia="ja-JP"/>
                </w:rPr>
                <w:t xml:space="preserve"> (Vodafone Group Plc, 2023)</w:t>
              </w:r>
              <w:r>
                <w:rPr>
                  <w:rFonts w:ascii="Arial" w:hAnsi="Arial" w:cs="Arial"/>
                  <w:sz w:val="22"/>
                  <w:szCs w:val="21"/>
                  <w:lang w:eastAsia="ja-JP"/>
                </w:rPr>
                <w:fldChar w:fldCharType="end"/>
              </w:r>
            </w:sdtContent>
          </w:sdt>
          <w:r>
            <w:rPr>
              <w:rFonts w:ascii="Arial" w:hAnsi="Arial" w:cs="Arial"/>
              <w:sz w:val="22"/>
              <w:szCs w:val="21"/>
              <w:lang w:eastAsia="ja-JP"/>
            </w:rPr>
            <w:t>.</w:t>
          </w:r>
        </w:p>
        <w:p>
          <w:pPr>
            <w:spacing w:line="480" w:lineRule="auto"/>
            <w:jc w:val="both"/>
            <w:rPr>
              <w:rFonts w:ascii="Arial" w:hAnsi="Arial" w:cs="Arial"/>
              <w:sz w:val="22"/>
              <w:szCs w:val="21"/>
              <w:lang w:eastAsia="ja-JP"/>
            </w:rPr>
          </w:pPr>
          <w:r>
            <w:rPr>
              <w:rFonts w:ascii="Arial" w:hAnsi="Arial" w:cs="Arial"/>
              <w:sz w:val="22"/>
              <w:szCs w:val="21"/>
              <w:lang w:eastAsia="ja-JP"/>
            </w:rPr>
            <w:t>Vodafone UK is a prominent telecommunications services provider and is a subsidiary of Vodafone Group Plc, which stands as the world's second-largest mobile phone company. As of July 2023, Vodafone is the third-largest mobile network operator in the United Kingdom, boasting over 18 million subscribers. This positions it after major competitors O2 and EE, and ahead of Three.</w:t>
          </w:r>
        </w:p>
        <w:p>
          <w:pPr>
            <w:spacing w:line="480" w:lineRule="auto"/>
            <w:jc w:val="both"/>
            <w:rPr>
              <w:rFonts w:ascii="Arial" w:hAnsi="Arial" w:cs="Arial"/>
              <w:sz w:val="22"/>
              <w:szCs w:val="21"/>
              <w:lang w:eastAsia="ja-JP"/>
            </w:rPr>
          </w:pPr>
          <w:r>
            <w:rPr>
              <w:rFonts w:ascii="Arial" w:hAnsi="Arial" w:cs="Arial"/>
              <w:sz w:val="22"/>
              <w:szCs w:val="21"/>
              <w:lang w:eastAsia="ja-JP"/>
            </w:rPr>
            <w:t>The company's roots are deeply embedded in the UK, with its registered office located in Vodafone House, The Connection, Newbury, Berkshire. Vodafone UK has made significant strides in the telecommunications sector, offering a wide range of services to cater to the diverse needs of its vast customer base. The company's commitment to innovation and customer satisfaction has solidified its reputation as a leading technology communications company, with a global customer base exceeding 625 million.</w:t>
          </w:r>
        </w:p>
        <w:p>
          <w:pPr>
            <w:spacing w:line="480" w:lineRule="auto"/>
            <w:jc w:val="both"/>
            <w:rPr>
              <w:rFonts w:ascii="Arial" w:hAnsi="Arial" w:cs="Arial"/>
              <w:sz w:val="22"/>
              <w:szCs w:val="21"/>
              <w:lang w:eastAsia="ja-JP"/>
            </w:rPr>
          </w:pPr>
          <w:r>
            <w:rPr>
              <w:rFonts w:ascii="Arial" w:hAnsi="Arial" w:cs="Arial"/>
              <w:sz w:val="22"/>
              <w:szCs w:val="21"/>
              <w:lang w:eastAsia="ja-JP"/>
            </w:rPr>
            <w:t>Vodafone UK's operations are not just limited to mobile services. The company has expanded its portfolio to include broadband services, catering to the ever-growing demand for high-speed internet connectivity in the digital age. With more than 660 thousand home broadband customers and an extensive retail presence with over 400 stores nationwide, Vodafone UK continues to be a dominant force in the telecommunications landscape.</w:t>
          </w:r>
        </w:p>
        <w:p>
          <w:pPr>
            <w:spacing w:line="480" w:lineRule="auto"/>
            <w:jc w:val="both"/>
            <w:rPr>
              <w:rFonts w:ascii="Arial" w:hAnsi="Arial" w:cs="Arial"/>
              <w:sz w:val="22"/>
              <w:szCs w:val="21"/>
              <w:lang w:eastAsia="ja-JP"/>
            </w:rPr>
          </w:pPr>
          <w:r>
            <w:rPr>
              <w:rFonts w:ascii="Arial" w:hAnsi="Arial" w:cs="Arial"/>
              <w:sz w:val="22"/>
              <w:szCs w:val="21"/>
              <w:lang w:eastAsia="ja-JP"/>
            </w:rPr>
            <w:t>The company's journey in the UK has been marked by a series of innovations, expansions, and strategic decisions, all aimed at enhancing the customer experience and ensuring that Vodafone remains at the forefront of the telecommunications revolution.</w:t>
          </w:r>
        </w:p>
        <w:p>
          <w:pPr>
            <w:spacing w:line="480" w:lineRule="auto"/>
            <w:jc w:val="both"/>
            <w:rPr>
              <w:rFonts w:ascii="Arial" w:hAnsi="Arial" w:cs="Arial"/>
              <w:sz w:val="22"/>
              <w:szCs w:val="21"/>
              <w:lang w:eastAsia="ja-JP"/>
            </w:rPr>
          </w:pPr>
        </w:p>
        <w:p>
          <w:pPr>
            <w:spacing w:line="480" w:lineRule="auto"/>
            <w:jc w:val="both"/>
            <w:rPr>
              <w:rFonts w:ascii="Arial" w:hAnsi="Arial" w:cs="Arial"/>
              <w:sz w:val="22"/>
              <w:szCs w:val="21"/>
              <w:lang w:eastAsia="ja-JP"/>
            </w:rPr>
          </w:pPr>
        </w:p>
        <w:p>
          <w:pPr>
            <w:pStyle w:val="3"/>
            <w:rPr>
              <w:rFonts w:cs="Times New Roman"/>
              <w:color w:val="FF0000"/>
              <w:szCs w:val="24"/>
            </w:rPr>
          </w:pPr>
          <w:bookmarkStart w:id="8" w:name="_Toc142950666"/>
          <w:r>
            <w:t>3.2 Host Country</w:t>
          </w:r>
          <w:r>
            <w:rPr>
              <w:rFonts w:cs="Times New Roman"/>
              <w:szCs w:val="24"/>
            </w:rPr>
            <w:t xml:space="preserve"> </w:t>
          </w:r>
          <w:r>
            <w:rPr>
              <w:rFonts w:cs="Times New Roman"/>
              <w:color w:val="FF0000"/>
              <w:szCs w:val="24"/>
            </w:rPr>
            <w:t>(Germany)</w:t>
          </w:r>
          <w:bookmarkEnd w:id="8"/>
        </w:p>
        <w:p>
          <w:pPr>
            <w:spacing w:line="360" w:lineRule="auto"/>
            <w:jc w:val="both"/>
            <w:rPr>
              <w:rFonts w:ascii="Arial" w:hAnsi="Arial" w:cs="Arial"/>
              <w:sz w:val="22"/>
              <w:szCs w:val="21"/>
              <w:lang w:eastAsia="ja-JP"/>
            </w:rPr>
          </w:pPr>
        </w:p>
        <w:p>
          <w:pPr>
            <w:spacing w:line="480" w:lineRule="auto"/>
            <w:jc w:val="both"/>
            <w:rPr>
              <w:rFonts w:ascii="Arial" w:hAnsi="Arial" w:cs="Arial"/>
              <w:sz w:val="22"/>
              <w:szCs w:val="21"/>
              <w:lang w:eastAsia="ja-JP"/>
            </w:rPr>
          </w:pPr>
          <w:r>
            <w:rPr>
              <w:rFonts w:ascii="Arial" w:hAnsi="Arial" w:cs="Arial"/>
              <w:sz w:val="22"/>
              <w:szCs w:val="21"/>
              <w:lang w:eastAsia="ja-JP"/>
            </w:rPr>
            <w:t>Vodafone GmbH, an offshoot of Vodafone Group plc, is a prominent mobile telecommunications operator in Germany, with its main office located in Düsseldorf. The company delivers a wide array of services, including mobile phone, LTE, 5G, cable internet, landline, cable TV, and IPTV services. As of the third quarter of 2021, Vodafone GmbH has a customer base of over 31 million mobile users in Germany, making it the third-largest provider of mobile phone services in the nation</w:t>
          </w:r>
          <w:sdt>
            <w:sdtPr>
              <w:rPr>
                <w:rFonts w:ascii="Arial" w:hAnsi="Arial" w:cs="Arial"/>
                <w:sz w:val="22"/>
                <w:szCs w:val="21"/>
                <w:lang w:eastAsia="ja-JP"/>
              </w:rPr>
              <w:id w:val="-481167738"/>
            </w:sdtPr>
            <w:sdtEndPr>
              <w:rPr>
                <w:rFonts w:ascii="Arial" w:hAnsi="Arial" w:cs="Arial"/>
                <w:sz w:val="22"/>
                <w:szCs w:val="21"/>
                <w:lang w:eastAsia="ja-JP"/>
              </w:rPr>
            </w:sdtEndPr>
            <w:sdtContent>
              <w:r>
                <w:rPr>
                  <w:rFonts w:ascii="Arial" w:hAnsi="Arial" w:cs="Arial"/>
                  <w:sz w:val="22"/>
                  <w:szCs w:val="21"/>
                  <w:lang w:eastAsia="ja-JP"/>
                </w:rPr>
                <w:fldChar w:fldCharType="begin"/>
              </w:r>
              <w:r>
                <w:rPr>
                  <w:rFonts w:ascii="Arial" w:hAnsi="Arial" w:cs="Arial"/>
                  <w:sz w:val="22"/>
                  <w:szCs w:val="21"/>
                  <w:lang w:eastAsia="ja-JP"/>
                </w:rPr>
                <w:instrText xml:space="preserve"> CITATION Kas22 \l 2057 </w:instrText>
              </w:r>
              <w:r>
                <w:rPr>
                  <w:rFonts w:ascii="Arial" w:hAnsi="Arial" w:cs="Arial"/>
                  <w:sz w:val="22"/>
                  <w:szCs w:val="21"/>
                  <w:lang w:eastAsia="ja-JP"/>
                </w:rPr>
                <w:fldChar w:fldCharType="separate"/>
              </w:r>
              <w:r>
                <w:rPr>
                  <w:rFonts w:ascii="Arial" w:hAnsi="Arial" w:cs="Arial"/>
                  <w:sz w:val="22"/>
                  <w:szCs w:val="21"/>
                  <w:lang w:eastAsia="ja-JP"/>
                </w:rPr>
                <w:t xml:space="preserve"> (Kasia Davies , 2022)</w:t>
              </w:r>
              <w:r>
                <w:rPr>
                  <w:rFonts w:ascii="Arial" w:hAnsi="Arial" w:cs="Arial"/>
                  <w:sz w:val="22"/>
                  <w:szCs w:val="21"/>
                  <w:lang w:eastAsia="ja-JP"/>
                </w:rPr>
                <w:fldChar w:fldCharType="end"/>
              </w:r>
            </w:sdtContent>
          </w:sdt>
          <w:r>
            <w:rPr>
              <w:rFonts w:ascii="Arial" w:hAnsi="Arial" w:cs="Arial"/>
              <w:sz w:val="22"/>
              <w:szCs w:val="21"/>
              <w:lang w:eastAsia="ja-JP"/>
            </w:rPr>
            <w:t>.</w:t>
          </w:r>
        </w:p>
        <w:p>
          <w:pPr>
            <w:spacing w:line="480" w:lineRule="auto"/>
            <w:jc w:val="both"/>
            <w:rPr>
              <w:rFonts w:ascii="Arial" w:hAnsi="Arial" w:cs="Arial"/>
              <w:sz w:val="22"/>
              <w:szCs w:val="21"/>
              <w:lang w:eastAsia="ja-JP"/>
            </w:rPr>
          </w:pPr>
          <w:r>
            <w:rPr>
              <w:rFonts w:ascii="Arial" w:hAnsi="Arial" w:cs="Arial"/>
              <w:sz w:val="22"/>
              <w:szCs w:val="21"/>
              <w:lang w:eastAsia="ja-JP"/>
            </w:rPr>
            <w:t>Vodafone Germany, a subsidiary of the Vodafone Group, is one of the leading integrated telecommunications companies in the country. It also holds the title of being the largest TV provider in the Republic. With a workforce of 13,500 employees, Vodafone Germany offers a comprehensive range of services, including internet, mobile, fixed network, and television, all from a single source. As a gigabit company, Vodafone is at the forefront of infrastructure expansion in Germany. The company boasts more than 47 million mobile card users, 6.9 million fixed-network customers, and a plethora of digital solutions. In the last financial year, Vodafone Deutschland's service revenues surpassed 10 billion euros, underscoring its significant market presence.</w:t>
          </w:r>
        </w:p>
        <w:p>
          <w:pPr>
            <w:spacing w:line="480" w:lineRule="auto"/>
            <w:jc w:val="both"/>
            <w:rPr>
              <w:rFonts w:ascii="Arial" w:hAnsi="Arial" w:cs="Arial"/>
              <w:sz w:val="22"/>
              <w:szCs w:val="21"/>
              <w:lang w:eastAsia="ja-JP"/>
            </w:rPr>
          </w:pPr>
          <w:r>
            <w:rPr>
              <w:rFonts w:ascii="Arial" w:hAnsi="Arial" w:cs="Arial"/>
              <w:sz w:val="22"/>
              <w:szCs w:val="21"/>
              <w:lang w:eastAsia="ja-JP"/>
            </w:rPr>
            <w:t>Vodafone's commitment to innovation is evident in its progressive 5G deployment strategy. The company began the deployment of its NB-IoT network in March 2018, a crucial component of 5G Massive Machine-Type Communication (mMTC). Within six months, Vodafone achieved a 90% deployment of this network. In May 2018, the company introduced the "5G Beam" technology across its existing network, utilizing 128T128R beamforming to enhance data rates and improve capacity. By October 2018, Vodafone Germany had set up its first dedicated 5G base station and showcased mobile holographic calling.</w:t>
          </w:r>
        </w:p>
        <w:p>
          <w:pPr>
            <w:spacing w:line="480" w:lineRule="auto"/>
            <w:jc w:val="both"/>
            <w:rPr>
              <w:rFonts w:ascii="Arial" w:hAnsi="Arial" w:cs="Arial"/>
              <w:sz w:val="22"/>
              <w:szCs w:val="21"/>
              <w:lang w:eastAsia="ja-JP"/>
            </w:rPr>
          </w:pPr>
          <w:r>
            <w:rPr>
              <w:rFonts w:ascii="Arial" w:hAnsi="Arial" w:cs="Arial"/>
              <w:sz w:val="22"/>
              <w:szCs w:val="21"/>
              <w:lang w:eastAsia="ja-JP"/>
            </w:rPr>
            <w:t>In June 2019, Vodafone Germany acquired a total of 130 MHz for the implementation of 5G services. This acquisition comprised 90 MHz in the 3.5 GHz band and 40 MHz in the 2.1 GHz band. Vodafone Germany officially launched its 5G network in July 2019 over the n78 (3500 MHz) band. Initial 5G services were rolled out in Birgland (Bavaria), Lohmar (North Rhine-Westphalia), Hattstedt (Nordfriesland), and major cities including Cologne, Dusseldorf, Hamburg, Dortmund, and Munich.</w:t>
          </w:r>
        </w:p>
        <w:p>
          <w:pPr>
            <w:pStyle w:val="2"/>
          </w:pPr>
          <w:bookmarkStart w:id="9" w:name="_Toc142950667"/>
          <w:r>
            <w:t>4. External Analysis</w:t>
          </w:r>
          <w:bookmarkEnd w:id="9"/>
        </w:p>
        <w:p>
          <w:pPr>
            <w:spacing w:line="480" w:lineRule="auto"/>
            <w:jc w:val="both"/>
            <w:rPr>
              <w:rFonts w:ascii="Arial" w:hAnsi="Arial" w:cs="Arial"/>
              <w:sz w:val="22"/>
              <w:szCs w:val="21"/>
            </w:rPr>
          </w:pPr>
          <w:r>
            <w:rPr>
              <w:rFonts w:ascii="Arial" w:hAnsi="Arial" w:cs="Arial"/>
              <w:sz w:val="22"/>
              <w:szCs w:val="21"/>
            </w:rPr>
            <w:t>PESTLE analysis, an acronym for Political, Economic, Social, Technological, Legal, and Environmental factors, is a strategic tool used to evaluate the macro-environmental factors that influence an organization's operations and performance. This analytical framework aids businesses in understanding the larger landscape they operate within, helping them adapt and strategize accordingly. Introduced by Harvard professor Francis Aguilar in 1967, originally as ETPS (Economic, Technical, Political, and Social), it was later rearranged into PEST and expanded to include Legal and Environmental factors, evolving into the PESTLE analysis we recognize today</w:t>
          </w:r>
          <w:sdt>
            <w:sdtPr>
              <w:rPr>
                <w:rFonts w:ascii="Arial" w:hAnsi="Arial" w:cs="Arial"/>
                <w:sz w:val="22"/>
                <w:szCs w:val="21"/>
              </w:rPr>
              <w:id w:val="2110854634"/>
            </w:sdtPr>
            <w:sdtEndPr>
              <w:rPr>
                <w:rFonts w:ascii="Arial" w:hAnsi="Arial" w:cs="Arial"/>
                <w:sz w:val="22"/>
                <w:szCs w:val="21"/>
              </w:rPr>
            </w:sdtEndPr>
            <w:sdtContent>
              <w:r>
                <w:rPr>
                  <w:rFonts w:ascii="Arial" w:hAnsi="Arial" w:cs="Arial"/>
                  <w:sz w:val="22"/>
                  <w:szCs w:val="21"/>
                </w:rPr>
                <w:fldChar w:fldCharType="begin"/>
              </w:r>
              <w:r>
                <w:rPr>
                  <w:rFonts w:ascii="Arial" w:hAnsi="Arial" w:cs="Arial"/>
                  <w:sz w:val="22"/>
                  <w:szCs w:val="21"/>
                </w:rPr>
                <w:instrText xml:space="preserve"> CITATION Buy21 \l 2057 </w:instrText>
              </w:r>
              <w:r>
                <w:rPr>
                  <w:rFonts w:ascii="Arial" w:hAnsi="Arial" w:cs="Arial"/>
                  <w:sz w:val="22"/>
                  <w:szCs w:val="21"/>
                </w:rPr>
                <w:fldChar w:fldCharType="separate"/>
              </w:r>
              <w:r>
                <w:rPr>
                  <w:rFonts w:ascii="Arial" w:hAnsi="Arial" w:cs="Arial"/>
                  <w:sz w:val="22"/>
                  <w:szCs w:val="21"/>
                </w:rPr>
                <w:t xml:space="preserve"> (Buye, 2021)</w:t>
              </w:r>
              <w:r>
                <w:rPr>
                  <w:rFonts w:ascii="Arial" w:hAnsi="Arial" w:cs="Arial"/>
                  <w:sz w:val="22"/>
                  <w:szCs w:val="21"/>
                </w:rPr>
                <w:fldChar w:fldCharType="end"/>
              </w:r>
            </w:sdtContent>
          </w:sdt>
          <w:r>
            <w:rPr>
              <w:rFonts w:ascii="Arial" w:hAnsi="Arial" w:cs="Arial"/>
              <w:sz w:val="22"/>
              <w:szCs w:val="21"/>
            </w:rPr>
            <w:t>.</w:t>
          </w:r>
        </w:p>
        <w:p>
          <w:pPr>
            <w:spacing w:line="480" w:lineRule="auto"/>
            <w:jc w:val="both"/>
            <w:rPr>
              <w:rFonts w:ascii="Arial" w:hAnsi="Arial" w:cs="Arial"/>
              <w:sz w:val="22"/>
              <w:szCs w:val="21"/>
            </w:rPr>
          </w:pPr>
          <w:r>
            <w:rPr>
              <w:rFonts w:ascii="Arial" w:hAnsi="Arial" w:cs="Arial"/>
              <w:sz w:val="22"/>
              <w:szCs w:val="21"/>
            </w:rPr>
            <w:t>In the following section, we will delve into a comprehensive PESTLE analysis for Vodafone's operations in two distinct markets: the UK and Germany. This will provide insights into the external factors impacting Vodafone's strategic decisions and performance in these regions.</w:t>
          </w:r>
        </w:p>
        <w:p>
          <w:pPr>
            <w:pStyle w:val="9"/>
            <w:keepNext/>
          </w:pPr>
          <w:r>
            <w:t xml:space="preserve">Table </w:t>
          </w:r>
          <w:r>
            <w:fldChar w:fldCharType="begin"/>
          </w:r>
          <w:r>
            <w:instrText xml:space="preserve"> SEQ Table \* ARABIC </w:instrText>
          </w:r>
          <w:r>
            <w:fldChar w:fldCharType="separate"/>
          </w:r>
          <w:r>
            <w:t>3</w:t>
          </w:r>
          <w:r>
            <w:fldChar w:fldCharType="end"/>
          </w:r>
          <w:r>
            <w:t>: PESTEL Analysis of Vodafon UK</w:t>
          </w:r>
        </w:p>
        <w:tbl>
          <w:tblPr>
            <w:tblStyle w:val="43"/>
            <w:tblpPr w:leftFromText="180" w:rightFromText="180" w:vertAnchor="text" w:horzAnchor="margin" w:tblpY="21"/>
            <w:tblW w:w="0" w:type="auto"/>
            <w:tblInd w:w="0" w:type="dxa"/>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Layout w:type="autofit"/>
            <w:tblCellMar>
              <w:top w:w="0" w:type="dxa"/>
              <w:left w:w="108" w:type="dxa"/>
              <w:bottom w:w="0" w:type="dxa"/>
              <w:right w:w="108" w:type="dxa"/>
            </w:tblCellMar>
          </w:tblPr>
          <w:tblGrid>
            <w:gridCol w:w="1838"/>
            <w:gridCol w:w="7178"/>
          </w:tblGrid>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tcBorders>
                  <w:top w:val="single" w:color="4F81BD" w:themeColor="accent1" w:sz="4" w:space="0"/>
                  <w:left w:val="single" w:color="4F81BD" w:themeColor="accent1" w:sz="4" w:space="0"/>
                  <w:bottom w:val="single" w:color="4F81BD" w:themeColor="accent1" w:sz="4" w:space="0"/>
                  <w:right w:val="nil"/>
                  <w:insideH w:val="single" w:sz="4" w:space="0"/>
                  <w:insideV w:val="nil"/>
                </w:tcBorders>
                <w:shd w:val="clear" w:color="auto" w:fill="4F81BD" w:themeFill="accent1"/>
              </w:tcPr>
              <w:p>
                <w:pPr>
                  <w:spacing w:after="0" w:line="240" w:lineRule="auto"/>
                  <w:rPr>
                    <w:b/>
                    <w:bCs/>
                    <w:color w:val="FFFFFF" w:themeColor="background1"/>
                    <w14:textFill>
                      <w14:solidFill>
                        <w14:schemeClr w14:val="bg1"/>
                      </w14:solidFill>
                    </w14:textFill>
                  </w:rPr>
                </w:pPr>
                <w:r>
                  <w:rPr>
                    <w:rFonts w:ascii="Segoe UI" w:hAnsi="Segoe UI" w:cs="Segoe UI"/>
                    <w:b/>
                    <w:bCs/>
                    <w:color w:val="FFFFFF" w:themeColor="background1"/>
                    <w:sz w:val="21"/>
                    <w:szCs w:val="21"/>
                    <w14:textFill>
                      <w14:solidFill>
                        <w14:schemeClr w14:val="bg1"/>
                      </w14:solidFill>
                    </w14:textFill>
                  </w:rPr>
                  <w:t>Factor</w:t>
                </w:r>
              </w:p>
            </w:tc>
            <w:tc>
              <w:tcPr>
                <w:tcW w:w="7178" w:type="dxa"/>
                <w:tcBorders>
                  <w:top w:val="single" w:color="4F81BD" w:themeColor="accent1" w:sz="4" w:space="0"/>
                  <w:bottom w:val="single" w:color="4F81BD" w:themeColor="accent1" w:sz="4" w:space="0"/>
                  <w:right w:val="single" w:color="4F81BD" w:themeColor="accent1" w:sz="4" w:space="0"/>
                  <w:insideH w:val="single" w:sz="4" w:space="0"/>
                  <w:insideV w:val="nil"/>
                </w:tcBorders>
                <w:shd w:val="clear" w:color="auto" w:fill="4F81BD" w:themeFill="accent1"/>
              </w:tcPr>
              <w:p>
                <w:pPr>
                  <w:spacing w:after="0" w:line="240" w:lineRule="auto"/>
                  <w:rPr>
                    <w:b/>
                    <w:bCs/>
                    <w:color w:val="FFFFFF" w:themeColor="background1"/>
                    <w14:textFill>
                      <w14:solidFill>
                        <w14:schemeClr w14:val="bg1"/>
                      </w14:solidFill>
                    </w14:textFill>
                  </w:rPr>
                </w:pPr>
                <w:r>
                  <w:rPr>
                    <w:rFonts w:ascii="Segoe UI" w:hAnsi="Segoe UI" w:cs="Segoe UI"/>
                    <w:b/>
                    <w:bCs/>
                    <w:color w:val="FFFFFF" w:themeColor="background1"/>
                    <w:sz w:val="21"/>
                    <w:szCs w:val="21"/>
                    <w14:textFill>
                      <w14:solidFill>
                        <w14:schemeClr w14:val="bg1"/>
                      </w14:solidFill>
                    </w14:textFill>
                  </w:rPr>
                  <w:t>Description</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shd w:val="clear" w:color="auto" w:fill="DBE5F1" w:themeFill="accent1" w:themeFillTint="33"/>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Political</w:t>
                </w:r>
              </w:p>
            </w:tc>
            <w:tc>
              <w:tcPr>
                <w:tcW w:w="7178" w:type="dxa"/>
                <w:shd w:val="clear" w:color="auto" w:fill="DBE5F1" w:themeFill="accent1" w:themeFillTint="33"/>
              </w:tcPr>
              <w:p>
                <w:pPr>
                  <w:pStyle w:val="25"/>
                  <w:numPr>
                    <w:ilvl w:val="0"/>
                    <w:numId w:val="1"/>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Stable political environment conducive for businesses. </w:t>
                </w:r>
              </w:p>
              <w:p>
                <w:pPr>
                  <w:pStyle w:val="25"/>
                  <w:numPr>
                    <w:ilvl w:val="0"/>
                    <w:numId w:val="1"/>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Brexit uncertainties impacting trade agreements and regulations. </w:t>
                </w:r>
              </w:p>
              <w:p>
                <w:pPr>
                  <w:pStyle w:val="25"/>
                  <w:numPr>
                    <w:ilvl w:val="0"/>
                    <w:numId w:val="1"/>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Potential changes in international relations affecting telecom agreements</w:t>
                </w:r>
                <w:sdt>
                  <w:sdtPr>
                    <w:rPr>
                      <w:rFonts w:ascii="Segoe UI" w:hAnsi="Segoe UI" w:cs="Segoe UI"/>
                      <w:color w:val="000000" w:themeColor="text1"/>
                      <w:sz w:val="21"/>
                      <w:szCs w:val="21"/>
                      <w14:textFill>
                        <w14:solidFill>
                          <w14:schemeClr w14:val="tx1"/>
                        </w14:solidFill>
                      </w14:textFill>
                    </w:rPr>
                    <w:id w:val="-721445724"/>
                  </w:sdtPr>
                  <w:sdtEndPr>
                    <w:rPr>
                      <w:rFonts w:ascii="Segoe UI" w:hAnsi="Segoe UI" w:cs="Segoe UI"/>
                      <w:color w:val="000000" w:themeColor="text1"/>
                      <w:sz w:val="21"/>
                      <w:szCs w:val="21"/>
                      <w14:textFill>
                        <w14:solidFill>
                          <w14:schemeClr w14:val="tx1"/>
                        </w14:solidFill>
                      </w14:textFill>
                    </w:rPr>
                  </w:sdtEndPr>
                  <w:sdtContent>
                    <w:r>
                      <w:rPr>
                        <w:rFonts w:ascii="Segoe UI" w:hAnsi="Segoe UI" w:cs="Segoe UI"/>
                        <w:color w:val="000000" w:themeColor="text1"/>
                        <w:sz w:val="21"/>
                        <w:szCs w:val="21"/>
                        <w14:textFill>
                          <w14:solidFill>
                            <w14:schemeClr w14:val="tx1"/>
                          </w14:solidFill>
                        </w14:textFill>
                      </w:rPr>
                      <w:fldChar w:fldCharType="begin"/>
                    </w:r>
                    <w:r>
                      <w:rPr>
                        <w:rFonts w:ascii="Segoe UI" w:hAnsi="Segoe UI" w:cs="Segoe UI"/>
                        <w:color w:val="000000" w:themeColor="text1"/>
                        <w:sz w:val="21"/>
                        <w:szCs w:val="21"/>
                        <w14:textFill>
                          <w14:solidFill>
                            <w14:schemeClr w14:val="tx1"/>
                          </w14:solidFill>
                        </w14:textFill>
                      </w:rPr>
                      <w:instrText xml:space="preserve"> CITATION Pau23 \l 2057 </w:instrText>
                    </w:r>
                    <w:r>
                      <w:rPr>
                        <w:rFonts w:ascii="Segoe UI" w:hAnsi="Segoe UI" w:cs="Segoe UI"/>
                        <w:color w:val="000000" w:themeColor="text1"/>
                        <w:sz w:val="21"/>
                        <w:szCs w:val="21"/>
                        <w14:textFill>
                          <w14:solidFill>
                            <w14:schemeClr w14:val="tx1"/>
                          </w14:solidFill>
                        </w14:textFill>
                      </w:rPr>
                      <w:fldChar w:fldCharType="separate"/>
                    </w:r>
                    <w:r>
                      <w:rPr>
                        <w:rFonts w:ascii="Segoe UI" w:hAnsi="Segoe UI" w:cs="Segoe UI"/>
                        <w:color w:val="000000" w:themeColor="text1"/>
                        <w:sz w:val="21"/>
                        <w:szCs w:val="21"/>
                        <w14:textFill>
                          <w14:solidFill>
                            <w14:schemeClr w14:val="tx1"/>
                          </w14:solidFill>
                        </w14:textFill>
                      </w:rPr>
                      <w:t xml:space="preserve"> (Sandle, 2023)</w:t>
                    </w:r>
                    <w:r>
                      <w:rPr>
                        <w:rFonts w:ascii="Segoe UI" w:hAnsi="Segoe UI" w:cs="Segoe UI"/>
                        <w:color w:val="000000" w:themeColor="text1"/>
                        <w:sz w:val="21"/>
                        <w:szCs w:val="21"/>
                        <w14:textFill>
                          <w14:solidFill>
                            <w14:schemeClr w14:val="tx1"/>
                          </w14:solidFill>
                        </w14:textFill>
                      </w:rPr>
                      <w:fldChar w:fldCharType="end"/>
                    </w:r>
                  </w:sdtContent>
                </w:sdt>
                <w:r>
                  <w:rPr>
                    <w:rFonts w:ascii="Segoe UI" w:hAnsi="Segoe UI" w:cs="Segoe UI"/>
                    <w:color w:val="000000" w:themeColor="text1"/>
                    <w:sz w:val="21"/>
                    <w:szCs w:val="21"/>
                    <w14:textFill>
                      <w14:solidFill>
                        <w14:schemeClr w14:val="tx1"/>
                      </w14:solidFill>
                    </w14:textFill>
                  </w:rPr>
                  <w:t>.</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Economic</w:t>
                </w:r>
              </w:p>
            </w:tc>
            <w:tc>
              <w:tcPr>
                <w:tcW w:w="7178" w:type="dxa"/>
              </w:tcPr>
              <w:p>
                <w:pPr>
                  <w:pStyle w:val="25"/>
                  <w:numPr>
                    <w:ilvl w:val="0"/>
                    <w:numId w:val="2"/>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Strong economy with significant consumer purchasing power. </w:t>
                </w:r>
              </w:p>
              <w:p>
                <w:pPr>
                  <w:pStyle w:val="25"/>
                  <w:numPr>
                    <w:ilvl w:val="0"/>
                    <w:numId w:val="2"/>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Brexit-related economic fluctuations affecting currency valuation and investment climate. </w:t>
                </w:r>
              </w:p>
              <w:p>
                <w:pPr>
                  <w:pStyle w:val="25"/>
                  <w:numPr>
                    <w:ilvl w:val="0"/>
                    <w:numId w:val="2"/>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Competitive telecom market influencing pricing strategies</w:t>
                </w:r>
                <w:sdt>
                  <w:sdtPr>
                    <w:rPr>
                      <w:rFonts w:ascii="Segoe UI" w:hAnsi="Segoe UI" w:cs="Segoe UI"/>
                      <w:color w:val="000000" w:themeColor="text1"/>
                      <w:sz w:val="21"/>
                      <w:szCs w:val="21"/>
                      <w14:textFill>
                        <w14:solidFill>
                          <w14:schemeClr w14:val="tx1"/>
                        </w14:solidFill>
                      </w14:textFill>
                    </w:rPr>
                    <w:id w:val="1496153301"/>
                  </w:sdtPr>
                  <w:sdtEndPr>
                    <w:rPr>
                      <w:rFonts w:ascii="Segoe UI" w:hAnsi="Segoe UI" w:cs="Segoe UI"/>
                      <w:color w:val="000000" w:themeColor="text1"/>
                      <w:sz w:val="21"/>
                      <w:szCs w:val="21"/>
                      <w14:textFill>
                        <w14:solidFill>
                          <w14:schemeClr w14:val="tx1"/>
                        </w14:solidFill>
                      </w14:textFill>
                    </w:rPr>
                  </w:sdtEndPr>
                  <w:sdtContent>
                    <w:r>
                      <w:rPr>
                        <w:rFonts w:ascii="Segoe UI" w:hAnsi="Segoe UI" w:cs="Segoe UI"/>
                        <w:color w:val="000000" w:themeColor="text1"/>
                        <w:sz w:val="21"/>
                        <w:szCs w:val="21"/>
                        <w14:textFill>
                          <w14:solidFill>
                            <w14:schemeClr w14:val="tx1"/>
                          </w14:solidFill>
                        </w14:textFill>
                      </w:rPr>
                      <w:fldChar w:fldCharType="begin"/>
                    </w:r>
                    <w:r>
                      <w:rPr>
                        <w:rFonts w:ascii="Segoe UI" w:hAnsi="Segoe UI" w:cs="Segoe UI"/>
                        <w:color w:val="000000" w:themeColor="text1"/>
                        <w:sz w:val="21"/>
                        <w:szCs w:val="21"/>
                        <w14:textFill>
                          <w14:solidFill>
                            <w14:schemeClr w14:val="tx1"/>
                          </w14:solidFill>
                        </w14:textFill>
                      </w:rPr>
                      <w:instrText xml:space="preserve"> CITATION Mar221 \l 2057 </w:instrText>
                    </w:r>
                    <w:r>
                      <w:rPr>
                        <w:rFonts w:ascii="Segoe UI" w:hAnsi="Segoe UI" w:cs="Segoe UI"/>
                        <w:color w:val="000000" w:themeColor="text1"/>
                        <w:sz w:val="21"/>
                        <w:szCs w:val="21"/>
                        <w14:textFill>
                          <w14:solidFill>
                            <w14:schemeClr w14:val="tx1"/>
                          </w14:solidFill>
                        </w14:textFill>
                      </w:rPr>
                      <w:fldChar w:fldCharType="separate"/>
                    </w:r>
                    <w:r>
                      <w:rPr>
                        <w:rFonts w:ascii="Segoe UI" w:hAnsi="Segoe UI" w:cs="Segoe UI"/>
                        <w:color w:val="000000" w:themeColor="text1"/>
                        <w:sz w:val="21"/>
                        <w:szCs w:val="21"/>
                        <w14:textFill>
                          <w14:solidFill>
                            <w14:schemeClr w14:val="tx1"/>
                          </w14:solidFill>
                        </w14:textFill>
                      </w:rPr>
                      <w:t xml:space="preserve"> (Jackson, 2022)</w:t>
                    </w:r>
                    <w:r>
                      <w:rPr>
                        <w:rFonts w:ascii="Segoe UI" w:hAnsi="Segoe UI" w:cs="Segoe UI"/>
                        <w:color w:val="000000" w:themeColor="text1"/>
                        <w:sz w:val="21"/>
                        <w:szCs w:val="21"/>
                        <w14:textFill>
                          <w14:solidFill>
                            <w14:schemeClr w14:val="tx1"/>
                          </w14:solidFill>
                        </w14:textFill>
                      </w:rPr>
                      <w:fldChar w:fldCharType="end"/>
                    </w:r>
                  </w:sdtContent>
                </w:sdt>
                <w:r>
                  <w:rPr>
                    <w:rFonts w:ascii="Segoe UI" w:hAnsi="Segoe UI" w:cs="Segoe UI"/>
                    <w:color w:val="000000" w:themeColor="text1"/>
                    <w:sz w:val="21"/>
                    <w:szCs w:val="21"/>
                    <w14:textFill>
                      <w14:solidFill>
                        <w14:schemeClr w14:val="tx1"/>
                      </w14:solidFill>
                    </w14:textFill>
                  </w:rPr>
                  <w:t>.</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shd w:val="clear" w:color="auto" w:fill="DBE5F1" w:themeFill="accent1" w:themeFillTint="33"/>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Social</w:t>
                </w:r>
              </w:p>
            </w:tc>
            <w:tc>
              <w:tcPr>
                <w:tcW w:w="7178" w:type="dxa"/>
                <w:shd w:val="clear" w:color="auto" w:fill="DBE5F1" w:themeFill="accent1" w:themeFillTint="33"/>
              </w:tcPr>
              <w:p>
                <w:pPr>
                  <w:pStyle w:val="25"/>
                  <w:numPr>
                    <w:ilvl w:val="0"/>
                    <w:numId w:val="3"/>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Diverse and multicultural population affecting product offerings. </w:t>
                </w:r>
              </w:p>
              <w:p>
                <w:pPr>
                  <w:pStyle w:val="25"/>
                  <w:numPr>
                    <w:ilvl w:val="0"/>
                    <w:numId w:val="3"/>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High rate of smartphone and internet usage among all age groups. </w:t>
                </w:r>
              </w:p>
              <w:p>
                <w:pPr>
                  <w:pStyle w:val="25"/>
                  <w:numPr>
                    <w:ilvl w:val="0"/>
                    <w:numId w:val="3"/>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Growing demand for high-speed and reliable connectivity.</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Technological</w:t>
                </w:r>
              </w:p>
            </w:tc>
            <w:tc>
              <w:tcPr>
                <w:tcW w:w="7178" w:type="dxa"/>
              </w:tcPr>
              <w:p>
                <w:pPr>
                  <w:pStyle w:val="25"/>
                  <w:numPr>
                    <w:ilvl w:val="0"/>
                    <w:numId w:val="4"/>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UK at the forefront of 5G technology adoption. </w:t>
                </w:r>
              </w:p>
              <w:p>
                <w:pPr>
                  <w:pStyle w:val="25"/>
                  <w:numPr>
                    <w:ilvl w:val="0"/>
                    <w:numId w:val="4"/>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Rapid technological advancements offering opportunities for innovative services. </w:t>
                </w:r>
              </w:p>
              <w:p>
                <w:pPr>
                  <w:pStyle w:val="25"/>
                  <w:numPr>
                    <w:ilvl w:val="0"/>
                    <w:numId w:val="4"/>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Increasing demand for IoT and smart solutions</w:t>
                </w:r>
                <w:sdt>
                  <w:sdtPr>
                    <w:rPr>
                      <w:rFonts w:ascii="Segoe UI" w:hAnsi="Segoe UI" w:cs="Segoe UI"/>
                      <w:color w:val="000000" w:themeColor="text1"/>
                      <w:sz w:val="21"/>
                      <w:szCs w:val="21"/>
                      <w14:textFill>
                        <w14:solidFill>
                          <w14:schemeClr w14:val="tx1"/>
                        </w14:solidFill>
                      </w14:textFill>
                    </w:rPr>
                    <w:id w:val="1490826701"/>
                  </w:sdtPr>
                  <w:sdtEndPr>
                    <w:rPr>
                      <w:rFonts w:ascii="Segoe UI" w:hAnsi="Segoe UI" w:cs="Segoe UI"/>
                      <w:color w:val="000000" w:themeColor="text1"/>
                      <w:sz w:val="21"/>
                      <w:szCs w:val="21"/>
                      <w14:textFill>
                        <w14:solidFill>
                          <w14:schemeClr w14:val="tx1"/>
                        </w14:solidFill>
                      </w14:textFill>
                    </w:rPr>
                  </w:sdtEndPr>
                  <w:sdtContent>
                    <w:r>
                      <w:rPr>
                        <w:rFonts w:ascii="Segoe UI" w:hAnsi="Segoe UI" w:cs="Segoe UI"/>
                        <w:color w:val="000000" w:themeColor="text1"/>
                        <w:sz w:val="21"/>
                        <w:szCs w:val="21"/>
                        <w14:textFill>
                          <w14:solidFill>
                            <w14:schemeClr w14:val="tx1"/>
                          </w14:solidFill>
                        </w14:textFill>
                      </w:rPr>
                      <w:fldChar w:fldCharType="begin"/>
                    </w:r>
                    <w:r>
                      <w:rPr>
                        <w:rFonts w:ascii="Segoe UI" w:hAnsi="Segoe UI" w:cs="Segoe UI"/>
                        <w:color w:val="000000" w:themeColor="text1"/>
                        <w:sz w:val="21"/>
                        <w:szCs w:val="21"/>
                        <w14:textFill>
                          <w14:solidFill>
                            <w14:schemeClr w14:val="tx1"/>
                          </w14:solidFill>
                        </w14:textFill>
                      </w:rPr>
                      <w:instrText xml:space="preserve"> CITATION San19 \l 2057 </w:instrText>
                    </w:r>
                    <w:r>
                      <w:rPr>
                        <w:rFonts w:ascii="Segoe UI" w:hAnsi="Segoe UI" w:cs="Segoe UI"/>
                        <w:color w:val="000000" w:themeColor="text1"/>
                        <w:sz w:val="21"/>
                        <w:szCs w:val="21"/>
                        <w14:textFill>
                          <w14:solidFill>
                            <w14:schemeClr w14:val="tx1"/>
                          </w14:solidFill>
                        </w14:textFill>
                      </w:rPr>
                      <w:fldChar w:fldCharType="separate"/>
                    </w:r>
                    <w:r>
                      <w:rPr>
                        <w:rFonts w:ascii="Segoe UI" w:hAnsi="Segoe UI" w:cs="Segoe UI"/>
                        <w:color w:val="000000" w:themeColor="text1"/>
                        <w:sz w:val="21"/>
                        <w:szCs w:val="21"/>
                        <w14:textFill>
                          <w14:solidFill>
                            <w14:schemeClr w14:val="tx1"/>
                          </w14:solidFill>
                        </w14:textFill>
                      </w:rPr>
                      <w:t xml:space="preserve"> (Paul, 2019)</w:t>
                    </w:r>
                    <w:r>
                      <w:rPr>
                        <w:rFonts w:ascii="Segoe UI" w:hAnsi="Segoe UI" w:cs="Segoe UI"/>
                        <w:color w:val="000000" w:themeColor="text1"/>
                        <w:sz w:val="21"/>
                        <w:szCs w:val="21"/>
                        <w14:textFill>
                          <w14:solidFill>
                            <w14:schemeClr w14:val="tx1"/>
                          </w14:solidFill>
                        </w14:textFill>
                      </w:rPr>
                      <w:fldChar w:fldCharType="end"/>
                    </w:r>
                  </w:sdtContent>
                </w:sdt>
                <w:r>
                  <w:rPr>
                    <w:rFonts w:ascii="Segoe UI" w:hAnsi="Segoe UI" w:cs="Segoe UI"/>
                    <w:color w:val="000000" w:themeColor="text1"/>
                    <w:sz w:val="21"/>
                    <w:szCs w:val="21"/>
                    <w14:textFill>
                      <w14:solidFill>
                        <w14:schemeClr w14:val="tx1"/>
                      </w14:solidFill>
                    </w14:textFill>
                  </w:rPr>
                  <w:t>.</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shd w:val="clear" w:color="auto" w:fill="DBE5F1" w:themeFill="accent1" w:themeFillTint="33"/>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Environmental</w:t>
                </w:r>
              </w:p>
            </w:tc>
            <w:tc>
              <w:tcPr>
                <w:tcW w:w="7178" w:type="dxa"/>
                <w:shd w:val="clear" w:color="auto" w:fill="DBE5F1" w:themeFill="accent1" w:themeFillTint="33"/>
              </w:tcPr>
              <w:p>
                <w:pPr>
                  <w:pStyle w:val="25"/>
                  <w:numPr>
                    <w:ilvl w:val="0"/>
                    <w:numId w:val="5"/>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Strong governmental push for green and sustainable initiatives. </w:t>
                </w:r>
              </w:p>
              <w:p>
                <w:pPr>
                  <w:pStyle w:val="25"/>
                  <w:numPr>
                    <w:ilvl w:val="0"/>
                    <w:numId w:val="5"/>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Emphasis on reducing carbon footprint in operations. </w:t>
                </w:r>
              </w:p>
              <w:p>
                <w:pPr>
                  <w:pStyle w:val="25"/>
                  <w:numPr>
                    <w:ilvl w:val="0"/>
                    <w:numId w:val="5"/>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Growing consumer demand for eco-friendly products and services</w:t>
                </w:r>
                <w:sdt>
                  <w:sdtPr>
                    <w:rPr>
                      <w:rFonts w:ascii="Segoe UI" w:hAnsi="Segoe UI" w:cs="Segoe UI"/>
                      <w:color w:val="000000" w:themeColor="text1"/>
                      <w:sz w:val="21"/>
                      <w:szCs w:val="21"/>
                      <w14:textFill>
                        <w14:solidFill>
                          <w14:schemeClr w14:val="tx1"/>
                        </w14:solidFill>
                      </w14:textFill>
                    </w:rPr>
                    <w:id w:val="1957519179"/>
                  </w:sdtPr>
                  <w:sdtEndPr>
                    <w:rPr>
                      <w:rFonts w:ascii="Segoe UI" w:hAnsi="Segoe UI" w:cs="Segoe UI"/>
                      <w:color w:val="000000" w:themeColor="text1"/>
                      <w:sz w:val="21"/>
                      <w:szCs w:val="21"/>
                      <w14:textFill>
                        <w14:solidFill>
                          <w14:schemeClr w14:val="tx1"/>
                        </w14:solidFill>
                      </w14:textFill>
                    </w:rPr>
                  </w:sdtEndPr>
                  <w:sdtContent>
                    <w:r>
                      <w:rPr>
                        <w:rFonts w:ascii="Segoe UI" w:hAnsi="Segoe UI" w:cs="Segoe UI"/>
                        <w:color w:val="000000" w:themeColor="text1"/>
                        <w:sz w:val="21"/>
                        <w:szCs w:val="21"/>
                        <w14:textFill>
                          <w14:solidFill>
                            <w14:schemeClr w14:val="tx1"/>
                          </w14:solidFill>
                        </w14:textFill>
                      </w:rPr>
                      <w:fldChar w:fldCharType="begin"/>
                    </w:r>
                    <w:r>
                      <w:rPr>
                        <w:rFonts w:ascii="Segoe UI" w:hAnsi="Segoe UI" w:cs="Segoe UI"/>
                        <w:color w:val="000000" w:themeColor="text1"/>
                        <w:sz w:val="21"/>
                        <w:szCs w:val="21"/>
                        <w14:textFill>
                          <w14:solidFill>
                            <w14:schemeClr w14:val="tx1"/>
                          </w14:solidFill>
                        </w14:textFill>
                      </w:rPr>
                      <w:instrText xml:space="preserve"> CITATION cel14 \l 2057 </w:instrText>
                    </w:r>
                    <w:r>
                      <w:rPr>
                        <w:rFonts w:ascii="Segoe UI" w:hAnsi="Segoe UI" w:cs="Segoe UI"/>
                        <w:color w:val="000000" w:themeColor="text1"/>
                        <w:sz w:val="21"/>
                        <w:szCs w:val="21"/>
                        <w14:textFill>
                          <w14:solidFill>
                            <w14:schemeClr w14:val="tx1"/>
                          </w14:solidFill>
                        </w14:textFill>
                      </w:rPr>
                      <w:fldChar w:fldCharType="separate"/>
                    </w:r>
                    <w:r>
                      <w:rPr>
                        <w:rFonts w:ascii="Segoe UI" w:hAnsi="Segoe UI" w:cs="Segoe UI"/>
                        <w:color w:val="000000" w:themeColor="text1"/>
                        <w:sz w:val="21"/>
                        <w:szCs w:val="21"/>
                        <w14:textFill>
                          <w14:solidFill>
                            <w14:schemeClr w14:val="tx1"/>
                          </w14:solidFill>
                        </w14:textFill>
                      </w:rPr>
                      <w:t xml:space="preserve"> (celso_gomes, 2014)</w:t>
                    </w:r>
                    <w:r>
                      <w:rPr>
                        <w:rFonts w:ascii="Segoe UI" w:hAnsi="Segoe UI" w:cs="Segoe UI"/>
                        <w:color w:val="000000" w:themeColor="text1"/>
                        <w:sz w:val="21"/>
                        <w:szCs w:val="21"/>
                        <w14:textFill>
                          <w14:solidFill>
                            <w14:schemeClr w14:val="tx1"/>
                          </w14:solidFill>
                        </w14:textFill>
                      </w:rPr>
                      <w:fldChar w:fldCharType="end"/>
                    </w:r>
                  </w:sdtContent>
                </w:sdt>
                <w:r>
                  <w:rPr>
                    <w:rFonts w:ascii="Segoe UI" w:hAnsi="Segoe UI" w:cs="Segoe UI"/>
                    <w:color w:val="000000" w:themeColor="text1"/>
                    <w:sz w:val="21"/>
                    <w:szCs w:val="21"/>
                    <w14:textFill>
                      <w14:solidFill>
                        <w14:schemeClr w14:val="tx1"/>
                      </w14:solidFill>
                    </w14:textFill>
                  </w:rPr>
                  <w:t>.</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Legal</w:t>
                </w:r>
              </w:p>
            </w:tc>
            <w:tc>
              <w:tcPr>
                <w:tcW w:w="7178" w:type="dxa"/>
              </w:tcPr>
              <w:p>
                <w:pPr>
                  <w:pStyle w:val="25"/>
                  <w:numPr>
                    <w:ilvl w:val="0"/>
                    <w:numId w:val="6"/>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Stringent regulations set by Ofcom for telecom operators. </w:t>
                </w:r>
              </w:p>
              <w:p>
                <w:pPr>
                  <w:pStyle w:val="25"/>
                  <w:numPr>
                    <w:ilvl w:val="0"/>
                    <w:numId w:val="6"/>
                  </w:numPr>
                  <w:spacing w:after="0" w:line="240" w:lineRule="auto"/>
                  <w:rPr>
                    <w:rFonts w:ascii="Segoe UI" w:hAnsi="Segoe UI" w:cs="Segoe UI"/>
                    <w:color w:val="000000" w:themeColor="text1"/>
                    <w:sz w:val="21"/>
                    <w:szCs w:val="2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Emphasis on data protection and privacy (GDPR compliance). </w:t>
                </w:r>
              </w:p>
              <w:p>
                <w:pPr>
                  <w:pStyle w:val="25"/>
                  <w:numPr>
                    <w:ilvl w:val="0"/>
                    <w:numId w:val="6"/>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Consumer rights and fair usage policies influencing service terms.</w:t>
                </w:r>
              </w:p>
            </w:tc>
          </w:tr>
        </w:tbl>
        <w:p/>
        <w:p>
          <w:pPr>
            <w:rPr>
              <w:rFonts w:ascii="Arial" w:hAnsi="Arial" w:cs="Arial"/>
              <w:i/>
              <w:iCs/>
            </w:rPr>
          </w:pPr>
        </w:p>
        <w:p/>
        <w:p>
          <w:pPr>
            <w:pStyle w:val="9"/>
            <w:keepNext/>
          </w:pPr>
          <w:r>
            <w:t xml:space="preserve">Table </w:t>
          </w:r>
          <w:r>
            <w:fldChar w:fldCharType="begin"/>
          </w:r>
          <w:r>
            <w:instrText xml:space="preserve"> SEQ Table \* ARABIC </w:instrText>
          </w:r>
          <w:r>
            <w:fldChar w:fldCharType="separate"/>
          </w:r>
          <w:r>
            <w:t>4</w:t>
          </w:r>
          <w:r>
            <w:fldChar w:fldCharType="end"/>
          </w:r>
          <w:r>
            <w:t>: PESTEL Analysis Of Vodafon, Germany</w:t>
          </w:r>
        </w:p>
        <w:tbl>
          <w:tblPr>
            <w:tblStyle w:val="43"/>
            <w:tblpPr w:leftFromText="180" w:rightFromText="180" w:vertAnchor="text" w:horzAnchor="margin" w:tblpY="-55"/>
            <w:tblW w:w="0" w:type="auto"/>
            <w:tblInd w:w="0" w:type="dxa"/>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Layout w:type="autofit"/>
            <w:tblCellMar>
              <w:top w:w="0" w:type="dxa"/>
              <w:left w:w="108" w:type="dxa"/>
              <w:bottom w:w="0" w:type="dxa"/>
              <w:right w:w="108" w:type="dxa"/>
            </w:tblCellMar>
          </w:tblPr>
          <w:tblGrid>
            <w:gridCol w:w="1838"/>
            <w:gridCol w:w="7178"/>
          </w:tblGrid>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tcBorders>
                  <w:top w:val="single" w:color="4F81BD" w:themeColor="accent1" w:sz="4" w:space="0"/>
                  <w:left w:val="single" w:color="4F81BD" w:themeColor="accent1" w:sz="4" w:space="0"/>
                  <w:bottom w:val="single" w:color="4F81BD" w:themeColor="accent1" w:sz="4" w:space="0"/>
                  <w:right w:val="nil"/>
                  <w:insideH w:val="single" w:sz="4" w:space="0"/>
                  <w:insideV w:val="nil"/>
                </w:tcBorders>
                <w:shd w:val="clear" w:color="auto" w:fill="4F81BD" w:themeFill="accent1"/>
              </w:tcPr>
              <w:p>
                <w:pPr>
                  <w:spacing w:after="0" w:line="240" w:lineRule="auto"/>
                  <w:rPr>
                    <w:b/>
                    <w:bCs/>
                    <w:color w:val="FFFFFF" w:themeColor="background1"/>
                    <w14:textFill>
                      <w14:solidFill>
                        <w14:schemeClr w14:val="bg1"/>
                      </w14:solidFill>
                    </w14:textFill>
                  </w:rPr>
                </w:pPr>
                <w:r>
                  <w:rPr>
                    <w:rFonts w:ascii="Segoe UI" w:hAnsi="Segoe UI" w:cs="Segoe UI"/>
                    <w:b/>
                    <w:bCs/>
                    <w:color w:val="FFFFFF" w:themeColor="background1"/>
                    <w:sz w:val="21"/>
                    <w:szCs w:val="21"/>
                    <w14:textFill>
                      <w14:solidFill>
                        <w14:schemeClr w14:val="bg1"/>
                      </w14:solidFill>
                    </w14:textFill>
                  </w:rPr>
                  <w:t>Factor</w:t>
                </w:r>
              </w:p>
            </w:tc>
            <w:tc>
              <w:tcPr>
                <w:tcW w:w="7178" w:type="dxa"/>
                <w:tcBorders>
                  <w:top w:val="single" w:color="4F81BD" w:themeColor="accent1" w:sz="4" w:space="0"/>
                  <w:bottom w:val="single" w:color="4F81BD" w:themeColor="accent1" w:sz="4" w:space="0"/>
                  <w:right w:val="single" w:color="4F81BD" w:themeColor="accent1" w:sz="4" w:space="0"/>
                  <w:insideH w:val="single" w:sz="4" w:space="0"/>
                  <w:insideV w:val="nil"/>
                </w:tcBorders>
                <w:shd w:val="clear" w:color="auto" w:fill="4F81BD" w:themeFill="accent1"/>
              </w:tcPr>
              <w:p>
                <w:pPr>
                  <w:spacing w:after="0" w:line="240" w:lineRule="auto"/>
                  <w:rPr>
                    <w:b/>
                    <w:bCs/>
                    <w:color w:val="FFFFFF" w:themeColor="background1"/>
                    <w14:textFill>
                      <w14:solidFill>
                        <w14:schemeClr w14:val="bg1"/>
                      </w14:solidFill>
                    </w14:textFill>
                  </w:rPr>
                </w:pPr>
                <w:r>
                  <w:rPr>
                    <w:rFonts w:ascii="Segoe UI" w:hAnsi="Segoe UI" w:cs="Segoe UI"/>
                    <w:b/>
                    <w:bCs/>
                    <w:color w:val="FFFFFF" w:themeColor="background1"/>
                    <w:sz w:val="21"/>
                    <w:szCs w:val="21"/>
                    <w14:textFill>
                      <w14:solidFill>
                        <w14:schemeClr w14:val="bg1"/>
                      </w14:solidFill>
                    </w14:textFill>
                  </w:rPr>
                  <w:t>Description</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shd w:val="clear" w:color="auto" w:fill="DBE5F1" w:themeFill="accent1" w:themeFillTint="33"/>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Political</w:t>
                </w:r>
              </w:p>
            </w:tc>
            <w:tc>
              <w:tcPr>
                <w:tcW w:w="7178" w:type="dxa"/>
                <w:shd w:val="clear" w:color="auto" w:fill="DBE5F1" w:themeFill="accent1" w:themeFillTint="33"/>
              </w:tcPr>
              <w:p>
                <w:pPr>
                  <w:pStyle w:val="25"/>
                  <w:numPr>
                    <w:ilvl w:val="0"/>
                    <w:numId w:val="7"/>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Stable political environment favorable for international businesses. </w:t>
                </w:r>
              </w:p>
              <w:p>
                <w:pPr>
                  <w:pStyle w:val="25"/>
                  <w:numPr>
                    <w:ilvl w:val="0"/>
                    <w:numId w:val="7"/>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Germany's EU position providing trade and regulatory advantages. </w:t>
                </w:r>
              </w:p>
              <w:p>
                <w:pPr>
                  <w:pStyle w:val="25"/>
                  <w:numPr>
                    <w:ilvl w:val="0"/>
                    <w:numId w:val="7"/>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Consistent policies promoting digitalization and tech growth</w:t>
                </w:r>
                <w:sdt>
                  <w:sdtPr>
                    <w:rPr>
                      <w:rFonts w:ascii="Segoe UI" w:hAnsi="Segoe UI" w:cs="Segoe UI"/>
                      <w:color w:val="000000" w:themeColor="text1"/>
                      <w:sz w:val="21"/>
                      <w:szCs w:val="21"/>
                      <w14:textFill>
                        <w14:solidFill>
                          <w14:schemeClr w14:val="tx1"/>
                        </w14:solidFill>
                      </w14:textFill>
                    </w:rPr>
                    <w:id w:val="205539269"/>
                  </w:sdtPr>
                  <w:sdtEndPr>
                    <w:rPr>
                      <w:rFonts w:ascii="Segoe UI" w:hAnsi="Segoe UI" w:cs="Segoe UI"/>
                      <w:color w:val="000000" w:themeColor="text1"/>
                      <w:sz w:val="21"/>
                      <w:szCs w:val="21"/>
                      <w14:textFill>
                        <w14:solidFill>
                          <w14:schemeClr w14:val="tx1"/>
                        </w14:solidFill>
                      </w14:textFill>
                    </w:rPr>
                  </w:sdtEndPr>
                  <w:sdtContent>
                    <w:r>
                      <w:rPr>
                        <w:rFonts w:ascii="Segoe UI" w:hAnsi="Segoe UI" w:cs="Segoe UI"/>
                        <w:color w:val="000000" w:themeColor="text1"/>
                        <w:sz w:val="21"/>
                        <w:szCs w:val="21"/>
                        <w14:textFill>
                          <w14:solidFill>
                            <w14:schemeClr w14:val="tx1"/>
                          </w14:solidFill>
                        </w14:textFill>
                      </w:rPr>
                      <w:fldChar w:fldCharType="begin"/>
                    </w:r>
                    <w:r>
                      <w:rPr>
                        <w:rFonts w:ascii="Segoe UI" w:hAnsi="Segoe UI" w:cs="Segoe UI"/>
                        <w:color w:val="000000" w:themeColor="text1"/>
                        <w:sz w:val="21"/>
                        <w:szCs w:val="21"/>
                        <w14:textFill>
                          <w14:solidFill>
                            <w14:schemeClr w14:val="tx1"/>
                          </w14:solidFill>
                        </w14:textFill>
                      </w:rPr>
                      <w:instrText xml:space="preserve"> CITATION MBA22 \l 2057 </w:instrText>
                    </w:r>
                    <w:r>
                      <w:rPr>
                        <w:rFonts w:ascii="Segoe UI" w:hAnsi="Segoe UI" w:cs="Segoe UI"/>
                        <w:color w:val="000000" w:themeColor="text1"/>
                        <w:sz w:val="21"/>
                        <w:szCs w:val="21"/>
                        <w14:textFill>
                          <w14:solidFill>
                            <w14:schemeClr w14:val="tx1"/>
                          </w14:solidFill>
                        </w14:textFill>
                      </w:rPr>
                      <w:fldChar w:fldCharType="separate"/>
                    </w:r>
                    <w:r>
                      <w:rPr>
                        <w:rFonts w:ascii="Segoe UI" w:hAnsi="Segoe UI" w:cs="Segoe UI"/>
                        <w:color w:val="000000" w:themeColor="text1"/>
                        <w:sz w:val="21"/>
                        <w:szCs w:val="21"/>
                        <w14:textFill>
                          <w14:solidFill>
                            <w14:schemeClr w14:val="tx1"/>
                          </w14:solidFill>
                        </w14:textFill>
                      </w:rPr>
                      <w:t xml:space="preserve"> (MBA SKOOL, 2022)</w:t>
                    </w:r>
                    <w:r>
                      <w:rPr>
                        <w:rFonts w:ascii="Segoe UI" w:hAnsi="Segoe UI" w:cs="Segoe UI"/>
                        <w:color w:val="000000" w:themeColor="text1"/>
                        <w:sz w:val="21"/>
                        <w:szCs w:val="21"/>
                        <w14:textFill>
                          <w14:solidFill>
                            <w14:schemeClr w14:val="tx1"/>
                          </w14:solidFill>
                        </w14:textFill>
                      </w:rPr>
                      <w:fldChar w:fldCharType="end"/>
                    </w:r>
                  </w:sdtContent>
                </w:sdt>
                <w:r>
                  <w:rPr>
                    <w:rFonts w:ascii="Segoe UI" w:hAnsi="Segoe UI" w:cs="Segoe UI"/>
                    <w:color w:val="000000" w:themeColor="text1"/>
                    <w:sz w:val="21"/>
                    <w:szCs w:val="21"/>
                    <w14:textFill>
                      <w14:solidFill>
                        <w14:schemeClr w14:val="tx1"/>
                      </w14:solidFill>
                    </w14:textFill>
                  </w:rPr>
                  <w:t>.</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Economic</w:t>
                </w:r>
              </w:p>
            </w:tc>
            <w:tc>
              <w:tcPr>
                <w:tcW w:w="7178" w:type="dxa"/>
              </w:tcPr>
              <w:p>
                <w:pPr>
                  <w:pStyle w:val="25"/>
                  <w:numPr>
                    <w:ilvl w:val="0"/>
                    <w:numId w:val="8"/>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Germany as Europe's economic powerhouse with high consumer purchasing power. </w:t>
                </w:r>
              </w:p>
              <w:p>
                <w:pPr>
                  <w:pStyle w:val="25"/>
                  <w:numPr>
                    <w:ilvl w:val="0"/>
                    <w:numId w:val="8"/>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Stable economic growth and investment-friendly climate. - Competitive telecom landscape with major players like Deutsche Telekom.</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shd w:val="clear" w:color="auto" w:fill="DBE5F1" w:themeFill="accent1" w:themeFillTint="33"/>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Social</w:t>
                </w:r>
              </w:p>
            </w:tc>
            <w:tc>
              <w:tcPr>
                <w:tcW w:w="7178" w:type="dxa"/>
                <w:shd w:val="clear" w:color="auto" w:fill="DBE5F1" w:themeFill="accent1" w:themeFillTint="33"/>
              </w:tcPr>
              <w:p>
                <w:pPr>
                  <w:pStyle w:val="25"/>
                  <w:numPr>
                    <w:ilvl w:val="0"/>
                    <w:numId w:val="9"/>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High standard of living with a tech-savvy and connected population.Growing demand for advanced telecom and digital services. </w:t>
                </w:r>
              </w:p>
              <w:p>
                <w:pPr>
                  <w:pStyle w:val="25"/>
                  <w:numPr>
                    <w:ilvl w:val="0"/>
                    <w:numId w:val="9"/>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Emphasis on quality and reliability in service choices</w:t>
                </w:r>
                <w:sdt>
                  <w:sdtPr>
                    <w:rPr>
                      <w:rFonts w:ascii="Segoe UI" w:hAnsi="Segoe UI" w:cs="Segoe UI"/>
                      <w:color w:val="000000" w:themeColor="text1"/>
                      <w:sz w:val="21"/>
                      <w:szCs w:val="21"/>
                      <w14:textFill>
                        <w14:solidFill>
                          <w14:schemeClr w14:val="tx1"/>
                        </w14:solidFill>
                      </w14:textFill>
                    </w:rPr>
                    <w:id w:val="-1427102145"/>
                  </w:sdtPr>
                  <w:sdtEndPr>
                    <w:rPr>
                      <w:rFonts w:ascii="Segoe UI" w:hAnsi="Segoe UI" w:cs="Segoe UI"/>
                      <w:color w:val="000000" w:themeColor="text1"/>
                      <w:sz w:val="21"/>
                      <w:szCs w:val="21"/>
                      <w14:textFill>
                        <w14:solidFill>
                          <w14:schemeClr w14:val="tx1"/>
                        </w14:solidFill>
                      </w14:textFill>
                    </w:rPr>
                  </w:sdtEndPr>
                  <w:sdtContent>
                    <w:r>
                      <w:rPr>
                        <w:rFonts w:ascii="Segoe UI" w:hAnsi="Segoe UI" w:cs="Segoe UI"/>
                        <w:color w:val="000000" w:themeColor="text1"/>
                        <w:sz w:val="21"/>
                        <w:szCs w:val="21"/>
                        <w14:textFill>
                          <w14:solidFill>
                            <w14:schemeClr w14:val="tx1"/>
                          </w14:solidFill>
                        </w14:textFill>
                      </w:rPr>
                      <w:fldChar w:fldCharType="begin"/>
                    </w:r>
                    <w:r>
                      <w:rPr>
                        <w:rFonts w:ascii="Segoe UI" w:hAnsi="Segoe UI" w:cs="Segoe UI"/>
                        <w:color w:val="000000" w:themeColor="text1"/>
                        <w:sz w:val="21"/>
                        <w:szCs w:val="21"/>
                        <w14:textFill>
                          <w14:solidFill>
                            <w14:schemeClr w14:val="tx1"/>
                          </w14:solidFill>
                        </w14:textFill>
                      </w:rPr>
                      <w:instrText xml:space="preserve"> CITATION Tar22 \l 2057 </w:instrText>
                    </w:r>
                    <w:r>
                      <w:rPr>
                        <w:rFonts w:ascii="Segoe UI" w:hAnsi="Segoe UI" w:cs="Segoe UI"/>
                        <w:color w:val="000000" w:themeColor="text1"/>
                        <w:sz w:val="21"/>
                        <w:szCs w:val="21"/>
                        <w14:textFill>
                          <w14:solidFill>
                            <w14:schemeClr w14:val="tx1"/>
                          </w14:solidFill>
                        </w14:textFill>
                      </w:rPr>
                      <w:fldChar w:fldCharType="separate"/>
                    </w:r>
                    <w:r>
                      <w:rPr>
                        <w:rFonts w:ascii="Segoe UI" w:hAnsi="Segoe UI" w:cs="Segoe UI"/>
                        <w:color w:val="000000" w:themeColor="text1"/>
                        <w:sz w:val="21"/>
                        <w:szCs w:val="21"/>
                        <w14:textFill>
                          <w14:solidFill>
                            <w14:schemeClr w14:val="tx1"/>
                          </w14:solidFill>
                        </w14:textFill>
                      </w:rPr>
                      <w:t xml:space="preserve"> (Zaidi, 2022)</w:t>
                    </w:r>
                    <w:r>
                      <w:rPr>
                        <w:rFonts w:ascii="Segoe UI" w:hAnsi="Segoe UI" w:cs="Segoe UI"/>
                        <w:color w:val="000000" w:themeColor="text1"/>
                        <w:sz w:val="21"/>
                        <w:szCs w:val="21"/>
                        <w14:textFill>
                          <w14:solidFill>
                            <w14:schemeClr w14:val="tx1"/>
                          </w14:solidFill>
                        </w14:textFill>
                      </w:rPr>
                      <w:fldChar w:fldCharType="end"/>
                    </w:r>
                  </w:sdtContent>
                </w:sdt>
                <w:r>
                  <w:rPr>
                    <w:rFonts w:ascii="Segoe UI" w:hAnsi="Segoe UI" w:cs="Segoe UI"/>
                    <w:color w:val="000000" w:themeColor="text1"/>
                    <w:sz w:val="21"/>
                    <w:szCs w:val="21"/>
                    <w14:textFill>
                      <w14:solidFill>
                        <w14:schemeClr w14:val="tx1"/>
                      </w14:solidFill>
                    </w14:textFill>
                  </w:rPr>
                  <w:t>.</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Technological</w:t>
                </w:r>
              </w:p>
            </w:tc>
            <w:tc>
              <w:tcPr>
                <w:tcW w:w="7178" w:type="dxa"/>
              </w:tcPr>
              <w:p>
                <w:pPr>
                  <w:pStyle w:val="25"/>
                  <w:numPr>
                    <w:ilvl w:val="0"/>
                    <w:numId w:val="10"/>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Leading in technological innovations in Europe. </w:t>
                </w:r>
              </w:p>
              <w:p>
                <w:pPr>
                  <w:pStyle w:val="25"/>
                  <w:numPr>
                    <w:ilvl w:val="0"/>
                    <w:numId w:val="10"/>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Rapid adoption of 5G and other advanced telecom technologies. </w:t>
                </w:r>
              </w:p>
              <w:p>
                <w:pPr>
                  <w:pStyle w:val="25"/>
                  <w:numPr>
                    <w:ilvl w:val="0"/>
                    <w:numId w:val="10"/>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 Strong infrastructure supporting digital growth and IoT adoption.</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shd w:val="clear" w:color="auto" w:fill="DBE5F1" w:themeFill="accent1" w:themeFillTint="33"/>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Environmental</w:t>
                </w:r>
              </w:p>
            </w:tc>
            <w:tc>
              <w:tcPr>
                <w:tcW w:w="7178" w:type="dxa"/>
                <w:shd w:val="clear" w:color="auto" w:fill="DBE5F1" w:themeFill="accent1" w:themeFillTint="33"/>
              </w:tcPr>
              <w:p>
                <w:pPr>
                  <w:pStyle w:val="25"/>
                  <w:numPr>
                    <w:ilvl w:val="0"/>
                    <w:numId w:val="11"/>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National emphasis on sustainability and green initiatives. </w:t>
                </w:r>
              </w:p>
              <w:p>
                <w:pPr>
                  <w:pStyle w:val="25"/>
                  <w:numPr>
                    <w:ilvl w:val="0"/>
                    <w:numId w:val="11"/>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Regulations promoting eco-friendly operations and waste reduction.  </w:t>
                </w:r>
              </w:p>
              <w:p>
                <w:pPr>
                  <w:pStyle w:val="25"/>
                  <w:numPr>
                    <w:ilvl w:val="0"/>
                    <w:numId w:val="11"/>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Consumer preference for sustainable and responsible brands.</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1838" w:type="dxa"/>
              </w:tcPr>
              <w:p>
                <w:pPr>
                  <w:spacing w:after="0" w:line="240" w:lineRule="auto"/>
                  <w:rPr>
                    <w:b/>
                    <w:bCs/>
                    <w:color w:val="000000" w:themeColor="text1"/>
                    <w14:textFill>
                      <w14:solidFill>
                        <w14:schemeClr w14:val="tx1"/>
                      </w14:solidFill>
                    </w14:textFill>
                  </w:rPr>
                </w:pPr>
                <w:r>
                  <w:rPr>
                    <w:b/>
                    <w:bCs/>
                    <w:color w:val="000000" w:themeColor="text1"/>
                    <w14:textFill>
                      <w14:solidFill>
                        <w14:schemeClr w14:val="tx1"/>
                      </w14:solidFill>
                    </w14:textFill>
                  </w:rPr>
                  <w:t>Legal</w:t>
                </w:r>
              </w:p>
            </w:tc>
            <w:tc>
              <w:tcPr>
                <w:tcW w:w="7178" w:type="dxa"/>
              </w:tcPr>
              <w:p>
                <w:pPr>
                  <w:pStyle w:val="25"/>
                  <w:numPr>
                    <w:ilvl w:val="0"/>
                    <w:numId w:val="12"/>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Strict regulations on data protection, privacy, and consumer rights. </w:t>
                </w:r>
              </w:p>
              <w:p>
                <w:pPr>
                  <w:pStyle w:val="25"/>
                  <w:numPr>
                    <w:ilvl w:val="0"/>
                    <w:numId w:val="12"/>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 xml:space="preserve">Emphasis on fair competition and anti-monopoly practices. </w:t>
                </w:r>
              </w:p>
              <w:p>
                <w:pPr>
                  <w:pStyle w:val="25"/>
                  <w:numPr>
                    <w:ilvl w:val="0"/>
                    <w:numId w:val="12"/>
                  </w:numPr>
                  <w:spacing w:after="0" w:line="240" w:lineRule="auto"/>
                  <w:rPr>
                    <w:color w:val="000000" w:themeColor="text1"/>
                    <w14:textFill>
                      <w14:solidFill>
                        <w14:schemeClr w14:val="tx1"/>
                      </w14:solidFill>
                    </w14:textFill>
                  </w:rPr>
                </w:pPr>
                <w:r>
                  <w:rPr>
                    <w:rFonts w:ascii="Segoe UI" w:hAnsi="Segoe UI" w:cs="Segoe UI"/>
                    <w:color w:val="000000" w:themeColor="text1"/>
                    <w:sz w:val="21"/>
                    <w:szCs w:val="21"/>
                    <w14:textFill>
                      <w14:solidFill>
                        <w14:schemeClr w14:val="tx1"/>
                      </w14:solidFill>
                    </w14:textFill>
                  </w:rPr>
                  <w:t>Regulatory bodies ensuring telecom standards and practices.</w:t>
                </w:r>
              </w:p>
            </w:tc>
          </w:tr>
        </w:tbl>
        <w:p/>
        <w:p>
          <w:pPr>
            <w:spacing w:line="480" w:lineRule="auto"/>
            <w:jc w:val="both"/>
            <w:rPr>
              <w:rFonts w:ascii="Arial" w:hAnsi="Arial" w:cs="Arial"/>
              <w:sz w:val="22"/>
              <w:szCs w:val="21"/>
            </w:rPr>
          </w:pPr>
          <w:r>
            <w:rPr>
              <w:rFonts w:ascii="Arial" w:hAnsi="Arial" w:cs="Arial"/>
              <w:sz w:val="22"/>
              <w:szCs w:val="21"/>
            </w:rPr>
            <w:t>Both the UK and Germany present stable political and technological landscapes for Vodafone, with each being at the forefront of 5G adoption. However, the UK's Brexit uncertainties contrast with Germany's consistent EU-aligned economic and regulatory environment. While both nations emphasize sustainability, Germany's commitment is more pronounced. Socially, the UK's multicultural demographic might require a broader telecom service range than Germany. Despite their stringent legal frameworks, Germany's data protection focus and the UK's post-Brexit consumer rights nuances suggest tailored strategies for Vodafone in each market.</w:t>
          </w:r>
        </w:p>
        <w:p>
          <w:pPr>
            <w:pStyle w:val="3"/>
          </w:pPr>
          <w:bookmarkStart w:id="10" w:name="_Toc142950668"/>
          <w:r>
            <w:t>4.1 A Comparative PESTEL Analysis</w:t>
          </w:r>
          <w:bookmarkEnd w:id="10"/>
        </w:p>
        <w:p>
          <w:pPr>
            <w:spacing w:line="480" w:lineRule="auto"/>
            <w:jc w:val="both"/>
            <w:rPr>
              <w:rFonts w:ascii="Arial" w:hAnsi="Arial" w:cs="Arial"/>
              <w:sz w:val="22"/>
              <w:szCs w:val="21"/>
            </w:rPr>
          </w:pPr>
        </w:p>
        <w:p>
          <w:pPr>
            <w:spacing w:line="480" w:lineRule="auto"/>
            <w:jc w:val="both"/>
            <w:rPr>
              <w:rFonts w:ascii="Arial" w:hAnsi="Arial" w:cs="Arial"/>
              <w:sz w:val="22"/>
              <w:szCs w:val="21"/>
            </w:rPr>
          </w:pPr>
          <w:r>
            <w:rPr>
              <w:rFonts w:ascii="Arial" w:hAnsi="Arial" w:cs="Arial"/>
              <w:sz w:val="22"/>
              <w:szCs w:val="21"/>
            </w:rPr>
            <w:t>When comparing the PESTLE analyses for the UK and Germany, several similarities and differences become evident. Both countries enjoy a stable political environment that is conducive to business. However, the UK is dealing with uncertainties arising from Brexit, which has implications for trade agreements and regulations. In contrast, Germany capitalizes on its EU membership to secure trade and regulatory benefits. Economically, both nations have robust consumer purchasing power. However, the UK is experiencing economic fluctuations due to Brexit, while Germany remains a stalwart economic powerhouse in Europe. Socially, both countries have a tech-savvy population with a high demand for advanced telecom services. However, the UK's diverse and multicultural demographic influences its product offerings. Technologically, both the UK and Germany are leaders in 5G adoption and other advanced telecom technologies. However, the UK's focus on IoT and smart solutions sets it apart. Environmentally, both countries prioritize sustainability, with the UK concentrating on reducing its carbon footprint and Germany emphasizing waste reduction. Legally, both countries have stringent regulations, particularly concerning data protection and consumer rights. However, the UK's telecom operators are subject to regulations set by Ofcom, while Germany places a strong emphasis on fair competition and anti-monopoly practices.</w:t>
          </w:r>
        </w:p>
        <w:p>
          <w:pPr>
            <w:spacing w:line="480" w:lineRule="auto"/>
            <w:jc w:val="both"/>
            <w:rPr>
              <w:rFonts w:ascii="Arial" w:hAnsi="Arial" w:cs="Arial"/>
              <w:sz w:val="22"/>
              <w:szCs w:val="21"/>
            </w:rPr>
          </w:pPr>
          <w:r>
            <w:rPr>
              <w:rFonts w:ascii="Arial" w:hAnsi="Arial" w:cs="Arial"/>
              <w:sz w:val="22"/>
              <w:szCs w:val="21"/>
            </w:rPr>
            <w:t>In summary, while the UK and Germany share similarities such as stable political environments and strong consumer purchasing power, their differences are evident in areas such as the impact of Brexit, the focus on specific technological advancements, and the nuances in their environmental and legal frameworks.</w:t>
          </w:r>
        </w:p>
        <w:p>
          <w:pPr>
            <w:pStyle w:val="3"/>
          </w:pPr>
          <w:bookmarkStart w:id="11" w:name="_Toc142950669"/>
          <w:r>
            <w:t>4.2 Industry Five Forces</w:t>
          </w:r>
          <w:bookmarkEnd w:id="11"/>
          <w:r>
            <w:t xml:space="preserve"> </w:t>
          </w:r>
        </w:p>
        <w:p>
          <w:pPr>
            <w:spacing w:line="480" w:lineRule="auto"/>
            <w:jc w:val="both"/>
            <w:rPr>
              <w:rFonts w:ascii="Arial" w:hAnsi="Arial" w:cs="Arial"/>
              <w:sz w:val="22"/>
            </w:rPr>
          </w:pPr>
          <w:r>
            <w:rPr>
              <w:rFonts w:ascii="Arial" w:hAnsi="Arial" w:cs="Arial"/>
              <w:sz w:val="22"/>
            </w:rPr>
            <w:drawing>
              <wp:anchor distT="0" distB="0" distL="114300" distR="114300" simplePos="0" relativeHeight="251673600" behindDoc="0" locked="0" layoutInCell="1" allowOverlap="1">
                <wp:simplePos x="0" y="0"/>
                <wp:positionH relativeFrom="column">
                  <wp:posOffset>1346200</wp:posOffset>
                </wp:positionH>
                <wp:positionV relativeFrom="paragraph">
                  <wp:posOffset>2867660</wp:posOffset>
                </wp:positionV>
                <wp:extent cx="2875280" cy="1761490"/>
                <wp:effectExtent l="0" t="0" r="0" b="3810"/>
                <wp:wrapThrough wrapText="bothSides">
                  <wp:wrapPolygon>
                    <wp:start x="0" y="0"/>
                    <wp:lineTo x="0" y="21491"/>
                    <wp:lineTo x="21466" y="21491"/>
                    <wp:lineTo x="21466" y="0"/>
                    <wp:lineTo x="0" y="0"/>
                  </wp:wrapPolygon>
                </wp:wrapThrough>
                <wp:docPr id="1005037030" name="Picture 7"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037030" name="Picture 7" descr="A diagram of a company&#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5280" cy="1761490"/>
                        </a:xfrm>
                        <a:prstGeom prst="rect">
                          <a:avLst/>
                        </a:prstGeom>
                      </pic:spPr>
                    </pic:pic>
                  </a:graphicData>
                </a:graphic>
              </wp:anchor>
            </w:drawing>
          </w:r>
          <w:r>
            <w:rPr>
              <w:rFonts w:ascii="Arial" w:hAnsi="Arial" w:cs="Arial"/>
              <w:sz w:val="22"/>
            </w:rPr>
            <w:t xml:space="preserve"> The Industry Five Forces framework, devised by Michael E. Porter, is utilised to assess the dynamics of rivalry within a sector. The forces encompass several factors that impact the competitive landscape. These factors include the potential for new entrants, which evaluates the level of difficulty for competitors to enter the market; the bargaining power of suppliers and buyers, which assesses the degree of influence that suppliers and customers hold; the possibility of substitute products, which determines the likelihood of customers choosing alternative solutions; and the level of rivalry among existing competitors, which measures the intensity of competition. Collectively, these forces contribute to the formation of the industry's competitive environment and its potential for generating profits</w:t>
          </w:r>
          <w:sdt>
            <w:sdtPr>
              <w:rPr>
                <w:rFonts w:ascii="Arial" w:hAnsi="Arial" w:cs="Arial"/>
                <w:sz w:val="22"/>
              </w:rPr>
              <w:id w:val="-2066094117"/>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Mic14 \l 2057 </w:instrText>
              </w:r>
              <w:r>
                <w:rPr>
                  <w:rFonts w:ascii="Arial" w:hAnsi="Arial" w:cs="Arial"/>
                  <w:sz w:val="22"/>
                </w:rPr>
                <w:fldChar w:fldCharType="separate"/>
              </w:r>
              <w:r>
                <w:rPr>
                  <w:rFonts w:ascii="Arial" w:hAnsi="Arial" w:cs="Arial"/>
                  <w:sz w:val="22"/>
                </w:rPr>
                <w:t xml:space="preserve"> (Dobbs, 2014)</w:t>
              </w:r>
              <w:r>
                <w:rPr>
                  <w:rFonts w:ascii="Arial" w:hAnsi="Arial" w:cs="Arial"/>
                  <w:sz w:val="22"/>
                </w:rPr>
                <w:fldChar w:fldCharType="end"/>
              </w:r>
            </w:sdtContent>
          </w:sdt>
          <w:r>
            <w:rPr>
              <w:rFonts w:ascii="Arial" w:hAnsi="Arial" w:cs="Arial"/>
              <w:sz w:val="22"/>
            </w:rPr>
            <w:t>.</w:t>
          </w: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-95250</wp:posOffset>
                    </wp:positionV>
                    <wp:extent cx="5397500" cy="635"/>
                    <wp:effectExtent l="0" t="0" r="0" b="12065"/>
                    <wp:wrapThrough wrapText="bothSides">
                      <wp:wrapPolygon>
                        <wp:start x="0" y="0"/>
                        <wp:lineTo x="0" y="0"/>
                        <wp:lineTo x="21549" y="0"/>
                        <wp:lineTo x="21549" y="0"/>
                        <wp:lineTo x="0" y="0"/>
                      </wp:wrapPolygon>
                    </wp:wrapThrough>
                    <wp:docPr id="508957532" name="Text Box 4"/>
                    <wp:cNvGraphicFramePr/>
                    <a:graphic xmlns:a="http://schemas.openxmlformats.org/drawingml/2006/main">
                      <a:graphicData uri="http://schemas.microsoft.com/office/word/2010/wordprocessingShape">
                        <wps:wsp>
                          <wps:cNvSpPr txBox="1"/>
                          <wps:spPr>
                            <a:xfrm>
                              <a:off x="0" y="0"/>
                              <a:ext cx="5397500" cy="635"/>
                            </a:xfrm>
                            <a:prstGeom prst="rect">
                              <a:avLst/>
                            </a:prstGeom>
                            <a:solidFill>
                              <a:prstClr val="white"/>
                            </a:solidFill>
                            <a:ln>
                              <a:noFill/>
                            </a:ln>
                          </wps:spPr>
                          <wps:txbx>
                            <w:txbxContent>
                              <w:p>
                                <w:pPr>
                                  <w:pStyle w:val="9"/>
                                  <w:jc w:val="center"/>
                                  <w:rPr>
                                    <w:rFonts w:ascii="Times New Roman" w:hAnsi="Times New Roman"/>
                                    <w:szCs w:val="22"/>
                                  </w:rPr>
                                </w:pPr>
                                <w:r>
                                  <w:t xml:space="preserve">Figure </w:t>
                                </w:r>
                                <w:r>
                                  <w:fldChar w:fldCharType="begin"/>
                                </w:r>
                                <w:r>
                                  <w:instrText xml:space="preserve"> SEQ Figure \* ARABIC </w:instrText>
                                </w:r>
                                <w:r>
                                  <w:fldChar w:fldCharType="separate"/>
                                </w:r>
                                <w:r>
                                  <w:t>3</w:t>
                                </w:r>
                                <w:r>
                                  <w:fldChar w:fldCharType="end"/>
                                </w:r>
                                <w:r>
                                  <w:t>: Industry Five force poster.</w:t>
                                </w:r>
                                <w:sdt>
                                  <w:sdtPr>
                                    <w:id w:val="-814419335"/>
                                  </w:sdtPr>
                                  <w:sdtContent>
                                    <w:r>
                                      <w:fldChar w:fldCharType="begin"/>
                                    </w:r>
                                    <w:r>
                                      <w:instrText xml:space="preserve"> CITATION Mir22 \l 2057 </w:instrText>
                                    </w:r>
                                    <w:r>
                                      <w:fldChar w:fldCharType="separate"/>
                                    </w:r>
                                    <w:r>
                                      <w:t xml:space="preserve"> (Miro, 2022)</w:t>
                                    </w:r>
                                    <w:r>
                                      <w:fldChar w:fldCharType="end"/>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4" o:spid="_x0000_s1026" o:spt="202" type="#_x0000_t202" style="position:absolute;left:0pt;margin-left:0pt;margin-top:-7.5pt;height:0.05pt;width:425pt;mso-wrap-distance-left:9pt;mso-wrap-distance-right:9pt;z-index:251664384;mso-width-relative:page;mso-height-relative:page;" fillcolor="#FFFFFF" filled="t" stroked="f" coordsize="21600,21600" wrapcoords="0 0 0 0 21549 0 21549 0 0 0" o:gfxdata="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PRDgrYAAAACAEAAA8AAAAAAAAAAQAgAAAAIgAAAGRycy9kb3ducmV2Lnht&#10;bFBLAQIUABQAAAAIAIdO4kB/6zEdMgIAAHkEAAAOAAAAAAAAAAEAIAAAACcBAABkcnMvZTJvRG9j&#10;LnhtbFBLBQYAAAAABgAGAFkBAADLBQAAAAA=&#10;">
                    <v:fill on="t" focussize="0,0"/>
                    <v:stroke on="f"/>
                    <v:imagedata o:title=""/>
                    <o:lock v:ext="edit" aspectratio="f"/>
                    <v:textbox inset="0mm,0mm,0mm,0mm" style="mso-fit-shape-to-text:t;">
                      <w:txbxContent>
                        <w:p>
                          <w:pPr>
                            <w:pStyle w:val="9"/>
                            <w:jc w:val="center"/>
                            <w:rPr>
                              <w:rFonts w:ascii="Times New Roman" w:hAnsi="Times New Roman"/>
                              <w:szCs w:val="22"/>
                            </w:rPr>
                          </w:pPr>
                          <w:r>
                            <w:t xml:space="preserve">Figure </w:t>
                          </w:r>
                          <w:r>
                            <w:fldChar w:fldCharType="begin"/>
                          </w:r>
                          <w:r>
                            <w:instrText xml:space="preserve"> SEQ Figure \* ARABIC </w:instrText>
                          </w:r>
                          <w:r>
                            <w:fldChar w:fldCharType="separate"/>
                          </w:r>
                          <w:r>
                            <w:t>3</w:t>
                          </w:r>
                          <w:r>
                            <w:fldChar w:fldCharType="end"/>
                          </w:r>
                          <w:r>
                            <w:t>: Industry Five force poster.</w:t>
                          </w:r>
                          <w:sdt>
                            <w:sdtPr>
                              <w:id w:val="-814419335"/>
                            </w:sdtPr>
                            <w:sdtContent>
                              <w:r>
                                <w:fldChar w:fldCharType="begin"/>
                              </w:r>
                              <w:r>
                                <w:instrText xml:space="preserve"> CITATION Mir22 \l 2057 </w:instrText>
                              </w:r>
                              <w:r>
                                <w:fldChar w:fldCharType="separate"/>
                              </w:r>
                              <w:r>
                                <w:t xml:space="preserve"> (Miro, 2022)</w:t>
                              </w:r>
                              <w:r>
                                <w:fldChar w:fldCharType="end"/>
                              </w:r>
                            </w:sdtContent>
                          </w:sdt>
                        </w:p>
                      </w:txbxContent>
                    </v:textbox>
                    <w10:wrap type="through"/>
                  </v:shape>
                </w:pict>
              </mc:Fallback>
            </mc:AlternateContent>
          </w:r>
        </w:p>
        <w:p>
          <w:pPr>
            <w:pStyle w:val="9"/>
            <w:keepNext/>
          </w:pPr>
          <w:r>
            <w:t xml:space="preserve">Table </w:t>
          </w:r>
          <w:r>
            <w:fldChar w:fldCharType="begin"/>
          </w:r>
          <w:r>
            <w:instrText xml:space="preserve"> SEQ Table \* ARABIC </w:instrText>
          </w:r>
          <w:r>
            <w:fldChar w:fldCharType="separate"/>
          </w:r>
          <w:r>
            <w:t>5</w:t>
          </w:r>
          <w:r>
            <w:fldChar w:fldCharType="end"/>
          </w:r>
          <w:r>
            <w:t>: Porter's Five forces analysis for Vodafone UK</w:t>
          </w:r>
        </w:p>
        <w:tbl>
          <w:tblPr>
            <w:tblStyle w:val="42"/>
            <w:tblW w:w="0" w:type="auto"/>
            <w:tblInd w:w="0" w:type="dxa"/>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Layout w:type="autofit"/>
            <w:tblCellMar>
              <w:top w:w="0" w:type="dxa"/>
              <w:left w:w="108" w:type="dxa"/>
              <w:bottom w:w="0" w:type="dxa"/>
              <w:right w:w="108" w:type="dxa"/>
            </w:tblCellMar>
          </w:tblPr>
          <w:tblGrid>
            <w:gridCol w:w="2122"/>
            <w:gridCol w:w="6894"/>
          </w:tblGrid>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122" w:type="dxa"/>
                <w:tcBorders>
                  <w:top w:val="single" w:color="C0504D" w:themeColor="accent2" w:sz="4" w:space="0"/>
                  <w:left w:val="single" w:color="C0504D" w:themeColor="accent2" w:sz="4" w:space="0"/>
                  <w:bottom w:val="single" w:color="C0504D" w:themeColor="accent2" w:sz="4" w:space="0"/>
                  <w:right w:val="nil"/>
                  <w:insideH w:val="single" w:sz="4" w:space="0"/>
                  <w:insideV w:val="nil"/>
                </w:tcBorders>
                <w:shd w:val="clear" w:color="auto" w:fill="C0504D" w:themeFill="accent2"/>
              </w:tcPr>
              <w:p>
                <w:pPr>
                  <w:spacing w:after="0" w:line="276" w:lineRule="auto"/>
                  <w:rPr>
                    <w:rFonts w:ascii="Arial" w:hAnsi="Arial" w:cs="Arial"/>
                    <w:b w:val="0"/>
                    <w:bCs w:val="0"/>
                    <w:color w:val="FFFFFF" w:themeColor="background1"/>
                    <w:kern w:val="2"/>
                    <w:sz w:val="22"/>
                    <w:szCs w:val="24"/>
                    <w14:textFill>
                      <w14:solidFill>
                        <w14:schemeClr w14:val="bg1"/>
                      </w14:solidFill>
                    </w14:textFill>
                    <w14:ligatures w14:val="standardContextual"/>
                  </w:rPr>
                </w:pPr>
                <w:r>
                  <w:rPr>
                    <w:rFonts w:ascii="Arial" w:hAnsi="Arial" w:cs="Arial"/>
                    <w:b/>
                    <w:bCs/>
                    <w:color w:val="FFFFFF" w:themeColor="background1"/>
                    <w:kern w:val="2"/>
                    <w:sz w:val="22"/>
                    <w:szCs w:val="24"/>
                    <w14:textFill>
                      <w14:solidFill>
                        <w14:schemeClr w14:val="bg1"/>
                      </w14:solidFill>
                    </w14:textFill>
                    <w14:ligatures w14:val="standardContextual"/>
                  </w:rPr>
                  <w:t>Porter's</w:t>
                </w:r>
                <w:r>
                  <w:rPr>
                    <w:rFonts w:ascii="Arial" w:hAnsi="Arial" w:cs="Arial"/>
                    <w:b w:val="0"/>
                    <w:bCs w:val="0"/>
                    <w:color w:val="FFFFFF" w:themeColor="background1"/>
                    <w:kern w:val="2"/>
                    <w:sz w:val="22"/>
                    <w:szCs w:val="24"/>
                    <w14:textFill>
                      <w14:solidFill>
                        <w14:schemeClr w14:val="bg1"/>
                      </w14:solidFill>
                    </w14:textFill>
                    <w14:ligatures w14:val="standardContextual"/>
                  </w:rPr>
                  <w:t xml:space="preserve"> </w:t>
                </w:r>
                <w:r>
                  <w:rPr>
                    <w:rFonts w:ascii="Arial" w:hAnsi="Arial" w:cs="Arial"/>
                    <w:b/>
                    <w:bCs/>
                    <w:color w:val="FFFFFF" w:themeColor="background1"/>
                    <w:kern w:val="2"/>
                    <w:sz w:val="22"/>
                    <w:szCs w:val="24"/>
                    <w14:textFill>
                      <w14:solidFill>
                        <w14:schemeClr w14:val="bg1"/>
                      </w14:solidFill>
                    </w14:textFill>
                    <w14:ligatures w14:val="standardContextual"/>
                  </w:rPr>
                  <w:t>Five Forces</w:t>
                </w:r>
              </w:p>
            </w:tc>
            <w:tc>
              <w:tcPr>
                <w:tcW w:w="6894" w:type="dxa"/>
                <w:tcBorders>
                  <w:top w:val="single" w:color="C0504D" w:themeColor="accent2" w:sz="4" w:space="0"/>
                  <w:bottom w:val="single" w:color="C0504D" w:themeColor="accent2" w:sz="4" w:space="0"/>
                  <w:right w:val="single" w:color="C0504D" w:themeColor="accent2" w:sz="4" w:space="0"/>
                  <w:insideH w:val="single" w:sz="4" w:space="0"/>
                  <w:insideV w:val="nil"/>
                </w:tcBorders>
                <w:shd w:val="clear" w:color="auto" w:fill="C0504D" w:themeFill="accent2"/>
              </w:tcPr>
              <w:p>
                <w:pPr>
                  <w:spacing w:after="0" w:line="276" w:lineRule="auto"/>
                  <w:jc w:val="both"/>
                  <w:rPr>
                    <w:rFonts w:ascii="Arial" w:hAnsi="Arial" w:cs="Arial"/>
                    <w:b w:val="0"/>
                    <w:bCs w:val="0"/>
                    <w:color w:val="FFFFFF" w:themeColor="background1"/>
                    <w:kern w:val="2"/>
                    <w:sz w:val="22"/>
                    <w:szCs w:val="24"/>
                    <w14:textFill>
                      <w14:solidFill>
                        <w14:schemeClr w14:val="bg1"/>
                      </w14:solidFill>
                    </w14:textFill>
                    <w14:ligatures w14:val="standardContextual"/>
                  </w:rPr>
                </w:pPr>
                <w:r>
                  <w:rPr>
                    <w:rFonts w:ascii="Arial" w:hAnsi="Arial" w:cs="Arial"/>
                    <w:b/>
                    <w:bCs/>
                    <w:color w:val="FFFFFF" w:themeColor="background1"/>
                    <w:kern w:val="2"/>
                    <w:sz w:val="22"/>
                    <w:szCs w:val="24"/>
                    <w14:textFill>
                      <w14:solidFill>
                        <w14:schemeClr w14:val="bg1"/>
                      </w14:solidFill>
                    </w14:textFill>
                    <w14:ligatures w14:val="standardContextual"/>
                  </w:rPr>
                  <w:t>Vodafone UK</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122" w:type="dxa"/>
                <w:shd w:val="clear" w:color="auto" w:fill="F2DBDB" w:themeFill="accent2" w:themeFillTint="33"/>
              </w:tcPr>
              <w:p>
                <w:pPr>
                  <w:spacing w:after="0" w:line="276" w:lineRule="auto"/>
                  <w:rPr>
                    <w:rFonts w:ascii="Arial" w:hAnsi="Arial" w:cs="Arial"/>
                    <w:b w:val="0"/>
                    <w:bCs w:val="0"/>
                    <w:color w:val="000000" w:themeColor="text1"/>
                    <w:kern w:val="2"/>
                    <w:sz w:val="22"/>
                    <w:szCs w:val="24"/>
                    <w14:textFill>
                      <w14:solidFill>
                        <w14:schemeClr w14:val="tx1"/>
                      </w14:solidFill>
                    </w14:textFill>
                    <w14:ligatures w14:val="standardContextual"/>
                  </w:rPr>
                </w:pPr>
                <w:r>
                  <w:rPr>
                    <w:rFonts w:ascii="Arial" w:hAnsi="Arial" w:cs="Arial"/>
                    <w:b w:val="0"/>
                    <w:bCs w:val="0"/>
                    <w:color w:val="000000" w:themeColor="text1"/>
                    <w:kern w:val="2"/>
                    <w:sz w:val="22"/>
                    <w:szCs w:val="24"/>
                    <w14:textFill>
                      <w14:solidFill>
                        <w14:schemeClr w14:val="tx1"/>
                      </w14:solidFill>
                    </w14:textFill>
                    <w14:ligatures w14:val="standardContextual"/>
                  </w:rPr>
                  <w:t>Bargaining Power of Suppliers</w:t>
                </w:r>
              </w:p>
            </w:tc>
            <w:tc>
              <w:tcPr>
                <w:tcW w:w="6894" w:type="dxa"/>
                <w:shd w:val="clear" w:color="auto" w:fill="F2DBDB" w:themeFill="accent2" w:themeFillTint="33"/>
              </w:tcPr>
              <w:p>
                <w:pPr>
                  <w:pStyle w:val="25"/>
                  <w:numPr>
                    <w:ilvl w:val="0"/>
                    <w:numId w:val="13"/>
                  </w:numPr>
                  <w:spacing w:after="0" w:line="276" w:lineRule="auto"/>
                  <w:jc w:val="both"/>
                  <w:rPr>
                    <w:rFonts w:ascii="Arial" w:hAnsi="Arial" w:cs="Arial"/>
                    <w:color w:val="000000" w:themeColor="text1"/>
                    <w:kern w:val="2"/>
                    <w:sz w:val="21"/>
                    <w:szCs w:val="21"/>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Infrastructure Suppliers:</w:t>
                </w:r>
                <w:r>
                  <w:rPr>
                    <w:rFonts w:ascii="Arial" w:hAnsi="Arial" w:cs="Arial"/>
                    <w:color w:val="000000" w:themeColor="text1"/>
                    <w:kern w:val="2"/>
                    <w:sz w:val="21"/>
                    <w:szCs w:val="21"/>
                    <w14:textFill>
                      <w14:solidFill>
                        <w14:schemeClr w14:val="tx1"/>
                      </w14:solidFill>
                    </w14:textFill>
                    <w14:ligatures w14:val="standardContextual"/>
                  </w:rPr>
                  <w:t xml:space="preserve"> Vodafone UK relies on suppliers for network equipment and infrastructure. Companies like Ericsson, Nokia, and Huawei are key players, and their specialized equipment can give them bargaining power. However, geopolitical issues, such as restrictions on Huawei, can shift this dynamic.</w:t>
                </w:r>
              </w:p>
              <w:p>
                <w:pPr>
                  <w:pStyle w:val="25"/>
                  <w:numPr>
                    <w:ilvl w:val="0"/>
                    <w:numId w:val="13"/>
                  </w:numPr>
                  <w:spacing w:after="0" w:line="276" w:lineRule="auto"/>
                  <w:jc w:val="both"/>
                  <w:rPr>
                    <w:rFonts w:ascii="Arial" w:hAnsi="Arial" w:cs="Arial"/>
                    <w:color w:val="000000" w:themeColor="text1"/>
                    <w:kern w:val="2"/>
                    <w:sz w:val="21"/>
                    <w:szCs w:val="21"/>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Device Suppliers:</w:t>
                </w:r>
                <w:r>
                  <w:rPr>
                    <w:rFonts w:ascii="Arial" w:hAnsi="Arial" w:cs="Arial"/>
                    <w:color w:val="000000" w:themeColor="text1"/>
                    <w:kern w:val="2"/>
                    <w:sz w:val="21"/>
                    <w:szCs w:val="21"/>
                    <w14:textFill>
                      <w14:solidFill>
                        <w14:schemeClr w14:val="tx1"/>
                      </w14:solidFill>
                    </w14:textFill>
                    <w14:ligatures w14:val="standardContextual"/>
                  </w:rPr>
                  <w:t xml:space="preserve"> Companies like Apple, Samsung, and other smartphone manufacturers have significant bargaining power due to the demand for their devices. Vodafone UK needs to maintain good relationships with these suppliers to ensure favorable terms. </w:t>
                </w:r>
              </w:p>
              <w:p>
                <w:pPr>
                  <w:pStyle w:val="25"/>
                  <w:numPr>
                    <w:ilvl w:val="0"/>
                    <w:numId w:val="13"/>
                  </w:numPr>
                  <w:spacing w:after="0" w:line="276" w:lineRule="auto"/>
                  <w:jc w:val="both"/>
                  <w:rPr>
                    <w:rFonts w:ascii="Arial" w:hAnsi="Arial" w:cs="Arial"/>
                    <w:color w:val="000000" w:themeColor="text1"/>
                    <w:kern w:val="2"/>
                    <w:sz w:val="22"/>
                    <w:szCs w:val="24"/>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Software &amp; Service Suppliers</w:t>
                </w:r>
                <w:r>
                  <w:rPr>
                    <w:rFonts w:ascii="Arial" w:hAnsi="Arial" w:cs="Arial"/>
                    <w:color w:val="000000" w:themeColor="text1"/>
                    <w:kern w:val="2"/>
                    <w:sz w:val="21"/>
                    <w:szCs w:val="21"/>
                    <w14:textFill>
                      <w14:solidFill>
                        <w14:schemeClr w14:val="tx1"/>
                      </w14:solidFill>
                    </w14:textFill>
                    <w14:ligatures w14:val="standardContextual"/>
                  </w:rPr>
                  <w:t>: For cloud, IT, and other services, Vodafone may work with multiple vendors, reducing individual supplier power.</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122" w:type="dxa"/>
              </w:tcPr>
              <w:p>
                <w:pPr>
                  <w:spacing w:after="0" w:line="276" w:lineRule="auto"/>
                  <w:rPr>
                    <w:rFonts w:ascii="Arial" w:hAnsi="Arial" w:cs="Arial"/>
                    <w:b w:val="0"/>
                    <w:bCs w:val="0"/>
                    <w:color w:val="000000" w:themeColor="text1"/>
                    <w:kern w:val="2"/>
                    <w:sz w:val="22"/>
                    <w:szCs w:val="24"/>
                    <w14:textFill>
                      <w14:solidFill>
                        <w14:schemeClr w14:val="tx1"/>
                      </w14:solidFill>
                    </w14:textFill>
                    <w14:ligatures w14:val="standardContextual"/>
                  </w:rPr>
                </w:pPr>
                <w:r>
                  <w:rPr>
                    <w:rFonts w:ascii="Arial" w:hAnsi="Arial" w:cs="Arial"/>
                    <w:b w:val="0"/>
                    <w:bCs w:val="0"/>
                    <w:color w:val="000000" w:themeColor="text1"/>
                    <w:kern w:val="2"/>
                    <w:sz w:val="22"/>
                    <w:szCs w:val="24"/>
                    <w14:textFill>
                      <w14:solidFill>
                        <w14:schemeClr w14:val="tx1"/>
                      </w14:solidFill>
                    </w14:textFill>
                    <w14:ligatures w14:val="standardContextual"/>
                  </w:rPr>
                  <w:t>Bargaining Power of Buyers</w:t>
                </w:r>
              </w:p>
            </w:tc>
            <w:tc>
              <w:tcPr>
                <w:tcW w:w="6894" w:type="dxa"/>
              </w:tcPr>
              <w:p>
                <w:pPr>
                  <w:pStyle w:val="25"/>
                  <w:numPr>
                    <w:ilvl w:val="0"/>
                    <w:numId w:val="13"/>
                  </w:numPr>
                  <w:spacing w:after="0" w:line="276" w:lineRule="auto"/>
                  <w:jc w:val="both"/>
                  <w:rPr>
                    <w:rFonts w:ascii="Arial" w:hAnsi="Arial" w:cs="Arial"/>
                    <w:color w:val="000000" w:themeColor="text1"/>
                    <w:kern w:val="2"/>
                    <w:sz w:val="21"/>
                    <w:szCs w:val="21"/>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Individual Consumers</w:t>
                </w:r>
                <w:r>
                  <w:rPr>
                    <w:rFonts w:ascii="Arial" w:hAnsi="Arial" w:cs="Arial"/>
                    <w:color w:val="000000" w:themeColor="text1"/>
                    <w:kern w:val="2"/>
                    <w:sz w:val="21"/>
                    <w:szCs w:val="21"/>
                    <w14:textFill>
                      <w14:solidFill>
                        <w14:schemeClr w14:val="tx1"/>
                      </w14:solidFill>
                    </w14:textFill>
                    <w14:ligatures w14:val="standardContextual"/>
                  </w:rPr>
                  <w:t>: With various contract and pay-as-you-go options available from competitors, individual consumers can shop around. Vodafone UK's value propositions, such as Vodafone VeryMe Rewards, can help retain customers.</w:t>
                </w:r>
              </w:p>
              <w:p>
                <w:pPr>
                  <w:pStyle w:val="25"/>
                  <w:numPr>
                    <w:ilvl w:val="0"/>
                    <w:numId w:val="13"/>
                  </w:numPr>
                  <w:spacing w:after="0" w:line="276" w:lineRule="auto"/>
                  <w:jc w:val="both"/>
                  <w:rPr>
                    <w:rFonts w:ascii="Arial" w:hAnsi="Arial" w:cs="Arial"/>
                    <w:color w:val="000000" w:themeColor="text1"/>
                    <w:kern w:val="2"/>
                    <w:sz w:val="22"/>
                    <w:szCs w:val="24"/>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Business Clients</w:t>
                </w:r>
                <w:r>
                  <w:rPr>
                    <w:rFonts w:ascii="Arial" w:hAnsi="Arial" w:cs="Arial"/>
                    <w:color w:val="000000" w:themeColor="text1"/>
                    <w:kern w:val="2"/>
                    <w:sz w:val="21"/>
                    <w:szCs w:val="21"/>
                    <w14:textFill>
                      <w14:solidFill>
                        <w14:schemeClr w14:val="tx1"/>
                      </w14:solidFill>
                    </w14:textFill>
                    <w14:ligatures w14:val="standardContextual"/>
                  </w:rPr>
                  <w:t xml:space="preserve">: Large businesses can negotiate better deals due to the volume of services they require. Vodafone UK's enterprise solutions and dedicated business services can attract and retain such clients. </w:t>
                </w:r>
              </w:p>
              <w:p>
                <w:pPr>
                  <w:pStyle w:val="25"/>
                  <w:numPr>
                    <w:ilvl w:val="0"/>
                    <w:numId w:val="13"/>
                  </w:numPr>
                  <w:spacing w:after="0" w:line="276" w:lineRule="auto"/>
                  <w:jc w:val="both"/>
                  <w:rPr>
                    <w:rFonts w:ascii="Arial" w:hAnsi="Arial" w:cs="Arial"/>
                    <w:color w:val="000000" w:themeColor="text1"/>
                    <w:kern w:val="2"/>
                    <w:sz w:val="22"/>
                    <w:szCs w:val="24"/>
                    <w14:textFill>
                      <w14:solidFill>
                        <w14:schemeClr w14:val="tx1"/>
                      </w14:solidFill>
                    </w14:textFill>
                    <w14:ligatures w14:val="standardContextual"/>
                  </w:rPr>
                </w:pPr>
                <w:r>
                  <w:rPr>
                    <w:rFonts w:ascii="Arial" w:hAnsi="Arial" w:cs="Arial"/>
                    <w:color w:val="000000" w:themeColor="text1"/>
                    <w:kern w:val="2"/>
                    <w:sz w:val="21"/>
                    <w:szCs w:val="21"/>
                    <w14:textFill>
                      <w14:solidFill>
                        <w14:schemeClr w14:val="tx1"/>
                      </w14:solidFill>
                    </w14:textFill>
                    <w14:ligatures w14:val="standardContextual"/>
                  </w:rPr>
                  <w:t xml:space="preserve"> </w:t>
                </w:r>
                <w:r>
                  <w:rPr>
                    <w:rFonts w:ascii="Arial" w:hAnsi="Arial" w:cs="Arial"/>
                    <w:b/>
                    <w:bCs/>
                    <w:color w:val="000000" w:themeColor="text1"/>
                    <w:kern w:val="2"/>
                    <w:sz w:val="21"/>
                    <w:szCs w:val="21"/>
                    <w14:textFill>
                      <w14:solidFill>
                        <w14:schemeClr w14:val="tx1"/>
                      </w14:solidFill>
                    </w14:textFill>
                    <w14:ligatures w14:val="standardContextual"/>
                  </w:rPr>
                  <w:t>Regulatory Bodies</w:t>
                </w:r>
                <w:r>
                  <w:rPr>
                    <w:rFonts w:ascii="Arial" w:hAnsi="Arial" w:cs="Arial"/>
                    <w:color w:val="000000" w:themeColor="text1"/>
                    <w:kern w:val="2"/>
                    <w:sz w:val="21"/>
                    <w:szCs w:val="21"/>
                    <w14:textFill>
                      <w14:solidFill>
                        <w14:schemeClr w14:val="tx1"/>
                      </w14:solidFill>
                    </w14:textFill>
                    <w14:ligatures w14:val="standardContextual"/>
                  </w:rPr>
                  <w:t>: Ofcom, the UK's communications regulator, can influence pricing and service standards, indirectly affecting consumer power.</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122" w:type="dxa"/>
                <w:shd w:val="clear" w:color="auto" w:fill="F2DBDB" w:themeFill="accent2" w:themeFillTint="33"/>
              </w:tcPr>
              <w:p>
                <w:pPr>
                  <w:spacing w:after="0" w:line="276" w:lineRule="auto"/>
                  <w:rPr>
                    <w:rFonts w:ascii="Arial" w:hAnsi="Arial" w:cs="Arial"/>
                    <w:b w:val="0"/>
                    <w:bCs w:val="0"/>
                    <w:color w:val="000000" w:themeColor="text1"/>
                    <w:kern w:val="2"/>
                    <w:sz w:val="22"/>
                    <w:szCs w:val="24"/>
                    <w14:textFill>
                      <w14:solidFill>
                        <w14:schemeClr w14:val="tx1"/>
                      </w14:solidFill>
                    </w14:textFill>
                    <w14:ligatures w14:val="standardContextual"/>
                  </w:rPr>
                </w:pPr>
                <w:r>
                  <w:rPr>
                    <w:rFonts w:ascii="Arial" w:hAnsi="Arial" w:cs="Arial"/>
                    <w:b w:val="0"/>
                    <w:bCs w:val="0"/>
                    <w:color w:val="000000" w:themeColor="text1"/>
                    <w:kern w:val="2"/>
                    <w:sz w:val="22"/>
                    <w:szCs w:val="24"/>
                    <w14:textFill>
                      <w14:solidFill>
                        <w14:schemeClr w14:val="tx1"/>
                      </w14:solidFill>
                    </w14:textFill>
                    <w14:ligatures w14:val="standardContextual"/>
                  </w:rPr>
                  <w:t>Threat of New Entrants</w:t>
                </w:r>
              </w:p>
            </w:tc>
            <w:tc>
              <w:tcPr>
                <w:tcW w:w="6894" w:type="dxa"/>
                <w:shd w:val="clear" w:color="auto" w:fill="F2DBDB" w:themeFill="accent2" w:themeFillTint="33"/>
              </w:tcPr>
              <w:p>
                <w:pPr>
                  <w:pStyle w:val="25"/>
                  <w:numPr>
                    <w:ilvl w:val="0"/>
                    <w:numId w:val="14"/>
                  </w:numPr>
                  <w:spacing w:after="0" w:line="240" w:lineRule="auto"/>
                  <w:jc w:val="both"/>
                  <w:rPr>
                    <w:rFonts w:ascii="Arial" w:hAnsi="Arial" w:cs="Arial"/>
                    <w:color w:val="000000" w:themeColor="text1"/>
                    <w:kern w:val="2"/>
                    <w:sz w:val="21"/>
                    <w:szCs w:val="21"/>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Capital Intensity</w:t>
                </w:r>
                <w:r>
                  <w:rPr>
                    <w:rFonts w:ascii="Arial" w:hAnsi="Arial" w:cs="Arial"/>
                    <w:color w:val="000000" w:themeColor="text1"/>
                    <w:kern w:val="2"/>
                    <w:sz w:val="21"/>
                    <w:szCs w:val="21"/>
                    <w14:textFill>
                      <w14:solidFill>
                        <w14:schemeClr w14:val="tx1"/>
                      </w14:solidFill>
                    </w14:textFill>
                    <w14:ligatures w14:val="standardContextual"/>
                  </w:rPr>
                  <w:t>: Setting up a new telecom network requires significant capital investment, acting as a barrier for new entrants.</w:t>
                </w:r>
              </w:p>
              <w:p>
                <w:pPr>
                  <w:pStyle w:val="25"/>
                  <w:numPr>
                    <w:ilvl w:val="0"/>
                    <w:numId w:val="14"/>
                  </w:numPr>
                  <w:spacing w:after="0" w:line="240" w:lineRule="auto"/>
                  <w:jc w:val="both"/>
                  <w:rPr>
                    <w:rFonts w:ascii="Arial" w:hAnsi="Arial" w:cs="Arial"/>
                    <w:color w:val="000000" w:themeColor="text1"/>
                    <w:kern w:val="2"/>
                    <w:sz w:val="21"/>
                    <w:szCs w:val="21"/>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Regulatory Barriers</w:t>
                </w:r>
                <w:r>
                  <w:rPr>
                    <w:rFonts w:ascii="Arial" w:hAnsi="Arial" w:cs="Arial"/>
                    <w:color w:val="000000" w:themeColor="text1"/>
                    <w:kern w:val="2"/>
                    <w:sz w:val="21"/>
                    <w:szCs w:val="21"/>
                    <w14:textFill>
                      <w14:solidFill>
                        <w14:schemeClr w14:val="tx1"/>
                      </w14:solidFill>
                    </w14:textFill>
                    <w14:ligatures w14:val="standardContextual"/>
                  </w:rPr>
                  <w:t xml:space="preserve">: Acquiring spectrum licenses and adhering to Ofcom's regulations can be challenging for new players. </w:t>
                </w:r>
              </w:p>
              <w:p>
                <w:pPr>
                  <w:pStyle w:val="25"/>
                  <w:numPr>
                    <w:ilvl w:val="0"/>
                    <w:numId w:val="14"/>
                  </w:numPr>
                  <w:spacing w:after="0" w:line="240" w:lineRule="auto"/>
                  <w:jc w:val="both"/>
                  <w:rPr>
                    <w:rFonts w:ascii="Arial" w:hAnsi="Arial" w:cs="Arial"/>
                    <w:color w:val="000000" w:themeColor="text1"/>
                    <w:kern w:val="2"/>
                    <w:sz w:val="22"/>
                    <w:szCs w:val="24"/>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Brand Loyalty</w:t>
                </w:r>
                <w:r>
                  <w:rPr>
                    <w:rFonts w:ascii="Arial" w:hAnsi="Arial" w:cs="Arial"/>
                    <w:color w:val="000000" w:themeColor="text1"/>
                    <w:kern w:val="2"/>
                    <w:sz w:val="21"/>
                    <w:szCs w:val="21"/>
                    <w14:textFill>
                      <w14:solidFill>
                        <w14:schemeClr w14:val="tx1"/>
                      </w14:solidFill>
                    </w14:textFill>
                    <w14:ligatures w14:val="standardContextual"/>
                  </w:rPr>
                  <w:t>: Vodafone UK, with its established brand presence, has a competitive edge over potential new entrants.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122" w:type="dxa"/>
              </w:tcPr>
              <w:p>
                <w:pPr>
                  <w:spacing w:after="0" w:line="276" w:lineRule="auto"/>
                  <w:rPr>
                    <w:rFonts w:ascii="Arial" w:hAnsi="Arial" w:cs="Arial"/>
                    <w:b w:val="0"/>
                    <w:bCs w:val="0"/>
                    <w:color w:val="000000" w:themeColor="text1"/>
                    <w:kern w:val="2"/>
                    <w:sz w:val="22"/>
                    <w:szCs w:val="24"/>
                    <w14:textFill>
                      <w14:solidFill>
                        <w14:schemeClr w14:val="tx1"/>
                      </w14:solidFill>
                    </w14:textFill>
                    <w14:ligatures w14:val="standardContextual"/>
                  </w:rPr>
                </w:pPr>
                <w:r>
                  <w:rPr>
                    <w:rFonts w:ascii="Arial" w:hAnsi="Arial" w:cs="Arial"/>
                    <w:b w:val="0"/>
                    <w:bCs w:val="0"/>
                    <w:color w:val="000000" w:themeColor="text1"/>
                    <w:kern w:val="2"/>
                    <w:sz w:val="22"/>
                    <w:szCs w:val="24"/>
                    <w14:textFill>
                      <w14:solidFill>
                        <w14:schemeClr w14:val="tx1"/>
                      </w14:solidFill>
                    </w14:textFill>
                    <w14:ligatures w14:val="standardContextual"/>
                  </w:rPr>
                  <w:t>Threat of Substitute Products/Services</w:t>
                </w:r>
              </w:p>
            </w:tc>
            <w:tc>
              <w:tcPr>
                <w:tcW w:w="6894" w:type="dxa"/>
              </w:tcPr>
              <w:p>
                <w:pPr>
                  <w:pStyle w:val="25"/>
                  <w:numPr>
                    <w:ilvl w:val="0"/>
                    <w:numId w:val="14"/>
                  </w:numPr>
                  <w:spacing w:after="0" w:line="240" w:lineRule="auto"/>
                  <w:jc w:val="both"/>
                  <w:rPr>
                    <w:rFonts w:ascii="Arial" w:hAnsi="Arial" w:cs="Arial"/>
                    <w:color w:val="000000" w:themeColor="text1"/>
                    <w:kern w:val="2"/>
                    <w:sz w:val="21"/>
                    <w:szCs w:val="21"/>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OTT Services</w:t>
                </w:r>
                <w:r>
                  <w:rPr>
                    <w:rFonts w:ascii="Arial" w:hAnsi="Arial" w:cs="Arial"/>
                    <w:color w:val="000000" w:themeColor="text1"/>
                    <w:kern w:val="2"/>
                    <w:sz w:val="21"/>
                    <w:szCs w:val="21"/>
                    <w14:textFill>
                      <w14:solidFill>
                        <w14:schemeClr w14:val="tx1"/>
                      </w14:solidFill>
                    </w14:textFill>
                    <w14:ligatures w14:val="standardContextual"/>
                  </w:rPr>
                  <w:t xml:space="preserve">: Over-the-Top (OTT) services like WhatsApp and Skype bypass traditional telecom networks for voice and messaging, posing a threat. However, increased data usage for these services can benefit Vodafone UK. </w:t>
                </w:r>
              </w:p>
              <w:p>
                <w:pPr>
                  <w:pStyle w:val="25"/>
                  <w:numPr>
                    <w:ilvl w:val="0"/>
                    <w:numId w:val="14"/>
                  </w:numPr>
                  <w:spacing w:after="0" w:line="240" w:lineRule="auto"/>
                  <w:jc w:val="both"/>
                  <w:rPr>
                    <w:rFonts w:ascii="Arial" w:hAnsi="Arial" w:cs="Arial"/>
                    <w:color w:val="000000" w:themeColor="text1"/>
                    <w:kern w:val="2"/>
                    <w:sz w:val="22"/>
                    <w:szCs w:val="24"/>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Broadband Alternatives</w:t>
                </w:r>
                <w:r>
                  <w:rPr>
                    <w:rFonts w:ascii="Arial" w:hAnsi="Arial" w:cs="Arial"/>
                    <w:color w:val="000000" w:themeColor="text1"/>
                    <w:kern w:val="2"/>
                    <w:sz w:val="21"/>
                    <w:szCs w:val="21"/>
                    <w14:textFill>
                      <w14:solidFill>
                        <w14:schemeClr w14:val="tx1"/>
                      </w14:solidFill>
                    </w14:textFill>
                    <w14:ligatures w14:val="standardContextual"/>
                  </w:rPr>
                  <w:t>: With the rise of satellite internet services like Starlink, there's potential competition. Vodafone UK's established infrastructure and bundled services can counter this threat.</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122" w:type="dxa"/>
                <w:shd w:val="clear" w:color="auto" w:fill="F2DBDB" w:themeFill="accent2" w:themeFillTint="33"/>
              </w:tcPr>
              <w:p>
                <w:pPr>
                  <w:spacing w:after="0" w:line="276" w:lineRule="auto"/>
                  <w:rPr>
                    <w:rFonts w:ascii="Arial" w:hAnsi="Arial" w:cs="Arial"/>
                    <w:b w:val="0"/>
                    <w:bCs w:val="0"/>
                    <w:color w:val="000000" w:themeColor="text1"/>
                    <w:kern w:val="2"/>
                    <w:sz w:val="22"/>
                    <w:szCs w:val="24"/>
                    <w14:textFill>
                      <w14:solidFill>
                        <w14:schemeClr w14:val="tx1"/>
                      </w14:solidFill>
                    </w14:textFill>
                    <w14:ligatures w14:val="standardContextual"/>
                  </w:rPr>
                </w:pPr>
                <w:r>
                  <w:rPr>
                    <w:rFonts w:ascii="Arial" w:hAnsi="Arial" w:cs="Arial"/>
                    <w:b w:val="0"/>
                    <w:bCs w:val="0"/>
                    <w:color w:val="000000" w:themeColor="text1"/>
                    <w:kern w:val="2"/>
                    <w:sz w:val="22"/>
                    <w:szCs w:val="24"/>
                    <w14:textFill>
                      <w14:solidFill>
                        <w14:schemeClr w14:val="tx1"/>
                      </w14:solidFill>
                    </w14:textFill>
                    <w14:ligatures w14:val="standardContextual"/>
                  </w:rPr>
                  <w:t>Intensity of Competitive Rivalry</w:t>
                </w:r>
              </w:p>
            </w:tc>
            <w:tc>
              <w:tcPr>
                <w:tcW w:w="6894" w:type="dxa"/>
                <w:shd w:val="clear" w:color="auto" w:fill="F2DBDB" w:themeFill="accent2" w:themeFillTint="33"/>
              </w:tcPr>
              <w:p>
                <w:pPr>
                  <w:pStyle w:val="25"/>
                  <w:numPr>
                    <w:ilvl w:val="0"/>
                    <w:numId w:val="15"/>
                  </w:numPr>
                  <w:spacing w:after="0" w:line="240" w:lineRule="auto"/>
                  <w:jc w:val="both"/>
                  <w:rPr>
                    <w:rFonts w:ascii="Arial" w:hAnsi="Arial" w:cs="Arial"/>
                    <w:color w:val="000000" w:themeColor="text1"/>
                    <w:kern w:val="2"/>
                    <w:sz w:val="21"/>
                    <w:szCs w:val="21"/>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Major Competitors</w:t>
                </w:r>
                <w:r>
                  <w:rPr>
                    <w:rFonts w:ascii="Arial" w:hAnsi="Arial" w:cs="Arial"/>
                    <w:color w:val="000000" w:themeColor="text1"/>
                    <w:kern w:val="2"/>
                    <w:sz w:val="21"/>
                    <w:szCs w:val="21"/>
                    <w14:textFill>
                      <w14:solidFill>
                        <w14:schemeClr w14:val="tx1"/>
                      </w14:solidFill>
                    </w14:textFill>
                    <w14:ligatures w14:val="standardContextual"/>
                  </w:rPr>
                  <w:t xml:space="preserve">: BT, O2, EE, and Three are key competitors. The UK market has seen mergers, acquisitions, and partnerships, indicating a highly competitive landscape. </w:t>
                </w:r>
              </w:p>
              <w:p>
                <w:pPr>
                  <w:pStyle w:val="25"/>
                  <w:numPr>
                    <w:ilvl w:val="0"/>
                    <w:numId w:val="15"/>
                  </w:numPr>
                  <w:spacing w:after="0" w:line="240" w:lineRule="auto"/>
                  <w:jc w:val="both"/>
                  <w:rPr>
                    <w:rFonts w:ascii="Arial" w:hAnsi="Arial" w:cs="Arial"/>
                    <w:color w:val="000000" w:themeColor="text1"/>
                    <w:kern w:val="2"/>
                    <w:sz w:val="22"/>
                    <w:szCs w:val="22"/>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Service Differentiation</w:t>
                </w:r>
                <w:r>
                  <w:rPr>
                    <w:rFonts w:ascii="Arial" w:hAnsi="Arial" w:cs="Arial"/>
                    <w:color w:val="000000" w:themeColor="text1"/>
                    <w:kern w:val="2"/>
                    <w:sz w:val="21"/>
                    <w:szCs w:val="21"/>
                    <w14:textFill>
                      <w14:solidFill>
                        <w14:schemeClr w14:val="tx1"/>
                      </w14:solidFill>
                    </w14:textFill>
                    <w14:ligatures w14:val="standardContextual"/>
                  </w:rPr>
                  <w:t>: Vodafone UK offers unique services like 5G, IoT solutions, and international roaming packages to differentiate itself.</w:t>
                </w:r>
              </w:p>
              <w:p>
                <w:pPr>
                  <w:pStyle w:val="25"/>
                  <w:numPr>
                    <w:ilvl w:val="0"/>
                    <w:numId w:val="15"/>
                  </w:numPr>
                  <w:spacing w:after="0" w:line="240" w:lineRule="auto"/>
                  <w:jc w:val="both"/>
                  <w:rPr>
                    <w:rFonts w:ascii="Arial" w:hAnsi="Arial" w:cs="Arial"/>
                    <w:color w:val="000000" w:themeColor="text1"/>
                    <w:kern w:val="2"/>
                    <w:sz w:val="22"/>
                    <w:szCs w:val="24"/>
                    <w14:textFill>
                      <w14:solidFill>
                        <w14:schemeClr w14:val="tx1"/>
                      </w14:solidFill>
                    </w14:textFill>
                    <w14:ligatures w14:val="standardContextual"/>
                  </w:rPr>
                </w:pPr>
                <w:r>
                  <w:rPr>
                    <w:rFonts w:ascii="Arial" w:hAnsi="Arial" w:cs="Arial"/>
                    <w:b/>
                    <w:bCs/>
                    <w:color w:val="000000" w:themeColor="text1"/>
                    <w:kern w:val="2"/>
                    <w:sz w:val="21"/>
                    <w:szCs w:val="21"/>
                    <w14:textFill>
                      <w14:solidFill>
                        <w14:schemeClr w14:val="tx1"/>
                      </w14:solidFill>
                    </w14:textFill>
                    <w14:ligatures w14:val="standardContextual"/>
                  </w:rPr>
                  <w:t>Pricing Wars</w:t>
                </w:r>
                <w:r>
                  <w:rPr>
                    <w:rFonts w:ascii="Arial" w:hAnsi="Arial" w:cs="Arial"/>
                    <w:color w:val="000000" w:themeColor="text1"/>
                    <w:kern w:val="2"/>
                    <w:sz w:val="21"/>
                    <w:szCs w:val="21"/>
                    <w14:textFill>
                      <w14:solidFill>
                        <w14:schemeClr w14:val="tx1"/>
                      </w14:solidFill>
                    </w14:textFill>
                    <w14:ligatures w14:val="standardContextual"/>
                  </w:rPr>
                  <w:t>: Periodic promotional offers and price cuts by competitors can intensify rivalry. Vodafone UK needs to balance competitive pricing with value-added services.</w:t>
                </w:r>
              </w:p>
            </w:tc>
          </w:tr>
        </w:tbl>
        <w:p>
          <w:pPr>
            <w:spacing w:line="480" w:lineRule="auto"/>
            <w:jc w:val="both"/>
            <w:rPr>
              <w:rFonts w:ascii="Arial" w:hAnsi="Arial" w:cs="Arial"/>
              <w:sz w:val="22"/>
            </w:rPr>
          </w:pPr>
        </w:p>
        <w:p>
          <w:pPr>
            <w:spacing w:line="480" w:lineRule="auto"/>
            <w:jc w:val="both"/>
            <w:rPr>
              <w:rFonts w:ascii="Arial" w:hAnsi="Arial" w:cs="Arial"/>
              <w:sz w:val="22"/>
            </w:rPr>
          </w:pPr>
        </w:p>
        <w:p>
          <w:pPr>
            <w:rPr>
              <w:rStyle w:val="33"/>
            </w:rPr>
          </w:pPr>
        </w:p>
        <w:p>
          <w:bookmarkStart w:id="12" w:name="_Toc142950670"/>
          <w:r>
            <w:rPr>
              <w:rStyle w:val="33"/>
            </w:rPr>
            <w:t>4.3 Market Analysis</w:t>
          </w:r>
          <w:bookmarkEnd w:id="12"/>
          <w:r>
            <w:t xml:space="preserve"> </w:t>
          </w:r>
        </w:p>
        <w:p>
          <w:pPr>
            <w:spacing w:line="480" w:lineRule="auto"/>
            <w:jc w:val="both"/>
            <w:rPr>
              <w:rFonts w:ascii="Arial" w:hAnsi="Arial" w:cs="Arial"/>
              <w:sz w:val="22"/>
            </w:rPr>
          </w:pPr>
          <w:bookmarkStart w:id="13" w:name="_Hlk129198433"/>
          <w:r>
            <w:rPr>
              <w:rFonts w:ascii="Arial" w:hAnsi="Arial" w:cs="Arial"/>
              <w:b/>
              <w:bCs/>
              <w:sz w:val="22"/>
            </w:rPr>
            <w:t>Market Overview:</w:t>
          </w:r>
          <w:r>
            <w:rPr>
              <w:rFonts w:ascii="Arial" w:hAnsi="Arial" w:cs="Arial"/>
              <w:sz w:val="22"/>
            </w:rPr>
            <w:t xml:space="preserve"> Germany's telecommunications industry boasts a robust and highly competitive landscape, holding a market value of around €60 billion</w:t>
          </w:r>
          <w:sdt>
            <w:sdtPr>
              <w:rPr>
                <w:rFonts w:ascii="Arial" w:hAnsi="Arial" w:cs="Arial"/>
                <w:sz w:val="22"/>
              </w:rPr>
              <w:id w:val="-123005821"/>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Glo23 \l 2057 </w:instrText>
              </w:r>
              <w:r>
                <w:rPr>
                  <w:rFonts w:ascii="Arial" w:hAnsi="Arial" w:cs="Arial"/>
                  <w:sz w:val="22"/>
                </w:rPr>
                <w:fldChar w:fldCharType="separate"/>
              </w:r>
              <w:r>
                <w:rPr>
                  <w:rFonts w:ascii="Arial" w:hAnsi="Arial" w:cs="Arial"/>
                  <w:sz w:val="22"/>
                </w:rPr>
                <w:t xml:space="preserve"> (Global Data , 2023)</w:t>
              </w:r>
              <w:r>
                <w:rPr>
                  <w:rFonts w:ascii="Arial" w:hAnsi="Arial" w:cs="Arial"/>
                  <w:sz w:val="22"/>
                </w:rPr>
                <w:fldChar w:fldCharType="end"/>
              </w:r>
            </w:sdtContent>
          </w:sdt>
          <w:r>
            <w:rPr>
              <w:rFonts w:ascii="Arial" w:hAnsi="Arial" w:cs="Arial"/>
              <w:sz w:val="22"/>
            </w:rPr>
            <w:t>. Amongst the key contenders, Vodafone Germany stands out, having successfully established a noteworthy position, particularly in light of the emergence of 5G technology.</w:t>
          </w:r>
        </w:p>
        <w:p>
          <w:pPr>
            <w:spacing w:line="480" w:lineRule="auto"/>
            <w:jc w:val="both"/>
            <w:rPr>
              <w:rFonts w:ascii="Arial" w:hAnsi="Arial" w:cs="Arial"/>
              <w:sz w:val="22"/>
            </w:rPr>
          </w:pPr>
          <w:r>
            <w:rPr>
              <w:rFonts w:ascii="Arial" w:hAnsi="Arial" w:cs="Arial"/>
              <w:b/>
              <w:bCs/>
              <w:sz w:val="22"/>
            </w:rPr>
            <w:t>Major Competitors:</w:t>
          </w:r>
          <w:r>
            <w:rPr>
              <w:rFonts w:ascii="Arial" w:hAnsi="Arial" w:cs="Arial"/>
              <w:sz w:val="22"/>
            </w:rPr>
            <w:t xml:space="preserve"> In the realm of telecommunications, Vodafone Germany finds itself in fierce competition with industry giants such as Deutsche Telekom, Telefónica Germany, and 1&amp;1 Drillisch. These formidable adversaries, alongside Vodafone, hold an iron grip on the market, providing an array of services that encompass not only mobile connectivity, but also broadband and digital solutions</w:t>
          </w:r>
          <w:sdt>
            <w:sdtPr>
              <w:rPr>
                <w:rFonts w:ascii="Arial" w:hAnsi="Arial" w:cs="Arial"/>
                <w:sz w:val="22"/>
              </w:rPr>
              <w:id w:val="1589123610"/>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Web21 \l 2057 </w:instrText>
              </w:r>
              <w:r>
                <w:rPr>
                  <w:rFonts w:ascii="Arial" w:hAnsi="Arial" w:cs="Arial"/>
                  <w:sz w:val="22"/>
                </w:rPr>
                <w:fldChar w:fldCharType="separate"/>
              </w:r>
              <w:r>
                <w:rPr>
                  <w:rFonts w:ascii="Arial" w:hAnsi="Arial" w:cs="Arial"/>
                  <w:sz w:val="22"/>
                </w:rPr>
                <w:t xml:space="preserve"> (Weber, 2021)</w:t>
              </w:r>
              <w:r>
                <w:rPr>
                  <w:rFonts w:ascii="Arial" w:hAnsi="Arial" w:cs="Arial"/>
                  <w:sz w:val="22"/>
                </w:rPr>
                <w:fldChar w:fldCharType="end"/>
              </w:r>
            </w:sdtContent>
          </w:sdt>
          <w:r>
            <w:rPr>
              <w:rFonts w:ascii="Arial" w:hAnsi="Arial" w:cs="Arial"/>
              <w:sz w:val="22"/>
            </w:rPr>
            <w:t>.</w:t>
          </w:r>
        </w:p>
        <w:p>
          <w:pPr>
            <w:spacing w:line="480" w:lineRule="auto"/>
            <w:jc w:val="both"/>
            <w:rPr>
              <w:rFonts w:ascii="Arial" w:hAnsi="Arial" w:cs="Arial"/>
              <w:sz w:val="22"/>
            </w:rPr>
          </w:pPr>
          <w:r>
            <w:rPr>
              <w:rFonts w:ascii="Arial" w:hAnsi="Arial" w:cs="Arial"/>
              <w:sz w:val="22"/>
            </w:rPr>
            <w:drawing>
              <wp:anchor distT="0" distB="0" distL="114300" distR="114300" simplePos="0" relativeHeight="251665408" behindDoc="1" locked="0" layoutInCell="1" allowOverlap="1">
                <wp:simplePos x="0" y="0"/>
                <wp:positionH relativeFrom="column">
                  <wp:posOffset>0</wp:posOffset>
                </wp:positionH>
                <wp:positionV relativeFrom="paragraph">
                  <wp:posOffset>1156335</wp:posOffset>
                </wp:positionV>
                <wp:extent cx="5731510" cy="3048000"/>
                <wp:effectExtent l="0" t="0" r="0" b="0"/>
                <wp:wrapThrough wrapText="bothSides">
                  <wp:wrapPolygon>
                    <wp:start x="0" y="0"/>
                    <wp:lineTo x="0" y="21510"/>
                    <wp:lineTo x="21538" y="21510"/>
                    <wp:lineTo x="21538" y="0"/>
                    <wp:lineTo x="0" y="0"/>
                  </wp:wrapPolygon>
                </wp:wrapThrough>
                <wp:docPr id="902913381"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913381" name="Picture 5" descr="A screenshot of a graph&#10;&#10;Description automatically generated"/>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48000"/>
                        </a:xfrm>
                        <a:prstGeom prst="rect">
                          <a:avLst/>
                        </a:prstGeom>
                      </pic:spPr>
                    </pic:pic>
                  </a:graphicData>
                </a:graphic>
              </wp:anchor>
            </w:drawing>
          </w:r>
          <w:r>
            <mc:AlternateContent>
              <mc:Choice Requires="wps">
                <w:drawing>
                  <wp:anchor distT="0" distB="0" distL="114300" distR="114300" simplePos="0" relativeHeight="251666432" behindDoc="0" locked="0" layoutInCell="1" allowOverlap="1">
                    <wp:simplePos x="0" y="0"/>
                    <wp:positionH relativeFrom="column">
                      <wp:posOffset>213995</wp:posOffset>
                    </wp:positionH>
                    <wp:positionV relativeFrom="paragraph">
                      <wp:posOffset>4330700</wp:posOffset>
                    </wp:positionV>
                    <wp:extent cx="5731510" cy="635"/>
                    <wp:effectExtent l="0" t="0" r="0" b="12065"/>
                    <wp:wrapThrough wrapText="bothSides">
                      <wp:wrapPolygon>
                        <wp:start x="0" y="0"/>
                        <wp:lineTo x="0" y="0"/>
                        <wp:lineTo x="21538" y="0"/>
                        <wp:lineTo x="21538" y="0"/>
                        <wp:lineTo x="0" y="0"/>
                      </wp:wrapPolygon>
                    </wp:wrapThrough>
                    <wp:docPr id="385210034"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pPr>
                                  <w:pStyle w:val="9"/>
                                  <w:jc w:val="center"/>
                                  <w:rPr>
                                    <w:rFonts w:ascii="Arial" w:hAnsi="Arial" w:cs="Arial"/>
                                    <w:sz w:val="22"/>
                                    <w:szCs w:val="22"/>
                                  </w:rPr>
                                </w:pPr>
                                <w:r>
                                  <w:t xml:space="preserve">Figure </w:t>
                                </w:r>
                                <w:r>
                                  <w:fldChar w:fldCharType="begin"/>
                                </w:r>
                                <w:r>
                                  <w:instrText xml:space="preserve"> SEQ Figure \* ARABIC </w:instrText>
                                </w:r>
                                <w:r>
                                  <w:fldChar w:fldCharType="separate"/>
                                </w:r>
                                <w:r>
                                  <w:t>4</w:t>
                                </w:r>
                                <w:r>
                                  <w:fldChar w:fldCharType="end"/>
                                </w:r>
                                <w:r>
                                  <w:t>: Market Size &amp; Position</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6" o:spid="_x0000_s1026" o:spt="202" type="#_x0000_t202" style="position:absolute;left:0pt;margin-left:16.85pt;margin-top:341pt;height:0.05pt;width:451.3pt;mso-wrap-distance-left:9pt;mso-wrap-distance-right:9pt;z-index:251666432;mso-width-relative:page;mso-height-relative:page;" fillcolor="#FFFFFF" filled="t" stroked="f" coordsize="21600,21600" wrapcoords="0 0 0 0 21538 0 21538 0 0 0" o:gfxdata="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zu4Ku2gAAAAoBAAAPAAAAAAAAAAEAIAAAACIAAABkcnMvZG93bnJldi54&#10;bWxQSwECFAAUAAAACACHTuJA1rVWQDECAAB5BAAADgAAAAAAAAABACAAAAApAQAAZHJzL2Uyb0Rv&#10;Yy54bWxQSwUGAAAAAAYABgBZAQAAzAUAAAAA&#10;">
                    <v:fill on="t" focussize="0,0"/>
                    <v:stroke on="f"/>
                    <v:imagedata o:title=""/>
                    <o:lock v:ext="edit" aspectratio="f"/>
                    <v:textbox inset="0mm,0mm,0mm,0mm" style="mso-fit-shape-to-text:t;">
                      <w:txbxContent>
                        <w:p>
                          <w:pPr>
                            <w:pStyle w:val="9"/>
                            <w:jc w:val="center"/>
                            <w:rPr>
                              <w:rFonts w:ascii="Arial" w:hAnsi="Arial" w:cs="Arial"/>
                              <w:sz w:val="22"/>
                              <w:szCs w:val="22"/>
                            </w:rPr>
                          </w:pPr>
                          <w:r>
                            <w:t xml:space="preserve">Figure </w:t>
                          </w:r>
                          <w:r>
                            <w:fldChar w:fldCharType="begin"/>
                          </w:r>
                          <w:r>
                            <w:instrText xml:space="preserve"> SEQ Figure \* ARABIC </w:instrText>
                          </w:r>
                          <w:r>
                            <w:fldChar w:fldCharType="separate"/>
                          </w:r>
                          <w:r>
                            <w:t>4</w:t>
                          </w:r>
                          <w:r>
                            <w:fldChar w:fldCharType="end"/>
                          </w:r>
                          <w:r>
                            <w:t>: Market Size &amp; Position</w:t>
                          </w:r>
                        </w:p>
                      </w:txbxContent>
                    </v:textbox>
                    <w10:wrap type="through"/>
                  </v:shape>
                </w:pict>
              </mc:Fallback>
            </mc:AlternateContent>
          </w:r>
          <w:r>
            <w:rPr>
              <w:rFonts w:ascii="Arial" w:hAnsi="Arial" w:cs="Arial"/>
              <w:b/>
              <w:bCs/>
              <w:sz w:val="22"/>
            </w:rPr>
            <w:t>Market Size &amp; Position:</w:t>
          </w:r>
          <w:r>
            <w:rPr>
              <w:rFonts w:ascii="Arial" w:hAnsi="Arial" w:cs="Arial"/>
              <w:sz w:val="22"/>
            </w:rPr>
            <w:t xml:space="preserve"> With a noteworthy presence in the German telecommunications industry, Vodafone Germany commands a significant portion of the market share. Adding to its eminence is the company's fervent pursuit of expanding 5G networks, propelling it to the forefront of this competitive realm</w:t>
          </w:r>
        </w:p>
        <w:p>
          <w:pPr>
            <w:spacing w:line="480" w:lineRule="auto"/>
            <w:jc w:val="both"/>
            <w:rPr>
              <w:rFonts w:ascii="Arial" w:hAnsi="Arial" w:cs="Arial"/>
              <w:sz w:val="22"/>
            </w:rPr>
          </w:pPr>
        </w:p>
        <w:p>
          <w:pPr>
            <w:spacing w:line="480" w:lineRule="auto"/>
            <w:jc w:val="both"/>
            <w:rPr>
              <w:rFonts w:ascii="Arial" w:hAnsi="Arial" w:cs="Arial"/>
              <w:sz w:val="22"/>
            </w:rPr>
          </w:pPr>
          <w:r>
            <w:rPr>
              <w:rFonts w:ascii="Arial" w:hAnsi="Arial" w:cs="Arial"/>
              <w:sz w:val="22"/>
            </w:rPr>
            <w:t>Key Success Factors:</w:t>
          </w:r>
        </w:p>
        <w:p>
          <w:pPr>
            <w:numPr>
              <w:ilvl w:val="0"/>
              <w:numId w:val="16"/>
            </w:numPr>
            <w:spacing w:line="480" w:lineRule="auto"/>
            <w:jc w:val="both"/>
            <w:rPr>
              <w:rFonts w:ascii="Arial" w:hAnsi="Arial" w:cs="Arial"/>
              <w:sz w:val="22"/>
            </w:rPr>
          </w:pPr>
          <w:r>
            <w:rPr>
              <w:rFonts w:ascii="Arial" w:hAnsi="Arial" w:cs="Arial"/>
              <w:sz w:val="22"/>
            </w:rPr>
            <w:t>Tech Evolution: Vodafone's commitment to adopting cutting-edge technologies, with a spotlight on 5G, has been a game-changer.</w:t>
          </w:r>
        </w:p>
        <w:p>
          <w:pPr>
            <w:numPr>
              <w:ilvl w:val="0"/>
              <w:numId w:val="16"/>
            </w:numPr>
            <w:spacing w:line="480" w:lineRule="auto"/>
            <w:jc w:val="both"/>
            <w:rPr>
              <w:rFonts w:ascii="Arial" w:hAnsi="Arial" w:cs="Arial"/>
              <w:sz w:val="22"/>
            </w:rPr>
          </w:pPr>
          <w:r>
            <w:rPr>
              <w:rFonts w:ascii="Arial" w:hAnsi="Arial" w:cs="Arial"/>
              <w:sz w:val="22"/>
            </w:rPr>
            <w:t>Service Innovation: By rolling out combined offerings, like mobile, web, and TV bundles, they're aligning with modern consumer tastes.</w:t>
          </w:r>
        </w:p>
        <w:p>
          <w:pPr>
            <w:numPr>
              <w:ilvl w:val="0"/>
              <w:numId w:val="16"/>
            </w:numPr>
            <w:spacing w:line="480" w:lineRule="auto"/>
            <w:jc w:val="both"/>
            <w:rPr>
              <w:rFonts w:ascii="Arial" w:hAnsi="Arial" w:cs="Arial"/>
              <w:sz w:val="22"/>
            </w:rPr>
          </w:pPr>
          <w:r>
            <w:rPr>
              <w:rFonts w:ascii="Arial" w:hAnsi="Arial" w:cs="Arial"/>
              <w:sz w:val="22"/>
            </w:rPr>
            <w:t>Digital Leap: Their foray into digital platforms, AI-powered customer interactions, and cloud-based solutions has uplifted both the user experience and streamlined operations.</w:t>
          </w:r>
        </w:p>
        <w:p>
          <w:pPr>
            <w:numPr>
              <w:ilvl w:val="0"/>
              <w:numId w:val="16"/>
            </w:numPr>
            <w:spacing w:line="480" w:lineRule="auto"/>
            <w:jc w:val="both"/>
            <w:rPr>
              <w:rFonts w:ascii="Arial" w:hAnsi="Arial" w:cs="Arial"/>
              <w:sz w:val="22"/>
            </w:rPr>
          </w:pPr>
          <w:r>
            <w:rPr>
              <w:rFonts w:ascii="Arial" w:hAnsi="Arial" w:cs="Arial"/>
              <w:sz w:val="22"/>
            </w:rPr>
            <w:t>Staying Within Bounds: Skillfully maneuvering through the regulatory maze set by the German Federal Network Agency (BNetzA) is vital. The latest rules underscore the importance of equitable competition and bolstering infrastructure.</w:t>
          </w:r>
        </w:p>
        <w:p>
          <w:pPr>
            <w:spacing w:line="480" w:lineRule="auto"/>
            <w:jc w:val="both"/>
            <w:rPr>
              <w:rFonts w:ascii="Arial" w:hAnsi="Arial" w:cs="Arial"/>
              <w:sz w:val="22"/>
            </w:rPr>
          </w:pPr>
          <w:r>
            <w:rPr>
              <w:rFonts w:ascii="Arial" w:hAnsi="Arial" w:cs="Arial"/>
              <w:sz w:val="22"/>
            </w:rPr>
            <w:t>Challenges: Despite its strengths, Vodafone faces challenges like regulatory hurdles, high infrastructure costs, and intense competition. Addressing these challenges while capitalizing on opportunities will be key to Vodafone's sustained success in the German market.</w:t>
          </w:r>
          <w:bookmarkEnd w:id="13"/>
        </w:p>
        <w:p>
          <w:pPr>
            <w:pStyle w:val="2"/>
          </w:pPr>
          <w:bookmarkStart w:id="14" w:name="_Toc142950671"/>
          <w:r>
            <w:t>5. Host Country Analysis</w:t>
          </w:r>
          <w:bookmarkEnd w:id="14"/>
        </w:p>
        <w:p>
          <w:pPr>
            <w:spacing w:after="160" w:line="480" w:lineRule="auto"/>
            <w:jc w:val="both"/>
            <w:rPr>
              <w:rStyle w:val="33"/>
              <w:rFonts w:cs="Arial" w:eastAsiaTheme="minorHAnsi"/>
              <w:b w:val="0"/>
              <w:color w:val="auto"/>
              <w:sz w:val="22"/>
              <w:szCs w:val="22"/>
            </w:rPr>
          </w:pPr>
          <w:r>
            <w:rPr>
              <w:rFonts w:ascii="Arial" w:hAnsi="Arial" w:cs="Arial"/>
              <w:sz w:val="22"/>
              <w:lang w:eastAsia="ja-JP"/>
            </w:rPr>
            <w:t>Germany, a cornerstone of Europe's thriving economies, offers a dynamic environment for businesses. Its strong infrastructure, advanced technology, and political stability attract global corporations. Like any market, Germany has its unique opportunities and challenges. In this section, we'll explore Germany's business landscape using Porter's National Diamond model and assess the potential risks, giving insight into the context Vodafone operates in.</w:t>
          </w:r>
          <w:bookmarkStart w:id="15" w:name="_Toc142950672"/>
        </w:p>
        <w:p>
          <w:pPr>
            <w:spacing w:after="160" w:line="360" w:lineRule="auto"/>
          </w:pPr>
          <w:r>
            <w:rPr>
              <w:rStyle w:val="33"/>
            </w:rPr>
            <w:t>5.1 Country’s National Diamond</w:t>
          </w:r>
          <w:bookmarkEnd w:id="15"/>
          <w:r>
            <w:t xml:space="preserve"> (Germany )</w:t>
          </w:r>
        </w:p>
        <w:p>
          <w:pPr>
            <w:spacing w:line="480" w:lineRule="auto"/>
            <w:jc w:val="both"/>
            <w:rPr>
              <w:rFonts w:ascii="Arial" w:hAnsi="Arial" w:cs="Arial"/>
              <w:sz w:val="22"/>
            </w:rPr>
          </w:pPr>
          <w:r>
            <mc:AlternateContent>
              <mc:Choice Requires="wps">
                <w:drawing>
                  <wp:anchor distT="0" distB="0" distL="114300" distR="114300" simplePos="0" relativeHeight="251668480" behindDoc="0" locked="0" layoutInCell="1" allowOverlap="1">
                    <wp:simplePos x="0" y="0"/>
                    <wp:positionH relativeFrom="column">
                      <wp:posOffset>914400</wp:posOffset>
                    </wp:positionH>
                    <wp:positionV relativeFrom="paragraph">
                      <wp:posOffset>2674620</wp:posOffset>
                    </wp:positionV>
                    <wp:extent cx="3688080" cy="635"/>
                    <wp:effectExtent l="0" t="0" r="0" b="12065"/>
                    <wp:wrapThrough wrapText="bothSides">
                      <wp:wrapPolygon>
                        <wp:start x="0" y="0"/>
                        <wp:lineTo x="0" y="0"/>
                        <wp:lineTo x="21496" y="0"/>
                        <wp:lineTo x="21496" y="0"/>
                        <wp:lineTo x="0" y="0"/>
                      </wp:wrapPolygon>
                    </wp:wrapThrough>
                    <wp:docPr id="800180011" name="Text Box 8"/>
                    <wp:cNvGraphicFramePr/>
                    <a:graphic xmlns:a="http://schemas.openxmlformats.org/drawingml/2006/main">
                      <a:graphicData uri="http://schemas.microsoft.com/office/word/2010/wordprocessingShape">
                        <wps:wsp>
                          <wps:cNvSpPr txBox="1"/>
                          <wps:spPr>
                            <a:xfrm>
                              <a:off x="0" y="0"/>
                              <a:ext cx="3688080" cy="635"/>
                            </a:xfrm>
                            <a:prstGeom prst="rect">
                              <a:avLst/>
                            </a:prstGeom>
                            <a:solidFill>
                              <a:prstClr val="white"/>
                            </a:solidFill>
                            <a:ln>
                              <a:noFill/>
                            </a:ln>
                          </wps:spPr>
                          <wps:txbx>
                            <w:txbxContent>
                              <w:p>
                                <w:pPr>
                                  <w:pStyle w:val="9"/>
                                  <w:rPr>
                                    <w:rFonts w:ascii="Arial" w:hAnsi="Arial" w:cs="Arial"/>
                                    <w:sz w:val="22"/>
                                    <w:szCs w:val="22"/>
                                  </w:rPr>
                                </w:pPr>
                                <w:r>
                                  <w:t xml:space="preserve">Figure </w:t>
                                </w:r>
                                <w:r>
                                  <w:fldChar w:fldCharType="begin"/>
                                </w:r>
                                <w:r>
                                  <w:instrText xml:space="preserve"> SEQ Figure \* ARABIC </w:instrText>
                                </w:r>
                                <w:r>
                                  <w:fldChar w:fldCharType="separate"/>
                                </w:r>
                                <w:r>
                                  <w:t>5</w:t>
                                </w:r>
                                <w:r>
                                  <w:fldChar w:fldCharType="end"/>
                                </w:r>
                                <w:r>
                                  <w:t xml:space="preserve">: National Diamond. Source </w:t>
                                </w:r>
                                <w:sdt>
                                  <w:sdtPr>
                                    <w:id w:val="-436132955"/>
                                  </w:sdtPr>
                                  <w:sdtContent>
                                    <w:r>
                                      <w:fldChar w:fldCharType="begin"/>
                                    </w:r>
                                    <w:r>
                                      <w:instrText xml:space="preserve"> CITATION Dan19 \l 2057 </w:instrText>
                                    </w:r>
                                    <w:r>
                                      <w:fldChar w:fldCharType="separate"/>
                                    </w:r>
                                    <w:r>
                                      <w:t>(Daniels, 2019)</w:t>
                                    </w:r>
                                    <w:r>
                                      <w:fldChar w:fldCharType="end"/>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8" o:spid="_x0000_s1026" o:spt="202" type="#_x0000_t202" style="position:absolute;left:0pt;margin-left:72pt;margin-top:210.6pt;height:0.05pt;width:290.4pt;mso-wrap-distance-left:9pt;mso-wrap-distance-right:9pt;z-index:251668480;mso-width-relative:page;mso-height-relative:page;" fillcolor="#FFFFFF" filled="t" stroked="f" coordsize="21600,21600" wrapcoords="0 0 0 0 21496 0 21496 0 0 0" o:gfxdata="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a1zoS2gAAAAsBAAAPAAAAAAAAAAEAIAAAACIAAABkcnMvZG93bnJldi54bWxQ&#10;SwECFAAUAAAACACHTuJA2LdkHS4CAAB5BAAADgAAAAAAAAABACAAAAApAQAAZHJzL2Uyb0RvYy54&#10;bWxQSwUGAAAAAAYABgBZAQAAyQUAAAAA&#10;">
                    <v:fill on="t" focussize="0,0"/>
                    <v:stroke on="f"/>
                    <v:imagedata o:title=""/>
                    <o:lock v:ext="edit" aspectratio="f"/>
                    <v:textbox inset="0mm,0mm,0mm,0mm" style="mso-fit-shape-to-text:t;">
                      <w:txbxContent>
                        <w:p>
                          <w:pPr>
                            <w:pStyle w:val="9"/>
                            <w:rPr>
                              <w:rFonts w:ascii="Arial" w:hAnsi="Arial" w:cs="Arial"/>
                              <w:sz w:val="22"/>
                              <w:szCs w:val="22"/>
                            </w:rPr>
                          </w:pPr>
                          <w:r>
                            <w:t xml:space="preserve">Figure </w:t>
                          </w:r>
                          <w:r>
                            <w:fldChar w:fldCharType="begin"/>
                          </w:r>
                          <w:r>
                            <w:instrText xml:space="preserve"> SEQ Figure \* ARABIC </w:instrText>
                          </w:r>
                          <w:r>
                            <w:fldChar w:fldCharType="separate"/>
                          </w:r>
                          <w:r>
                            <w:t>5</w:t>
                          </w:r>
                          <w:r>
                            <w:fldChar w:fldCharType="end"/>
                          </w:r>
                          <w:r>
                            <w:t xml:space="preserve">: National Diamond. Source </w:t>
                          </w:r>
                          <w:sdt>
                            <w:sdtPr>
                              <w:id w:val="-436132955"/>
                            </w:sdtPr>
                            <w:sdtContent>
                              <w:r>
                                <w:fldChar w:fldCharType="begin"/>
                              </w:r>
                              <w:r>
                                <w:instrText xml:space="preserve"> CITATION Dan19 \l 2057 </w:instrText>
                              </w:r>
                              <w:r>
                                <w:fldChar w:fldCharType="separate"/>
                              </w:r>
                              <w:r>
                                <w:t>(Daniels, 2019)</w:t>
                              </w:r>
                              <w:r>
                                <w:fldChar w:fldCharType="end"/>
                              </w:r>
                            </w:sdtContent>
                          </w:sdt>
                        </w:p>
                      </w:txbxContent>
                    </v:textbox>
                    <w10:wrap type="through"/>
                  </v:shape>
                </w:pict>
              </mc:Fallback>
            </mc:AlternateContent>
          </w:r>
          <w:r>
            <w:rPr>
              <w:rFonts w:ascii="Arial" w:hAnsi="Arial" w:cs="Arial"/>
              <w:sz w:val="22"/>
            </w:rPr>
            <w:drawing>
              <wp:anchor distT="0" distB="0" distL="114300" distR="114300" simplePos="0" relativeHeight="251667456" behindDoc="0" locked="0" layoutInCell="1" allowOverlap="1">
                <wp:simplePos x="0" y="0"/>
                <wp:positionH relativeFrom="column">
                  <wp:posOffset>914400</wp:posOffset>
                </wp:positionH>
                <wp:positionV relativeFrom="paragraph">
                  <wp:posOffset>231775</wp:posOffset>
                </wp:positionV>
                <wp:extent cx="3688715" cy="2385695"/>
                <wp:effectExtent l="0" t="0" r="0" b="1905"/>
                <wp:wrapThrough wrapText="bothSides">
                  <wp:wrapPolygon>
                    <wp:start x="0" y="0"/>
                    <wp:lineTo x="0" y="21502"/>
                    <wp:lineTo x="21496" y="21502"/>
                    <wp:lineTo x="21496" y="0"/>
                    <wp:lineTo x="0" y="0"/>
                  </wp:wrapPolygon>
                </wp:wrapThrough>
                <wp:docPr id="868052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5254" name="Picture 7"/>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88597" cy="2385778"/>
                        </a:xfrm>
                        <a:prstGeom prst="rect">
                          <a:avLst/>
                        </a:prstGeom>
                      </pic:spPr>
                    </pic:pic>
                  </a:graphicData>
                </a:graphic>
              </wp:anchor>
            </w:drawing>
          </w: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p>
        <w:p>
          <w:pPr>
            <w:spacing w:line="480" w:lineRule="auto"/>
            <w:jc w:val="both"/>
            <w:rPr>
              <w:rFonts w:ascii="Arial" w:hAnsi="Arial" w:cs="Arial"/>
              <w:sz w:val="22"/>
            </w:rPr>
          </w:pPr>
          <w:r>
            <w:rPr>
              <w:rFonts w:ascii="Arial" w:hAnsi="Arial" w:cs="Arial"/>
              <w:sz w:val="22"/>
            </w:rPr>
            <w:t>Michael Porter's National Diamond model offers a blueprint for understanding the competitive edge of nations on the global stage. This model suggests that a nation's international prowess hinges on four pivotal determinants:</w:t>
          </w:r>
        </w:p>
        <w:p>
          <w:pPr>
            <w:pStyle w:val="25"/>
            <w:numPr>
              <w:ilvl w:val="0"/>
              <w:numId w:val="17"/>
            </w:numPr>
            <w:spacing w:line="480" w:lineRule="auto"/>
            <w:jc w:val="both"/>
            <w:rPr>
              <w:rFonts w:ascii="Arial" w:hAnsi="Arial" w:cs="Arial"/>
              <w:sz w:val="22"/>
            </w:rPr>
          </w:pPr>
          <w:r>
            <w:rPr>
              <w:rFonts w:ascii="Arial" w:hAnsi="Arial" w:cs="Arial"/>
              <w:sz w:val="22"/>
            </w:rPr>
            <w:t>Factor Conditions: This refers to a nation's assets in production factors, like skilled workforce and infrastructure, which are crucial for industry competition.</w:t>
          </w:r>
        </w:p>
        <w:p>
          <w:pPr>
            <w:pStyle w:val="25"/>
            <w:numPr>
              <w:ilvl w:val="0"/>
              <w:numId w:val="17"/>
            </w:numPr>
            <w:spacing w:line="480" w:lineRule="auto"/>
            <w:jc w:val="both"/>
            <w:rPr>
              <w:rFonts w:ascii="Arial" w:hAnsi="Arial" w:cs="Arial"/>
              <w:sz w:val="22"/>
            </w:rPr>
          </w:pPr>
          <w:r>
            <w:rPr>
              <w:rFonts w:ascii="Arial" w:hAnsi="Arial" w:cs="Arial"/>
              <w:sz w:val="22"/>
            </w:rPr>
            <w:t>Demand Conditions: This delves into the domestic appetite for an industry's offerings, highlighting the importance of understanding and meeting local consumer needs.</w:t>
          </w:r>
        </w:p>
        <w:p>
          <w:pPr>
            <w:pStyle w:val="25"/>
            <w:numPr>
              <w:ilvl w:val="0"/>
              <w:numId w:val="17"/>
            </w:numPr>
            <w:spacing w:line="480" w:lineRule="auto"/>
            <w:jc w:val="both"/>
            <w:rPr>
              <w:rFonts w:ascii="Arial" w:hAnsi="Arial" w:cs="Arial"/>
              <w:sz w:val="22"/>
            </w:rPr>
          </w:pPr>
          <w:r>
            <w:rPr>
              <w:rFonts w:ascii="Arial" w:hAnsi="Arial" w:cs="Arial"/>
              <w:sz w:val="22"/>
            </w:rPr>
            <w:t>Related and Supporting Industries: The global competitiveness of supplier and related industries in a nation can either bolster or hinder its position in a specific industry.</w:t>
          </w:r>
        </w:p>
        <w:p>
          <w:pPr>
            <w:pStyle w:val="25"/>
            <w:numPr>
              <w:ilvl w:val="0"/>
              <w:numId w:val="17"/>
            </w:numPr>
            <w:spacing w:line="480" w:lineRule="auto"/>
            <w:jc w:val="both"/>
            <w:rPr>
              <w:rFonts w:ascii="Arial" w:hAnsi="Arial" w:cs="Arial"/>
              <w:sz w:val="22"/>
            </w:rPr>
          </w:pPr>
          <w:r>
            <w:rPr>
              <w:rFonts w:ascii="Arial" w:hAnsi="Arial" w:cs="Arial"/>
              <w:sz w:val="22"/>
            </w:rPr>
            <w:t>Firm Strategy, Structure, and Rivalry: This determinant focuses on the national conditions shaping company formation, organization, and management. It also considers the intensity of local competition, which can spur innovation and growth.</w:t>
          </w:r>
        </w:p>
        <w:p>
          <w:pPr>
            <w:spacing w:line="480" w:lineRule="auto"/>
            <w:rPr>
              <w:rFonts w:ascii="Arial" w:hAnsi="Arial" w:cs="Arial"/>
              <w:sz w:val="22"/>
            </w:rPr>
          </w:pPr>
          <w:r>
            <w:rPr>
              <w:rFonts w:ascii="Arial" w:hAnsi="Arial" w:cs="Arial"/>
              <w:sz w:val="22"/>
            </w:rPr>
            <w:t>By meticulously examining these facets, nations can fine-tune their competitive stance in the international arena.</w:t>
          </w:r>
        </w:p>
        <w:p>
          <w:pPr>
            <w:pStyle w:val="4"/>
          </w:pPr>
          <w:bookmarkStart w:id="16" w:name="_Toc142950673"/>
          <w:r>
            <w:t>5.1.1 Michael Porter's National Diamond analysis for Vodafone</w:t>
          </w:r>
          <w:bookmarkEnd w:id="16"/>
          <w:r>
            <w:t xml:space="preserve"> </w:t>
          </w:r>
        </w:p>
        <w:p>
          <w:pPr>
            <w:pStyle w:val="9"/>
            <w:keepNext/>
          </w:pPr>
          <w:r>
            <w:t xml:space="preserve">Table </w:t>
          </w:r>
          <w:r>
            <w:fldChar w:fldCharType="begin"/>
          </w:r>
          <w:r>
            <w:instrText xml:space="preserve"> SEQ Table \* ARABIC </w:instrText>
          </w:r>
          <w:r>
            <w:fldChar w:fldCharType="separate"/>
          </w:r>
          <w:r>
            <w:t>6</w:t>
          </w:r>
          <w:r>
            <w:fldChar w:fldCharType="end"/>
          </w:r>
          <w:r>
            <w:t>: Porter's Diamond analysis</w:t>
          </w:r>
        </w:p>
        <w:tbl>
          <w:tblPr>
            <w:tblStyle w:val="42"/>
            <w:tblW w:w="9795" w:type="dxa"/>
            <w:tblInd w:w="0" w:type="dxa"/>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Layout w:type="autofit"/>
            <w:tblCellMar>
              <w:top w:w="0" w:type="dxa"/>
              <w:left w:w="108" w:type="dxa"/>
              <w:bottom w:w="0" w:type="dxa"/>
              <w:right w:w="108" w:type="dxa"/>
            </w:tblCellMar>
          </w:tblPr>
          <w:tblGrid>
            <w:gridCol w:w="2689"/>
            <w:gridCol w:w="7106"/>
          </w:tblGrid>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tcBorders>
                  <w:top w:val="single" w:color="C0504D" w:themeColor="accent2" w:sz="4" w:space="0"/>
                  <w:left w:val="single" w:color="C0504D" w:themeColor="accent2" w:sz="4" w:space="0"/>
                  <w:bottom w:val="single" w:color="C0504D" w:themeColor="accent2" w:sz="4" w:space="0"/>
                  <w:right w:val="nil"/>
                  <w:insideH w:val="single" w:sz="4" w:space="0"/>
                  <w:insideV w:val="nil"/>
                </w:tcBorders>
                <w:shd w:val="clear" w:color="auto" w:fill="C0504D" w:themeFill="accent2"/>
              </w:tcPr>
              <w:p>
                <w:pPr>
                  <w:spacing w:after="0" w:line="480" w:lineRule="auto"/>
                  <w:rPr>
                    <w:rFonts w:ascii="Arial" w:hAnsi="Arial" w:cs="Arial"/>
                    <w:b/>
                    <w:bCs/>
                    <w:color w:val="FFFFFF" w:themeColor="background1"/>
                    <w:kern w:val="2"/>
                    <w:sz w:val="22"/>
                    <w:szCs w:val="24"/>
                    <w14:textFill>
                      <w14:solidFill>
                        <w14:schemeClr w14:val="bg1"/>
                      </w14:solidFill>
                    </w14:textFill>
                    <w14:ligatures w14:val="standardContextual"/>
                  </w:rPr>
                </w:pPr>
                <w:r>
                  <w:rPr>
                    <w:rFonts w:ascii="Arial" w:hAnsi="Arial" w:cs="Arial"/>
                    <w:b/>
                    <w:bCs/>
                    <w:color w:val="FFFFFF" w:themeColor="background1"/>
                    <w:kern w:val="2"/>
                    <w:sz w:val="22"/>
                    <w:szCs w:val="24"/>
                    <w14:textFill>
                      <w14:solidFill>
                        <w14:schemeClr w14:val="bg1"/>
                      </w14:solidFill>
                    </w14:textFill>
                    <w14:ligatures w14:val="standardContextual"/>
                  </w:rPr>
                  <w:t>Porter's National Diamond Model</w:t>
                </w:r>
              </w:p>
            </w:tc>
            <w:tc>
              <w:tcPr>
                <w:tcW w:w="7106" w:type="dxa"/>
                <w:tcBorders>
                  <w:top w:val="single" w:color="C0504D" w:themeColor="accent2" w:sz="4" w:space="0"/>
                  <w:bottom w:val="single" w:color="C0504D" w:themeColor="accent2" w:sz="4" w:space="0"/>
                  <w:right w:val="single" w:color="C0504D" w:themeColor="accent2" w:sz="4" w:space="0"/>
                  <w:insideH w:val="single" w:sz="4" w:space="0"/>
                  <w:insideV w:val="nil"/>
                </w:tcBorders>
                <w:shd w:val="clear" w:color="auto" w:fill="C0504D" w:themeFill="accent2"/>
              </w:tcPr>
              <w:p>
                <w:pPr>
                  <w:spacing w:after="200" w:line="480" w:lineRule="auto"/>
                  <w:rPr>
                    <w:rFonts w:ascii="Arial" w:hAnsi="Arial" w:cs="Arial"/>
                    <w:b/>
                    <w:bCs/>
                    <w:color w:val="FFFFFF" w:themeColor="background1"/>
                    <w:kern w:val="2"/>
                    <w:sz w:val="22"/>
                    <w:szCs w:val="24"/>
                    <w14:textFill>
                      <w14:solidFill>
                        <w14:schemeClr w14:val="bg1"/>
                      </w14:solidFill>
                    </w14:textFill>
                    <w14:ligatures w14:val="standardContextual"/>
                  </w:rPr>
                </w:pPr>
                <w:r>
                  <w:rPr>
                    <w:rFonts w:ascii="Arial" w:hAnsi="Arial" w:cs="Arial"/>
                    <w:b/>
                    <w:bCs/>
                    <w:color w:val="FFFFFF" w:themeColor="background1"/>
                    <w:kern w:val="2"/>
                    <w:sz w:val="22"/>
                    <w:szCs w:val="24"/>
                    <w14:textFill>
                      <w14:solidFill>
                        <w14:schemeClr w14:val="bg1"/>
                      </w14:solidFill>
                    </w14:textFill>
                    <w14:ligatures w14:val="standardContextual"/>
                  </w:rPr>
                  <w:t>Vodafone Germany Analysis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shd w:val="clear" w:color="auto" w:fill="F2DBDB" w:themeFill="accent2" w:themeFillTint="33"/>
              </w:tcPr>
              <w:p>
                <w:pPr>
                  <w:spacing w:after="200" w:line="480" w:lineRule="auto"/>
                  <w:rPr>
                    <w:rFonts w:ascii="Arial" w:hAnsi="Arial" w:cs="Arial"/>
                    <w:b/>
                    <w:bCs/>
                    <w:kern w:val="2"/>
                    <w:sz w:val="22"/>
                    <w:szCs w:val="24"/>
                    <w14:ligatures w14:val="standardContextual"/>
                  </w:rPr>
                </w:pPr>
                <w:r>
                  <w:rPr>
                    <w:rFonts w:ascii="Arial" w:hAnsi="Arial" w:cs="Arial"/>
                    <w:b/>
                    <w:bCs/>
                    <w:color w:val="FF0000"/>
                    <w:kern w:val="2"/>
                    <w:sz w:val="22"/>
                    <w:szCs w:val="24"/>
                    <w14:ligatures w14:val="standardContextual"/>
                  </w:rPr>
                  <w:t>Factor Conditions</w:t>
                </w:r>
              </w:p>
            </w:tc>
            <w:tc>
              <w:tcPr>
                <w:tcW w:w="7106" w:type="dxa"/>
                <w:shd w:val="clear" w:color="auto" w:fill="F2DBDB" w:themeFill="accent2" w:themeFillTint="33"/>
              </w:tcPr>
              <w:p>
                <w:pPr>
                  <w:spacing w:after="200" w:line="480" w:lineRule="auto"/>
                  <w:rPr>
                    <w:rFonts w:ascii="Arial" w:hAnsi="Arial" w:cs="Arial"/>
                    <w:kern w:val="2"/>
                    <w:sz w:val="22"/>
                    <w:szCs w:val="24"/>
                    <w14:ligatures w14:val="standardContextual"/>
                  </w:rPr>
                </w:pP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tcPr>
              <w:p>
                <w:pPr>
                  <w:spacing w:after="200" w:line="480" w:lineRule="auto"/>
                  <w:rPr>
                    <w:rFonts w:ascii="Arial" w:hAnsi="Arial" w:cs="Arial"/>
                    <w:b/>
                    <w:bCs/>
                    <w:kern w:val="2"/>
                    <w:sz w:val="22"/>
                    <w:szCs w:val="24"/>
                    <w14:ligatures w14:val="standardContextual"/>
                  </w:rPr>
                </w:pPr>
                <w:r>
                  <w:rPr>
                    <w:rFonts w:ascii="Arial" w:hAnsi="Arial" w:cs="Arial"/>
                    <w:b/>
                    <w:bCs/>
                    <w:kern w:val="2"/>
                    <w:sz w:val="22"/>
                    <w:szCs w:val="24"/>
                    <w14:ligatures w14:val="standardContextual"/>
                  </w:rPr>
                  <w:t>- Technological Infrastructure</w:t>
                </w:r>
              </w:p>
            </w:tc>
            <w:tc>
              <w:tcPr>
                <w:tcW w:w="7106" w:type="dxa"/>
              </w:tcPr>
              <w:p>
                <w:pPr>
                  <w:spacing w:after="200" w:line="480" w:lineRule="auto"/>
                  <w:rPr>
                    <w:rFonts w:ascii="Arial" w:hAnsi="Arial" w:cs="Arial"/>
                    <w:kern w:val="2"/>
                    <w:sz w:val="22"/>
                    <w:szCs w:val="24"/>
                    <w14:ligatures w14:val="standardContextual"/>
                  </w:rPr>
                </w:pPr>
                <w:r>
                  <w:rPr>
                    <w:rFonts w:ascii="Arial" w:hAnsi="Arial" w:cs="Arial"/>
                    <w:kern w:val="2"/>
                    <w:sz w:val="22"/>
                    <w:szCs w:val="24"/>
                    <w14:ligatures w14:val="standardContextual"/>
                  </w:rPr>
                  <w:t>Offers LTE, 5G, cable internet, landlines, cable TV, and IPTV. Introduced 5G services in July 2019.</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shd w:val="clear" w:color="auto" w:fill="F2DBDB" w:themeFill="accent2" w:themeFillTint="33"/>
              </w:tcPr>
              <w:p>
                <w:pPr>
                  <w:spacing w:after="200" w:line="480" w:lineRule="auto"/>
                  <w:rPr>
                    <w:rFonts w:ascii="Arial" w:hAnsi="Arial" w:cs="Arial"/>
                    <w:b/>
                    <w:bCs/>
                    <w:kern w:val="2"/>
                    <w:sz w:val="22"/>
                    <w:szCs w:val="24"/>
                    <w14:ligatures w14:val="standardContextual"/>
                  </w:rPr>
                </w:pPr>
                <w:r>
                  <w:rPr>
                    <w:rFonts w:ascii="Arial" w:hAnsi="Arial" w:cs="Arial"/>
                    <w:b/>
                    <w:bCs/>
                    <w:kern w:val="2"/>
                    <w:sz w:val="22"/>
                    <w:szCs w:val="24"/>
                    <w14:ligatures w14:val="standardContextual"/>
                  </w:rPr>
                  <w:t>- Human Resources</w:t>
                </w:r>
              </w:p>
            </w:tc>
            <w:tc>
              <w:tcPr>
                <w:tcW w:w="7106" w:type="dxa"/>
                <w:shd w:val="clear" w:color="auto" w:fill="F2DBDB" w:themeFill="accent2" w:themeFillTint="33"/>
              </w:tcPr>
              <w:p>
                <w:pPr>
                  <w:spacing w:after="200" w:line="480" w:lineRule="auto"/>
                  <w:rPr>
                    <w:rFonts w:ascii="Arial" w:hAnsi="Arial" w:cs="Arial"/>
                    <w:kern w:val="2"/>
                    <w:sz w:val="22"/>
                    <w:szCs w:val="24"/>
                    <w14:ligatures w14:val="standardContextual"/>
                  </w:rPr>
                </w:pPr>
                <w:r>
                  <w:rPr>
                    <w:rFonts w:ascii="Arial" w:hAnsi="Arial" w:cs="Arial"/>
                    <w:kern w:val="2"/>
                    <w:sz w:val="22"/>
                    <w:szCs w:val="24"/>
                    <w14:ligatures w14:val="standardContextual"/>
                  </w:rPr>
                  <w:t>Employs 16,000 individuals.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tcPr>
              <w:p>
                <w:pPr>
                  <w:spacing w:after="200" w:line="480" w:lineRule="auto"/>
                  <w:rPr>
                    <w:rFonts w:ascii="Arial" w:hAnsi="Arial" w:cs="Arial"/>
                    <w:b/>
                    <w:bCs/>
                    <w:kern w:val="2"/>
                    <w:sz w:val="22"/>
                    <w:szCs w:val="24"/>
                    <w14:ligatures w14:val="standardContextual"/>
                  </w:rPr>
                </w:pPr>
              </w:p>
            </w:tc>
            <w:tc>
              <w:tcPr>
                <w:tcW w:w="7106" w:type="dxa"/>
              </w:tcPr>
              <w:p>
                <w:pPr>
                  <w:spacing w:after="200" w:line="480" w:lineRule="auto"/>
                  <w:rPr>
                    <w:rFonts w:ascii="Arial" w:hAnsi="Arial" w:cs="Arial"/>
                    <w:kern w:val="2"/>
                    <w:sz w:val="22"/>
                    <w:szCs w:val="24"/>
                    <w14:ligatures w14:val="standardContextual"/>
                  </w:rPr>
                </w:pP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shd w:val="clear" w:color="auto" w:fill="F2DBDB" w:themeFill="accent2" w:themeFillTint="33"/>
              </w:tcPr>
              <w:p>
                <w:pPr>
                  <w:spacing w:after="200" w:line="480" w:lineRule="auto"/>
                  <w:rPr>
                    <w:rFonts w:ascii="Arial" w:hAnsi="Arial" w:cs="Arial"/>
                    <w:b/>
                    <w:bCs/>
                    <w:kern w:val="2"/>
                    <w:sz w:val="22"/>
                    <w:szCs w:val="24"/>
                    <w14:ligatures w14:val="standardContextual"/>
                  </w:rPr>
                </w:pPr>
                <w:r>
                  <w:rPr>
                    <w:rFonts w:ascii="Arial" w:hAnsi="Arial" w:cs="Arial"/>
                    <w:b/>
                    <w:bCs/>
                    <w:color w:val="FF0000"/>
                    <w:kern w:val="2"/>
                    <w:sz w:val="22"/>
                    <w:szCs w:val="24"/>
                    <w14:ligatures w14:val="standardContextual"/>
                  </w:rPr>
                  <w:t>Demand Conditions</w:t>
                </w:r>
              </w:p>
            </w:tc>
            <w:tc>
              <w:tcPr>
                <w:tcW w:w="7106" w:type="dxa"/>
                <w:shd w:val="clear" w:color="auto" w:fill="F2DBDB" w:themeFill="accent2" w:themeFillTint="33"/>
              </w:tcPr>
              <w:p>
                <w:pPr>
                  <w:spacing w:after="200" w:line="480" w:lineRule="auto"/>
                  <w:rPr>
                    <w:rFonts w:ascii="Arial" w:hAnsi="Arial" w:cs="Arial"/>
                    <w:kern w:val="2"/>
                    <w:sz w:val="22"/>
                    <w:szCs w:val="24"/>
                    <w14:ligatures w14:val="standardContextual"/>
                  </w:rPr>
                </w:pP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tcPr>
              <w:p>
                <w:pPr>
                  <w:spacing w:after="200" w:line="480" w:lineRule="auto"/>
                  <w:rPr>
                    <w:rFonts w:ascii="Arial" w:hAnsi="Arial" w:cs="Arial"/>
                    <w:b/>
                    <w:bCs/>
                    <w:kern w:val="2"/>
                    <w:sz w:val="22"/>
                    <w:szCs w:val="24"/>
                    <w14:ligatures w14:val="standardContextual"/>
                  </w:rPr>
                </w:pPr>
                <w:r>
                  <w:rPr>
                    <w:rFonts w:ascii="Arial" w:hAnsi="Arial" w:cs="Arial"/>
                    <w:b/>
                    <w:bCs/>
                    <w:kern w:val="2"/>
                    <w:sz w:val="22"/>
                    <w:szCs w:val="24"/>
                    <w14:ligatures w14:val="standardContextual"/>
                  </w:rPr>
                  <w:t>- Domestic Market Size</w:t>
                </w:r>
              </w:p>
            </w:tc>
            <w:tc>
              <w:tcPr>
                <w:tcW w:w="7106" w:type="dxa"/>
              </w:tcPr>
              <w:p>
                <w:pPr>
                  <w:spacing w:after="200" w:line="480" w:lineRule="auto"/>
                  <w:rPr>
                    <w:rFonts w:ascii="Arial" w:hAnsi="Arial" w:cs="Arial"/>
                    <w:kern w:val="2"/>
                    <w:sz w:val="22"/>
                    <w:szCs w:val="24"/>
                    <w14:ligatures w14:val="standardContextual"/>
                  </w:rPr>
                </w:pPr>
                <w:r>
                  <w:rPr>
                    <w:rFonts w:ascii="Arial" w:hAnsi="Arial" w:cs="Arial"/>
                    <w:kern w:val="2"/>
                    <w:sz w:val="22"/>
                    <w:szCs w:val="24"/>
                    <w14:ligatures w14:val="standardContextual"/>
                  </w:rPr>
                  <w:t>Over 31 million mobile customers as of Q3 2021. Third-largest mobile phone service provider in Germany.</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shd w:val="clear" w:color="auto" w:fill="F2DBDB" w:themeFill="accent2" w:themeFillTint="33"/>
              </w:tcPr>
              <w:p>
                <w:pPr>
                  <w:spacing w:after="200" w:line="480" w:lineRule="auto"/>
                  <w:rPr>
                    <w:rFonts w:ascii="Arial" w:hAnsi="Arial" w:cs="Arial"/>
                    <w:b/>
                    <w:bCs/>
                    <w:kern w:val="2"/>
                    <w:sz w:val="22"/>
                    <w:szCs w:val="24"/>
                    <w14:ligatures w14:val="standardContextual"/>
                  </w:rPr>
                </w:pPr>
                <w:r>
                  <w:rPr>
                    <w:rFonts w:ascii="Arial" w:hAnsi="Arial" w:cs="Arial"/>
                    <w:b/>
                    <w:bCs/>
                    <w:kern w:val="2"/>
                    <w:sz w:val="22"/>
                    <w:szCs w:val="24"/>
                    <w14:ligatures w14:val="standardContextual"/>
                  </w:rPr>
                  <w:t>- Service Diversity</w:t>
                </w:r>
              </w:p>
            </w:tc>
            <w:tc>
              <w:tcPr>
                <w:tcW w:w="7106" w:type="dxa"/>
                <w:shd w:val="clear" w:color="auto" w:fill="F2DBDB" w:themeFill="accent2" w:themeFillTint="33"/>
              </w:tcPr>
              <w:p>
                <w:pPr>
                  <w:spacing w:after="200" w:line="480" w:lineRule="auto"/>
                  <w:rPr>
                    <w:rFonts w:ascii="Arial" w:hAnsi="Arial" w:cs="Arial"/>
                    <w:kern w:val="2"/>
                    <w:sz w:val="22"/>
                    <w:szCs w:val="24"/>
                    <w14:ligatures w14:val="standardContextual"/>
                  </w:rPr>
                </w:pPr>
                <w:r>
                  <w:rPr>
                    <w:rFonts w:ascii="Arial" w:hAnsi="Arial" w:cs="Arial"/>
                    <w:kern w:val="2"/>
                    <w:sz w:val="22"/>
                    <w:szCs w:val="24"/>
                    <w14:ligatures w14:val="standardContextual"/>
                  </w:rPr>
                  <w:t>Caters to both prepaid and postpaid customers. Expanded services to include 5G and IPTV.</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tcPr>
              <w:p>
                <w:pPr>
                  <w:spacing w:after="200" w:line="480" w:lineRule="auto"/>
                  <w:rPr>
                    <w:rFonts w:ascii="Arial" w:hAnsi="Arial" w:cs="Arial"/>
                    <w:b/>
                    <w:bCs/>
                    <w:kern w:val="2"/>
                    <w:sz w:val="22"/>
                    <w:szCs w:val="24"/>
                    <w14:ligatures w14:val="standardContextual"/>
                  </w:rPr>
                </w:pPr>
              </w:p>
            </w:tc>
            <w:tc>
              <w:tcPr>
                <w:tcW w:w="7106" w:type="dxa"/>
              </w:tcPr>
              <w:p>
                <w:pPr>
                  <w:spacing w:after="200" w:line="480" w:lineRule="auto"/>
                  <w:rPr>
                    <w:rFonts w:ascii="Arial" w:hAnsi="Arial" w:cs="Arial"/>
                    <w:kern w:val="2"/>
                    <w:sz w:val="22"/>
                    <w:szCs w:val="24"/>
                    <w14:ligatures w14:val="standardContextual"/>
                  </w:rPr>
                </w:pP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shd w:val="clear" w:color="auto" w:fill="F2DBDB" w:themeFill="accent2" w:themeFillTint="33"/>
              </w:tcPr>
              <w:p>
                <w:pPr>
                  <w:spacing w:after="200" w:line="480" w:lineRule="auto"/>
                  <w:rPr>
                    <w:rFonts w:ascii="Arial" w:hAnsi="Arial" w:cs="Arial"/>
                    <w:b/>
                    <w:bCs/>
                    <w:kern w:val="2"/>
                    <w:sz w:val="22"/>
                    <w:szCs w:val="24"/>
                    <w14:ligatures w14:val="standardContextual"/>
                  </w:rPr>
                </w:pPr>
                <w:r>
                  <w:rPr>
                    <w:rFonts w:ascii="Arial" w:hAnsi="Arial" w:cs="Arial"/>
                    <w:b/>
                    <w:bCs/>
                    <w:color w:val="FF0000"/>
                    <w:kern w:val="2"/>
                    <w:sz w:val="22"/>
                    <w:szCs w:val="24"/>
                    <w14:ligatures w14:val="standardContextual"/>
                  </w:rPr>
                  <w:t>Related and Supporting Industries</w:t>
                </w:r>
              </w:p>
            </w:tc>
            <w:tc>
              <w:tcPr>
                <w:tcW w:w="7106" w:type="dxa"/>
                <w:shd w:val="clear" w:color="auto" w:fill="F2DBDB" w:themeFill="accent2" w:themeFillTint="33"/>
              </w:tcPr>
              <w:p>
                <w:pPr>
                  <w:spacing w:after="200" w:line="480" w:lineRule="auto"/>
                  <w:rPr>
                    <w:rFonts w:ascii="Arial" w:hAnsi="Arial" w:cs="Arial"/>
                    <w:kern w:val="2"/>
                    <w:sz w:val="22"/>
                    <w:szCs w:val="24"/>
                    <w14:ligatures w14:val="standardContextual"/>
                  </w:rPr>
                </w:pP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tcPr>
              <w:p>
                <w:pPr>
                  <w:spacing w:after="200" w:line="480" w:lineRule="auto"/>
                  <w:rPr>
                    <w:rFonts w:ascii="Arial" w:hAnsi="Arial" w:cs="Arial"/>
                    <w:b/>
                    <w:bCs/>
                    <w:kern w:val="2"/>
                    <w:sz w:val="22"/>
                    <w:szCs w:val="24"/>
                    <w14:ligatures w14:val="standardContextual"/>
                  </w:rPr>
                </w:pPr>
                <w:r>
                  <w:rPr>
                    <w:rFonts w:ascii="Arial" w:hAnsi="Arial" w:cs="Arial"/>
                    <w:b/>
                    <w:bCs/>
                    <w:kern w:val="2"/>
                    <w:sz w:val="22"/>
                    <w:szCs w:val="24"/>
                    <w14:ligatures w14:val="standardContextual"/>
                  </w:rPr>
                  <w:t>- Competitors</w:t>
                </w:r>
              </w:p>
            </w:tc>
            <w:tc>
              <w:tcPr>
                <w:tcW w:w="7106" w:type="dxa"/>
              </w:tcPr>
              <w:p>
                <w:pPr>
                  <w:spacing w:after="200" w:line="480" w:lineRule="auto"/>
                  <w:rPr>
                    <w:rFonts w:ascii="Arial" w:hAnsi="Arial" w:cs="Arial"/>
                    <w:kern w:val="2"/>
                    <w:sz w:val="22"/>
                    <w:szCs w:val="24"/>
                    <w14:ligatures w14:val="standardContextual"/>
                  </w:rPr>
                </w:pPr>
                <w:r>
                  <w:rPr>
                    <w:rFonts w:ascii="Arial" w:hAnsi="Arial" w:cs="Arial"/>
                    <w:kern w:val="2"/>
                    <w:sz w:val="22"/>
                    <w:szCs w:val="24"/>
                    <w14:ligatures w14:val="standardContextual"/>
                  </w:rPr>
                  <w:t>Main competitors are Telekom Deutschland and Telefónica Germany.</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shd w:val="clear" w:color="auto" w:fill="F2DBDB" w:themeFill="accent2" w:themeFillTint="33"/>
              </w:tcPr>
              <w:p>
                <w:pPr>
                  <w:spacing w:after="200" w:line="480" w:lineRule="auto"/>
                  <w:rPr>
                    <w:rFonts w:ascii="Arial" w:hAnsi="Arial" w:cs="Arial"/>
                    <w:b/>
                    <w:bCs/>
                    <w:kern w:val="2"/>
                    <w:sz w:val="22"/>
                    <w:szCs w:val="24"/>
                    <w14:ligatures w14:val="standardContextual"/>
                  </w:rPr>
                </w:pPr>
                <w:r>
                  <w:rPr>
                    <w:rFonts w:ascii="Arial" w:hAnsi="Arial" w:cs="Arial"/>
                    <w:b/>
                    <w:bCs/>
                    <w:kern w:val="2"/>
                    <w:sz w:val="22"/>
                    <w:szCs w:val="24"/>
                    <w14:ligatures w14:val="standardContextual"/>
                  </w:rPr>
                  <w:t>- Mergers and Acquisitions</w:t>
                </w:r>
              </w:p>
            </w:tc>
            <w:tc>
              <w:tcPr>
                <w:tcW w:w="7106" w:type="dxa"/>
                <w:shd w:val="clear" w:color="auto" w:fill="F2DBDB" w:themeFill="accent2" w:themeFillTint="33"/>
              </w:tcPr>
              <w:p>
                <w:pPr>
                  <w:spacing w:after="200" w:line="480" w:lineRule="auto"/>
                  <w:rPr>
                    <w:rFonts w:ascii="Arial" w:hAnsi="Arial" w:cs="Arial"/>
                    <w:kern w:val="2"/>
                    <w:sz w:val="22"/>
                    <w:szCs w:val="24"/>
                    <w14:ligatures w14:val="standardContextual"/>
                  </w:rPr>
                </w:pPr>
                <w:r>
                  <w:rPr>
                    <w:rFonts w:ascii="Arial" w:hAnsi="Arial" w:cs="Arial"/>
                    <w:kern w:val="2"/>
                    <w:sz w:val="22"/>
                    <w:szCs w:val="24"/>
                    <w14:ligatures w14:val="standardContextual"/>
                  </w:rPr>
                  <w:t>Owns ~75% of Kabel Deutschland. Merged with Unitymedia in 2019.</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tcPr>
              <w:p>
                <w:pPr>
                  <w:spacing w:after="200" w:line="480" w:lineRule="auto"/>
                  <w:rPr>
                    <w:rFonts w:ascii="Arial" w:hAnsi="Arial" w:cs="Arial"/>
                    <w:b/>
                    <w:bCs/>
                    <w:kern w:val="2"/>
                    <w:sz w:val="22"/>
                    <w:szCs w:val="24"/>
                    <w14:ligatures w14:val="standardContextual"/>
                  </w:rPr>
                </w:pPr>
              </w:p>
            </w:tc>
            <w:tc>
              <w:tcPr>
                <w:tcW w:w="7106" w:type="dxa"/>
              </w:tcPr>
              <w:p>
                <w:pPr>
                  <w:spacing w:after="200" w:line="480" w:lineRule="auto"/>
                  <w:rPr>
                    <w:rFonts w:ascii="Arial" w:hAnsi="Arial" w:cs="Arial"/>
                    <w:kern w:val="2"/>
                    <w:sz w:val="22"/>
                    <w:szCs w:val="24"/>
                    <w14:ligatures w14:val="standardContextual"/>
                  </w:rPr>
                </w:pP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shd w:val="clear" w:color="auto" w:fill="F2DBDB" w:themeFill="accent2" w:themeFillTint="33"/>
              </w:tcPr>
              <w:p>
                <w:pPr>
                  <w:spacing w:after="200" w:line="480" w:lineRule="auto"/>
                  <w:rPr>
                    <w:rFonts w:ascii="Arial" w:hAnsi="Arial" w:cs="Arial"/>
                    <w:b/>
                    <w:bCs/>
                    <w:kern w:val="2"/>
                    <w:sz w:val="22"/>
                    <w:szCs w:val="24"/>
                    <w14:ligatures w14:val="standardContextual"/>
                  </w:rPr>
                </w:pPr>
                <w:r>
                  <w:rPr>
                    <w:rFonts w:ascii="Arial" w:hAnsi="Arial" w:cs="Arial"/>
                    <w:b/>
                    <w:bCs/>
                    <w:color w:val="FF0000"/>
                    <w:kern w:val="2"/>
                    <w:sz w:val="22"/>
                    <w:szCs w:val="24"/>
                    <w14:ligatures w14:val="standardContextual"/>
                  </w:rPr>
                  <w:t>Strategy, Structure, and Rivalry</w:t>
                </w:r>
              </w:p>
            </w:tc>
            <w:tc>
              <w:tcPr>
                <w:tcW w:w="7106" w:type="dxa"/>
                <w:shd w:val="clear" w:color="auto" w:fill="F2DBDB" w:themeFill="accent2" w:themeFillTint="33"/>
              </w:tcPr>
              <w:p>
                <w:pPr>
                  <w:spacing w:after="200" w:line="480" w:lineRule="auto"/>
                  <w:rPr>
                    <w:rFonts w:ascii="Arial" w:hAnsi="Arial" w:cs="Arial"/>
                    <w:kern w:val="2"/>
                    <w:sz w:val="22"/>
                    <w:szCs w:val="24"/>
                    <w14:ligatures w14:val="standardContextual"/>
                  </w:rPr>
                </w:pP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tcPr>
              <w:p>
                <w:pPr>
                  <w:spacing w:after="200" w:line="480" w:lineRule="auto"/>
                  <w:rPr>
                    <w:rFonts w:ascii="Arial" w:hAnsi="Arial" w:cs="Arial"/>
                    <w:b/>
                    <w:bCs/>
                    <w:kern w:val="2"/>
                    <w:sz w:val="22"/>
                    <w:szCs w:val="24"/>
                    <w14:ligatures w14:val="standardContextual"/>
                  </w:rPr>
                </w:pPr>
                <w:r>
                  <w:rPr>
                    <w:rFonts w:ascii="Arial" w:hAnsi="Arial" w:cs="Arial"/>
                    <w:b/>
                    <w:bCs/>
                    <w:kern w:val="2"/>
                    <w:sz w:val="22"/>
                    <w:szCs w:val="24"/>
                    <w14:ligatures w14:val="standardContextual"/>
                  </w:rPr>
                  <w:t>- Historical Background</w:t>
                </w:r>
              </w:p>
            </w:tc>
            <w:tc>
              <w:tcPr>
                <w:tcW w:w="7106" w:type="dxa"/>
              </w:tcPr>
              <w:p>
                <w:pPr>
                  <w:spacing w:after="200" w:line="480" w:lineRule="auto"/>
                  <w:rPr>
                    <w:rFonts w:ascii="Arial" w:hAnsi="Arial" w:cs="Arial"/>
                    <w:kern w:val="2"/>
                    <w:sz w:val="22"/>
                    <w:szCs w:val="24"/>
                    <w14:ligatures w14:val="standardContextual"/>
                  </w:rPr>
                </w:pPr>
                <w:r>
                  <w:rPr>
                    <w:rFonts w:ascii="Arial" w:hAnsi="Arial" w:cs="Arial"/>
                    <w:kern w:val="2"/>
                    <w:sz w:val="22"/>
                    <w:szCs w:val="24"/>
                    <w14:ligatures w14:val="standardContextual"/>
                  </w:rPr>
                  <w:t>Began operations after Vodafone's takeover of Mannesmann GmbH in 2000. Rebranded as Vodafone D2 in 2002.</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2689" w:type="dxa"/>
                <w:shd w:val="clear" w:color="auto" w:fill="F2DBDB" w:themeFill="accent2" w:themeFillTint="33"/>
              </w:tcPr>
              <w:p>
                <w:pPr>
                  <w:spacing w:after="200" w:line="480" w:lineRule="auto"/>
                  <w:rPr>
                    <w:rFonts w:ascii="Arial" w:hAnsi="Arial" w:cs="Arial"/>
                    <w:b/>
                    <w:bCs/>
                    <w:kern w:val="2"/>
                    <w:sz w:val="22"/>
                    <w:szCs w:val="24"/>
                    <w14:ligatures w14:val="standardContextual"/>
                  </w:rPr>
                </w:pPr>
                <w:r>
                  <w:rPr>
                    <w:rFonts w:ascii="Arial" w:hAnsi="Arial" w:cs="Arial"/>
                    <w:b/>
                    <w:bCs/>
                    <w:kern w:val="2"/>
                    <w:sz w:val="22"/>
                    <w:szCs w:val="24"/>
                    <w14:ligatures w14:val="standardContextual"/>
                  </w:rPr>
                  <w:t>- Market Strategy</w:t>
                </w:r>
              </w:p>
            </w:tc>
            <w:tc>
              <w:tcPr>
                <w:tcW w:w="7106" w:type="dxa"/>
                <w:shd w:val="clear" w:color="auto" w:fill="F2DBDB" w:themeFill="accent2" w:themeFillTint="33"/>
              </w:tcPr>
              <w:p>
                <w:pPr>
                  <w:spacing w:after="200" w:line="480" w:lineRule="auto"/>
                  <w:rPr>
                    <w:rFonts w:ascii="Arial" w:hAnsi="Arial" w:cs="Arial"/>
                    <w:kern w:val="2"/>
                    <w:sz w:val="22"/>
                    <w:szCs w:val="24"/>
                    <w14:ligatures w14:val="standardContextual"/>
                  </w:rPr>
                </w:pPr>
                <w:r>
                  <w:rPr>
                    <w:rFonts w:ascii="Arial" w:hAnsi="Arial" w:cs="Arial"/>
                    <w:kern w:val="2"/>
                    <w:sz w:val="22"/>
                    <w:szCs w:val="24"/>
                    <w14:ligatures w14:val="standardContextual"/>
                  </w:rPr>
                  <w:t>Proactive in expanding services, e.g., introduction of 5G in 2019 and IPTV services in 2011.</w:t>
                </w:r>
              </w:p>
            </w:tc>
          </w:tr>
        </w:tbl>
        <w:p>
          <w:pPr>
            <w:spacing w:line="480" w:lineRule="auto"/>
            <w:rPr>
              <w:rFonts w:ascii="Arial" w:hAnsi="Arial" w:cs="Arial"/>
              <w:sz w:val="22"/>
            </w:rPr>
          </w:pPr>
        </w:p>
        <w:p>
          <w:pPr>
            <w:spacing w:after="160" w:line="360" w:lineRule="auto"/>
          </w:pPr>
        </w:p>
        <w:p>
          <w:pPr>
            <w:spacing w:after="160" w:line="360" w:lineRule="auto"/>
          </w:pPr>
          <w:bookmarkStart w:id="17" w:name="_Toc142950674"/>
          <w:r>
            <w:rPr>
              <w:rStyle w:val="33"/>
            </w:rPr>
            <w:t>5.2 Country Business Risks</w:t>
          </w:r>
          <w:bookmarkEnd w:id="17"/>
          <w:r>
            <w:t xml:space="preserve"> (Germany)</w:t>
          </w:r>
        </w:p>
        <w:p>
          <w:pPr>
            <w:numPr>
              <w:ilvl w:val="0"/>
              <w:numId w:val="18"/>
            </w:numPr>
            <w:spacing w:line="480" w:lineRule="auto"/>
            <w:jc w:val="both"/>
            <w:rPr>
              <w:rFonts w:ascii="Arial" w:hAnsi="Arial" w:cs="Arial"/>
            </w:rPr>
          </w:pPr>
          <w:r>
            <w:rPr>
              <w:rFonts w:ascii="Arial" w:hAnsi="Arial" w:cs="Arial"/>
              <w:b/>
              <w:bCs/>
            </w:rPr>
            <w:t>Economic Dependency on Exports:</w:t>
          </w:r>
          <w:r>
            <w:rPr>
              <w:rFonts w:ascii="Arial" w:hAnsi="Arial" w:cs="Arial"/>
            </w:rPr>
            <w:t xml:space="preserve">  </w:t>
          </w:r>
          <w:r>
            <w:rPr>
              <w:rFonts w:ascii="Arial" w:hAnsi="Arial" w:cs="Arial"/>
              <w:sz w:val="22"/>
            </w:rPr>
            <w:t>Germany is the world's third-largest exporter, with a significant portion of its GDP coming from exports. Major sectors include automotive, machinery, and chemicals. A global downturn, trade barriers, or disruptions can significantly impact the German economy</w:t>
          </w:r>
          <w:sdt>
            <w:sdtPr>
              <w:rPr>
                <w:rFonts w:ascii="Arial" w:hAnsi="Arial" w:cs="Arial"/>
                <w:sz w:val="22"/>
              </w:rPr>
              <w:id w:val="-17703972"/>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Int22 \l 2057 </w:instrText>
              </w:r>
              <w:r>
                <w:rPr>
                  <w:rFonts w:ascii="Arial" w:hAnsi="Arial" w:cs="Arial"/>
                  <w:sz w:val="22"/>
                </w:rPr>
                <w:fldChar w:fldCharType="separate"/>
              </w:r>
              <w:r>
                <w:rPr>
                  <w:rFonts w:ascii="Arial" w:hAnsi="Arial" w:cs="Arial"/>
                  <w:sz w:val="22"/>
                </w:rPr>
                <w:t xml:space="preserve"> (International Trade Administration U.S. Department of Commerce, 2022)</w:t>
              </w:r>
              <w:r>
                <w:rPr>
                  <w:rFonts w:ascii="Arial" w:hAnsi="Arial" w:cs="Arial"/>
                  <w:sz w:val="22"/>
                </w:rPr>
                <w:fldChar w:fldCharType="end"/>
              </w:r>
            </w:sdtContent>
          </w:sdt>
          <w:r>
            <w:rPr>
              <w:rFonts w:ascii="Arial" w:hAnsi="Arial" w:cs="Arial"/>
              <w:sz w:val="22"/>
            </w:rPr>
            <w:t>.</w:t>
          </w:r>
        </w:p>
        <w:p>
          <w:pPr>
            <w:numPr>
              <w:ilvl w:val="0"/>
              <w:numId w:val="18"/>
            </w:numPr>
            <w:spacing w:line="480" w:lineRule="auto"/>
            <w:jc w:val="both"/>
            <w:rPr>
              <w:rFonts w:ascii="Arial" w:hAnsi="Arial" w:cs="Arial"/>
            </w:rPr>
          </w:pPr>
          <w:r>
            <w:rPr>
              <w:rFonts w:ascii="Arial" w:hAnsi="Arial" w:cs="Arial"/>
              <w:b/>
              <w:bCs/>
            </w:rPr>
            <w:t>Demographic Challenges</w:t>
          </w:r>
          <w:r>
            <w:rPr>
              <w:rFonts w:ascii="Arial" w:hAnsi="Arial" w:cs="Arial"/>
            </w:rPr>
            <w:t>:</w:t>
          </w:r>
          <w:r>
            <w:rPr>
              <w:rFonts w:ascii="Arial" w:hAnsi="Arial" w:cs="Arial"/>
              <w:sz w:val="22"/>
            </w:rPr>
            <w:t xml:space="preserve"> Germany has one of the highest median ages worldwide. This aging population can lead to labor shortages, increased healthcare costs, and pressure on the pension system</w:t>
          </w:r>
          <w:sdt>
            <w:sdtPr>
              <w:rPr>
                <w:rFonts w:ascii="Arial" w:hAnsi="Arial" w:cs="Arial"/>
                <w:sz w:val="22"/>
              </w:rPr>
              <w:id w:val="101769022"/>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Sch21 \l 2057 </w:instrText>
              </w:r>
              <w:r>
                <w:rPr>
                  <w:rFonts w:ascii="Arial" w:hAnsi="Arial" w:cs="Arial"/>
                  <w:sz w:val="22"/>
                </w:rPr>
                <w:fldChar w:fldCharType="separate"/>
              </w:r>
              <w:r>
                <w:rPr>
                  <w:rFonts w:ascii="Arial" w:hAnsi="Arial" w:cs="Arial"/>
                  <w:sz w:val="22"/>
                </w:rPr>
                <w:t xml:space="preserve"> (SchengenVisa News , 2021)</w:t>
              </w:r>
              <w:r>
                <w:rPr>
                  <w:rFonts w:ascii="Arial" w:hAnsi="Arial" w:cs="Arial"/>
                  <w:sz w:val="22"/>
                </w:rPr>
                <w:fldChar w:fldCharType="end"/>
              </w:r>
            </w:sdtContent>
          </w:sdt>
          <w:r>
            <w:rPr>
              <w:rFonts w:ascii="Arial" w:hAnsi="Arial" w:cs="Arial"/>
              <w:sz w:val="22"/>
            </w:rPr>
            <w:t>.</w:t>
          </w:r>
          <w:r>
            <w:rPr>
              <w:rFonts w:ascii="Arial" w:hAnsi="Arial" w:cs="Arial"/>
            </w:rPr>
            <w:t xml:space="preserve"> </w:t>
          </w:r>
        </w:p>
        <w:p>
          <w:pPr>
            <w:numPr>
              <w:ilvl w:val="0"/>
              <w:numId w:val="18"/>
            </w:numPr>
            <w:spacing w:line="480" w:lineRule="auto"/>
            <w:jc w:val="both"/>
            <w:rPr>
              <w:rFonts w:ascii="Arial" w:hAnsi="Arial" w:cs="Arial"/>
            </w:rPr>
          </w:pPr>
          <w:r>
            <w:rPr>
              <w:rFonts w:ascii="Arial" w:hAnsi="Arial" w:cs="Arial"/>
              <w:b/>
              <w:bCs/>
            </w:rPr>
            <w:t>Energy Transition (Energiewende</w:t>
          </w:r>
          <w:r>
            <w:rPr>
              <w:rFonts w:ascii="Arial" w:hAnsi="Arial" w:cs="Arial"/>
              <w:b/>
              <w:bCs/>
              <w:sz w:val="22"/>
            </w:rPr>
            <w:t>):</w:t>
          </w:r>
          <w:r>
            <w:rPr>
              <w:rFonts w:ascii="Arial" w:hAnsi="Arial" w:cs="Arial"/>
              <w:sz w:val="22"/>
            </w:rPr>
            <w:t xml:space="preserve"> Germany's initiative to shift from fossil fuels to renewable energy can lead to uncertainties. While it aims for a green economy, there are concerns about energy security, costs, and the need for infrastructure investments</w:t>
          </w:r>
          <w:sdt>
            <w:sdtPr>
              <w:rPr>
                <w:rFonts w:ascii="Arial" w:hAnsi="Arial" w:cs="Arial"/>
                <w:sz w:val="22"/>
              </w:rPr>
              <w:id w:val="-586619010"/>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POL18 \l 2057 </w:instrText>
              </w:r>
              <w:r>
                <w:rPr>
                  <w:rFonts w:ascii="Arial" w:hAnsi="Arial" w:cs="Arial"/>
                  <w:sz w:val="22"/>
                </w:rPr>
                <w:fldChar w:fldCharType="separate"/>
              </w:r>
              <w:r>
                <w:rPr>
                  <w:rFonts w:ascii="Arial" w:hAnsi="Arial" w:cs="Arial"/>
                  <w:sz w:val="22"/>
                </w:rPr>
                <w:t xml:space="preserve"> (POLITICO, 2018)</w:t>
              </w:r>
              <w:r>
                <w:rPr>
                  <w:rFonts w:ascii="Arial" w:hAnsi="Arial" w:cs="Arial"/>
                  <w:sz w:val="22"/>
                </w:rPr>
                <w:fldChar w:fldCharType="end"/>
              </w:r>
            </w:sdtContent>
          </w:sdt>
          <w:r>
            <w:rPr>
              <w:rFonts w:ascii="Arial" w:hAnsi="Arial" w:cs="Arial"/>
              <w:sz w:val="22"/>
            </w:rPr>
            <w:t>.</w:t>
          </w:r>
        </w:p>
        <w:p>
          <w:pPr>
            <w:pStyle w:val="2"/>
          </w:pPr>
          <w:bookmarkStart w:id="18" w:name="_Toc142950675"/>
          <w:r>
            <w:t>6. Internal Analysis</w:t>
          </w:r>
          <w:bookmarkEnd w:id="18"/>
        </w:p>
        <w:p>
          <w:pPr>
            <w:pStyle w:val="3"/>
            <w:spacing w:line="480" w:lineRule="auto"/>
            <w:rPr>
              <w:rFonts w:cs="Arial" w:eastAsiaTheme="minorHAnsi"/>
              <w:b w:val="0"/>
              <w:color w:val="auto"/>
              <w:sz w:val="22"/>
              <w:szCs w:val="22"/>
            </w:rPr>
          </w:pPr>
          <w:bookmarkStart w:id="19" w:name="_Toc142950676"/>
          <w:r>
            <w:rPr>
              <w:rFonts w:cs="Arial" w:eastAsiaTheme="minorHAnsi"/>
              <w:b w:val="0"/>
              <w:color w:val="auto"/>
              <w:sz w:val="22"/>
              <w:szCs w:val="22"/>
            </w:rPr>
            <w:t>In the domain of business strategy and planning, it is crucial to comprehend the internal dynamics of an organization. Internal analysis offers a holistic view of a company's strengths, weaknesses, capabilities, and areas ripe for improvement. This diagnostic tool aids businesses in pinpointing their successful practices, identifying their shortcomings, and optimizing their resources to achieve their goals. For our purposes, we will employ a SWOT analysis to probe deeper into Vodafone's internal environment. The SWOT analysis will provide a structured approach to understanding Vodafone's Strengths, Weaknesses, Opportunities, and Threats. This will not only offer us a snapshot of the current situation but also inform our strategic recommendations for the future. Through this analysis, we aim to uncover the inherent factors that shape Vodafone's performance and plot a course for sustained growth and success.</w:t>
          </w:r>
        </w:p>
        <w:p>
          <w:pPr>
            <w:pStyle w:val="3"/>
          </w:pPr>
          <w:r>
            <w:t>6.1 SWOT analysis</w:t>
          </w:r>
          <w:bookmarkEnd w:id="19"/>
        </w:p>
        <w:p>
          <w:pPr>
            <w:spacing w:line="480" w:lineRule="auto"/>
            <w:jc w:val="both"/>
            <w:rPr>
              <w:rFonts w:ascii="Arial" w:hAnsi="Arial" w:cs="Arial"/>
              <w:sz w:val="22"/>
            </w:rPr>
          </w:pPr>
          <w:r>
            <w:rPr>
              <w:rFonts w:ascii="Arial" w:hAnsi="Arial" w:cs="Arial"/>
              <w:sz w:val="22"/>
            </w:rPr>
            <w:t>SWOT analysis is a strategic planning tool used to evaluate the Strengths, Weaknesses, Opportunities, and Threats involved in a project or business venture. It involves identifying the internal and external factors that are favorable and unfavorable to achieve an objective. This method was created in the 1960s by Albert Humphrey of the Stanford Research Institute, during a study conducted to identify why corporate planning consistently failed</w:t>
          </w:r>
          <w:sdt>
            <w:sdtPr>
              <w:rPr>
                <w:rFonts w:ascii="Arial" w:hAnsi="Arial" w:cs="Arial"/>
                <w:sz w:val="22"/>
              </w:rPr>
              <w:id w:val="1699432478"/>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Ric23 \l 2057 </w:instrText>
              </w:r>
              <w:r>
                <w:rPr>
                  <w:rFonts w:ascii="Arial" w:hAnsi="Arial" w:cs="Arial"/>
                  <w:sz w:val="22"/>
                </w:rPr>
                <w:fldChar w:fldCharType="separate"/>
              </w:r>
              <w:r>
                <w:rPr>
                  <w:rFonts w:ascii="Arial" w:hAnsi="Arial" w:cs="Arial"/>
                  <w:sz w:val="22"/>
                </w:rPr>
                <w:t xml:space="preserve"> (Richard Puyt, 2023)</w:t>
              </w:r>
              <w:r>
                <w:rPr>
                  <w:rFonts w:ascii="Arial" w:hAnsi="Arial" w:cs="Arial"/>
                  <w:sz w:val="22"/>
                </w:rPr>
                <w:fldChar w:fldCharType="end"/>
              </w:r>
            </w:sdtContent>
          </w:sdt>
          <w:r>
            <w:rPr>
              <w:rFonts w:ascii="Arial" w:hAnsi="Arial" w:cs="Arial"/>
              <w:sz w:val="22"/>
            </w:rPr>
            <w:t>.</w:t>
          </w:r>
        </w:p>
        <w:p>
          <w:pPr>
            <w:spacing w:line="480" w:lineRule="auto"/>
            <w:jc w:val="both"/>
            <w:rPr>
              <w:rFonts w:ascii="Arial" w:hAnsi="Arial" w:cs="Arial"/>
              <w:sz w:val="22"/>
            </w:rPr>
          </w:pPr>
        </w:p>
        <w:p>
          <w:pPr>
            <w:spacing w:line="480" w:lineRule="auto"/>
            <w:jc w:val="both"/>
            <w:rPr>
              <w:rFonts w:ascii="Arial" w:hAnsi="Arial" w:cs="Arial"/>
              <w:sz w:val="22"/>
            </w:rPr>
          </w:pPr>
        </w:p>
        <w:p>
          <w:pPr>
            <w:pStyle w:val="9"/>
            <w:keepNext/>
          </w:pPr>
          <w:r>
            <w:t xml:space="preserve">Table </w:t>
          </w:r>
          <w:r>
            <w:fldChar w:fldCharType="begin"/>
          </w:r>
          <w:r>
            <w:instrText xml:space="preserve"> SEQ Table \* ARABIC </w:instrText>
          </w:r>
          <w:r>
            <w:fldChar w:fldCharType="separate"/>
          </w:r>
          <w:r>
            <w:t>7</w:t>
          </w:r>
          <w:r>
            <w:fldChar w:fldCharType="end"/>
          </w:r>
          <w:r>
            <w:t>: SWOT analysis Table</w:t>
          </w:r>
        </w:p>
        <w:tbl>
          <w:tblPr>
            <w:tblStyle w:val="42"/>
            <w:tblW w:w="9795" w:type="dxa"/>
            <w:tblInd w:w="0" w:type="dxa"/>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Layout w:type="autofit"/>
            <w:tblCellMar>
              <w:top w:w="0" w:type="dxa"/>
              <w:left w:w="108" w:type="dxa"/>
              <w:bottom w:w="0" w:type="dxa"/>
              <w:right w:w="108" w:type="dxa"/>
            </w:tblCellMar>
          </w:tblPr>
          <w:tblGrid>
            <w:gridCol w:w="4101"/>
            <w:gridCol w:w="5694"/>
          </w:tblGrid>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tcBorders>
                  <w:top w:val="single" w:color="C0504D" w:themeColor="accent2" w:sz="4" w:space="0"/>
                  <w:left w:val="single" w:color="C0504D" w:themeColor="accent2" w:sz="4" w:space="0"/>
                  <w:bottom w:val="single" w:color="C0504D" w:themeColor="accent2" w:sz="4" w:space="0"/>
                  <w:right w:val="nil"/>
                  <w:insideH w:val="single" w:sz="4" w:space="0"/>
                  <w:insideV w:val="nil"/>
                </w:tcBorders>
                <w:shd w:val="clear" w:color="auto" w:fill="C0504D" w:themeFill="accent2"/>
              </w:tcPr>
              <w:p>
                <w:pPr>
                  <w:spacing w:after="0" w:line="480" w:lineRule="auto"/>
                  <w:jc w:val="center"/>
                  <w:rPr>
                    <w:rFonts w:ascii="Arial" w:hAnsi="Arial" w:cs="Arial"/>
                    <w:b/>
                    <w:bCs/>
                    <w:color w:val="FFFFFF" w:themeColor="background1"/>
                    <w:kern w:val="2"/>
                    <w:sz w:val="22"/>
                    <w:szCs w:val="24"/>
                    <w14:textFill>
                      <w14:solidFill>
                        <w14:schemeClr w14:val="bg1"/>
                      </w14:solidFill>
                    </w14:textFill>
                    <w14:ligatures w14:val="standardContextual"/>
                  </w:rPr>
                </w:pPr>
                <w:r>
                  <w:rPr>
                    <w:rFonts w:ascii="Arial" w:hAnsi="Arial" w:cs="Arial"/>
                    <w:b/>
                    <w:bCs/>
                    <w:color w:val="FFFFFF" w:themeColor="background1"/>
                    <w:kern w:val="2"/>
                    <w:sz w:val="22"/>
                    <w:szCs w:val="24"/>
                    <w14:textFill>
                      <w14:solidFill>
                        <w14:schemeClr w14:val="bg1"/>
                      </w14:solidFill>
                    </w14:textFill>
                    <w14:ligatures w14:val="standardContextual"/>
                  </w:rPr>
                  <w:t>SWOT Analysis of Vodafone</w:t>
                </w:r>
              </w:p>
            </w:tc>
            <w:tc>
              <w:tcPr>
                <w:tcW w:w="0" w:type="auto"/>
                <w:tcBorders>
                  <w:top w:val="single" w:color="C0504D" w:themeColor="accent2" w:sz="4" w:space="0"/>
                  <w:bottom w:val="single" w:color="C0504D" w:themeColor="accent2" w:sz="4" w:space="0"/>
                  <w:right w:val="single" w:color="C0504D" w:themeColor="accent2" w:sz="4" w:space="0"/>
                  <w:insideH w:val="single" w:sz="4" w:space="0"/>
                  <w:insideV w:val="nil"/>
                </w:tcBorders>
                <w:shd w:val="clear" w:color="auto" w:fill="C0504D" w:themeFill="accent2"/>
              </w:tcPr>
              <w:p>
                <w:pPr>
                  <w:spacing w:after="200" w:line="480" w:lineRule="auto"/>
                  <w:jc w:val="both"/>
                  <w:rPr>
                    <w:rFonts w:ascii="Arial" w:hAnsi="Arial" w:cs="Arial"/>
                    <w:b/>
                    <w:bCs/>
                    <w:color w:val="FFFFFF" w:themeColor="background1"/>
                    <w:kern w:val="2"/>
                    <w:sz w:val="22"/>
                    <w:szCs w:val="24"/>
                    <w14:textFill>
                      <w14:solidFill>
                        <w14:schemeClr w14:val="bg1"/>
                      </w14:solidFill>
                    </w14:textFill>
                    <w14:ligatures w14:val="standardContextual"/>
                  </w:rPr>
                </w:pP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shd w:val="clear" w:color="auto" w:fill="F2DBDB" w:themeFill="accent2" w:themeFillTint="33"/>
              </w:tcPr>
              <w:p>
                <w:pPr>
                  <w:spacing w:after="200" w:line="480" w:lineRule="auto"/>
                  <w:jc w:val="both"/>
                  <w:rPr>
                    <w:rFonts w:ascii="Arial" w:hAnsi="Arial" w:cs="Arial"/>
                    <w:b/>
                    <w:bCs/>
                    <w:kern w:val="2"/>
                    <w:sz w:val="22"/>
                    <w:szCs w:val="24"/>
                    <w14:ligatures w14:val="standardContextual"/>
                  </w:rPr>
                </w:pPr>
                <w:r>
                  <w:rPr>
                    <w:rFonts w:ascii="Arial" w:hAnsi="Arial" w:cs="Arial"/>
                    <w:b/>
                    <w:bCs/>
                    <w:kern w:val="2"/>
                    <w:sz w:val="22"/>
                    <w:szCs w:val="24"/>
                    <w14:ligatures w14:val="standardContextual"/>
                  </w:rPr>
                  <w:t>Strengths</w:t>
                </w:r>
              </w:p>
            </w:tc>
            <w:tc>
              <w:tcPr>
                <w:tcW w:w="0" w:type="auto"/>
                <w:shd w:val="clear" w:color="auto" w:fill="F2DBDB" w:themeFill="accent2" w:themeFillTint="33"/>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1. Go-To-Market Strategies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tcPr>
              <w:p>
                <w:pPr>
                  <w:spacing w:after="200" w:line="480" w:lineRule="auto"/>
                  <w:jc w:val="both"/>
                  <w:rPr>
                    <w:rFonts w:ascii="Arial" w:hAnsi="Arial" w:cs="Arial"/>
                    <w:b/>
                    <w:bCs/>
                    <w:kern w:val="2"/>
                    <w:sz w:val="22"/>
                    <w:szCs w:val="24"/>
                    <w14:ligatures w14:val="standardContextual"/>
                  </w:rPr>
                </w:pPr>
              </w:p>
            </w:tc>
            <w:tc>
              <w:tcPr>
                <w:tcW w:w="0" w:type="auto"/>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2. Customer Service</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shd w:val="clear" w:color="auto" w:fill="F2DBDB" w:themeFill="accent2" w:themeFillTint="33"/>
              </w:tcPr>
              <w:p>
                <w:pPr>
                  <w:spacing w:after="200" w:line="480" w:lineRule="auto"/>
                  <w:jc w:val="both"/>
                  <w:rPr>
                    <w:rFonts w:ascii="Arial" w:hAnsi="Arial" w:cs="Arial"/>
                    <w:b/>
                    <w:bCs/>
                    <w:kern w:val="2"/>
                    <w:sz w:val="22"/>
                    <w:szCs w:val="24"/>
                    <w14:ligatures w14:val="standardContextual"/>
                  </w:rPr>
                </w:pPr>
              </w:p>
            </w:tc>
            <w:tc>
              <w:tcPr>
                <w:tcW w:w="0" w:type="auto"/>
                <w:shd w:val="clear" w:color="auto" w:fill="F2DBDB" w:themeFill="accent2" w:themeFillTint="33"/>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3. Mergers &amp; Acquisitions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tcPr>
              <w:p>
                <w:pPr>
                  <w:spacing w:after="200" w:line="480" w:lineRule="auto"/>
                  <w:jc w:val="both"/>
                  <w:rPr>
                    <w:rFonts w:ascii="Arial" w:hAnsi="Arial" w:cs="Arial"/>
                    <w:b/>
                    <w:bCs/>
                    <w:kern w:val="2"/>
                    <w:sz w:val="22"/>
                    <w:szCs w:val="24"/>
                    <w14:ligatures w14:val="standardContextual"/>
                  </w:rPr>
                </w:pPr>
              </w:p>
            </w:tc>
            <w:tc>
              <w:tcPr>
                <w:tcW w:w="0" w:type="auto"/>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4. Skilled Workforce</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shd w:val="clear" w:color="auto" w:fill="F2DBDB" w:themeFill="accent2" w:themeFillTint="33"/>
              </w:tcPr>
              <w:p>
                <w:pPr>
                  <w:spacing w:after="200" w:line="480" w:lineRule="auto"/>
                  <w:jc w:val="both"/>
                  <w:rPr>
                    <w:rFonts w:ascii="Arial" w:hAnsi="Arial" w:cs="Arial"/>
                    <w:b/>
                    <w:bCs/>
                    <w:kern w:val="2"/>
                    <w:sz w:val="22"/>
                    <w:szCs w:val="24"/>
                    <w14:ligatures w14:val="standardContextual"/>
                  </w:rPr>
                </w:pPr>
              </w:p>
            </w:tc>
            <w:tc>
              <w:tcPr>
                <w:tcW w:w="0" w:type="auto"/>
                <w:shd w:val="clear" w:color="auto" w:fill="F2DBDB" w:themeFill="accent2" w:themeFillTint="33"/>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5. Product Innovation</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rPr>
              <w:trHeight w:val="119" w:hRule="atLeast"/>
            </w:trPr>
            <w:tc>
              <w:tcPr>
                <w:tcW w:w="0" w:type="auto"/>
              </w:tcPr>
              <w:p>
                <w:pPr>
                  <w:spacing w:after="200" w:line="480" w:lineRule="auto"/>
                  <w:jc w:val="both"/>
                  <w:rPr>
                    <w:rFonts w:ascii="Arial" w:hAnsi="Arial" w:cs="Arial"/>
                    <w:b/>
                    <w:bCs/>
                    <w:kern w:val="2"/>
                    <w:sz w:val="22"/>
                    <w:szCs w:val="24"/>
                    <w14:ligatures w14:val="standardContextual"/>
                  </w:rPr>
                </w:pPr>
              </w:p>
            </w:tc>
            <w:tc>
              <w:tcPr>
                <w:tcW w:w="0" w:type="auto"/>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6. Performance in New Markets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shd w:val="clear" w:color="auto" w:fill="F2DBDB" w:themeFill="accent2" w:themeFillTint="33"/>
              </w:tcPr>
              <w:p>
                <w:pPr>
                  <w:spacing w:after="200" w:line="480" w:lineRule="auto"/>
                  <w:jc w:val="both"/>
                  <w:rPr>
                    <w:rFonts w:ascii="Arial" w:hAnsi="Arial" w:cs="Arial"/>
                    <w:b/>
                    <w:bCs/>
                    <w:kern w:val="2"/>
                    <w:sz w:val="22"/>
                    <w:szCs w:val="24"/>
                    <w14:ligatures w14:val="standardContextual"/>
                  </w:rPr>
                </w:pPr>
              </w:p>
            </w:tc>
            <w:tc>
              <w:tcPr>
                <w:tcW w:w="0" w:type="auto"/>
                <w:shd w:val="clear" w:color="auto" w:fill="F2DBDB" w:themeFill="accent2" w:themeFillTint="33"/>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7. Capital Expenditure Returns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tcPr>
              <w:p>
                <w:pPr>
                  <w:spacing w:after="200" w:line="480" w:lineRule="auto"/>
                  <w:jc w:val="both"/>
                  <w:rPr>
                    <w:rFonts w:ascii="Arial" w:hAnsi="Arial" w:cs="Arial"/>
                    <w:b/>
                    <w:bCs/>
                    <w:kern w:val="2"/>
                    <w:sz w:val="22"/>
                    <w:szCs w:val="24"/>
                    <w14:ligatures w14:val="standardContextual"/>
                  </w:rPr>
                </w:pPr>
              </w:p>
            </w:tc>
            <w:tc>
              <w:tcPr>
                <w:tcW w:w="0" w:type="auto"/>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8. Strong Free Cash Flow</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shd w:val="clear" w:color="auto" w:fill="F2DBDB" w:themeFill="accent2" w:themeFillTint="33"/>
              </w:tcPr>
              <w:p>
                <w:pPr>
                  <w:spacing w:after="200" w:line="480" w:lineRule="auto"/>
                  <w:jc w:val="both"/>
                  <w:rPr>
                    <w:rFonts w:ascii="Arial" w:hAnsi="Arial" w:cs="Arial"/>
                    <w:b/>
                    <w:bCs/>
                    <w:kern w:val="2"/>
                    <w:sz w:val="22"/>
                    <w:szCs w:val="24"/>
                    <w14:ligatures w14:val="standardContextual"/>
                  </w:rPr>
                </w:pPr>
                <w:r>
                  <w:rPr>
                    <w:rFonts w:ascii="Arial" w:hAnsi="Arial" w:cs="Arial"/>
                    <w:b/>
                    <w:bCs/>
                    <w:kern w:val="2"/>
                    <w:sz w:val="22"/>
                    <w:szCs w:val="24"/>
                    <w14:ligatures w14:val="standardContextual"/>
                  </w:rPr>
                  <w:t>Weaknesses</w:t>
                </w:r>
              </w:p>
            </w:tc>
            <w:tc>
              <w:tcPr>
                <w:tcW w:w="0" w:type="auto"/>
                <w:shd w:val="clear" w:color="auto" w:fill="F2DBDB" w:themeFill="accent2" w:themeFillTint="33"/>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1. Limited Success Outside Core Business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tcPr>
              <w:p>
                <w:pPr>
                  <w:spacing w:after="200" w:line="480" w:lineRule="auto"/>
                  <w:jc w:val="both"/>
                  <w:rPr>
                    <w:rFonts w:ascii="Arial" w:hAnsi="Arial" w:cs="Arial"/>
                    <w:b/>
                    <w:bCs/>
                    <w:kern w:val="2"/>
                    <w:sz w:val="22"/>
                    <w:szCs w:val="24"/>
                    <w14:ligatures w14:val="standardContextual"/>
                  </w:rPr>
                </w:pPr>
              </w:p>
            </w:tc>
            <w:tc>
              <w:tcPr>
                <w:tcW w:w="0" w:type="auto"/>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2. Integration of Different Cultures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shd w:val="clear" w:color="auto" w:fill="F2DBDB" w:themeFill="accent2" w:themeFillTint="33"/>
              </w:tcPr>
              <w:p>
                <w:pPr>
                  <w:spacing w:after="200" w:line="480" w:lineRule="auto"/>
                  <w:jc w:val="both"/>
                  <w:rPr>
                    <w:rFonts w:ascii="Arial" w:hAnsi="Arial" w:cs="Arial"/>
                    <w:b/>
                    <w:bCs/>
                    <w:kern w:val="2"/>
                    <w:sz w:val="22"/>
                    <w:szCs w:val="24"/>
                    <w14:ligatures w14:val="standardContextual"/>
                  </w:rPr>
                </w:pPr>
              </w:p>
            </w:tc>
            <w:tc>
              <w:tcPr>
                <w:tcW w:w="0" w:type="auto"/>
                <w:shd w:val="clear" w:color="auto" w:fill="F2DBDB" w:themeFill="accent2" w:themeFillTint="33"/>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3. Product Marketing</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tcPr>
              <w:p>
                <w:pPr>
                  <w:spacing w:after="200" w:line="480" w:lineRule="auto"/>
                  <w:jc w:val="both"/>
                  <w:rPr>
                    <w:rFonts w:ascii="Arial" w:hAnsi="Arial" w:cs="Arial"/>
                    <w:b/>
                    <w:bCs/>
                    <w:kern w:val="2"/>
                    <w:sz w:val="22"/>
                    <w:szCs w:val="24"/>
                    <w14:ligatures w14:val="standardContextual"/>
                  </w:rPr>
                </w:pPr>
              </w:p>
            </w:tc>
            <w:tc>
              <w:tcPr>
                <w:tcW w:w="0" w:type="auto"/>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4. Attrition Rate</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shd w:val="clear" w:color="auto" w:fill="F2DBDB" w:themeFill="accent2" w:themeFillTint="33"/>
              </w:tcPr>
              <w:p>
                <w:pPr>
                  <w:spacing w:after="200" w:line="480" w:lineRule="auto"/>
                  <w:jc w:val="both"/>
                  <w:rPr>
                    <w:rFonts w:ascii="Arial" w:hAnsi="Arial" w:cs="Arial"/>
                    <w:b/>
                    <w:bCs/>
                    <w:kern w:val="2"/>
                    <w:sz w:val="22"/>
                    <w:szCs w:val="24"/>
                    <w14:ligatures w14:val="standardContextual"/>
                  </w:rPr>
                </w:pPr>
              </w:p>
            </w:tc>
            <w:tc>
              <w:tcPr>
                <w:tcW w:w="0" w:type="auto"/>
                <w:shd w:val="clear" w:color="auto" w:fill="F2DBDB" w:themeFill="accent2" w:themeFillTint="33"/>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5. Demand Forecasting</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tcPr>
              <w:p>
                <w:pPr>
                  <w:spacing w:after="200" w:line="480" w:lineRule="auto"/>
                  <w:jc w:val="both"/>
                  <w:rPr>
                    <w:rFonts w:ascii="Arial" w:hAnsi="Arial" w:cs="Arial"/>
                    <w:b/>
                    <w:bCs/>
                    <w:kern w:val="2"/>
                    <w:sz w:val="22"/>
                    <w:szCs w:val="24"/>
                    <w14:ligatures w14:val="standardContextual"/>
                  </w:rPr>
                </w:pPr>
                <w:r>
                  <w:rPr>
                    <w:rFonts w:ascii="Arial" w:hAnsi="Arial" w:cs="Arial"/>
                    <w:b/>
                    <w:bCs/>
                    <w:kern w:val="2"/>
                    <w:sz w:val="22"/>
                    <w:szCs w:val="24"/>
                    <w14:ligatures w14:val="standardContextual"/>
                  </w:rPr>
                  <w:t>Opportunities</w:t>
                </w:r>
              </w:p>
            </w:tc>
            <w:tc>
              <w:tcPr>
                <w:tcW w:w="0" w:type="auto"/>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1. Low Inflation Rate</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shd w:val="clear" w:color="auto" w:fill="F2DBDB" w:themeFill="accent2" w:themeFillTint="33"/>
              </w:tcPr>
              <w:p>
                <w:pPr>
                  <w:spacing w:after="200" w:line="480" w:lineRule="auto"/>
                  <w:jc w:val="both"/>
                  <w:rPr>
                    <w:rFonts w:ascii="Arial" w:hAnsi="Arial" w:cs="Arial"/>
                    <w:b/>
                    <w:bCs/>
                    <w:kern w:val="2"/>
                    <w:sz w:val="22"/>
                    <w:szCs w:val="24"/>
                    <w14:ligatures w14:val="standardContextual"/>
                  </w:rPr>
                </w:pPr>
              </w:p>
            </w:tc>
            <w:tc>
              <w:tcPr>
                <w:tcW w:w="0" w:type="auto"/>
                <w:shd w:val="clear" w:color="auto" w:fill="F2DBDB" w:themeFill="accent2" w:themeFillTint="33"/>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2. Core Competencies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tcPr>
              <w:p>
                <w:pPr>
                  <w:spacing w:after="200" w:line="480" w:lineRule="auto"/>
                  <w:jc w:val="both"/>
                  <w:rPr>
                    <w:rFonts w:ascii="Arial" w:hAnsi="Arial" w:cs="Arial"/>
                    <w:b/>
                    <w:bCs/>
                    <w:kern w:val="2"/>
                    <w:sz w:val="22"/>
                    <w:szCs w:val="24"/>
                    <w14:ligatures w14:val="standardContextual"/>
                  </w:rPr>
                </w:pPr>
              </w:p>
            </w:tc>
            <w:tc>
              <w:tcPr>
                <w:tcW w:w="0" w:type="auto"/>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3. New Consumer Trends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shd w:val="clear" w:color="auto" w:fill="F2DBDB" w:themeFill="accent2" w:themeFillTint="33"/>
              </w:tcPr>
              <w:p>
                <w:pPr>
                  <w:spacing w:after="200" w:line="480" w:lineRule="auto"/>
                  <w:jc w:val="both"/>
                  <w:rPr>
                    <w:rFonts w:ascii="Arial" w:hAnsi="Arial" w:cs="Arial"/>
                    <w:b/>
                    <w:bCs/>
                    <w:kern w:val="2"/>
                    <w:sz w:val="22"/>
                    <w:szCs w:val="24"/>
                    <w14:ligatures w14:val="standardContextual"/>
                  </w:rPr>
                </w:pPr>
              </w:p>
            </w:tc>
            <w:tc>
              <w:tcPr>
                <w:tcW w:w="0" w:type="auto"/>
                <w:shd w:val="clear" w:color="auto" w:fill="F2DBDB" w:themeFill="accent2" w:themeFillTint="33"/>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4. Taxation Policy</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tcPr>
              <w:p>
                <w:pPr>
                  <w:spacing w:after="200" w:line="480" w:lineRule="auto"/>
                  <w:jc w:val="both"/>
                  <w:rPr>
                    <w:rFonts w:ascii="Arial" w:hAnsi="Arial" w:cs="Arial"/>
                    <w:b/>
                    <w:bCs/>
                    <w:kern w:val="2"/>
                    <w:sz w:val="22"/>
                    <w:szCs w:val="24"/>
                    <w14:ligatures w14:val="standardContextual"/>
                  </w:rPr>
                </w:pPr>
              </w:p>
            </w:tc>
            <w:tc>
              <w:tcPr>
                <w:tcW w:w="0" w:type="auto"/>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5. Economic Uptick</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shd w:val="clear" w:color="auto" w:fill="F2DBDB" w:themeFill="accent2" w:themeFillTint="33"/>
              </w:tcPr>
              <w:p>
                <w:pPr>
                  <w:spacing w:after="200" w:line="480" w:lineRule="auto"/>
                  <w:jc w:val="both"/>
                  <w:rPr>
                    <w:rFonts w:ascii="Arial" w:hAnsi="Arial" w:cs="Arial"/>
                    <w:b/>
                    <w:bCs/>
                    <w:kern w:val="2"/>
                    <w:sz w:val="22"/>
                    <w:szCs w:val="24"/>
                    <w14:ligatures w14:val="standardContextual"/>
                  </w:rPr>
                </w:pPr>
                <w:r>
                  <w:rPr>
                    <w:rFonts w:ascii="Arial" w:hAnsi="Arial" w:cs="Arial"/>
                    <w:b/>
                    <w:bCs/>
                    <w:kern w:val="2"/>
                    <w:sz w:val="22"/>
                    <w:szCs w:val="24"/>
                    <w14:ligatures w14:val="standardContextual"/>
                  </w:rPr>
                  <w:t>Threats</w:t>
                </w:r>
              </w:p>
            </w:tc>
            <w:tc>
              <w:tcPr>
                <w:tcW w:w="0" w:type="auto"/>
                <w:shd w:val="clear" w:color="auto" w:fill="F2DBDB" w:themeFill="accent2" w:themeFillTint="33"/>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1. Environmental Regulations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tcPr>
              <w:p>
                <w:pPr>
                  <w:spacing w:after="200" w:line="480" w:lineRule="auto"/>
                  <w:jc w:val="both"/>
                  <w:rPr>
                    <w:rFonts w:ascii="Arial" w:hAnsi="Arial" w:cs="Arial"/>
                    <w:b/>
                    <w:bCs/>
                    <w:kern w:val="2"/>
                    <w:sz w:val="22"/>
                    <w:szCs w:val="24"/>
                    <w14:ligatures w14:val="standardContextual"/>
                  </w:rPr>
                </w:pPr>
              </w:p>
            </w:tc>
            <w:tc>
              <w:tcPr>
                <w:tcW w:w="0" w:type="auto"/>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2. Currency Fluctuations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shd w:val="clear" w:color="auto" w:fill="F2DBDB" w:themeFill="accent2" w:themeFillTint="33"/>
              </w:tcPr>
              <w:p>
                <w:pPr>
                  <w:spacing w:after="200" w:line="480" w:lineRule="auto"/>
                  <w:jc w:val="both"/>
                  <w:rPr>
                    <w:rFonts w:ascii="Arial" w:hAnsi="Arial" w:cs="Arial"/>
                    <w:b/>
                    <w:bCs/>
                    <w:kern w:val="2"/>
                    <w:sz w:val="22"/>
                    <w:szCs w:val="24"/>
                    <w14:ligatures w14:val="standardContextual"/>
                  </w:rPr>
                </w:pPr>
              </w:p>
            </w:tc>
            <w:tc>
              <w:tcPr>
                <w:tcW w:w="0" w:type="auto"/>
                <w:shd w:val="clear" w:color="auto" w:fill="F2DBDB" w:themeFill="accent2" w:themeFillTint="33"/>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3. Innovative Products</w:t>
                </w:r>
              </w:p>
            </w:tc>
          </w:tr>
          <w:tr>
            <w:tblPrEx>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CellMar>
                <w:top w:w="0" w:type="dxa"/>
                <w:left w:w="108" w:type="dxa"/>
                <w:bottom w:w="0" w:type="dxa"/>
                <w:right w:w="108" w:type="dxa"/>
              </w:tblCellMar>
            </w:tblPrEx>
            <w:tc>
              <w:tcPr>
                <w:tcW w:w="0" w:type="auto"/>
              </w:tcPr>
              <w:p>
                <w:pPr>
                  <w:spacing w:after="200" w:line="480" w:lineRule="auto"/>
                  <w:jc w:val="both"/>
                  <w:rPr>
                    <w:rFonts w:ascii="Arial" w:hAnsi="Arial" w:cs="Arial"/>
                    <w:b/>
                    <w:bCs/>
                    <w:kern w:val="2"/>
                    <w:sz w:val="22"/>
                    <w:szCs w:val="24"/>
                    <w14:ligatures w14:val="standardContextual"/>
                  </w:rPr>
                </w:pPr>
              </w:p>
            </w:tc>
            <w:tc>
              <w:tcPr>
                <w:tcW w:w="0" w:type="auto"/>
              </w:tcPr>
              <w:p>
                <w:pPr>
                  <w:spacing w:after="200" w:line="480" w:lineRule="auto"/>
                  <w:jc w:val="both"/>
                  <w:rPr>
                    <w:rFonts w:ascii="Arial" w:hAnsi="Arial" w:cs="Arial"/>
                    <w:kern w:val="2"/>
                    <w:sz w:val="22"/>
                    <w:szCs w:val="24"/>
                    <w14:ligatures w14:val="standardContextual"/>
                  </w:rPr>
                </w:pPr>
                <w:r>
                  <w:rPr>
                    <w:rFonts w:ascii="Arial" w:hAnsi="Arial" w:cs="Arial"/>
                    <w:kern w:val="2"/>
                    <w:sz w:val="22"/>
                    <w:szCs w:val="24"/>
                    <w14:ligatures w14:val="standardContextual"/>
                  </w:rPr>
                  <w:t>4. Intense Competition</w:t>
                </w:r>
              </w:p>
            </w:tc>
          </w:tr>
        </w:tbl>
        <w:p>
          <w:pPr>
            <w:spacing w:line="480" w:lineRule="auto"/>
            <w:jc w:val="both"/>
            <w:rPr>
              <w:rFonts w:ascii="Arial" w:hAnsi="Arial" w:cs="Arial"/>
              <w:sz w:val="22"/>
            </w:rPr>
          </w:pPr>
        </w:p>
        <w:p>
          <w:pPr>
            <w:spacing w:line="480" w:lineRule="auto"/>
            <w:jc w:val="both"/>
            <w:rPr>
              <w:rFonts w:ascii="Arial" w:hAnsi="Arial" w:cs="Arial"/>
              <w:sz w:val="22"/>
            </w:rPr>
          </w:pPr>
          <w:r>
            <w:rPr>
              <w:rFonts w:ascii="Arial" w:hAnsi="Arial" w:cs="Arial"/>
              <w:sz w:val="22"/>
            </w:rPr>
            <w:t>Vodafone, a telecommunications giant, has a multifaceted business landscape shaped by its strengths, weaknesses, opportunities, and threats. Its strengths</w:t>
          </w:r>
          <w:sdt>
            <w:sdtPr>
              <w:rPr>
                <w:rFonts w:ascii="Arial" w:hAnsi="Arial" w:cs="Arial"/>
                <w:sz w:val="22"/>
              </w:rPr>
              <w:id w:val="-1940140638"/>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Por801 \l 2057 </w:instrText>
              </w:r>
              <w:r>
                <w:rPr>
                  <w:rFonts w:ascii="Arial" w:hAnsi="Arial" w:cs="Arial"/>
                  <w:sz w:val="22"/>
                </w:rPr>
                <w:fldChar w:fldCharType="separate"/>
              </w:r>
              <w:r>
                <w:rPr>
                  <w:rFonts w:ascii="Arial" w:hAnsi="Arial" w:cs="Arial"/>
                  <w:sz w:val="22"/>
                </w:rPr>
                <w:t xml:space="preserve"> (Porter, 1980)</w:t>
              </w:r>
              <w:r>
                <w:rPr>
                  <w:rFonts w:ascii="Arial" w:hAnsi="Arial" w:cs="Arial"/>
                  <w:sz w:val="22"/>
                </w:rPr>
                <w:fldChar w:fldCharType="end"/>
              </w:r>
            </w:sdtContent>
          </w:sdt>
          <w:r>
            <w:rPr>
              <w:rFonts w:ascii="Arial" w:hAnsi="Arial" w:cs="Arial"/>
              <w:sz w:val="22"/>
            </w:rPr>
            <w:t>, such as effective go-to-market strategies and a skilled workforce, position it favorably in the competitive market. However, challenges like limited success outside its core business and high attrition rates highlight areas of improvement. The changing global environment offers Vodafone opportunities</w:t>
          </w:r>
          <w:sdt>
            <w:sdtPr>
              <w:rPr>
                <w:rFonts w:ascii="Arial" w:hAnsi="Arial" w:cs="Arial"/>
                <w:sz w:val="22"/>
              </w:rPr>
              <w:id w:val="680793834"/>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Cha62 \l 2057 </w:instrText>
              </w:r>
              <w:r>
                <w:rPr>
                  <w:rFonts w:ascii="Arial" w:hAnsi="Arial" w:cs="Arial"/>
                  <w:sz w:val="22"/>
                </w:rPr>
                <w:fldChar w:fldCharType="separate"/>
              </w:r>
              <w:r>
                <w:rPr>
                  <w:rFonts w:ascii="Arial" w:hAnsi="Arial" w:cs="Arial"/>
                  <w:sz w:val="22"/>
                </w:rPr>
                <w:t xml:space="preserve"> (Chandler, 1962)</w:t>
              </w:r>
              <w:r>
                <w:rPr>
                  <w:rFonts w:ascii="Arial" w:hAnsi="Arial" w:cs="Arial"/>
                  <w:sz w:val="22"/>
                </w:rPr>
                <w:fldChar w:fldCharType="end"/>
              </w:r>
            </w:sdtContent>
          </w:sdt>
          <w:r>
            <w:rPr>
              <w:rFonts w:ascii="Arial" w:hAnsi="Arial" w:cs="Arial"/>
              <w:sz w:val="22"/>
            </w:rPr>
            <w:t xml:space="preserve"> like leveraging its core competencies in new markets and capitalizing on economic upticks. Yet, threats from environmental regulations and intense competition underscore the need for agility and innovation. This analysis draws insights from various academic and industry sources, emphasizing the dynamic nature of Vodafone's business environment.</w:t>
          </w:r>
        </w:p>
        <w:p>
          <w:pPr>
            <w:pStyle w:val="2"/>
          </w:pPr>
          <w:bookmarkStart w:id="20" w:name="_Toc142950677"/>
          <w:r>
            <w:t>7. International Strategies</w:t>
          </w:r>
          <w:bookmarkEnd w:id="20"/>
          <w:r>
            <w:t xml:space="preserve"> </w:t>
          </w:r>
        </w:p>
        <w:p>
          <w:pPr>
            <w:spacing w:line="480" w:lineRule="auto"/>
            <w:jc w:val="both"/>
            <w:rPr>
              <w:rFonts w:ascii="Arial" w:hAnsi="Arial" w:cs="Arial"/>
              <w:sz w:val="22"/>
            </w:rPr>
          </w:pPr>
          <w:r>
            <w:rPr>
              <w:rFonts w:ascii="Arial" w:hAnsi="Arial" w:cs="Arial"/>
              <w:sz w:val="22"/>
            </w:rPr>
            <w:t>Vodafone, a telecommunications giant, has been a prominent player in the global market for decades. Its international strategies have been pivotal in ensuring its success and maintaining its position as a market leader. This section delves into the intricacies of Vodafone's international strategies, drawing insights from academic research papers.</w:t>
          </w:r>
        </w:p>
        <w:p>
          <w:pPr>
            <w:numPr>
              <w:ilvl w:val="0"/>
              <w:numId w:val="19"/>
            </w:numPr>
            <w:spacing w:line="480" w:lineRule="auto"/>
            <w:jc w:val="both"/>
            <w:rPr>
              <w:rFonts w:ascii="Arial" w:hAnsi="Arial" w:cs="Arial"/>
              <w:sz w:val="22"/>
            </w:rPr>
          </w:pPr>
          <w:r>
            <w:rPr>
              <w:rFonts w:ascii="Arial" w:hAnsi="Arial" w:cs="Arial"/>
              <w:sz w:val="22"/>
            </w:rPr>
            <w:t>Global Expansion and Market Entry Modes:</w:t>
          </w:r>
        </w:p>
        <w:p>
          <w:pPr>
            <w:spacing w:line="480" w:lineRule="auto"/>
            <w:jc w:val="both"/>
            <w:rPr>
              <w:rFonts w:ascii="Arial" w:hAnsi="Arial" w:cs="Arial"/>
              <w:sz w:val="22"/>
            </w:rPr>
          </w:pPr>
          <w:r>
            <w:rPr>
              <w:rFonts w:ascii="Arial" w:hAnsi="Arial" w:cs="Arial"/>
              <w:sz w:val="22"/>
            </w:rPr>
            <w:t>Vodafone's global expansion has been characterized by a mix of greenfield investments, acquisitions, and strategic partnerships. For instance, in emerging markets like India, Vodafone entered through the acquisition of a significant stake in Hutchison Essar, thereby gaining a foothold in a rapidly growing telecom market. This acquisition strategy allowed Vodafone to bypass the initial setup challenges and tap into an existing customer base. In contrast, in some European markets, Vodafone opted for greenfield investments, setting up operations from scratch, giving them more control over business operations.</w:t>
          </w:r>
        </w:p>
        <w:p>
          <w:pPr>
            <w:numPr>
              <w:ilvl w:val="0"/>
              <w:numId w:val="19"/>
            </w:numPr>
            <w:spacing w:line="480" w:lineRule="auto"/>
            <w:jc w:val="both"/>
            <w:rPr>
              <w:rFonts w:ascii="Arial" w:hAnsi="Arial" w:cs="Arial"/>
              <w:sz w:val="22"/>
            </w:rPr>
          </w:pPr>
          <w:r>
            <w:rPr>
              <w:rFonts w:ascii="Arial" w:hAnsi="Arial" w:cs="Arial"/>
              <w:sz w:val="22"/>
            </w:rPr>
            <w:t>Strategic Alliances and Partnerships:</w:t>
          </w:r>
        </w:p>
        <w:p>
          <w:pPr>
            <w:spacing w:line="480" w:lineRule="auto"/>
            <w:jc w:val="both"/>
            <w:rPr>
              <w:rFonts w:ascii="Arial" w:hAnsi="Arial" w:cs="Arial"/>
              <w:sz w:val="22"/>
            </w:rPr>
          </w:pPr>
          <w:r>
            <w:rPr>
              <w:rFonts w:ascii="Arial" w:hAnsi="Arial" w:cs="Arial"/>
              <w:sz w:val="22"/>
            </w:rPr>
            <w:t>Collaborations have been a cornerstone of Vodafone's international strategy. By forming alliances with local players, Vodafone has been able to navigate regulatory landscapes, understand local market dynamics, and offer tailored services. A notable partnership is with China Mobile, which allowed Vodafone to tap into the vast Chinese market while sharing technological expertise.</w:t>
          </w:r>
        </w:p>
        <w:p>
          <w:pPr>
            <w:numPr>
              <w:ilvl w:val="0"/>
              <w:numId w:val="19"/>
            </w:numPr>
            <w:spacing w:line="480" w:lineRule="auto"/>
            <w:jc w:val="both"/>
            <w:rPr>
              <w:rFonts w:ascii="Arial" w:hAnsi="Arial" w:cs="Arial"/>
              <w:sz w:val="22"/>
            </w:rPr>
          </w:pPr>
          <w:r>
            <w:rPr>
              <w:rFonts w:ascii="Arial" w:hAnsi="Arial" w:cs="Arial"/>
              <w:sz w:val="22"/>
            </w:rPr>
            <w:t>Leveraging Core Competencies:</w:t>
          </w:r>
        </w:p>
        <w:p>
          <w:pPr>
            <w:spacing w:line="480" w:lineRule="auto"/>
            <w:jc w:val="both"/>
            <w:rPr>
              <w:rFonts w:ascii="Arial" w:hAnsi="Arial" w:cs="Arial"/>
              <w:sz w:val="22"/>
            </w:rPr>
          </w:pPr>
          <w:r>
            <w:rPr>
              <w:rFonts w:ascii="Arial" w:hAnsi="Arial" w:cs="Arial"/>
              <w:sz w:val="22"/>
            </w:rPr>
            <w:t>Vodafone's international success can be attributed to its ability to leverage its core competencies. Its strong brand identity, technological prowess, and customer-centric services have been consistent across markets. By ensuring high-quality service delivery and innovative product offerings, Vodafone has managed to retain and grow its customer base in diverse markets.</w:t>
          </w:r>
        </w:p>
        <w:p>
          <w:pPr>
            <w:numPr>
              <w:ilvl w:val="0"/>
              <w:numId w:val="19"/>
            </w:numPr>
            <w:spacing w:line="480" w:lineRule="auto"/>
            <w:jc w:val="both"/>
            <w:rPr>
              <w:rFonts w:ascii="Arial" w:hAnsi="Arial" w:cs="Arial"/>
              <w:sz w:val="22"/>
            </w:rPr>
          </w:pPr>
          <w:r>
            <w:rPr>
              <w:rFonts w:ascii="Arial" w:hAnsi="Arial" w:cs="Arial"/>
              <w:sz w:val="22"/>
            </w:rPr>
            <w:t>Response to Global Competition:</w:t>
          </w:r>
        </w:p>
        <w:p>
          <w:pPr>
            <w:spacing w:line="480" w:lineRule="auto"/>
            <w:jc w:val="both"/>
            <w:rPr>
              <w:rFonts w:ascii="Arial" w:hAnsi="Arial" w:cs="Arial"/>
              <w:sz w:val="22"/>
            </w:rPr>
          </w:pPr>
          <w:r>
            <w:rPr>
              <w:rFonts w:ascii="Arial" w:hAnsi="Arial" w:cs="Arial"/>
              <w:sz w:val="22"/>
            </w:rPr>
            <w:t>The telecom industry is fiercely competitive, with players vying for market share. Vodafone's strategy has been to stay ahead of the curve through continuous innovation, investment in research and development, and understanding evolving customer needs. In markets where competition is intense, Vodafone has adopted a differentiation strategy, offering value-added services and unique customer experiences.</w:t>
          </w:r>
        </w:p>
        <w:p>
          <w:pPr>
            <w:numPr>
              <w:ilvl w:val="0"/>
              <w:numId w:val="19"/>
            </w:numPr>
            <w:spacing w:line="480" w:lineRule="auto"/>
            <w:jc w:val="both"/>
            <w:rPr>
              <w:rFonts w:ascii="Arial" w:hAnsi="Arial" w:cs="Arial"/>
              <w:sz w:val="22"/>
            </w:rPr>
          </w:pPr>
          <w:r>
            <w:rPr>
              <w:rFonts w:ascii="Arial" w:hAnsi="Arial" w:cs="Arial"/>
              <w:sz w:val="22"/>
            </w:rPr>
            <w:t>Regulatory and Cultural Challenges:</w:t>
          </w:r>
        </w:p>
        <w:p>
          <w:pPr>
            <w:spacing w:line="480" w:lineRule="auto"/>
            <w:jc w:val="both"/>
            <w:rPr>
              <w:rFonts w:ascii="Arial" w:hAnsi="Arial" w:cs="Arial"/>
              <w:sz w:val="22"/>
            </w:rPr>
          </w:pPr>
          <w:r>
            <w:rPr>
              <w:rFonts w:ascii="Arial" w:hAnsi="Arial" w:cs="Arial"/>
              <w:sz w:val="22"/>
            </w:rPr>
            <w:t>As with any multinational corporation, Vodafone has faced its share of regulatory and cultural challenges. In some markets, stringent regulatory norms have posed entry barriers. Vodafone's approach has been to engage in dialogue with regulatory bodies, ensuring compliance while advocating for a conducive business environment. Culturally, Vodafone has emphasized understanding local nuances and customizing its offerings accordingly. This localization strategy has been instrumental in ensuring customer loyalty.</w:t>
          </w:r>
        </w:p>
        <w:p>
          <w:pPr>
            <w:numPr>
              <w:ilvl w:val="0"/>
              <w:numId w:val="19"/>
            </w:numPr>
            <w:spacing w:line="480" w:lineRule="auto"/>
            <w:jc w:val="both"/>
            <w:rPr>
              <w:rFonts w:ascii="Arial" w:hAnsi="Arial" w:cs="Arial"/>
            </w:rPr>
          </w:pPr>
          <w:r>
            <w:rPr>
              <w:rFonts w:ascii="Arial" w:hAnsi="Arial" w:cs="Arial"/>
            </w:rPr>
            <w:t>Future Outlook and Strategic Direction:</w:t>
          </w:r>
        </w:p>
        <w:p>
          <w:pPr>
            <w:spacing w:line="480" w:lineRule="auto"/>
            <w:jc w:val="both"/>
            <w:rPr>
              <w:rFonts w:ascii="Arial" w:hAnsi="Arial" w:cs="Arial"/>
              <w:sz w:val="22"/>
            </w:rPr>
          </w:pPr>
          <w:r>
            <w:rPr>
              <w:rFonts w:ascii="Arial" w:hAnsi="Arial" w:cs="Arial"/>
              <w:sz w:val="22"/>
            </w:rPr>
            <w:t>As the telecom landscape evolves with the advent of 5G, IoT, and other technological advancements, Vodafone's international strategy is poised for a shift. The focus is likely to be on digital transformation, enhancing network capabilities, and forging new partnerships in the tech space.</w:t>
          </w:r>
        </w:p>
        <w:p>
          <w:pPr>
            <w:spacing w:line="480" w:lineRule="auto"/>
            <w:jc w:val="both"/>
            <w:rPr>
              <w:rFonts w:ascii="Arial" w:hAnsi="Arial" w:cs="Arial"/>
              <w:sz w:val="22"/>
            </w:rPr>
          </w:pPr>
          <w:r>
            <w:rPr>
              <w:rFonts w:ascii="Arial" w:hAnsi="Arial" w:cs="Arial"/>
              <w:sz w:val="22"/>
            </w:rPr>
            <w:t>In conclusion, Vodafone's international strategies have been a blend of proactive and reactive measures. Its ability to adapt, innovate, and understand local markets has been instrumental in its global success. As the telecom industry undergoes rapid changes, Vodafone's strategic agility will be crucial in maintaining its leadership position.</w:t>
          </w:r>
        </w:p>
        <w:p>
          <w:pPr>
            <w:pStyle w:val="2"/>
          </w:pPr>
          <w:bookmarkStart w:id="21" w:name="_Toc142950678"/>
          <w:r>
            <w:t>8. Corporate Social Responsibility</w:t>
          </w:r>
          <w:bookmarkEnd w:id="21"/>
          <w:r>
            <w:t xml:space="preserve"> </w:t>
          </w:r>
        </w:p>
        <w:p>
          <w:pPr>
            <w:spacing w:line="480" w:lineRule="auto"/>
            <w:jc w:val="both"/>
            <w:rPr>
              <w:rFonts w:ascii="Arial" w:hAnsi="Arial" w:cs="Arial"/>
              <w:sz w:val="22"/>
              <w:lang w:eastAsia="ja-JP"/>
            </w:rPr>
          </w:pPr>
          <w:r>
            <w:rPr>
              <w:rFonts w:ascii="Arial" w:hAnsi="Arial" w:cs="Arial"/>
              <w:sz w:val="22"/>
              <w:lang w:eastAsia="ja-JP"/>
            </w:rPr>
            <w:t>Corporate Social Responsibility (CSR) has evolved as a significant aspect of modern business practices, emphasizing the commitment of corporations to contribute positively to society while achieving their economic goals. Carroll's Pyramid of CSR categorizes these responsibilities into four distinct layers: economic, legal, ethical, and philanthropic. Each layer represents a different aspect of a company's obligations, from the foundational need to be profitable to the aspirational goal of giving back to society. In the context of Vodafone, one of the world's leading telecommunications companies, understanding its CSR initiatives through the lens of Carroll's Pyramid provides a comprehensive insight into its multifaceted approach to responsible business. This section delves into Vodafone's CSR strategies and initiatives, highlighting how they align with the principles set out in Carroll's Pyramid.</w:t>
          </w:r>
        </w:p>
        <w:p>
          <w:pPr>
            <w:spacing w:line="480" w:lineRule="auto"/>
            <w:jc w:val="both"/>
            <w:rPr>
              <w:lang w:eastAsia="ja-JP"/>
            </w:rPr>
          </w:pPr>
          <w:r>
            <mc:AlternateContent>
              <mc:Choice Requires="wps">
                <w:drawing>
                  <wp:anchor distT="0" distB="0" distL="114300" distR="114300" simplePos="0" relativeHeight="251670528" behindDoc="0" locked="0" layoutInCell="1" allowOverlap="1">
                    <wp:simplePos x="0" y="0"/>
                    <wp:positionH relativeFrom="column">
                      <wp:posOffset>984250</wp:posOffset>
                    </wp:positionH>
                    <wp:positionV relativeFrom="paragraph">
                      <wp:posOffset>2568575</wp:posOffset>
                    </wp:positionV>
                    <wp:extent cx="3915410" cy="635"/>
                    <wp:effectExtent l="0" t="0" r="0" b="12065"/>
                    <wp:wrapThrough wrapText="bothSides">
                      <wp:wrapPolygon>
                        <wp:start x="0" y="0"/>
                        <wp:lineTo x="0" y="0"/>
                        <wp:lineTo x="21509" y="0"/>
                        <wp:lineTo x="21509" y="0"/>
                        <wp:lineTo x="0" y="0"/>
                      </wp:wrapPolygon>
                    </wp:wrapThrough>
                    <wp:docPr id="1993182035" name="Text Box 10"/>
                    <wp:cNvGraphicFramePr/>
                    <a:graphic xmlns:a="http://schemas.openxmlformats.org/drawingml/2006/main">
                      <a:graphicData uri="http://schemas.microsoft.com/office/word/2010/wordprocessingShape">
                        <wps:wsp>
                          <wps:cNvSpPr txBox="1"/>
                          <wps:spPr>
                            <a:xfrm>
                              <a:off x="0" y="0"/>
                              <a:ext cx="3915410" cy="635"/>
                            </a:xfrm>
                            <a:prstGeom prst="rect">
                              <a:avLst/>
                            </a:prstGeom>
                            <a:solidFill>
                              <a:prstClr val="white"/>
                            </a:solidFill>
                            <a:ln>
                              <a:noFill/>
                            </a:ln>
                          </wps:spPr>
                          <wps:txbx>
                            <w:txbxContent>
                              <w:p>
                                <w:pPr>
                                  <w:pStyle w:val="9"/>
                                  <w:jc w:val="center"/>
                                  <w:rPr>
                                    <w:rFonts w:ascii="Times New Roman" w:hAnsi="Times New Roman"/>
                                    <w:szCs w:val="22"/>
                                    <w:lang w:eastAsia="ja-JP"/>
                                  </w:rPr>
                                </w:pPr>
                                <w:r>
                                  <w:t xml:space="preserve">Figure </w:t>
                                </w:r>
                                <w:r>
                                  <w:fldChar w:fldCharType="begin"/>
                                </w:r>
                                <w:r>
                                  <w:instrText xml:space="preserve"> SEQ Figure \* ARABIC </w:instrText>
                                </w:r>
                                <w:r>
                                  <w:fldChar w:fldCharType="separate"/>
                                </w:r>
                                <w:r>
                                  <w:t>6</w:t>
                                </w:r>
                                <w:r>
                                  <w:fldChar w:fldCharType="end"/>
                                </w:r>
                                <w:r>
                                  <w:t>: Carroll's Pyramid. Source:theimpectinvestor.com</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0" o:spid="_x0000_s1026" o:spt="202" type="#_x0000_t202" style="position:absolute;left:0pt;margin-left:77.5pt;margin-top:202.25pt;height:0.05pt;width:308.3pt;mso-wrap-distance-left:9pt;mso-wrap-distance-right:9pt;z-index:251670528;mso-width-relative:page;mso-height-relative:page;" fillcolor="#FFFFFF" filled="t" stroked="f" coordsize="21600,21600" wrapcoords="0 0 0 0 21509 0 21509 0 0 0" o:gfxdata="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5CC3OdoAAAALAQAADwAAAAAAAAABACAAAAAiAAAAZHJzL2Rvd25yZXYu&#10;eG1sUEsBAhQAFAAAAAgAh07iQJzMte0yAgAAewQAAA4AAAAAAAAAAQAgAAAAKQEAAGRycy9lMm9E&#10;b2MueG1sUEsFBgAAAAAGAAYAWQEAAM0FAAAAAA==&#10;">
                    <v:fill on="t" focussize="0,0"/>
                    <v:stroke on="f"/>
                    <v:imagedata o:title=""/>
                    <o:lock v:ext="edit" aspectratio="f"/>
                    <v:textbox inset="0mm,0mm,0mm,0mm" style="mso-fit-shape-to-text:t;">
                      <w:txbxContent>
                        <w:p>
                          <w:pPr>
                            <w:pStyle w:val="9"/>
                            <w:jc w:val="center"/>
                            <w:rPr>
                              <w:rFonts w:ascii="Times New Roman" w:hAnsi="Times New Roman"/>
                              <w:szCs w:val="22"/>
                              <w:lang w:eastAsia="ja-JP"/>
                            </w:rPr>
                          </w:pPr>
                          <w:r>
                            <w:t xml:space="preserve">Figure </w:t>
                          </w:r>
                          <w:r>
                            <w:fldChar w:fldCharType="begin"/>
                          </w:r>
                          <w:r>
                            <w:instrText xml:space="preserve"> SEQ Figure \* ARABIC </w:instrText>
                          </w:r>
                          <w:r>
                            <w:fldChar w:fldCharType="separate"/>
                          </w:r>
                          <w:r>
                            <w:t>6</w:t>
                          </w:r>
                          <w:r>
                            <w:fldChar w:fldCharType="end"/>
                          </w:r>
                          <w:r>
                            <w:t>: Carroll's Pyramid. Source:theimpectinvestor.com</w:t>
                          </w:r>
                        </w:p>
                      </w:txbxContent>
                    </v:textbox>
                    <w10:wrap type="through"/>
                  </v:shape>
                </w:pict>
              </mc:Fallback>
            </mc:AlternateContent>
          </w:r>
          <w:r>
            <w:rPr>
              <w:lang w:eastAsia="ja-JP"/>
            </w:rPr>
            <w:drawing>
              <wp:anchor distT="0" distB="0" distL="114300" distR="114300" simplePos="0" relativeHeight="251669504" behindDoc="0" locked="0" layoutInCell="1" allowOverlap="1">
                <wp:simplePos x="0" y="0"/>
                <wp:positionH relativeFrom="column">
                  <wp:posOffset>984250</wp:posOffset>
                </wp:positionH>
                <wp:positionV relativeFrom="paragraph">
                  <wp:posOffset>85725</wp:posOffset>
                </wp:positionV>
                <wp:extent cx="3915410" cy="2425700"/>
                <wp:effectExtent l="0" t="0" r="0" b="0"/>
                <wp:wrapThrough wrapText="bothSides">
                  <wp:wrapPolygon>
                    <wp:start x="0" y="0"/>
                    <wp:lineTo x="0" y="21487"/>
                    <wp:lineTo x="21509" y="21487"/>
                    <wp:lineTo x="21509" y="0"/>
                    <wp:lineTo x="0" y="0"/>
                  </wp:wrapPolygon>
                </wp:wrapThrough>
                <wp:docPr id="605762628" name="Picture 9"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762628" name="Picture 9" descr="A diagram of a pyramid&#10;&#10;Description automatically generated"/>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915410" cy="2425700"/>
                        </a:xfrm>
                        <a:prstGeom prst="rect">
                          <a:avLst/>
                        </a:prstGeom>
                      </pic:spPr>
                    </pic:pic>
                  </a:graphicData>
                </a:graphic>
              </wp:anchor>
            </w:drawing>
          </w:r>
        </w:p>
        <w:p>
          <w:pPr>
            <w:spacing w:line="480" w:lineRule="auto"/>
            <w:jc w:val="both"/>
            <w:rPr>
              <w:lang w:eastAsia="ja-JP"/>
            </w:rPr>
          </w:pPr>
        </w:p>
        <w:p>
          <w:pPr>
            <w:spacing w:line="480" w:lineRule="auto"/>
            <w:jc w:val="both"/>
            <w:rPr>
              <w:lang w:eastAsia="ja-JP"/>
            </w:rPr>
          </w:pPr>
        </w:p>
        <w:p>
          <w:pPr>
            <w:spacing w:line="480" w:lineRule="auto"/>
            <w:jc w:val="both"/>
            <w:rPr>
              <w:lang w:eastAsia="ja-JP"/>
            </w:rPr>
          </w:pPr>
        </w:p>
        <w:p>
          <w:pPr>
            <w:spacing w:line="480" w:lineRule="auto"/>
            <w:jc w:val="both"/>
            <w:rPr>
              <w:lang w:eastAsia="ja-JP"/>
            </w:rPr>
          </w:pPr>
        </w:p>
        <w:p>
          <w:pPr>
            <w:spacing w:line="480" w:lineRule="auto"/>
            <w:jc w:val="both"/>
            <w:rPr>
              <w:lang w:eastAsia="ja-JP"/>
            </w:rPr>
          </w:pPr>
        </w:p>
        <w:p>
          <w:pPr>
            <w:spacing w:line="480" w:lineRule="auto"/>
            <w:jc w:val="both"/>
            <w:rPr>
              <w:lang w:eastAsia="ja-JP"/>
            </w:rPr>
          </w:pPr>
        </w:p>
        <w:p>
          <w:pPr>
            <w:spacing w:line="480" w:lineRule="auto"/>
            <w:jc w:val="both"/>
            <w:rPr>
              <w:lang w:eastAsia="ja-JP"/>
            </w:rPr>
          </w:pPr>
        </w:p>
        <w:p>
          <w:pPr>
            <w:numPr>
              <w:ilvl w:val="0"/>
              <w:numId w:val="20"/>
            </w:numPr>
            <w:spacing w:line="480" w:lineRule="auto"/>
            <w:jc w:val="both"/>
            <w:rPr>
              <w:rFonts w:ascii="Arial" w:hAnsi="Arial" w:cs="Arial"/>
              <w:b/>
              <w:bCs/>
            </w:rPr>
          </w:pPr>
          <w:r>
            <w:rPr>
              <w:rFonts w:ascii="Arial" w:hAnsi="Arial" w:cs="Arial"/>
              <w:b/>
              <w:bCs/>
            </w:rPr>
            <w:t>Economic Responsibilities:</w:t>
          </w:r>
        </w:p>
        <w:p>
          <w:pPr>
            <w:numPr>
              <w:ilvl w:val="1"/>
              <w:numId w:val="20"/>
            </w:numPr>
            <w:spacing w:line="480" w:lineRule="auto"/>
            <w:jc w:val="both"/>
            <w:rPr>
              <w:rFonts w:ascii="Arial" w:hAnsi="Arial" w:cs="Arial"/>
              <w:sz w:val="22"/>
            </w:rPr>
          </w:pPr>
          <w:r>
            <w:rPr>
              <w:rFonts w:ascii="Arial" w:hAnsi="Arial" w:cs="Arial"/>
              <w:b/>
              <w:bCs/>
            </w:rPr>
            <w:t>Digital Inclusion:</w:t>
          </w:r>
          <w:r>
            <w:t xml:space="preserve"> </w:t>
          </w:r>
          <w:r>
            <w:rPr>
              <w:rFonts w:ascii="Arial" w:hAnsi="Arial" w:cs="Arial"/>
              <w:sz w:val="22"/>
            </w:rPr>
            <w:t>Vodafone has been at the forefront of promoting digital inclusion. In 2019, the company launched the 'Digital Society' initiative, aiming to connect an additional 100 million people to the internet by 2025.</w:t>
          </w:r>
        </w:p>
        <w:p>
          <w:pPr>
            <w:numPr>
              <w:ilvl w:val="1"/>
              <w:numId w:val="20"/>
            </w:numPr>
            <w:spacing w:line="480" w:lineRule="auto"/>
            <w:jc w:val="both"/>
          </w:pPr>
          <w:r>
            <w:rPr>
              <w:rFonts w:ascii="Arial" w:hAnsi="Arial" w:cs="Arial"/>
              <w:b/>
              <w:bCs/>
            </w:rPr>
            <w:t>Supporting SMEs:</w:t>
          </w:r>
          <w:r>
            <w:rPr>
              <w:rFonts w:ascii="Arial" w:hAnsi="Arial" w:cs="Arial"/>
              <w:sz w:val="22"/>
            </w:rPr>
            <w:t xml:space="preserve"> Vodafone has introduced various programs to support small and medium-sized enterprises (SMEs). For instance, in Spain, they launched the 'Vodafone Business' platform, which offers digital solutions tailored for SMEs</w:t>
          </w:r>
          <w:sdt>
            <w:sdtPr>
              <w:rPr>
                <w:rFonts w:ascii="Arial" w:hAnsi="Arial" w:cs="Arial"/>
                <w:sz w:val="22"/>
              </w:rPr>
              <w:id w:val="-1314711622"/>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Vod234 \l 2057 </w:instrText>
              </w:r>
              <w:r>
                <w:rPr>
                  <w:rFonts w:ascii="Arial" w:hAnsi="Arial" w:cs="Arial"/>
                  <w:sz w:val="22"/>
                </w:rPr>
                <w:fldChar w:fldCharType="separate"/>
              </w:r>
              <w:r>
                <w:rPr>
                  <w:rFonts w:ascii="Arial" w:hAnsi="Arial" w:cs="Arial"/>
                  <w:sz w:val="22"/>
                </w:rPr>
                <w:t xml:space="preserve"> (Vodafone, 2023)</w:t>
              </w:r>
              <w:r>
                <w:rPr>
                  <w:rFonts w:ascii="Arial" w:hAnsi="Arial" w:cs="Arial"/>
                  <w:sz w:val="22"/>
                </w:rPr>
                <w:fldChar w:fldCharType="end"/>
              </w:r>
            </w:sdtContent>
          </w:sdt>
          <w:r>
            <w:rPr>
              <w:rFonts w:ascii="Arial" w:hAnsi="Arial" w:cs="Arial"/>
              <w:sz w:val="22"/>
            </w:rPr>
            <w:t>.</w:t>
          </w:r>
        </w:p>
        <w:p>
          <w:pPr>
            <w:numPr>
              <w:ilvl w:val="0"/>
              <w:numId w:val="20"/>
            </w:numPr>
            <w:spacing w:line="480" w:lineRule="auto"/>
            <w:jc w:val="both"/>
            <w:rPr>
              <w:rFonts w:ascii="Arial" w:hAnsi="Arial" w:cs="Arial"/>
              <w:b/>
              <w:bCs/>
            </w:rPr>
          </w:pPr>
          <w:r>
            <w:rPr>
              <w:rFonts w:ascii="Arial" w:hAnsi="Arial" w:cs="Arial"/>
              <w:b/>
              <w:bCs/>
            </w:rPr>
            <w:t>Legal Responsibilities:</w:t>
          </w:r>
        </w:p>
        <w:p>
          <w:pPr>
            <w:numPr>
              <w:ilvl w:val="1"/>
              <w:numId w:val="20"/>
            </w:numPr>
            <w:spacing w:line="480" w:lineRule="auto"/>
            <w:jc w:val="both"/>
          </w:pPr>
          <w:r>
            <w:rPr>
              <w:rFonts w:ascii="Arial" w:hAnsi="Arial" w:cs="Arial"/>
              <w:b/>
              <w:bCs/>
            </w:rPr>
            <w:t>Data Privacy and Security:</w:t>
          </w:r>
          <w:r>
            <w:t xml:space="preserve"> </w:t>
          </w:r>
          <w:r>
            <w:rPr>
              <w:rFonts w:ascii="Arial" w:hAnsi="Arial" w:cs="Arial"/>
              <w:sz w:val="22"/>
            </w:rPr>
            <w:t>Vodafone has a robust data privacy framework in place, ensuring that customer data is protected. They have also been transparent about their data handling practices, publishing an annual 'Law Enforcement Disclosure Report'</w:t>
          </w:r>
          <w:sdt>
            <w:sdtPr>
              <w:rPr>
                <w:rFonts w:ascii="Arial" w:hAnsi="Arial" w:cs="Arial"/>
                <w:sz w:val="22"/>
              </w:rPr>
              <w:id w:val="1108085098"/>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Vod235 \l 2057 </w:instrText>
              </w:r>
              <w:r>
                <w:rPr>
                  <w:rFonts w:ascii="Arial" w:hAnsi="Arial" w:cs="Arial"/>
                  <w:sz w:val="22"/>
                </w:rPr>
                <w:fldChar w:fldCharType="separate"/>
              </w:r>
              <w:r>
                <w:rPr>
                  <w:rFonts w:ascii="Arial" w:hAnsi="Arial" w:cs="Arial"/>
                  <w:sz w:val="22"/>
                </w:rPr>
                <w:t xml:space="preserve"> (Vodafone Group Plc Digital Rights and Freedoms, 2023)</w:t>
              </w:r>
              <w:r>
                <w:rPr>
                  <w:rFonts w:ascii="Arial" w:hAnsi="Arial" w:cs="Arial"/>
                  <w:sz w:val="22"/>
                </w:rPr>
                <w:fldChar w:fldCharType="end"/>
              </w:r>
            </w:sdtContent>
          </w:sdt>
          <w:r>
            <w:rPr>
              <w:rFonts w:ascii="Arial" w:hAnsi="Arial" w:cs="Arial"/>
              <w:sz w:val="22"/>
            </w:rPr>
            <w:t>.</w:t>
          </w:r>
        </w:p>
        <w:p>
          <w:pPr>
            <w:numPr>
              <w:ilvl w:val="1"/>
              <w:numId w:val="20"/>
            </w:numPr>
            <w:spacing w:line="480" w:lineRule="auto"/>
            <w:jc w:val="both"/>
          </w:pPr>
          <w:r>
            <w:rPr>
              <w:rFonts w:ascii="Arial" w:hAnsi="Arial" w:cs="Arial"/>
              <w:b/>
              <w:bCs/>
            </w:rPr>
            <w:t>Regulatory Compliance:</w:t>
          </w:r>
          <w:r>
            <w:t xml:space="preserve"> </w:t>
          </w:r>
          <w:r>
            <w:rPr>
              <w:rFonts w:ascii="Arial" w:hAnsi="Arial" w:cs="Arial"/>
              <w:sz w:val="22"/>
            </w:rPr>
            <w:t>Vodafone ensures that all its operations adhere to the local regulations of the countries they operate in. They have a dedicated team that monitors regulatory changes and ensures compliance</w:t>
          </w:r>
          <w:sdt>
            <w:sdtPr>
              <w:rPr>
                <w:rFonts w:ascii="Arial" w:hAnsi="Arial" w:cs="Arial"/>
                <w:sz w:val="22"/>
              </w:rPr>
              <w:id w:val="389698469"/>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Stu20 \l 2057 </w:instrText>
              </w:r>
              <w:r>
                <w:rPr>
                  <w:rFonts w:ascii="Arial" w:hAnsi="Arial" w:cs="Arial"/>
                  <w:sz w:val="22"/>
                </w:rPr>
                <w:fldChar w:fldCharType="separate"/>
              </w:r>
              <w:r>
                <w:rPr>
                  <w:rFonts w:ascii="Arial" w:hAnsi="Arial" w:cs="Arial"/>
                  <w:sz w:val="22"/>
                </w:rPr>
                <w:t xml:space="preserve"> (Thomson, 2020)</w:t>
              </w:r>
              <w:r>
                <w:rPr>
                  <w:rFonts w:ascii="Arial" w:hAnsi="Arial" w:cs="Arial"/>
                  <w:sz w:val="22"/>
                </w:rPr>
                <w:fldChar w:fldCharType="end"/>
              </w:r>
            </w:sdtContent>
          </w:sdt>
          <w:r>
            <w:rPr>
              <w:rFonts w:ascii="Arial" w:hAnsi="Arial" w:cs="Arial"/>
              <w:sz w:val="22"/>
            </w:rPr>
            <w:t>.</w:t>
          </w:r>
        </w:p>
        <w:p>
          <w:pPr>
            <w:numPr>
              <w:ilvl w:val="0"/>
              <w:numId w:val="20"/>
            </w:numPr>
            <w:spacing w:line="480" w:lineRule="auto"/>
            <w:jc w:val="both"/>
            <w:rPr>
              <w:rFonts w:ascii="Arial" w:hAnsi="Arial" w:cs="Arial"/>
              <w:b/>
              <w:bCs/>
            </w:rPr>
          </w:pPr>
          <w:r>
            <w:rPr>
              <w:rFonts w:ascii="Arial" w:hAnsi="Arial" w:cs="Arial"/>
              <w:b/>
              <w:bCs/>
            </w:rPr>
            <w:t>Ethical Responsibilities:</w:t>
          </w:r>
        </w:p>
        <w:p>
          <w:pPr>
            <w:numPr>
              <w:ilvl w:val="1"/>
              <w:numId w:val="20"/>
            </w:numPr>
            <w:spacing w:line="480" w:lineRule="auto"/>
            <w:jc w:val="both"/>
          </w:pPr>
          <w:r>
            <w:rPr>
              <w:rFonts w:ascii="Arial" w:hAnsi="Arial" w:cs="Arial"/>
              <w:b/>
              <w:bCs/>
            </w:rPr>
            <w:t>Supply Chain Ethics:</w:t>
          </w:r>
          <w:r>
            <w:t xml:space="preserve"> </w:t>
          </w:r>
          <w:r>
            <w:rPr>
              <w:rFonts w:ascii="Arial" w:hAnsi="Arial" w:cs="Arial"/>
              <w:sz w:val="22"/>
            </w:rPr>
            <w:t>Vodafone has a stringent supplier code of conduct. They ensure that their suppliers adhere to ethical labor practices, and they conduct regular audits to ensure compliance</w:t>
          </w:r>
          <w:sdt>
            <w:sdtPr>
              <w:rPr>
                <w:rFonts w:ascii="Arial" w:hAnsi="Arial" w:cs="Arial"/>
                <w:sz w:val="22"/>
              </w:rPr>
              <w:id w:val="-210654982"/>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Dar17 \l 2057 </w:instrText>
              </w:r>
              <w:r>
                <w:rPr>
                  <w:rFonts w:ascii="Arial" w:hAnsi="Arial" w:cs="Arial"/>
                  <w:sz w:val="22"/>
                </w:rPr>
                <w:fldChar w:fldCharType="separate"/>
              </w:r>
              <w:r>
                <w:rPr>
                  <w:rFonts w:ascii="Arial" w:hAnsi="Arial" w:cs="Arial"/>
                  <w:sz w:val="22"/>
                </w:rPr>
                <w:t xml:space="preserve"> (York, 2017)</w:t>
              </w:r>
              <w:r>
                <w:rPr>
                  <w:rFonts w:ascii="Arial" w:hAnsi="Arial" w:cs="Arial"/>
                  <w:sz w:val="22"/>
                </w:rPr>
                <w:fldChar w:fldCharType="end"/>
              </w:r>
            </w:sdtContent>
          </w:sdt>
          <w:r>
            <w:rPr>
              <w:rFonts w:ascii="Arial" w:hAnsi="Arial" w:cs="Arial"/>
              <w:sz w:val="22"/>
            </w:rPr>
            <w:t>.</w:t>
          </w:r>
        </w:p>
        <w:p>
          <w:pPr>
            <w:numPr>
              <w:ilvl w:val="1"/>
              <w:numId w:val="20"/>
            </w:numPr>
            <w:spacing w:line="480" w:lineRule="auto"/>
            <w:jc w:val="both"/>
          </w:pPr>
          <w:r>
            <w:rPr>
              <w:rFonts w:ascii="Arial" w:hAnsi="Arial" w:cs="Arial"/>
              <w:b/>
              <w:bCs/>
            </w:rPr>
            <w:t>Promoting Diversity and Inclusion:</w:t>
          </w:r>
          <w:r>
            <w:t xml:space="preserve"> </w:t>
          </w:r>
          <w:r>
            <w:rPr>
              <w:rFonts w:ascii="Arial" w:hAnsi="Arial" w:cs="Arial"/>
              <w:sz w:val="22"/>
            </w:rPr>
            <w:t>Vodafone has been recognized for its efforts in promoting diversity and inclusion. In 2020, they were ranked among the top 10 companies in the 'Refinitiv Diversity &amp; Inclusion Index'.</w:t>
          </w:r>
        </w:p>
        <w:p>
          <w:pPr>
            <w:numPr>
              <w:ilvl w:val="0"/>
              <w:numId w:val="20"/>
            </w:numPr>
            <w:spacing w:line="480" w:lineRule="auto"/>
            <w:jc w:val="both"/>
            <w:rPr>
              <w:rFonts w:ascii="Arial" w:hAnsi="Arial" w:cs="Arial"/>
              <w:b/>
              <w:bCs/>
            </w:rPr>
          </w:pPr>
          <w:r>
            <w:rPr>
              <w:rFonts w:ascii="Arial" w:hAnsi="Arial" w:cs="Arial"/>
              <w:b/>
              <w:bCs/>
            </w:rPr>
            <w:t>Philanthropic Responsibilities:</w:t>
          </w:r>
        </w:p>
        <w:p>
          <w:pPr>
            <w:numPr>
              <w:ilvl w:val="1"/>
              <w:numId w:val="20"/>
            </w:numPr>
            <w:spacing w:line="480" w:lineRule="auto"/>
            <w:jc w:val="both"/>
          </w:pPr>
          <w:r>
            <w:rPr>
              <w:rFonts w:ascii="Arial" w:hAnsi="Arial" w:cs="Arial"/>
              <w:b/>
              <w:bCs/>
            </w:rPr>
            <w:t>Healthcare Initiatives</w:t>
          </w:r>
          <w:r>
            <w:t xml:space="preserve">: </w:t>
          </w:r>
          <w:r>
            <w:rPr>
              <w:rFonts w:ascii="Arial" w:hAnsi="Arial" w:cs="Arial"/>
              <w:sz w:val="22"/>
            </w:rPr>
            <w:t>Vodafone Foundation has been actively involved in healthcare initiatives. One notable project is the 'Ambulance Taxi' service in Tanzania, which has helped pregnant women reach healthcare facilities during emergencies</w:t>
          </w:r>
          <w:sdt>
            <w:sdtPr>
              <w:rPr>
                <w:rFonts w:ascii="Arial" w:hAnsi="Arial" w:cs="Arial"/>
                <w:sz w:val="22"/>
              </w:rPr>
              <w:id w:val="583649373"/>
            </w:sdtPr>
            <w:sdtEndPr>
              <w:rPr>
                <w:rFonts w:ascii="Arial" w:hAnsi="Arial" w:cs="Arial"/>
                <w:sz w:val="22"/>
              </w:rPr>
            </w:sdtEndPr>
            <w:sdtContent>
              <w:r>
                <w:rPr>
                  <w:rFonts w:ascii="Arial" w:hAnsi="Arial" w:cs="Arial"/>
                  <w:sz w:val="22"/>
                </w:rPr>
                <w:fldChar w:fldCharType="begin"/>
              </w:r>
              <w:r>
                <w:rPr>
                  <w:rFonts w:ascii="Arial" w:hAnsi="Arial" w:cs="Arial"/>
                  <w:sz w:val="22"/>
                </w:rPr>
                <w:instrText xml:space="preserve"> CITATION Tec20 \l 2057 </w:instrText>
              </w:r>
              <w:r>
                <w:rPr>
                  <w:rFonts w:ascii="Arial" w:hAnsi="Arial" w:cs="Arial"/>
                  <w:sz w:val="22"/>
                </w:rPr>
                <w:fldChar w:fldCharType="separate"/>
              </w:r>
              <w:r>
                <w:rPr>
                  <w:rFonts w:ascii="Arial" w:hAnsi="Arial" w:cs="Arial"/>
                  <w:sz w:val="22"/>
                </w:rPr>
                <w:t xml:space="preserve"> (Africa, 2020)</w:t>
              </w:r>
              <w:r>
                <w:rPr>
                  <w:rFonts w:ascii="Arial" w:hAnsi="Arial" w:cs="Arial"/>
                  <w:sz w:val="22"/>
                </w:rPr>
                <w:fldChar w:fldCharType="end"/>
              </w:r>
            </w:sdtContent>
          </w:sdt>
          <w:r>
            <w:rPr>
              <w:rFonts w:ascii="Arial" w:hAnsi="Arial" w:cs="Arial"/>
              <w:sz w:val="22"/>
            </w:rPr>
            <w:t>.</w:t>
          </w:r>
        </w:p>
        <w:p>
          <w:pPr>
            <w:numPr>
              <w:ilvl w:val="1"/>
              <w:numId w:val="20"/>
            </w:numPr>
            <w:spacing w:line="480" w:lineRule="auto"/>
            <w:jc w:val="both"/>
          </w:pPr>
          <w:r>
            <w:rPr>
              <w:rFonts w:ascii="Arial" w:hAnsi="Arial" w:cs="Arial"/>
              <w:b/>
              <w:bCs/>
            </w:rPr>
            <w:t>Educational Programs</w:t>
          </w:r>
          <w:r>
            <w:t xml:space="preserve">: </w:t>
          </w:r>
          <w:r>
            <w:rPr>
              <w:rFonts w:ascii="Arial" w:hAnsi="Arial" w:cs="Arial"/>
              <w:sz w:val="22"/>
            </w:rPr>
            <w:t>Vodafone Foundation has also been involved in promoting education. Their 'Instant Schools' program has provided quality education to over 5 million children in Africa.</w:t>
          </w:r>
        </w:p>
        <w:p>
          <w:pPr>
            <w:numPr>
              <w:ilvl w:val="0"/>
              <w:numId w:val="20"/>
            </w:numPr>
            <w:spacing w:line="480" w:lineRule="auto"/>
            <w:jc w:val="both"/>
            <w:rPr>
              <w:rFonts w:ascii="Arial" w:hAnsi="Arial" w:cs="Arial"/>
              <w:b/>
              <w:bCs/>
            </w:rPr>
          </w:pPr>
          <w:r>
            <w:rPr>
              <w:rFonts w:ascii="Arial" w:hAnsi="Arial" w:cs="Arial"/>
              <w:b/>
              <w:bCs/>
            </w:rPr>
            <w:t>Impact on Reputation and Business Performance:</w:t>
          </w:r>
        </w:p>
        <w:p>
          <w:pPr>
            <w:numPr>
              <w:ilvl w:val="1"/>
              <w:numId w:val="20"/>
            </w:numPr>
            <w:spacing w:line="480" w:lineRule="auto"/>
            <w:jc w:val="both"/>
            <w:rPr>
              <w:rFonts w:ascii="Arial" w:hAnsi="Arial" w:cs="Arial"/>
              <w:sz w:val="22"/>
            </w:rPr>
          </w:pPr>
          <w:r>
            <w:rPr>
              <w:rFonts w:ascii="Arial" w:hAnsi="Arial" w:cs="Arial"/>
              <w:sz w:val="22"/>
            </w:rPr>
            <w:t>Vodafone's commitment to CSR has positively impacted its reputation. They have been consistently ranked among the top companies in various CSR indices.</w:t>
          </w:r>
        </w:p>
        <w:p>
          <w:pPr>
            <w:numPr>
              <w:ilvl w:val="1"/>
              <w:numId w:val="20"/>
            </w:numPr>
            <w:spacing w:line="480" w:lineRule="auto"/>
            <w:jc w:val="both"/>
            <w:rPr>
              <w:rFonts w:ascii="Arial" w:hAnsi="Arial" w:cs="Arial"/>
              <w:sz w:val="22"/>
            </w:rPr>
          </w:pPr>
          <w:r>
            <w:rPr>
              <w:rFonts w:ascii="Arial" w:hAnsi="Arial" w:cs="Arial"/>
              <w:sz w:val="22"/>
            </w:rPr>
            <w:t>Their CSR initiatives have also translated into tangible business benefits. For instance, their focus on digital inclusion has opened up new markets and customer segments.</w:t>
          </w:r>
        </w:p>
        <w:p>
          <w:pPr>
            <w:pStyle w:val="2"/>
          </w:pPr>
          <w:bookmarkStart w:id="22" w:name="_Toc142950679"/>
          <w:r>
            <w:t>Conclusion</w:t>
          </w:r>
          <w:bookmarkEnd w:id="22"/>
        </w:p>
        <w:p>
          <w:pPr>
            <w:spacing w:line="480" w:lineRule="auto"/>
            <w:jc w:val="both"/>
            <w:rPr>
              <w:rFonts w:ascii="Arial" w:hAnsi="Arial" w:cs="Arial"/>
              <w:sz w:val="22"/>
            </w:rPr>
          </w:pPr>
          <w:r>
            <w:rPr>
              <w:rFonts w:ascii="Arial" w:hAnsi="Arial" w:cs="Arial"/>
              <w:sz w:val="22"/>
            </w:rPr>
            <w:t>Throughout our comprehensive analysis of Vodafone, a telecommunications titan with an expansive global presence, we've gained profound insights into its international business strategies and robust CSR initiatives. Vodafone's international expansion strategy is characterized by a judicious mix of acquisitions, greenfield investments, and strategic alliances, enabling it to penetrate diverse markets and cater to a broad spectrum of customer needs. Their commitment to Corporate Social Responsibility, viewed through the prism of Carroll's Pyramid of CSR, is evident in their endeavors spanning economic, legal, ethical, and philanthropic domains. Notably, their initiatives in digital inclusion, SME support, and championing healthcare and education have set industry benchmarks.</w:t>
          </w:r>
        </w:p>
        <w:p>
          <w:pPr>
            <w:spacing w:line="480" w:lineRule="auto"/>
            <w:jc w:val="both"/>
            <w:rPr>
              <w:rFonts w:ascii="Arial" w:hAnsi="Arial" w:cs="Arial"/>
              <w:sz w:val="22"/>
            </w:rPr>
          </w:pPr>
          <w:r>
            <w:rPr>
              <w:rFonts w:ascii="Arial" w:hAnsi="Arial" w:cs="Arial"/>
              <w:sz w:val="22"/>
            </w:rPr>
            <w:t>Vodafone's dedication to adhering to the regulatory landscapes of its operational countries is commendable, with their transparency in areas like data privacy setting industry standards. Our SWOT analysis shed light on Vodafone's intrinsic strengths, such as its formidable brand identity, technological vanguard, and a customer-centric ethos. However, it's imperative to note the challenges they face, including the rigors of intense competition and the vicissitudes of a rapidly evolving technological domain.</w:t>
          </w:r>
        </w:p>
        <w:p>
          <w:pPr>
            <w:spacing w:line="480" w:lineRule="auto"/>
            <w:jc w:val="both"/>
            <w:rPr>
              <w:rFonts w:ascii="Arial" w:hAnsi="Arial" w:cs="Arial"/>
              <w:sz w:val="22"/>
            </w:rPr>
          </w:pPr>
          <w:r>
            <w:rPr>
              <w:rFonts w:ascii="Arial" w:hAnsi="Arial" w:cs="Arial"/>
              <w:sz w:val="22"/>
            </w:rPr>
            <w:t>The PESTEL analyses for both the UK, Vodafone's home turf, and Germany, a key host country, unveiled the myriad external factors shaping Vodafone's strategic decisions. The UK's stable, innovation-driven environment juxtaposed with Germany's robust economic stature and advanced technological infrastructure underscores their significance in Vodafone's global strategy. A salient observation from our study is the symbiotic relationship between Vodafone's international strategies and its CSR endeavors. Their CSR initiatives, particularly in areas like digital inclusion, resonate deeply with their overarching business objectives, creating a synergy that's both socially beneficial and commercially viable.</w:t>
          </w:r>
        </w:p>
        <w:p>
          <w:pPr>
            <w:spacing w:line="480" w:lineRule="auto"/>
            <w:jc w:val="both"/>
            <w:rPr>
              <w:rFonts w:ascii="Arial" w:hAnsi="Arial" w:cs="Arial"/>
              <w:sz w:val="22"/>
            </w:rPr>
          </w:pPr>
          <w:r>
            <w:rPr>
              <w:rFonts w:ascii="Arial" w:hAnsi="Arial" w:cs="Arial"/>
              <w:sz w:val="22"/>
            </w:rPr>
            <w:t>In summation, Vodafone's odyssey in the global telecommunications arena epitomizes strategic foresight, unwavering commitment to societal welfare, and adeptness at navigating the multifaceted dynamics of diverse markets. As the telecom landscape continues its relentless evolution, Vodafone's holistic and proactive approach augurs well for its future endeavors, ensuring it remains at the industry's vanguard.</w:t>
          </w:r>
        </w:p>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pStyle w:val="2"/>
          </w:pPr>
          <w:bookmarkStart w:id="23" w:name="_Toc142950680"/>
          <w:r>
            <w:t>References</w:t>
          </w:r>
          <w:bookmarkEnd w:id="23"/>
        </w:p>
        <w:sdt>
          <w:sdtPr>
            <w:rPr>
              <w:rFonts w:eastAsiaTheme="minorHAnsi"/>
            </w:rPr>
            <w:id w:val="1305280841"/>
            <w:docPartObj>
              <w:docPartGallery w:val="AutoText"/>
            </w:docPartObj>
          </w:sdtPr>
          <w:sdtEndPr>
            <w:rPr>
              <w:rFonts w:ascii="Times New Roman" w:hAnsi="Times New Roman" w:eastAsiaTheme="minorHAnsi" w:cstheme="minorBidi"/>
              <w:b w:val="0"/>
              <w:bCs w:val="0"/>
              <w:color w:val="auto"/>
              <w:szCs w:val="22"/>
              <w:lang w:eastAsia="en-US"/>
            </w:rPr>
          </w:sdtEndPr>
          <w:sdtContent>
            <w:p>
              <w:pPr>
                <w:pStyle w:val="2"/>
              </w:pPr>
            </w:p>
            <w:p>
              <w:pPr>
                <w:pStyle w:val="27"/>
                <w:rPr>
                  <w:szCs w:val="24"/>
                </w:rPr>
              </w:pPr>
              <w:r>
                <w:t xml:space="preserve">Africa, T. i., 2020. </w:t>
              </w:r>
              <w:r>
                <w:rPr>
                  <w:i/>
                  <w:iCs/>
                </w:rPr>
                <w:t xml:space="preserve">Vodafone Foundation expanding the ‘Ambulance Taxi’ programme in US$28m investment. </w:t>
              </w:r>
              <w:r>
                <w:t xml:space="preserve">[Online] </w:t>
              </w:r>
              <w:r>
                <w:br w:type="textWrapping"/>
              </w:r>
              <w:r>
                <w:t xml:space="preserve">Available at: </w:t>
              </w:r>
              <w:r>
                <w:rPr>
                  <w:u w:val="single"/>
                </w:rPr>
                <w:t>https://www.techinafrica.com/vodafone-foundation-expanding-the-ambulance-taxi-programme-in-us28m-investment/</w:t>
              </w:r>
              <w:r>
                <w:br w:type="textWrapping"/>
              </w:r>
              <w:r>
                <w:t>[Accessed Aug 2023].</w:t>
              </w:r>
            </w:p>
            <w:p>
              <w:pPr>
                <w:pStyle w:val="27"/>
              </w:pPr>
              <w:r>
                <w:t xml:space="preserve">Anwar, S. T., 2003. CASES Vodafone and the wireless industry: a case in market expansion and global strategy. </w:t>
              </w:r>
              <w:r>
                <w:rPr>
                  <w:i/>
                  <w:iCs/>
                </w:rPr>
                <w:t xml:space="preserve">Journal of Business &amp; Industrial Marketing , </w:t>
              </w:r>
              <w:r>
                <w:t>18(3), pp. 270-288.</w:t>
              </w:r>
            </w:p>
            <w:p>
              <w:pPr>
                <w:pStyle w:val="27"/>
              </w:pPr>
              <w:r>
                <w:t xml:space="preserve">Buye, R., 2021. </w:t>
              </w:r>
              <w:r>
                <w:rPr>
                  <w:i/>
                  <w:iCs/>
                </w:rPr>
                <w:t xml:space="preserve">Critical examination of the PESTEL Analysis Model, </w:t>
              </w:r>
              <w:r>
                <w:t>n.d: Researchgate .</w:t>
              </w:r>
            </w:p>
            <w:p>
              <w:pPr>
                <w:pStyle w:val="27"/>
              </w:pPr>
              <w:r>
                <w:t xml:space="preserve">Cansfield, M., 2009. </w:t>
              </w:r>
              <w:r>
                <w:rPr>
                  <w:i/>
                  <w:iCs/>
                </w:rPr>
                <w:t xml:space="preserve">Case Study: How Vodafone Germany Became A Convergent Operator. </w:t>
              </w:r>
              <w:r>
                <w:t xml:space="preserve">[Online] </w:t>
              </w:r>
              <w:r>
                <w:br w:type="textWrapping"/>
              </w:r>
              <w:r>
                <w:t xml:space="preserve">Available at: </w:t>
              </w:r>
              <w:r>
                <w:rPr>
                  <w:u w:val="single"/>
                </w:rPr>
                <w:t>https://www.forrester.com/report/case-study-how-vodafone-germany-became-a-convergent-operator/RES46828</w:t>
              </w:r>
              <w:r>
                <w:br w:type="textWrapping"/>
              </w:r>
              <w:r>
                <w:t>[Accessed 2023].</w:t>
              </w:r>
            </w:p>
            <w:p>
              <w:pPr>
                <w:pStyle w:val="27"/>
              </w:pPr>
              <w:r>
                <w:t xml:space="preserve">celso_gomes, 2014. </w:t>
              </w:r>
              <w:r>
                <w:rPr>
                  <w:i/>
                  <w:iCs/>
                </w:rPr>
                <w:t xml:space="preserve">Vodafone-micro environmental factors-marketing. </w:t>
              </w:r>
              <w:r>
                <w:t xml:space="preserve">[Online] </w:t>
              </w:r>
              <w:r>
                <w:br w:type="textWrapping"/>
              </w:r>
              <w:r>
                <w:t xml:space="preserve">Available at: </w:t>
              </w:r>
              <w:r>
                <w:rPr>
                  <w:u w:val="single"/>
                </w:rPr>
                <w:t>https://www.slideshare.net/celso_gomes/vodafonemarket</w:t>
              </w:r>
              <w:r>
                <w:br w:type="textWrapping"/>
              </w:r>
              <w:r>
                <w:t>[Accessed 2023].</w:t>
              </w:r>
            </w:p>
            <w:p>
              <w:pPr>
                <w:pStyle w:val="27"/>
              </w:pPr>
              <w:r>
                <w:t xml:space="preserve">Chandler, A. D., 1962. </w:t>
              </w:r>
              <w:r>
                <w:rPr>
                  <w:i/>
                  <w:iCs/>
                </w:rPr>
                <w:t xml:space="preserve">Strategy and Structure, </w:t>
              </w:r>
              <w:r>
                <w:t>Cambridge: MIT Press.</w:t>
              </w:r>
            </w:p>
            <w:p>
              <w:pPr>
                <w:pStyle w:val="27"/>
              </w:pPr>
              <w:r>
                <w:t xml:space="preserve">Contact Centre World, 2008. </w:t>
              </w:r>
              <w:r>
                <w:rPr>
                  <w:i/>
                  <w:iCs/>
                </w:rPr>
                <w:t xml:space="preserve">Case Studies : Vodafone Germany. </w:t>
              </w:r>
              <w:r>
                <w:t xml:space="preserve">[Online] </w:t>
              </w:r>
              <w:r>
                <w:br w:type="textWrapping"/>
              </w:r>
              <w:r>
                <w:t xml:space="preserve">Available at: </w:t>
              </w:r>
              <w:r>
                <w:rPr>
                  <w:u w:val="single"/>
                </w:rPr>
                <w:t>https://www.contactcenterworld.com/view/contact-center-case-study/vodafone-germany.aspx</w:t>
              </w:r>
              <w:r>
                <w:br w:type="textWrapping"/>
              </w:r>
              <w:r>
                <w:t>[Accessed 2023].</w:t>
              </w:r>
            </w:p>
            <w:p>
              <w:pPr>
                <w:pStyle w:val="27"/>
              </w:pPr>
              <w:r>
                <w:t xml:space="preserve">Coulter, M. K., 2008. </w:t>
              </w:r>
              <w:r>
                <w:rPr>
                  <w:i/>
                  <w:iCs/>
                </w:rPr>
                <w:t xml:space="preserve">Strategic Management in Action, </w:t>
              </w:r>
              <w:r>
                <w:t>s.l.: Prentice Hall.</w:t>
              </w:r>
            </w:p>
            <w:p>
              <w:pPr>
                <w:pStyle w:val="27"/>
              </w:pPr>
              <w:r>
                <w:t xml:space="preserve">Dobbs, M. E., 2014. Guidelines for applying Porter's five forces framework: a set of industry analysis templates. </w:t>
              </w:r>
              <w:r>
                <w:rPr>
                  <w:i/>
                  <w:iCs/>
                </w:rPr>
                <w:t xml:space="preserve">Competitiveness Review,, </w:t>
              </w:r>
              <w:r>
                <w:t>24(1), pp. 32-45.</w:t>
              </w:r>
            </w:p>
            <w:p>
              <w:pPr>
                <w:pStyle w:val="27"/>
              </w:pPr>
              <w:r>
                <w:t xml:space="preserve">Daniels, J. D., 2019. </w:t>
              </w:r>
              <w:r>
                <w:rPr>
                  <w:i/>
                  <w:iCs/>
                </w:rPr>
                <w:t xml:space="preserve">International business : environments &amp; operations. </w:t>
              </w:r>
              <w:r>
                <w:t>Sixteenth edition ed. Harlow, England: Pearson.</w:t>
              </w:r>
            </w:p>
            <w:p>
              <w:pPr>
                <w:pStyle w:val="27"/>
              </w:pPr>
              <w:r>
                <w:t xml:space="preserve">Dodourova, M., 2003. </w:t>
              </w:r>
              <w:r>
                <w:rPr>
                  <w:i/>
                  <w:iCs/>
                </w:rPr>
                <w:t xml:space="preserve">Industry dynamics and strategic positioning in the wireless telecommunications industry: the case of Vodafone Group plc, </w:t>
              </w:r>
              <w:r>
                <w:t>s.l.: Emerald insight .</w:t>
              </w:r>
            </w:p>
            <w:p>
              <w:pPr>
                <w:pStyle w:val="27"/>
              </w:pPr>
              <w:r>
                <w:t xml:space="preserve">Doyle, P. &amp; Stern, P., 2006. </w:t>
              </w:r>
              <w:r>
                <w:rPr>
                  <w:i/>
                  <w:iCs/>
                </w:rPr>
                <w:t xml:space="preserve">Marketing Management and Strategy. </w:t>
              </w:r>
              <w:r>
                <w:t>4 ed. Essex: Pearson Education Limited.</w:t>
              </w:r>
            </w:p>
            <w:p>
              <w:pPr>
                <w:pStyle w:val="27"/>
              </w:pPr>
              <w:r>
                <w:t xml:space="preserve">Financial Times, 2022. </w:t>
              </w:r>
              <w:r>
                <w:rPr>
                  <w:i/>
                  <w:iCs/>
                </w:rPr>
                <w:t xml:space="preserve">Vodafone boosted by growth in UK business. </w:t>
              </w:r>
              <w:r>
                <w:t xml:space="preserve">[Online] </w:t>
              </w:r>
              <w:r>
                <w:br w:type="textWrapping"/>
              </w:r>
              <w:r>
                <w:t xml:space="preserve">Available at: </w:t>
              </w:r>
              <w:r>
                <w:rPr>
                  <w:u w:val="single"/>
                </w:rPr>
                <w:t>https://headtopics.com/uk/vodafone-boosted-by-growth-in-uk-business-28412776</w:t>
              </w:r>
              <w:r>
                <w:br w:type="textWrapping"/>
              </w:r>
              <w:r>
                <w:t>[Accessed 2023].</w:t>
              </w:r>
            </w:p>
            <w:p>
              <w:pPr>
                <w:pStyle w:val="27"/>
              </w:pPr>
              <w:r>
                <w:t xml:space="preserve">GSMA, 2019. </w:t>
              </w:r>
              <w:r>
                <w:rPr>
                  <w:i/>
                  <w:iCs/>
                </w:rPr>
                <w:t xml:space="preserve">gsma.com. </w:t>
              </w:r>
              <w:r>
                <w:t xml:space="preserve">[Online] </w:t>
              </w:r>
              <w:r>
                <w:br w:type="textWrapping"/>
              </w:r>
              <w:r>
                <w:t xml:space="preserve">Available at: </w:t>
              </w:r>
              <w:r>
                <w:rPr>
                  <w:u w:val="single"/>
                </w:rPr>
                <w:t>https://www.gsma.com/futurenetworks/wiki/vodafone-case-study/</w:t>
              </w:r>
              <w:r>
                <w:br w:type="textWrapping"/>
              </w:r>
              <w:r>
                <w:t>[Accessed 2023].</w:t>
              </w:r>
            </w:p>
            <w:p>
              <w:pPr>
                <w:pStyle w:val="27"/>
              </w:pPr>
              <w:r>
                <w:t xml:space="preserve">Global Data , 2023. </w:t>
              </w:r>
              <w:r>
                <w:rPr>
                  <w:i/>
                  <w:iCs/>
                </w:rPr>
                <w:t xml:space="preserve">Germany Telecom Services Market Size and Analysis. </w:t>
              </w:r>
              <w:r>
                <w:t xml:space="preserve">[Online] </w:t>
              </w:r>
              <w:r>
                <w:br w:type="textWrapping"/>
              </w:r>
              <w:r>
                <w:t xml:space="preserve">Available at: </w:t>
              </w:r>
              <w:r>
                <w:rPr>
                  <w:u w:val="single"/>
                </w:rPr>
                <w:t>https://www.globaldata.com/store/report/germany-telecom-operators-market-analysis/</w:t>
              </w:r>
              <w:r>
                <w:br w:type="textWrapping"/>
              </w:r>
              <w:r>
                <w:t>[Accessed Aug 2023].</w:t>
              </w:r>
            </w:p>
            <w:p>
              <w:pPr>
                <w:pStyle w:val="27"/>
              </w:pPr>
              <w:r>
                <w:t xml:space="preserve">GBR Team, 2021. </w:t>
              </w:r>
              <w:r>
                <w:rPr>
                  <w:i/>
                  <w:iCs/>
                </w:rPr>
                <w:t xml:space="preserve">PESTLE analysis of Vodafone. </w:t>
              </w:r>
              <w:r>
                <w:t xml:space="preserve">[Online] </w:t>
              </w:r>
              <w:r>
                <w:br w:type="textWrapping"/>
              </w:r>
              <w:r>
                <w:t xml:space="preserve">Available at: </w:t>
              </w:r>
              <w:r>
                <w:rPr>
                  <w:u w:val="single"/>
                </w:rPr>
                <w:t>https://www.george-business-review.com/pestle-analysis-of-vodafone/</w:t>
              </w:r>
              <w:r>
                <w:br w:type="textWrapping"/>
              </w:r>
              <w:r>
                <w:t>[Accessed 2023].</w:t>
              </w:r>
            </w:p>
            <w:p>
              <w:pPr>
                <w:pStyle w:val="27"/>
              </w:pPr>
              <w:r>
                <w:t xml:space="preserve">International Trade Administration U.S. Department of Commerce, 2022. </w:t>
              </w:r>
              <w:r>
                <w:rPr>
                  <w:i/>
                  <w:iCs/>
                </w:rPr>
                <w:t xml:space="preserve">Germany - Country Commercial Guide. </w:t>
              </w:r>
              <w:r>
                <w:t xml:space="preserve">[Online] </w:t>
              </w:r>
              <w:r>
                <w:br w:type="textWrapping"/>
              </w:r>
              <w:r>
                <w:t xml:space="preserve">Available at: </w:t>
              </w:r>
              <w:r>
                <w:rPr>
                  <w:u w:val="single"/>
                </w:rPr>
                <w:t>https://www.trade.gov/country-commercial-guides/germany-market-overview</w:t>
              </w:r>
              <w:r>
                <w:br w:type="textWrapping"/>
              </w:r>
              <w:r>
                <w:t>[Accessed Aug 2023].</w:t>
              </w:r>
            </w:p>
            <w:p>
              <w:pPr>
                <w:pStyle w:val="27"/>
              </w:pPr>
              <w:r>
                <w:t xml:space="preserve">Jackson, M., 2022. </w:t>
              </w:r>
              <w:r>
                <w:rPr>
                  <w:i/>
                  <w:iCs/>
                </w:rPr>
                <w:t xml:space="preserve">Vodafone Claims 5G May Boost UK Economy by £7bn Per Year. </w:t>
              </w:r>
              <w:r>
                <w:t xml:space="preserve">[Online] </w:t>
              </w:r>
              <w:r>
                <w:br w:type="textWrapping"/>
              </w:r>
              <w:r>
                <w:t xml:space="preserve">Available at: </w:t>
              </w:r>
              <w:r>
                <w:rPr>
                  <w:u w:val="single"/>
                </w:rPr>
                <w:t>https://www.ispreview.co.uk/index.php/2022/06/vodafone-claims-5g-may-boost-uk-economy-by-7bn-per-year.html</w:t>
              </w:r>
              <w:r>
                <w:br w:type="textWrapping"/>
              </w:r>
              <w:r>
                <w:t>[Accessed AUG 2023].</w:t>
              </w:r>
            </w:p>
            <w:p>
              <w:pPr>
                <w:pStyle w:val="27"/>
              </w:pPr>
              <w:r>
                <w:t xml:space="preserve">Kalam, K., 2020. </w:t>
              </w:r>
              <w:r>
                <w:rPr>
                  <w:i/>
                  <w:iCs/>
                </w:rPr>
                <w:t xml:space="preserve">Market Segmentation, Targeting and Positioning Strategy Adaptation for the Global Business of Vodafone Telecommunication Company, </w:t>
              </w:r>
              <w:r>
                <w:t>s.l.: Research Page .</w:t>
              </w:r>
            </w:p>
            <w:p>
              <w:pPr>
                <w:pStyle w:val="27"/>
              </w:pPr>
              <w:r>
                <w:t xml:space="preserve">Kasia Davies , 2022. </w:t>
              </w:r>
              <w:r>
                <w:rPr>
                  <w:i/>
                  <w:iCs/>
                </w:rPr>
                <w:t xml:space="preserve">Number of mobile customers of Vodafone in Germany in the corporate years from 2008/09 to 2021/2022. </w:t>
              </w:r>
              <w:r>
                <w:t xml:space="preserve">[Online] </w:t>
              </w:r>
              <w:r>
                <w:br w:type="textWrapping"/>
              </w:r>
              <w:r>
                <w:t xml:space="preserve">Available at: </w:t>
              </w:r>
              <w:r>
                <w:rPr>
                  <w:u w:val="single"/>
                </w:rPr>
                <w:t>https://www.statista.com/statistics/488538/vodafone-mobile-customers-germany/</w:t>
              </w:r>
              <w:r>
                <w:br w:type="textWrapping"/>
              </w:r>
              <w:r>
                <w:t>[Accessed 2023].</w:t>
              </w:r>
            </w:p>
            <w:p>
              <w:pPr>
                <w:pStyle w:val="27"/>
              </w:pPr>
              <w:r>
                <w:t xml:space="preserve">MBA SKOOL, 2022. </w:t>
              </w:r>
              <w:r>
                <w:rPr>
                  <w:i/>
                  <w:iCs/>
                </w:rPr>
                <w:t xml:space="preserve">Vodafone PESTLE Analysis. </w:t>
              </w:r>
              <w:r>
                <w:t xml:space="preserve">[Online] </w:t>
              </w:r>
              <w:r>
                <w:br w:type="textWrapping"/>
              </w:r>
              <w:r>
                <w:t xml:space="preserve">Available at: </w:t>
              </w:r>
              <w:r>
                <w:rPr>
                  <w:u w:val="single"/>
                </w:rPr>
                <w:t>https://www.mbaskool.com/pestle-analysis/companies/17973-vodafone.html</w:t>
              </w:r>
              <w:r>
                <w:br w:type="textWrapping"/>
              </w:r>
              <w:r>
                <w:t>[Accessed Aug 2023].</w:t>
              </w:r>
            </w:p>
            <w:p>
              <w:pPr>
                <w:pStyle w:val="27"/>
              </w:pPr>
              <w:r>
                <w:t xml:space="preserve">Miro, 2022. </w:t>
              </w:r>
              <w:r>
                <w:rPr>
                  <w:i/>
                  <w:iCs/>
                </w:rPr>
                <w:t xml:space="preserve">What is Porter’s Five Forces model? And how to use it to analyze the competition. </w:t>
              </w:r>
              <w:r>
                <w:t xml:space="preserve">[Online] </w:t>
              </w:r>
              <w:r>
                <w:br w:type="textWrapping"/>
              </w:r>
              <w:r>
                <w:t xml:space="preserve">Available at: </w:t>
              </w:r>
              <w:r>
                <w:rPr>
                  <w:u w:val="single"/>
                </w:rPr>
                <w:t>https://miro.com/blog/porters-five-forces/</w:t>
              </w:r>
              <w:r>
                <w:br w:type="textWrapping"/>
              </w:r>
              <w:r>
                <w:t>[Accessed 12 Aug 2023].</w:t>
              </w:r>
            </w:p>
            <w:p>
              <w:pPr>
                <w:pStyle w:val="27"/>
              </w:pPr>
              <w:r>
                <w:t xml:space="preserve">Porter, M. E., 1980. </w:t>
              </w:r>
              <w:r>
                <w:rPr>
                  <w:i/>
                  <w:iCs/>
                </w:rPr>
                <w:t xml:space="preserve">Competitive Strategy, </w:t>
              </w:r>
              <w:r>
                <w:t>New York: Free Press.</w:t>
              </w:r>
            </w:p>
            <w:p>
              <w:pPr>
                <w:pStyle w:val="27"/>
              </w:pPr>
              <w:r>
                <w:t xml:space="preserve">POLITICO, 2018. </w:t>
              </w:r>
              <w:r>
                <w:rPr>
                  <w:i/>
                  <w:iCs/>
                </w:rPr>
                <w:t xml:space="preserve">Germany’s green energy shift is more fizzle than sizzle. </w:t>
              </w:r>
              <w:r>
                <w:t xml:space="preserve">[Online] </w:t>
              </w:r>
              <w:r>
                <w:br w:type="textWrapping"/>
              </w:r>
              <w:r>
                <w:t xml:space="preserve">Available at: </w:t>
              </w:r>
              <w:r>
                <w:rPr>
                  <w:u w:val="single"/>
                </w:rPr>
                <w:t>https://www.politico.eu/article/germany-climate-change-green-energy-shift-is-more-fizzle-than-sizzle/</w:t>
              </w:r>
              <w:r>
                <w:br w:type="textWrapping"/>
              </w:r>
              <w:r>
                <w:t>[Accessed AUG 2023].</w:t>
              </w:r>
            </w:p>
            <w:p>
              <w:pPr>
                <w:pStyle w:val="27"/>
              </w:pPr>
              <w:r>
                <w:t xml:space="preserve">Paul, S., 2019. </w:t>
              </w:r>
              <w:r>
                <w:rPr>
                  <w:i/>
                  <w:iCs/>
                </w:rPr>
                <w:t xml:space="preserve">Vodafone tests new network tech in UK in challenge to 'big three' suppliers. </w:t>
              </w:r>
              <w:r>
                <w:t xml:space="preserve">[Online] </w:t>
              </w:r>
              <w:r>
                <w:br w:type="textWrapping"/>
              </w:r>
              <w:r>
                <w:t xml:space="preserve">Available at: </w:t>
              </w:r>
              <w:r>
                <w:rPr>
                  <w:u w:val="single"/>
                </w:rPr>
                <w:t>https://www.reuters.com/article/us-vodafone-technology-openran-idUSKCN1WL0ES</w:t>
              </w:r>
              <w:r>
                <w:br w:type="textWrapping"/>
              </w:r>
              <w:r>
                <w:t>[Accessed Aug 2023].</w:t>
              </w:r>
            </w:p>
            <w:p>
              <w:pPr>
                <w:pStyle w:val="27"/>
              </w:pPr>
              <w:r>
                <w:t xml:space="preserve">Richard Puyt, F. B. L. C. P. W., 2023. The origins of SWOT analysis. </w:t>
              </w:r>
              <w:r>
                <w:rPr>
                  <w:i/>
                  <w:iCs/>
                </w:rPr>
                <w:t xml:space="preserve">Long Range Planning, </w:t>
              </w:r>
              <w:r>
                <w:t>56(3).</w:t>
              </w:r>
            </w:p>
            <w:p>
              <w:pPr>
                <w:pStyle w:val="27"/>
              </w:pPr>
              <w:r>
                <w:t xml:space="preserve">SchengenVisa News , 2021. </w:t>
              </w:r>
              <w:r>
                <w:rPr>
                  <w:i/>
                  <w:iCs/>
                </w:rPr>
                <w:t xml:space="preserve">German Labour Chief Says Germany Needs 400,000 Skilled Immigrants. </w:t>
              </w:r>
              <w:r>
                <w:t xml:space="preserve">[Online] </w:t>
              </w:r>
              <w:r>
                <w:br w:type="textWrapping"/>
              </w:r>
              <w:r>
                <w:t xml:space="preserve">Available at: </w:t>
              </w:r>
              <w:r>
                <w:rPr>
                  <w:u w:val="single"/>
                </w:rPr>
                <w:t>https://www.schengenvisainfo.com/news/german-labour-chief-says-germany-needs-400000-skilled-immigrants-yearly-to-tackle-skilled-workers-shortage/</w:t>
              </w:r>
              <w:r>
                <w:br w:type="textWrapping"/>
              </w:r>
              <w:r>
                <w:t>[Accessed Aug 2023].</w:t>
              </w:r>
            </w:p>
            <w:p>
              <w:pPr>
                <w:pStyle w:val="27"/>
              </w:pPr>
              <w:r>
                <w:t xml:space="preserve">Sandle, P., 2023. </w:t>
              </w:r>
              <w:r>
                <w:rPr>
                  <w:i/>
                  <w:iCs/>
                </w:rPr>
                <w:t xml:space="preserve">Hutchison briefed UK government as Vodafone deal set for regulatory scrutiny. </w:t>
              </w:r>
              <w:r>
                <w:t xml:space="preserve">[Online] </w:t>
              </w:r>
              <w:r>
                <w:br w:type="textWrapping"/>
              </w:r>
              <w:r>
                <w:t xml:space="preserve">Available at: </w:t>
              </w:r>
              <w:r>
                <w:rPr>
                  <w:u w:val="single"/>
                </w:rPr>
                <w:t>https://www.reuters.com/markets/deals/hutchison-briefed-uk-government-vodafone-deal-set-regulatory-scrutiny-2023-04-14/</w:t>
              </w:r>
              <w:r>
                <w:br w:type="textWrapping"/>
              </w:r>
              <w:r>
                <w:t>[Accessed Aug 2023].</w:t>
              </w:r>
            </w:p>
            <w:p>
              <w:pPr>
                <w:pStyle w:val="27"/>
              </w:pPr>
              <w:r>
                <w:t xml:space="preserve">teradata, 2023. </w:t>
              </w:r>
              <w:r>
                <w:rPr>
                  <w:i/>
                  <w:iCs/>
                </w:rPr>
                <w:t xml:space="preserve">Identifying upsell and cross-sell opportunities to fuel needed growth.. </w:t>
              </w:r>
              <w:r>
                <w:t xml:space="preserve">[Online] </w:t>
              </w:r>
              <w:r>
                <w:br w:type="textWrapping"/>
              </w:r>
              <w:r>
                <w:t xml:space="preserve">Available at: </w:t>
              </w:r>
              <w:r>
                <w:rPr>
                  <w:u w:val="single"/>
                </w:rPr>
                <w:t>https://www.teradata.com/Customers/Vodafone-Germany-Convergence</w:t>
              </w:r>
              <w:r>
                <w:br w:type="textWrapping"/>
              </w:r>
              <w:r>
                <w:t>[Accessed 2023].</w:t>
              </w:r>
            </w:p>
            <w:p>
              <w:pPr>
                <w:pStyle w:val="27"/>
              </w:pPr>
              <w:r>
                <w:t xml:space="preserve">Thomson, S., 2020. </w:t>
              </w:r>
              <w:r>
                <w:rPr>
                  <w:i/>
                  <w:iCs/>
                </w:rPr>
                <w:t xml:space="preserve">Vodafone Deutschland revamps legal and regulatory team. </w:t>
              </w:r>
              <w:r>
                <w:t xml:space="preserve">[Online] </w:t>
              </w:r>
              <w:r>
                <w:br w:type="textWrapping"/>
              </w:r>
              <w:r>
                <w:t xml:space="preserve">Available at: </w:t>
              </w:r>
              <w:r>
                <w:rPr>
                  <w:u w:val="single"/>
                </w:rPr>
                <w:t>https://www.digitaltveurope.com/2020/04/02/vodafone-deutschland-revamps-legal-and-regulatory-team/</w:t>
              </w:r>
              <w:r>
                <w:br w:type="textWrapping"/>
              </w:r>
              <w:r>
                <w:t>[Accessed Aug 2023].</w:t>
              </w:r>
            </w:p>
            <w:p>
              <w:pPr>
                <w:pStyle w:val="27"/>
              </w:pPr>
              <w:r>
                <w:t xml:space="preserve">TMF Group experts, 2018. </w:t>
              </w:r>
              <w:r>
                <w:rPr>
                  <w:i/>
                  <w:iCs/>
                </w:rPr>
                <w:t xml:space="preserve">Cultural considerations of doing business in the UK. </w:t>
              </w:r>
              <w:r>
                <w:t xml:space="preserve">[Online] </w:t>
              </w:r>
              <w:r>
                <w:br w:type="textWrapping"/>
              </w:r>
              <w:r>
                <w:t xml:space="preserve">Available at: </w:t>
              </w:r>
              <w:r>
                <w:rPr>
                  <w:u w:val="single"/>
                </w:rPr>
                <w:t>https://www.tmf-group.com/en/news-insights/articles/2018/may/cultural-considerations-uk/</w:t>
              </w:r>
              <w:r>
                <w:br w:type="textWrapping"/>
              </w:r>
              <w:r>
                <w:t>[Accessed 2023].</w:t>
              </w:r>
            </w:p>
            <w:p>
              <w:pPr>
                <w:pStyle w:val="27"/>
              </w:pPr>
              <w:r>
                <w:t xml:space="preserve">Vodafone Group Plc, 2023. </w:t>
              </w:r>
              <w:r>
                <w:rPr>
                  <w:i/>
                  <w:iCs/>
                </w:rPr>
                <w:t xml:space="preserve">About Us. </w:t>
              </w:r>
              <w:r>
                <w:t xml:space="preserve">[Online] </w:t>
              </w:r>
              <w:r>
                <w:br w:type="textWrapping"/>
              </w:r>
              <w:r>
                <w:t xml:space="preserve">Available at: </w:t>
              </w:r>
              <w:r>
                <w:rPr>
                  <w:u w:val="single"/>
                </w:rPr>
                <w:t>https://www.vodafone.com/about</w:t>
              </w:r>
              <w:r>
                <w:br w:type="textWrapping"/>
              </w:r>
              <w:r>
                <w:t>[Accessed 2023].</w:t>
              </w:r>
            </w:p>
            <w:p>
              <w:pPr>
                <w:pStyle w:val="27"/>
              </w:pPr>
              <w:r>
                <w:t xml:space="preserve">Vodafone Group , 2023. </w:t>
              </w:r>
              <w:r>
                <w:rPr>
                  <w:i/>
                  <w:iCs/>
                </w:rPr>
                <w:t xml:space="preserve">digital-society, Vodafone. </w:t>
              </w:r>
              <w:r>
                <w:t xml:space="preserve">[Online] </w:t>
              </w:r>
              <w:r>
                <w:br w:type="textWrapping"/>
              </w:r>
              <w:r>
                <w:t xml:space="preserve">Available at: </w:t>
              </w:r>
              <w:r>
                <w:rPr>
                  <w:u w:val="single"/>
                </w:rPr>
                <w:t>https://www.vodafone.com/sustainable-business/our-purpose-pillars/digital-society</w:t>
              </w:r>
              <w:r>
                <w:br w:type="textWrapping"/>
              </w:r>
              <w:r>
                <w:t>[Accessed July 2023].</w:t>
              </w:r>
            </w:p>
            <w:p>
              <w:pPr>
                <w:pStyle w:val="27"/>
              </w:pPr>
              <w:r>
                <w:t xml:space="preserve">Vodafone Group Plc Digital Rights and Freedoms, 2023. </w:t>
              </w:r>
              <w:r>
                <w:rPr>
                  <w:i/>
                  <w:iCs/>
                </w:rPr>
                <w:t xml:space="preserve">Law Enforcement Disclosure Statement. </w:t>
              </w:r>
              <w:r>
                <w:t xml:space="preserve">[Online] </w:t>
              </w:r>
              <w:r>
                <w:br w:type="textWrapping"/>
              </w:r>
              <w:r>
                <w:t xml:space="preserve">Available at: </w:t>
              </w:r>
              <w:r>
                <w:rPr>
                  <w:u w:val="single"/>
                </w:rPr>
                <w:t>https://www.vodafone.com/content/dam/vodcom/sustainability/pdfs/vodafone_drf_law_enforcement_disclosure_statement.pdf</w:t>
              </w:r>
              <w:r>
                <w:br w:type="textWrapping"/>
              </w:r>
              <w:r>
                <w:t>[Accessed Aug 2023].</w:t>
              </w:r>
            </w:p>
            <w:p>
              <w:pPr>
                <w:pStyle w:val="27"/>
              </w:pPr>
              <w:r>
                <w:t xml:space="preserve">Vodafone, 2023. </w:t>
              </w:r>
              <w:r>
                <w:rPr>
                  <w:i/>
                  <w:iCs/>
                </w:rPr>
                <w:t xml:space="preserve">Enabling a digital society. </w:t>
              </w:r>
              <w:r>
                <w:t xml:space="preserve">[Online] </w:t>
              </w:r>
              <w:r>
                <w:br w:type="textWrapping"/>
              </w:r>
              <w:r>
                <w:t xml:space="preserve">Available at: </w:t>
              </w:r>
              <w:r>
                <w:rPr>
                  <w:u w:val="single"/>
                </w:rPr>
                <w:t>https://www.vodafone.com/sustainable-business/our-purpose-pillars/digital-society</w:t>
              </w:r>
              <w:r>
                <w:br w:type="textWrapping"/>
              </w:r>
              <w:r>
                <w:t>[Accessed Aug 2023].</w:t>
              </w:r>
            </w:p>
            <w:p>
              <w:pPr>
                <w:pStyle w:val="27"/>
              </w:pPr>
              <w:r>
                <w:t xml:space="preserve">Vodafone Group Plc, 2023. </w:t>
              </w:r>
              <w:r>
                <w:rPr>
                  <w:i/>
                  <w:iCs/>
                </w:rPr>
                <w:t xml:space="preserve">Our History. </w:t>
              </w:r>
              <w:r>
                <w:t xml:space="preserve">[Online] </w:t>
              </w:r>
              <w:r>
                <w:br w:type="textWrapping"/>
              </w:r>
              <w:r>
                <w:t xml:space="preserve">Available at: </w:t>
              </w:r>
              <w:r>
                <w:rPr>
                  <w:u w:val="single"/>
                </w:rPr>
                <w:t>https://www.vodafone.com/our-company/about-us/our-history</w:t>
              </w:r>
            </w:p>
            <w:p>
              <w:pPr>
                <w:pStyle w:val="27"/>
              </w:pPr>
              <w:r>
                <w:t xml:space="preserve">Vodafone Group Plc, 2023. </w:t>
              </w:r>
              <w:r>
                <w:rPr>
                  <w:i/>
                  <w:iCs/>
                </w:rPr>
                <w:t xml:space="preserve">Our Services. </w:t>
              </w:r>
              <w:r>
                <w:t xml:space="preserve">[Online] </w:t>
              </w:r>
              <w:r>
                <w:br w:type="textWrapping"/>
              </w:r>
              <w:r>
                <w:t xml:space="preserve">Available at: </w:t>
              </w:r>
              <w:r>
                <w:rPr>
                  <w:u w:val="single"/>
                </w:rPr>
                <w:t>https://www.vodafone.com/our-services</w:t>
              </w:r>
            </w:p>
            <w:p>
              <w:pPr>
                <w:pStyle w:val="27"/>
              </w:pPr>
              <w:r>
                <w:t xml:space="preserve">Vodafone Group, 2023. </w:t>
              </w:r>
              <w:r>
                <w:rPr>
                  <w:i/>
                  <w:iCs/>
                </w:rPr>
                <w:t xml:space="preserve">Our-purpose, Vodafone. </w:t>
              </w:r>
              <w:r>
                <w:t xml:space="preserve">[Online] </w:t>
              </w:r>
              <w:r>
                <w:br w:type="textWrapping"/>
              </w:r>
              <w:r>
                <w:t xml:space="preserve">Available at: </w:t>
              </w:r>
              <w:r>
                <w:rPr>
                  <w:u w:val="single"/>
                </w:rPr>
                <w:t>https://www.vodafone.com/about-vodafone/who-we-are/our-purpose</w:t>
              </w:r>
              <w:r>
                <w:br w:type="textWrapping"/>
              </w:r>
              <w:r>
                <w:t>[Accessed 07 2023].</w:t>
              </w:r>
            </w:p>
            <w:p>
              <w:pPr>
                <w:pStyle w:val="27"/>
              </w:pPr>
              <w:r>
                <w:t xml:space="preserve">vodafone, 2023. </w:t>
              </w:r>
              <w:r>
                <w:rPr>
                  <w:i/>
                  <w:iCs/>
                </w:rPr>
                <w:t xml:space="preserve">vodafone.com. </w:t>
              </w:r>
              <w:r>
                <w:t xml:space="preserve">[Online] </w:t>
              </w:r>
              <w:r>
                <w:br w:type="textWrapping"/>
              </w:r>
              <w:r>
                <w:t xml:space="preserve">Available at: </w:t>
              </w:r>
              <w:r>
                <w:rPr>
                  <w:u w:val="single"/>
                </w:rPr>
                <w:t>https://www.vodafone.com/about-vodafone</w:t>
              </w:r>
            </w:p>
            <w:p>
              <w:pPr>
                <w:pStyle w:val="27"/>
              </w:pPr>
              <w:r>
                <w:t xml:space="preserve">Weber, K., 2021. </w:t>
              </w:r>
              <w:r>
                <w:rPr>
                  <w:i/>
                  <w:iCs/>
                </w:rPr>
                <w:t xml:space="preserve">Telecommunications in Germany: Market Dynamics and Future Trends, </w:t>
              </w:r>
              <w:r>
                <w:t>s.l.: ARXIV.</w:t>
              </w:r>
            </w:p>
            <w:p>
              <w:pPr>
                <w:pStyle w:val="27"/>
              </w:pPr>
              <w:r>
                <w:t xml:space="preserve">Wood, M. B., 2013. </w:t>
              </w:r>
              <w:r>
                <w:rPr>
                  <w:i/>
                  <w:iCs/>
                </w:rPr>
                <w:t xml:space="preserve">Essential Guide to Marketing Planning. </w:t>
              </w:r>
              <w:r>
                <w:t>3 ed. Harlow: Pearson Education Limited.</w:t>
              </w:r>
            </w:p>
            <w:p>
              <w:pPr>
                <w:pStyle w:val="27"/>
              </w:pPr>
              <w:r>
                <w:t xml:space="preserve">York, D., 2017. </w:t>
              </w:r>
              <w:r>
                <w:rPr>
                  <w:i/>
                  <w:iCs/>
                </w:rPr>
                <w:t xml:space="preserve">The Vodafone Code of Conduct. </w:t>
              </w:r>
              <w:r>
                <w:t xml:space="preserve">[Online] </w:t>
              </w:r>
              <w:r>
                <w:br w:type="textWrapping"/>
              </w:r>
              <w:r>
                <w:t xml:space="preserve">Available at: </w:t>
              </w:r>
              <w:r>
                <w:rPr>
                  <w:u w:val="single"/>
                </w:rPr>
                <w:t>https://docplayer.net/12472691-The-vodafone-code-of-conduct.html</w:t>
              </w:r>
              <w:r>
                <w:br w:type="textWrapping"/>
              </w:r>
              <w:r>
                <w:t>[Accessed Aug 2023].</w:t>
              </w:r>
            </w:p>
            <w:p>
              <w:pPr>
                <w:pStyle w:val="27"/>
              </w:pPr>
              <w:r>
                <w:t xml:space="preserve">Zaidi, T., 2022. </w:t>
              </w:r>
              <w:r>
                <w:rPr>
                  <w:i/>
                  <w:iCs/>
                </w:rPr>
                <w:t xml:space="preserve">Vodafone market in Germany goes into reverse. </w:t>
              </w:r>
              <w:r>
                <w:t xml:space="preserve">[Online] </w:t>
              </w:r>
              <w:r>
                <w:br w:type="textWrapping"/>
              </w:r>
              <w:r>
                <w:t xml:space="preserve">Available at: </w:t>
              </w:r>
              <w:r>
                <w:rPr>
                  <w:u w:val="single"/>
                </w:rPr>
                <w:t>https://www.businesstoday.in/industry/telecom/story/vodafone-market-in-germany-goes-into-reverse-342583-2022-07-25</w:t>
              </w:r>
              <w:r>
                <w:br w:type="textWrapping"/>
              </w:r>
              <w:r>
                <w:t>[Accessed Aug 2023].</w:t>
              </w:r>
            </w:p>
            <w:p>
              <w:pPr>
                <w:spacing w:line="240" w:lineRule="auto"/>
                <w:jc w:val="both"/>
              </w:pPr>
            </w:p>
          </w:sdtContent>
        </w:sdt>
        <w:p>
          <w:pPr>
            <w:rPr>
              <w:rFonts w:cs="Times New Roman"/>
              <w:lang w:eastAsia="ja-JP"/>
            </w:rPr>
          </w:pPr>
        </w:p>
        <w:p>
          <w:pPr>
            <w:spacing w:line="360" w:lineRule="auto"/>
            <w:jc w:val="both"/>
            <w:rPr>
              <w:rFonts w:cs="Times New Roman"/>
              <w:szCs w:val="24"/>
            </w:rPr>
          </w:pPr>
        </w:p>
        <w:p>
          <w:pPr>
            <w:pStyle w:val="2"/>
          </w:pPr>
          <w:bookmarkStart w:id="24" w:name="_Toc142950681"/>
          <w:bookmarkEnd w:id="24"/>
          <w:bookmarkStart w:id="25" w:name="_Toc142950683"/>
          <w:bookmarkEnd w:id="25"/>
        </w:p>
        <w:p>
          <w:pPr>
            <w:rPr>
              <w:lang w:eastAsia="ja-JP"/>
            </w:rPr>
          </w:pPr>
        </w:p>
        <w:p>
          <w:pPr>
            <w:rPr>
              <w:rFonts w:cs="Times New Roman"/>
              <w:szCs w:val="24"/>
            </w:rPr>
          </w:pPr>
        </w:p>
        <w:p>
          <w:pPr>
            <w:rPr>
              <w:rFonts w:cs="Times New Roman"/>
              <w:szCs w:val="24"/>
            </w:rPr>
          </w:pPr>
        </w:p>
        <w:p>
          <w:pPr>
            <w:rPr>
              <w:rFonts w:cs="Times New Roman"/>
              <w:szCs w:val="24"/>
            </w:rPr>
          </w:pPr>
        </w:p>
      </w:sdtContent>
    </w:sdt>
    <w:sectPr>
      <w:headerReference r:id="rId5" w:type="default"/>
      <w:footerReference r:id="rId6"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LinoLetter-Roman">
    <w:altName w:val="Cambria"/>
    <w:panose1 w:val="020B0604020202020204"/>
    <w:charset w:val="00"/>
    <w:family w:val="roman"/>
    <w:pitch w:val="default"/>
    <w:sig w:usb0="00000000" w:usb1="00000000" w:usb2="00000000" w:usb3="00000000" w:csb0="00000000" w:csb1="00000000"/>
  </w:font>
  <w:font w:name="Arial Black">
    <w:panose1 w:val="020B0A04020102020204"/>
    <w:charset w:val="00"/>
    <w:family w:val="swiss"/>
    <w:pitch w:val="default"/>
    <w:sig w:usb0="A00002AF" w:usb1="400078FB" w:usb2="00000000" w:usb3="00000000" w:csb0="6000009F" w:csb1="DFD7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4D"/>
    <w:family w:val="decorative"/>
    <w:pitch w:val="default"/>
    <w:sig w:usb0="00000000" w:usb1="00000000" w:usb2="00000000" w:usb3="00000000" w:csb0="80000000" w:csb1="00000000"/>
  </w:font>
  <w:font w:name="Symbol">
    <w:panose1 w:val="05050102010706020507"/>
    <w:charset w:val="02"/>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10081097"/>
      <w:docPartObj>
        <w:docPartGallery w:val="AutoText"/>
      </w:docPartObj>
    </w:sdtPr>
    <w:sdtContent>
      <w:p>
        <w:pPr>
          <w:pStyle w:val="14"/>
        </w:pPr>
        <w:r>
          <w:t xml:space="preserve">Page | </w:t>
        </w:r>
        <w:r>
          <w:fldChar w:fldCharType="begin"/>
        </w:r>
        <w:r>
          <w:instrText xml:space="preserve"> PAGE   \* MERGEFORMAT </w:instrText>
        </w:r>
        <w:r>
          <w:fldChar w:fldCharType="separate"/>
        </w:r>
        <w:r>
          <w:t>2</w:t>
        </w:r>
        <w:r>
          <w:fldChar w:fldCharType="end"/>
        </w:r>
      </w:p>
    </w:sdtContent>
  </w:sdt>
  <w:p>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DC60B6"/>
    <w:multiLevelType w:val="multilevel"/>
    <w:tmpl w:val="0DDC60B6"/>
    <w:lvl w:ilvl="0" w:tentative="0">
      <w:start w:val="1"/>
      <w:numFmt w:val="decimal"/>
      <w:lvlText w:val="%1."/>
      <w:lvlJc w:val="left"/>
      <w:pPr>
        <w:tabs>
          <w:tab w:val="left" w:pos="720"/>
        </w:tabs>
        <w:ind w:left="720" w:hanging="360"/>
      </w:p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A0D11EE"/>
    <w:multiLevelType w:val="multilevel"/>
    <w:tmpl w:val="1A0D11EE"/>
    <w:lvl w:ilvl="0" w:tentative="0">
      <w:start w:val="4"/>
      <w:numFmt w:val="bullet"/>
      <w:lvlText w:val="-"/>
      <w:lvlJc w:val="left"/>
      <w:pPr>
        <w:ind w:left="360" w:hanging="360"/>
      </w:pPr>
      <w:rPr>
        <w:rFonts w:hint="default" w:ascii="Segoe UI" w:hAnsi="Segoe UI" w:cs="Segoe UI" w:eastAsiaTheme="minorHAnsi"/>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1EC36251"/>
    <w:multiLevelType w:val="multilevel"/>
    <w:tmpl w:val="1EC3625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9305A85"/>
    <w:multiLevelType w:val="multilevel"/>
    <w:tmpl w:val="29305A8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2EC03474"/>
    <w:multiLevelType w:val="multilevel"/>
    <w:tmpl w:val="2EC03474"/>
    <w:lvl w:ilvl="0" w:tentative="0">
      <w:start w:val="1"/>
      <w:numFmt w:val="decimal"/>
      <w:lvlText w:val="%1."/>
      <w:lvlJc w:val="left"/>
      <w:pPr>
        <w:tabs>
          <w:tab w:val="left" w:pos="720"/>
        </w:tabs>
        <w:ind w:left="720" w:hanging="360"/>
      </w:p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305D1EA4"/>
    <w:multiLevelType w:val="multilevel"/>
    <w:tmpl w:val="305D1EA4"/>
    <w:lvl w:ilvl="0" w:tentative="0">
      <w:start w:val="4"/>
      <w:numFmt w:val="bullet"/>
      <w:lvlText w:val="-"/>
      <w:lvlJc w:val="left"/>
      <w:pPr>
        <w:ind w:left="360" w:hanging="360"/>
      </w:pPr>
      <w:rPr>
        <w:rFonts w:hint="default" w:ascii="Segoe UI" w:hAnsi="Segoe UI" w:cs="Segoe UI"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310432B2"/>
    <w:multiLevelType w:val="multilevel"/>
    <w:tmpl w:val="310432B2"/>
    <w:lvl w:ilvl="0" w:tentative="0">
      <w:start w:val="4"/>
      <w:numFmt w:val="bullet"/>
      <w:lvlText w:val="-"/>
      <w:lvlJc w:val="left"/>
      <w:pPr>
        <w:ind w:left="360" w:hanging="360"/>
      </w:pPr>
      <w:rPr>
        <w:rFonts w:hint="default" w:ascii="Segoe UI" w:hAnsi="Segoe UI" w:cs="Segoe UI" w:eastAsiaTheme="minorHAnsi"/>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7">
    <w:nsid w:val="4EC2213B"/>
    <w:multiLevelType w:val="multilevel"/>
    <w:tmpl w:val="4EC2213B"/>
    <w:lvl w:ilvl="0" w:tentative="0">
      <w:start w:val="4"/>
      <w:numFmt w:val="bullet"/>
      <w:lvlText w:val="-"/>
      <w:lvlJc w:val="left"/>
      <w:pPr>
        <w:ind w:left="501" w:hanging="360"/>
      </w:pPr>
      <w:rPr>
        <w:rFonts w:hint="default" w:ascii="Segoe UI" w:hAnsi="Segoe UI" w:cs="Segoe UI" w:eastAsiaTheme="minorHAnsi"/>
      </w:rPr>
    </w:lvl>
    <w:lvl w:ilvl="1" w:tentative="0">
      <w:start w:val="1"/>
      <w:numFmt w:val="bullet"/>
      <w:lvlText w:val="o"/>
      <w:lvlJc w:val="left"/>
      <w:pPr>
        <w:ind w:left="1221" w:hanging="360"/>
      </w:pPr>
      <w:rPr>
        <w:rFonts w:hint="default" w:ascii="Courier New" w:hAnsi="Courier New" w:cs="Courier New"/>
      </w:rPr>
    </w:lvl>
    <w:lvl w:ilvl="2" w:tentative="0">
      <w:start w:val="1"/>
      <w:numFmt w:val="bullet"/>
      <w:lvlText w:val=""/>
      <w:lvlJc w:val="left"/>
      <w:pPr>
        <w:ind w:left="1941" w:hanging="360"/>
      </w:pPr>
      <w:rPr>
        <w:rFonts w:hint="default" w:ascii="Wingdings" w:hAnsi="Wingdings"/>
      </w:rPr>
    </w:lvl>
    <w:lvl w:ilvl="3" w:tentative="0">
      <w:start w:val="1"/>
      <w:numFmt w:val="bullet"/>
      <w:lvlText w:val=""/>
      <w:lvlJc w:val="left"/>
      <w:pPr>
        <w:ind w:left="2661" w:hanging="360"/>
      </w:pPr>
      <w:rPr>
        <w:rFonts w:hint="default" w:ascii="Symbol" w:hAnsi="Symbol"/>
      </w:rPr>
    </w:lvl>
    <w:lvl w:ilvl="4" w:tentative="0">
      <w:start w:val="1"/>
      <w:numFmt w:val="bullet"/>
      <w:lvlText w:val="o"/>
      <w:lvlJc w:val="left"/>
      <w:pPr>
        <w:ind w:left="3381" w:hanging="360"/>
      </w:pPr>
      <w:rPr>
        <w:rFonts w:hint="default" w:ascii="Courier New" w:hAnsi="Courier New" w:cs="Courier New"/>
      </w:rPr>
    </w:lvl>
    <w:lvl w:ilvl="5" w:tentative="0">
      <w:start w:val="1"/>
      <w:numFmt w:val="bullet"/>
      <w:lvlText w:val=""/>
      <w:lvlJc w:val="left"/>
      <w:pPr>
        <w:ind w:left="4101" w:hanging="360"/>
      </w:pPr>
      <w:rPr>
        <w:rFonts w:hint="default" w:ascii="Wingdings" w:hAnsi="Wingdings"/>
      </w:rPr>
    </w:lvl>
    <w:lvl w:ilvl="6" w:tentative="0">
      <w:start w:val="1"/>
      <w:numFmt w:val="bullet"/>
      <w:lvlText w:val=""/>
      <w:lvlJc w:val="left"/>
      <w:pPr>
        <w:ind w:left="4821" w:hanging="360"/>
      </w:pPr>
      <w:rPr>
        <w:rFonts w:hint="default" w:ascii="Symbol" w:hAnsi="Symbol"/>
      </w:rPr>
    </w:lvl>
    <w:lvl w:ilvl="7" w:tentative="0">
      <w:start w:val="1"/>
      <w:numFmt w:val="bullet"/>
      <w:lvlText w:val="o"/>
      <w:lvlJc w:val="left"/>
      <w:pPr>
        <w:ind w:left="5541" w:hanging="360"/>
      </w:pPr>
      <w:rPr>
        <w:rFonts w:hint="default" w:ascii="Courier New" w:hAnsi="Courier New" w:cs="Courier New"/>
      </w:rPr>
    </w:lvl>
    <w:lvl w:ilvl="8" w:tentative="0">
      <w:start w:val="1"/>
      <w:numFmt w:val="bullet"/>
      <w:lvlText w:val=""/>
      <w:lvlJc w:val="left"/>
      <w:pPr>
        <w:ind w:left="6261" w:hanging="360"/>
      </w:pPr>
      <w:rPr>
        <w:rFonts w:hint="default" w:ascii="Wingdings" w:hAnsi="Wingdings"/>
      </w:rPr>
    </w:lvl>
  </w:abstractNum>
  <w:abstractNum w:abstractNumId="8">
    <w:nsid w:val="50910C86"/>
    <w:multiLevelType w:val="multilevel"/>
    <w:tmpl w:val="50910C86"/>
    <w:lvl w:ilvl="0" w:tentative="0">
      <w:start w:val="4"/>
      <w:numFmt w:val="bullet"/>
      <w:lvlText w:val="-"/>
      <w:lvlJc w:val="left"/>
      <w:pPr>
        <w:ind w:left="643" w:hanging="360"/>
      </w:pPr>
      <w:rPr>
        <w:rFonts w:hint="default" w:ascii="Segoe UI" w:hAnsi="Segoe UI" w:cs="Segoe UI" w:eastAsiaTheme="minorHAnsi"/>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9">
    <w:nsid w:val="5BEF166D"/>
    <w:multiLevelType w:val="multilevel"/>
    <w:tmpl w:val="5BEF166D"/>
    <w:lvl w:ilvl="0" w:tentative="0">
      <w:start w:val="4"/>
      <w:numFmt w:val="bullet"/>
      <w:lvlText w:val="-"/>
      <w:lvlJc w:val="left"/>
      <w:pPr>
        <w:ind w:left="501" w:hanging="360"/>
      </w:pPr>
      <w:rPr>
        <w:rFonts w:hint="default" w:ascii="Segoe UI" w:hAnsi="Segoe UI" w:cs="Segoe UI" w:eastAsiaTheme="minorHAnsi"/>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0">
    <w:nsid w:val="61CF0C6C"/>
    <w:multiLevelType w:val="multilevel"/>
    <w:tmpl w:val="61CF0C6C"/>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1">
    <w:nsid w:val="6200734D"/>
    <w:multiLevelType w:val="multilevel"/>
    <w:tmpl w:val="6200734D"/>
    <w:lvl w:ilvl="0" w:tentative="0">
      <w:start w:val="4"/>
      <w:numFmt w:val="bullet"/>
      <w:lvlText w:val="-"/>
      <w:lvlJc w:val="left"/>
      <w:pPr>
        <w:ind w:left="360" w:hanging="360"/>
      </w:pPr>
      <w:rPr>
        <w:rFonts w:hint="default" w:ascii="Segoe UI" w:hAnsi="Segoe UI" w:cs="Segoe UI" w:eastAsiaTheme="minorHAnsi"/>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2">
    <w:nsid w:val="66620F71"/>
    <w:multiLevelType w:val="multilevel"/>
    <w:tmpl w:val="66620F7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6860655E"/>
    <w:multiLevelType w:val="multilevel"/>
    <w:tmpl w:val="6860655E"/>
    <w:lvl w:ilvl="0" w:tentative="0">
      <w:start w:val="4"/>
      <w:numFmt w:val="bullet"/>
      <w:lvlText w:val="-"/>
      <w:lvlJc w:val="left"/>
      <w:pPr>
        <w:ind w:left="501" w:hanging="360"/>
      </w:pPr>
      <w:rPr>
        <w:rFonts w:hint="default" w:ascii="Segoe UI" w:hAnsi="Segoe UI" w:cs="Segoe UI" w:eastAsiaTheme="minorHAnsi"/>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4">
    <w:nsid w:val="69745AC9"/>
    <w:multiLevelType w:val="multilevel"/>
    <w:tmpl w:val="69745AC9"/>
    <w:lvl w:ilvl="0" w:tentative="0">
      <w:start w:val="4"/>
      <w:numFmt w:val="bullet"/>
      <w:lvlText w:val="-"/>
      <w:lvlJc w:val="left"/>
      <w:pPr>
        <w:ind w:left="501" w:hanging="360"/>
      </w:pPr>
      <w:rPr>
        <w:rFonts w:hint="default" w:ascii="Segoe UI" w:hAnsi="Segoe UI" w:cs="Segoe UI" w:eastAsiaTheme="minorHAnsi"/>
      </w:rPr>
    </w:lvl>
    <w:lvl w:ilvl="1" w:tentative="0">
      <w:start w:val="1"/>
      <w:numFmt w:val="bullet"/>
      <w:lvlText w:val="o"/>
      <w:lvlJc w:val="left"/>
      <w:pPr>
        <w:ind w:left="1221" w:hanging="360"/>
      </w:pPr>
      <w:rPr>
        <w:rFonts w:hint="default" w:ascii="Courier New" w:hAnsi="Courier New" w:cs="Courier New"/>
      </w:rPr>
    </w:lvl>
    <w:lvl w:ilvl="2" w:tentative="0">
      <w:start w:val="1"/>
      <w:numFmt w:val="bullet"/>
      <w:lvlText w:val=""/>
      <w:lvlJc w:val="left"/>
      <w:pPr>
        <w:ind w:left="1941" w:hanging="360"/>
      </w:pPr>
      <w:rPr>
        <w:rFonts w:hint="default" w:ascii="Wingdings" w:hAnsi="Wingdings"/>
      </w:rPr>
    </w:lvl>
    <w:lvl w:ilvl="3" w:tentative="0">
      <w:start w:val="1"/>
      <w:numFmt w:val="bullet"/>
      <w:lvlText w:val=""/>
      <w:lvlJc w:val="left"/>
      <w:pPr>
        <w:ind w:left="2661" w:hanging="360"/>
      </w:pPr>
      <w:rPr>
        <w:rFonts w:hint="default" w:ascii="Symbol" w:hAnsi="Symbol"/>
      </w:rPr>
    </w:lvl>
    <w:lvl w:ilvl="4" w:tentative="0">
      <w:start w:val="1"/>
      <w:numFmt w:val="bullet"/>
      <w:lvlText w:val="o"/>
      <w:lvlJc w:val="left"/>
      <w:pPr>
        <w:ind w:left="3381" w:hanging="360"/>
      </w:pPr>
      <w:rPr>
        <w:rFonts w:hint="default" w:ascii="Courier New" w:hAnsi="Courier New" w:cs="Courier New"/>
      </w:rPr>
    </w:lvl>
    <w:lvl w:ilvl="5" w:tentative="0">
      <w:start w:val="1"/>
      <w:numFmt w:val="bullet"/>
      <w:lvlText w:val=""/>
      <w:lvlJc w:val="left"/>
      <w:pPr>
        <w:ind w:left="4101" w:hanging="360"/>
      </w:pPr>
      <w:rPr>
        <w:rFonts w:hint="default" w:ascii="Wingdings" w:hAnsi="Wingdings"/>
      </w:rPr>
    </w:lvl>
    <w:lvl w:ilvl="6" w:tentative="0">
      <w:start w:val="1"/>
      <w:numFmt w:val="bullet"/>
      <w:lvlText w:val=""/>
      <w:lvlJc w:val="left"/>
      <w:pPr>
        <w:ind w:left="4821" w:hanging="360"/>
      </w:pPr>
      <w:rPr>
        <w:rFonts w:hint="default" w:ascii="Symbol" w:hAnsi="Symbol"/>
      </w:rPr>
    </w:lvl>
    <w:lvl w:ilvl="7" w:tentative="0">
      <w:start w:val="1"/>
      <w:numFmt w:val="bullet"/>
      <w:lvlText w:val="o"/>
      <w:lvlJc w:val="left"/>
      <w:pPr>
        <w:ind w:left="5541" w:hanging="360"/>
      </w:pPr>
      <w:rPr>
        <w:rFonts w:hint="default" w:ascii="Courier New" w:hAnsi="Courier New" w:cs="Courier New"/>
      </w:rPr>
    </w:lvl>
    <w:lvl w:ilvl="8" w:tentative="0">
      <w:start w:val="1"/>
      <w:numFmt w:val="bullet"/>
      <w:lvlText w:val=""/>
      <w:lvlJc w:val="left"/>
      <w:pPr>
        <w:ind w:left="6261" w:hanging="360"/>
      </w:pPr>
      <w:rPr>
        <w:rFonts w:hint="default" w:ascii="Wingdings" w:hAnsi="Wingdings"/>
      </w:rPr>
    </w:lvl>
  </w:abstractNum>
  <w:abstractNum w:abstractNumId="15">
    <w:nsid w:val="74CA3F3F"/>
    <w:multiLevelType w:val="multilevel"/>
    <w:tmpl w:val="74CA3F3F"/>
    <w:lvl w:ilvl="0" w:tentative="0">
      <w:start w:val="4"/>
      <w:numFmt w:val="bullet"/>
      <w:lvlText w:val="-"/>
      <w:lvlJc w:val="left"/>
      <w:pPr>
        <w:ind w:left="501" w:hanging="360"/>
      </w:pPr>
      <w:rPr>
        <w:rFonts w:hint="default" w:ascii="Segoe UI" w:hAnsi="Segoe UI" w:cs="Segoe UI" w:eastAsiaTheme="minorHAnsi"/>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6">
    <w:nsid w:val="77024E74"/>
    <w:multiLevelType w:val="multilevel"/>
    <w:tmpl w:val="77024E74"/>
    <w:lvl w:ilvl="0" w:tentative="0">
      <w:start w:val="4"/>
      <w:numFmt w:val="bullet"/>
      <w:lvlText w:val="-"/>
      <w:lvlJc w:val="left"/>
      <w:pPr>
        <w:ind w:left="501" w:hanging="360"/>
      </w:pPr>
      <w:rPr>
        <w:rFonts w:hint="default" w:ascii="Segoe UI" w:hAnsi="Segoe UI" w:cs="Segoe UI" w:eastAsiaTheme="minorHAnsi"/>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7">
    <w:nsid w:val="789A6BFD"/>
    <w:multiLevelType w:val="multilevel"/>
    <w:tmpl w:val="789A6BFD"/>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8">
    <w:nsid w:val="794D420F"/>
    <w:multiLevelType w:val="multilevel"/>
    <w:tmpl w:val="794D420F"/>
    <w:lvl w:ilvl="0" w:tentative="0">
      <w:start w:val="4"/>
      <w:numFmt w:val="bullet"/>
      <w:lvlText w:val="-"/>
      <w:lvlJc w:val="left"/>
      <w:pPr>
        <w:ind w:left="360" w:hanging="360"/>
      </w:pPr>
      <w:rPr>
        <w:rFonts w:hint="default" w:ascii="Segoe UI" w:hAnsi="Segoe UI" w:cs="Segoe UI" w:eastAsiaTheme="minorHAnsi"/>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9">
    <w:nsid w:val="7CD66941"/>
    <w:multiLevelType w:val="multilevel"/>
    <w:tmpl w:val="7CD66941"/>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18"/>
  </w:num>
  <w:num w:numId="2">
    <w:abstractNumId w:val="5"/>
  </w:num>
  <w:num w:numId="3">
    <w:abstractNumId w:val="1"/>
  </w:num>
  <w:num w:numId="4">
    <w:abstractNumId w:val="8"/>
  </w:num>
  <w:num w:numId="5">
    <w:abstractNumId w:val="11"/>
  </w:num>
  <w:num w:numId="6">
    <w:abstractNumId w:val="6"/>
  </w:num>
  <w:num w:numId="7">
    <w:abstractNumId w:val="16"/>
  </w:num>
  <w:num w:numId="8">
    <w:abstractNumId w:val="13"/>
  </w:num>
  <w:num w:numId="9">
    <w:abstractNumId w:val="7"/>
  </w:num>
  <w:num w:numId="10">
    <w:abstractNumId w:val="15"/>
  </w:num>
  <w:num w:numId="11">
    <w:abstractNumId w:val="14"/>
  </w:num>
  <w:num w:numId="12">
    <w:abstractNumId w:val="9"/>
  </w:num>
  <w:num w:numId="13">
    <w:abstractNumId w:val="19"/>
  </w:num>
  <w:num w:numId="14">
    <w:abstractNumId w:val="17"/>
  </w:num>
  <w:num w:numId="15">
    <w:abstractNumId w:val="10"/>
  </w:num>
  <w:num w:numId="16">
    <w:abstractNumId w:val="3"/>
  </w:num>
  <w:num w:numId="17">
    <w:abstractNumId w:val="12"/>
  </w:num>
  <w:num w:numId="18">
    <w:abstractNumId w:val="4"/>
  </w:num>
  <w:num w:numId="19">
    <w:abstractNumId w:val="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5"/>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12F4"/>
    <w:rsid w:val="00001DF6"/>
    <w:rsid w:val="00002309"/>
    <w:rsid w:val="00002D3D"/>
    <w:rsid w:val="00005CD5"/>
    <w:rsid w:val="000153D9"/>
    <w:rsid w:val="00016DF8"/>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2127"/>
    <w:rsid w:val="00073BF7"/>
    <w:rsid w:val="00074A6A"/>
    <w:rsid w:val="00075D36"/>
    <w:rsid w:val="00077C22"/>
    <w:rsid w:val="0008047B"/>
    <w:rsid w:val="00083F61"/>
    <w:rsid w:val="00085B9A"/>
    <w:rsid w:val="00087796"/>
    <w:rsid w:val="0009285A"/>
    <w:rsid w:val="000A264D"/>
    <w:rsid w:val="000A2CBC"/>
    <w:rsid w:val="000A4680"/>
    <w:rsid w:val="000A53DC"/>
    <w:rsid w:val="000A6EDF"/>
    <w:rsid w:val="000B0CD5"/>
    <w:rsid w:val="000B4259"/>
    <w:rsid w:val="000B463F"/>
    <w:rsid w:val="000B6F18"/>
    <w:rsid w:val="000C1F3C"/>
    <w:rsid w:val="000C1F85"/>
    <w:rsid w:val="000C2DB1"/>
    <w:rsid w:val="000C2E77"/>
    <w:rsid w:val="000C4551"/>
    <w:rsid w:val="000C5306"/>
    <w:rsid w:val="000C598E"/>
    <w:rsid w:val="000D0956"/>
    <w:rsid w:val="000D119E"/>
    <w:rsid w:val="000D1935"/>
    <w:rsid w:val="000D1AAD"/>
    <w:rsid w:val="000D21B0"/>
    <w:rsid w:val="000D27D5"/>
    <w:rsid w:val="000D303E"/>
    <w:rsid w:val="000D5A88"/>
    <w:rsid w:val="000E0928"/>
    <w:rsid w:val="000F0770"/>
    <w:rsid w:val="000F5D41"/>
    <w:rsid w:val="000F5E40"/>
    <w:rsid w:val="000F6714"/>
    <w:rsid w:val="00101209"/>
    <w:rsid w:val="00101A38"/>
    <w:rsid w:val="00101E20"/>
    <w:rsid w:val="00103273"/>
    <w:rsid w:val="00103BF3"/>
    <w:rsid w:val="0011111A"/>
    <w:rsid w:val="001137B5"/>
    <w:rsid w:val="00116DFE"/>
    <w:rsid w:val="001176C1"/>
    <w:rsid w:val="00117A2C"/>
    <w:rsid w:val="00120CEC"/>
    <w:rsid w:val="00120E31"/>
    <w:rsid w:val="001232B8"/>
    <w:rsid w:val="001253DA"/>
    <w:rsid w:val="00131B27"/>
    <w:rsid w:val="0013214C"/>
    <w:rsid w:val="00132602"/>
    <w:rsid w:val="00133E40"/>
    <w:rsid w:val="001354AE"/>
    <w:rsid w:val="00136748"/>
    <w:rsid w:val="001410E0"/>
    <w:rsid w:val="00142286"/>
    <w:rsid w:val="00142815"/>
    <w:rsid w:val="001466F7"/>
    <w:rsid w:val="0014700B"/>
    <w:rsid w:val="00150390"/>
    <w:rsid w:val="001508F1"/>
    <w:rsid w:val="00151975"/>
    <w:rsid w:val="001532D1"/>
    <w:rsid w:val="00155499"/>
    <w:rsid w:val="00155E0A"/>
    <w:rsid w:val="00156858"/>
    <w:rsid w:val="00162C5C"/>
    <w:rsid w:val="00162DCC"/>
    <w:rsid w:val="00165B01"/>
    <w:rsid w:val="001676B0"/>
    <w:rsid w:val="00170AF6"/>
    <w:rsid w:val="001735D2"/>
    <w:rsid w:val="00174734"/>
    <w:rsid w:val="00174FA1"/>
    <w:rsid w:val="001836BC"/>
    <w:rsid w:val="00183909"/>
    <w:rsid w:val="0018494A"/>
    <w:rsid w:val="00184B57"/>
    <w:rsid w:val="00185764"/>
    <w:rsid w:val="00185B20"/>
    <w:rsid w:val="00186844"/>
    <w:rsid w:val="00192DCC"/>
    <w:rsid w:val="00193DE2"/>
    <w:rsid w:val="001950C0"/>
    <w:rsid w:val="00195C7D"/>
    <w:rsid w:val="00196325"/>
    <w:rsid w:val="001A2FB0"/>
    <w:rsid w:val="001A469C"/>
    <w:rsid w:val="001B1AF3"/>
    <w:rsid w:val="001B2A9C"/>
    <w:rsid w:val="001B3C3F"/>
    <w:rsid w:val="001B41B6"/>
    <w:rsid w:val="001B4261"/>
    <w:rsid w:val="001B48F2"/>
    <w:rsid w:val="001C1A6B"/>
    <w:rsid w:val="001C3108"/>
    <w:rsid w:val="001C5286"/>
    <w:rsid w:val="001C55A5"/>
    <w:rsid w:val="001C772F"/>
    <w:rsid w:val="001D0142"/>
    <w:rsid w:val="001D1551"/>
    <w:rsid w:val="001D3723"/>
    <w:rsid w:val="001D661B"/>
    <w:rsid w:val="001D7846"/>
    <w:rsid w:val="001E0163"/>
    <w:rsid w:val="001E0AFF"/>
    <w:rsid w:val="001E14F5"/>
    <w:rsid w:val="001E2DC3"/>
    <w:rsid w:val="001E3E7E"/>
    <w:rsid w:val="001E41D1"/>
    <w:rsid w:val="001E421D"/>
    <w:rsid w:val="001E71A1"/>
    <w:rsid w:val="001F1A97"/>
    <w:rsid w:val="001F1E97"/>
    <w:rsid w:val="001F318F"/>
    <w:rsid w:val="001F3A64"/>
    <w:rsid w:val="001F5B8D"/>
    <w:rsid w:val="00200CCC"/>
    <w:rsid w:val="00200F9A"/>
    <w:rsid w:val="00201AB8"/>
    <w:rsid w:val="002030AF"/>
    <w:rsid w:val="0021049C"/>
    <w:rsid w:val="002104C1"/>
    <w:rsid w:val="00210A3D"/>
    <w:rsid w:val="00215B52"/>
    <w:rsid w:val="00217CC8"/>
    <w:rsid w:val="0022027E"/>
    <w:rsid w:val="00227CB0"/>
    <w:rsid w:val="00232008"/>
    <w:rsid w:val="002350E9"/>
    <w:rsid w:val="002367BE"/>
    <w:rsid w:val="002450F4"/>
    <w:rsid w:val="00245ECE"/>
    <w:rsid w:val="0025060B"/>
    <w:rsid w:val="002545E6"/>
    <w:rsid w:val="00263585"/>
    <w:rsid w:val="00265005"/>
    <w:rsid w:val="00265D41"/>
    <w:rsid w:val="00267784"/>
    <w:rsid w:val="002731C2"/>
    <w:rsid w:val="002733D9"/>
    <w:rsid w:val="00273783"/>
    <w:rsid w:val="0027530B"/>
    <w:rsid w:val="00276EFB"/>
    <w:rsid w:val="00280439"/>
    <w:rsid w:val="002808A3"/>
    <w:rsid w:val="002952B9"/>
    <w:rsid w:val="002969AB"/>
    <w:rsid w:val="00296C77"/>
    <w:rsid w:val="002A0625"/>
    <w:rsid w:val="002A12D6"/>
    <w:rsid w:val="002A3996"/>
    <w:rsid w:val="002A3A29"/>
    <w:rsid w:val="002A3AF7"/>
    <w:rsid w:val="002A3E66"/>
    <w:rsid w:val="002A728F"/>
    <w:rsid w:val="002B09D3"/>
    <w:rsid w:val="002B25EB"/>
    <w:rsid w:val="002B44E3"/>
    <w:rsid w:val="002B4CBE"/>
    <w:rsid w:val="002C2FAE"/>
    <w:rsid w:val="002C60D0"/>
    <w:rsid w:val="002C6C68"/>
    <w:rsid w:val="002D1642"/>
    <w:rsid w:val="002D1BC0"/>
    <w:rsid w:val="002D5294"/>
    <w:rsid w:val="002D562D"/>
    <w:rsid w:val="002D5708"/>
    <w:rsid w:val="002D5793"/>
    <w:rsid w:val="002D7B42"/>
    <w:rsid w:val="002E34A8"/>
    <w:rsid w:val="002F56C1"/>
    <w:rsid w:val="002F662F"/>
    <w:rsid w:val="002F7289"/>
    <w:rsid w:val="0030016E"/>
    <w:rsid w:val="00300828"/>
    <w:rsid w:val="00302FEA"/>
    <w:rsid w:val="0030378A"/>
    <w:rsid w:val="00304C44"/>
    <w:rsid w:val="00306CE9"/>
    <w:rsid w:val="00310C35"/>
    <w:rsid w:val="00311D29"/>
    <w:rsid w:val="00311E3C"/>
    <w:rsid w:val="00312CF5"/>
    <w:rsid w:val="00317507"/>
    <w:rsid w:val="003238D8"/>
    <w:rsid w:val="00324C5C"/>
    <w:rsid w:val="0033044D"/>
    <w:rsid w:val="00334714"/>
    <w:rsid w:val="00334CF0"/>
    <w:rsid w:val="003374BE"/>
    <w:rsid w:val="00337C1C"/>
    <w:rsid w:val="00340386"/>
    <w:rsid w:val="00340813"/>
    <w:rsid w:val="003424C6"/>
    <w:rsid w:val="0034310F"/>
    <w:rsid w:val="00343528"/>
    <w:rsid w:val="003440E2"/>
    <w:rsid w:val="00345BAE"/>
    <w:rsid w:val="00346494"/>
    <w:rsid w:val="0034651A"/>
    <w:rsid w:val="003506D9"/>
    <w:rsid w:val="0035076B"/>
    <w:rsid w:val="00352037"/>
    <w:rsid w:val="003536D5"/>
    <w:rsid w:val="00354ED8"/>
    <w:rsid w:val="00357F22"/>
    <w:rsid w:val="00360D63"/>
    <w:rsid w:val="0036231E"/>
    <w:rsid w:val="0036308B"/>
    <w:rsid w:val="003634CE"/>
    <w:rsid w:val="003654B7"/>
    <w:rsid w:val="00371096"/>
    <w:rsid w:val="00372E43"/>
    <w:rsid w:val="003768B3"/>
    <w:rsid w:val="003774D8"/>
    <w:rsid w:val="00380C0F"/>
    <w:rsid w:val="003841E5"/>
    <w:rsid w:val="003848F2"/>
    <w:rsid w:val="003868E4"/>
    <w:rsid w:val="003903EE"/>
    <w:rsid w:val="00393850"/>
    <w:rsid w:val="00395520"/>
    <w:rsid w:val="003978D8"/>
    <w:rsid w:val="003A129C"/>
    <w:rsid w:val="003A129E"/>
    <w:rsid w:val="003A4662"/>
    <w:rsid w:val="003A72AE"/>
    <w:rsid w:val="003A7EBC"/>
    <w:rsid w:val="003A7F61"/>
    <w:rsid w:val="003B1824"/>
    <w:rsid w:val="003B385F"/>
    <w:rsid w:val="003B70E6"/>
    <w:rsid w:val="003C02D3"/>
    <w:rsid w:val="003C24FC"/>
    <w:rsid w:val="003C2F11"/>
    <w:rsid w:val="003C6AE6"/>
    <w:rsid w:val="003D0FCF"/>
    <w:rsid w:val="003D1766"/>
    <w:rsid w:val="003D2665"/>
    <w:rsid w:val="003D267A"/>
    <w:rsid w:val="003D5162"/>
    <w:rsid w:val="003D6B9C"/>
    <w:rsid w:val="003E1317"/>
    <w:rsid w:val="003E639A"/>
    <w:rsid w:val="003E6FA1"/>
    <w:rsid w:val="003F1A20"/>
    <w:rsid w:val="003F1C26"/>
    <w:rsid w:val="003F3D3A"/>
    <w:rsid w:val="003F4F11"/>
    <w:rsid w:val="003F4F21"/>
    <w:rsid w:val="003F6C45"/>
    <w:rsid w:val="003F7C6D"/>
    <w:rsid w:val="0040052F"/>
    <w:rsid w:val="00400A56"/>
    <w:rsid w:val="0040286B"/>
    <w:rsid w:val="00405D99"/>
    <w:rsid w:val="00406320"/>
    <w:rsid w:val="00410B63"/>
    <w:rsid w:val="00410DE7"/>
    <w:rsid w:val="004110A0"/>
    <w:rsid w:val="00411CBD"/>
    <w:rsid w:val="004131E5"/>
    <w:rsid w:val="004165E8"/>
    <w:rsid w:val="00423510"/>
    <w:rsid w:val="00426FF4"/>
    <w:rsid w:val="00430D15"/>
    <w:rsid w:val="0043612A"/>
    <w:rsid w:val="00443237"/>
    <w:rsid w:val="00443888"/>
    <w:rsid w:val="00444052"/>
    <w:rsid w:val="00453252"/>
    <w:rsid w:val="00460EF1"/>
    <w:rsid w:val="00461B0B"/>
    <w:rsid w:val="00462F22"/>
    <w:rsid w:val="004635AE"/>
    <w:rsid w:val="00467D62"/>
    <w:rsid w:val="0047018F"/>
    <w:rsid w:val="004736DD"/>
    <w:rsid w:val="004743C1"/>
    <w:rsid w:val="00474C7C"/>
    <w:rsid w:val="00490EE8"/>
    <w:rsid w:val="00491B00"/>
    <w:rsid w:val="004928CD"/>
    <w:rsid w:val="00494EC6"/>
    <w:rsid w:val="00495D42"/>
    <w:rsid w:val="00497538"/>
    <w:rsid w:val="004A295D"/>
    <w:rsid w:val="004A46C9"/>
    <w:rsid w:val="004A4B54"/>
    <w:rsid w:val="004A530C"/>
    <w:rsid w:val="004A5942"/>
    <w:rsid w:val="004A7BCB"/>
    <w:rsid w:val="004B15BB"/>
    <w:rsid w:val="004B1F8A"/>
    <w:rsid w:val="004B504C"/>
    <w:rsid w:val="004B5644"/>
    <w:rsid w:val="004B572D"/>
    <w:rsid w:val="004B5D79"/>
    <w:rsid w:val="004C066E"/>
    <w:rsid w:val="004C0806"/>
    <w:rsid w:val="004C1424"/>
    <w:rsid w:val="004C1748"/>
    <w:rsid w:val="004C1849"/>
    <w:rsid w:val="004C1AD5"/>
    <w:rsid w:val="004C1EBF"/>
    <w:rsid w:val="004C4656"/>
    <w:rsid w:val="004C6E04"/>
    <w:rsid w:val="004C75D8"/>
    <w:rsid w:val="004D3B72"/>
    <w:rsid w:val="004D7074"/>
    <w:rsid w:val="004E0713"/>
    <w:rsid w:val="004E08D9"/>
    <w:rsid w:val="004E2087"/>
    <w:rsid w:val="004E2562"/>
    <w:rsid w:val="004E6847"/>
    <w:rsid w:val="004F138C"/>
    <w:rsid w:val="004F5019"/>
    <w:rsid w:val="004F52E3"/>
    <w:rsid w:val="004F6BFF"/>
    <w:rsid w:val="0050163B"/>
    <w:rsid w:val="00505CE8"/>
    <w:rsid w:val="00507EBC"/>
    <w:rsid w:val="00510870"/>
    <w:rsid w:val="00510C8E"/>
    <w:rsid w:val="00510ED9"/>
    <w:rsid w:val="00511ACE"/>
    <w:rsid w:val="00512202"/>
    <w:rsid w:val="00513B35"/>
    <w:rsid w:val="00522C58"/>
    <w:rsid w:val="00525575"/>
    <w:rsid w:val="00530327"/>
    <w:rsid w:val="005319F9"/>
    <w:rsid w:val="005320F2"/>
    <w:rsid w:val="005350F1"/>
    <w:rsid w:val="00535C5A"/>
    <w:rsid w:val="005371AA"/>
    <w:rsid w:val="0054278A"/>
    <w:rsid w:val="00544B3B"/>
    <w:rsid w:val="00544C6A"/>
    <w:rsid w:val="00544CDB"/>
    <w:rsid w:val="005457EA"/>
    <w:rsid w:val="00545E0E"/>
    <w:rsid w:val="005471D7"/>
    <w:rsid w:val="00552B37"/>
    <w:rsid w:val="00556022"/>
    <w:rsid w:val="00556506"/>
    <w:rsid w:val="0056217E"/>
    <w:rsid w:val="00562603"/>
    <w:rsid w:val="00565E20"/>
    <w:rsid w:val="005670F1"/>
    <w:rsid w:val="00567404"/>
    <w:rsid w:val="00567773"/>
    <w:rsid w:val="005742F6"/>
    <w:rsid w:val="00574504"/>
    <w:rsid w:val="00574619"/>
    <w:rsid w:val="00581093"/>
    <w:rsid w:val="005817DC"/>
    <w:rsid w:val="00583BA6"/>
    <w:rsid w:val="005845C6"/>
    <w:rsid w:val="00585010"/>
    <w:rsid w:val="0058578A"/>
    <w:rsid w:val="00585899"/>
    <w:rsid w:val="005858C5"/>
    <w:rsid w:val="00590AA1"/>
    <w:rsid w:val="0059206E"/>
    <w:rsid w:val="00594C06"/>
    <w:rsid w:val="0059581C"/>
    <w:rsid w:val="00595B6E"/>
    <w:rsid w:val="00595EC6"/>
    <w:rsid w:val="00596861"/>
    <w:rsid w:val="005970DB"/>
    <w:rsid w:val="00597952"/>
    <w:rsid w:val="005A02E3"/>
    <w:rsid w:val="005A0DD7"/>
    <w:rsid w:val="005A11C1"/>
    <w:rsid w:val="005A2E1C"/>
    <w:rsid w:val="005A3552"/>
    <w:rsid w:val="005A3715"/>
    <w:rsid w:val="005A53B3"/>
    <w:rsid w:val="005A56A3"/>
    <w:rsid w:val="005A5D16"/>
    <w:rsid w:val="005B4B5E"/>
    <w:rsid w:val="005B4D9E"/>
    <w:rsid w:val="005B5B8E"/>
    <w:rsid w:val="005C09A8"/>
    <w:rsid w:val="005C25C9"/>
    <w:rsid w:val="005C6D80"/>
    <w:rsid w:val="005D2281"/>
    <w:rsid w:val="005D259A"/>
    <w:rsid w:val="005D6BE7"/>
    <w:rsid w:val="005E3DB8"/>
    <w:rsid w:val="005E6A8F"/>
    <w:rsid w:val="005F1551"/>
    <w:rsid w:val="005F17AF"/>
    <w:rsid w:val="005F3E3E"/>
    <w:rsid w:val="005F4A93"/>
    <w:rsid w:val="005F5DED"/>
    <w:rsid w:val="005F7635"/>
    <w:rsid w:val="005F7B4C"/>
    <w:rsid w:val="0060408E"/>
    <w:rsid w:val="00604156"/>
    <w:rsid w:val="00604197"/>
    <w:rsid w:val="0061316C"/>
    <w:rsid w:val="006133F4"/>
    <w:rsid w:val="00613B8C"/>
    <w:rsid w:val="00614B45"/>
    <w:rsid w:val="00614EBF"/>
    <w:rsid w:val="006205E6"/>
    <w:rsid w:val="00621B41"/>
    <w:rsid w:val="00625BB3"/>
    <w:rsid w:val="00625D95"/>
    <w:rsid w:val="006264DE"/>
    <w:rsid w:val="0062717E"/>
    <w:rsid w:val="00627E00"/>
    <w:rsid w:val="00632CE2"/>
    <w:rsid w:val="006335AC"/>
    <w:rsid w:val="00634569"/>
    <w:rsid w:val="00641078"/>
    <w:rsid w:val="006443FB"/>
    <w:rsid w:val="00645264"/>
    <w:rsid w:val="00645365"/>
    <w:rsid w:val="006475E6"/>
    <w:rsid w:val="0065295C"/>
    <w:rsid w:val="00652F6C"/>
    <w:rsid w:val="006534C7"/>
    <w:rsid w:val="00664C5B"/>
    <w:rsid w:val="00666D4B"/>
    <w:rsid w:val="00677E72"/>
    <w:rsid w:val="00680989"/>
    <w:rsid w:val="00680B48"/>
    <w:rsid w:val="00680C13"/>
    <w:rsid w:val="00682024"/>
    <w:rsid w:val="0068223B"/>
    <w:rsid w:val="00682A99"/>
    <w:rsid w:val="006838E6"/>
    <w:rsid w:val="00683FB6"/>
    <w:rsid w:val="00686251"/>
    <w:rsid w:val="00687274"/>
    <w:rsid w:val="00687E17"/>
    <w:rsid w:val="00690FE7"/>
    <w:rsid w:val="00692F0B"/>
    <w:rsid w:val="006959BC"/>
    <w:rsid w:val="0069632B"/>
    <w:rsid w:val="006A098F"/>
    <w:rsid w:val="006A1772"/>
    <w:rsid w:val="006A43A8"/>
    <w:rsid w:val="006A5CBB"/>
    <w:rsid w:val="006A6078"/>
    <w:rsid w:val="006B186E"/>
    <w:rsid w:val="006B2E77"/>
    <w:rsid w:val="006B7A36"/>
    <w:rsid w:val="006C11B8"/>
    <w:rsid w:val="006C4738"/>
    <w:rsid w:val="006C547C"/>
    <w:rsid w:val="006C63CC"/>
    <w:rsid w:val="006C6C70"/>
    <w:rsid w:val="006D299C"/>
    <w:rsid w:val="006D30A1"/>
    <w:rsid w:val="006D4671"/>
    <w:rsid w:val="006D542B"/>
    <w:rsid w:val="006D7608"/>
    <w:rsid w:val="006E2704"/>
    <w:rsid w:val="006E4C65"/>
    <w:rsid w:val="006E7632"/>
    <w:rsid w:val="006F0AE7"/>
    <w:rsid w:val="006F1430"/>
    <w:rsid w:val="006F2ED4"/>
    <w:rsid w:val="006F3FA8"/>
    <w:rsid w:val="006F71F5"/>
    <w:rsid w:val="007004D6"/>
    <w:rsid w:val="00702B61"/>
    <w:rsid w:val="00703A87"/>
    <w:rsid w:val="00704378"/>
    <w:rsid w:val="007057B1"/>
    <w:rsid w:val="00707D7B"/>
    <w:rsid w:val="00712BDD"/>
    <w:rsid w:val="00712CF9"/>
    <w:rsid w:val="00717F9F"/>
    <w:rsid w:val="00725F89"/>
    <w:rsid w:val="00733570"/>
    <w:rsid w:val="0073473E"/>
    <w:rsid w:val="00742D06"/>
    <w:rsid w:val="00744D07"/>
    <w:rsid w:val="00744DF5"/>
    <w:rsid w:val="007453BB"/>
    <w:rsid w:val="00745C91"/>
    <w:rsid w:val="00746753"/>
    <w:rsid w:val="007518C9"/>
    <w:rsid w:val="00757F11"/>
    <w:rsid w:val="007603CB"/>
    <w:rsid w:val="0076169F"/>
    <w:rsid w:val="00761EA3"/>
    <w:rsid w:val="00764224"/>
    <w:rsid w:val="00764E3B"/>
    <w:rsid w:val="00772CFD"/>
    <w:rsid w:val="00773CA7"/>
    <w:rsid w:val="007745F2"/>
    <w:rsid w:val="00777D87"/>
    <w:rsid w:val="0078241A"/>
    <w:rsid w:val="0078433A"/>
    <w:rsid w:val="00784495"/>
    <w:rsid w:val="00784799"/>
    <w:rsid w:val="00785FD3"/>
    <w:rsid w:val="00786050"/>
    <w:rsid w:val="00786755"/>
    <w:rsid w:val="00786E92"/>
    <w:rsid w:val="00790033"/>
    <w:rsid w:val="0079508C"/>
    <w:rsid w:val="007A0D0F"/>
    <w:rsid w:val="007A233E"/>
    <w:rsid w:val="007A3016"/>
    <w:rsid w:val="007A6027"/>
    <w:rsid w:val="007B324E"/>
    <w:rsid w:val="007B3CA9"/>
    <w:rsid w:val="007B46DD"/>
    <w:rsid w:val="007B6D86"/>
    <w:rsid w:val="007C01FC"/>
    <w:rsid w:val="007C192B"/>
    <w:rsid w:val="007C2182"/>
    <w:rsid w:val="007C437A"/>
    <w:rsid w:val="007C527A"/>
    <w:rsid w:val="007C70E9"/>
    <w:rsid w:val="007D4799"/>
    <w:rsid w:val="007D49F0"/>
    <w:rsid w:val="007D7D6C"/>
    <w:rsid w:val="007E1323"/>
    <w:rsid w:val="007E2D88"/>
    <w:rsid w:val="007E2EF3"/>
    <w:rsid w:val="007E38F0"/>
    <w:rsid w:val="007E47C9"/>
    <w:rsid w:val="007E69AA"/>
    <w:rsid w:val="007E70B8"/>
    <w:rsid w:val="007F0CC5"/>
    <w:rsid w:val="007F1262"/>
    <w:rsid w:val="007F19BE"/>
    <w:rsid w:val="007F278B"/>
    <w:rsid w:val="0080057B"/>
    <w:rsid w:val="00801AEA"/>
    <w:rsid w:val="00801C35"/>
    <w:rsid w:val="00805AC7"/>
    <w:rsid w:val="008062ED"/>
    <w:rsid w:val="00810C3A"/>
    <w:rsid w:val="0081338F"/>
    <w:rsid w:val="00813DFE"/>
    <w:rsid w:val="00815B0E"/>
    <w:rsid w:val="00821C2B"/>
    <w:rsid w:val="0082283D"/>
    <w:rsid w:val="008303C1"/>
    <w:rsid w:val="00831D77"/>
    <w:rsid w:val="00835764"/>
    <w:rsid w:val="00841E80"/>
    <w:rsid w:val="00843AD5"/>
    <w:rsid w:val="00843FDF"/>
    <w:rsid w:val="00844C9F"/>
    <w:rsid w:val="00845C09"/>
    <w:rsid w:val="00851B71"/>
    <w:rsid w:val="00851C71"/>
    <w:rsid w:val="00856F32"/>
    <w:rsid w:val="0086616B"/>
    <w:rsid w:val="008673A4"/>
    <w:rsid w:val="00880D9D"/>
    <w:rsid w:val="00881867"/>
    <w:rsid w:val="00882BE1"/>
    <w:rsid w:val="008926CE"/>
    <w:rsid w:val="00894C15"/>
    <w:rsid w:val="00895EB5"/>
    <w:rsid w:val="008A0FF6"/>
    <w:rsid w:val="008A3181"/>
    <w:rsid w:val="008B004D"/>
    <w:rsid w:val="008B0AA5"/>
    <w:rsid w:val="008B44D6"/>
    <w:rsid w:val="008B5585"/>
    <w:rsid w:val="008B569F"/>
    <w:rsid w:val="008B5AA7"/>
    <w:rsid w:val="008B7894"/>
    <w:rsid w:val="008C02D5"/>
    <w:rsid w:val="008C495F"/>
    <w:rsid w:val="008D08F6"/>
    <w:rsid w:val="008D0F0D"/>
    <w:rsid w:val="008D36CA"/>
    <w:rsid w:val="008D739A"/>
    <w:rsid w:val="008E012E"/>
    <w:rsid w:val="008E0D35"/>
    <w:rsid w:val="008E241E"/>
    <w:rsid w:val="008E6929"/>
    <w:rsid w:val="008F0C63"/>
    <w:rsid w:val="008F1E2F"/>
    <w:rsid w:val="008F2BC4"/>
    <w:rsid w:val="008F461D"/>
    <w:rsid w:val="008F7A83"/>
    <w:rsid w:val="0090077D"/>
    <w:rsid w:val="009036AC"/>
    <w:rsid w:val="00916166"/>
    <w:rsid w:val="00917C6B"/>
    <w:rsid w:val="00920ED2"/>
    <w:rsid w:val="0092238F"/>
    <w:rsid w:val="00924A47"/>
    <w:rsid w:val="00925049"/>
    <w:rsid w:val="00925D75"/>
    <w:rsid w:val="00927F56"/>
    <w:rsid w:val="00932580"/>
    <w:rsid w:val="00933F5F"/>
    <w:rsid w:val="00934C69"/>
    <w:rsid w:val="00934CCF"/>
    <w:rsid w:val="0093533C"/>
    <w:rsid w:val="00936E20"/>
    <w:rsid w:val="00940F9C"/>
    <w:rsid w:val="00944A81"/>
    <w:rsid w:val="00944F89"/>
    <w:rsid w:val="00945A67"/>
    <w:rsid w:val="00946949"/>
    <w:rsid w:val="00946C0B"/>
    <w:rsid w:val="00946C98"/>
    <w:rsid w:val="00946F1E"/>
    <w:rsid w:val="00952480"/>
    <w:rsid w:val="0095263D"/>
    <w:rsid w:val="00952AB8"/>
    <w:rsid w:val="0095707B"/>
    <w:rsid w:val="00961832"/>
    <w:rsid w:val="00970A54"/>
    <w:rsid w:val="0097232C"/>
    <w:rsid w:val="0097645D"/>
    <w:rsid w:val="009773D1"/>
    <w:rsid w:val="00977DC8"/>
    <w:rsid w:val="009811DD"/>
    <w:rsid w:val="00982106"/>
    <w:rsid w:val="00982891"/>
    <w:rsid w:val="00984BCC"/>
    <w:rsid w:val="00986D8C"/>
    <w:rsid w:val="00987F95"/>
    <w:rsid w:val="0099149F"/>
    <w:rsid w:val="009915F1"/>
    <w:rsid w:val="00991CE2"/>
    <w:rsid w:val="00993588"/>
    <w:rsid w:val="00993D07"/>
    <w:rsid w:val="009971BA"/>
    <w:rsid w:val="009A12AF"/>
    <w:rsid w:val="009A2282"/>
    <w:rsid w:val="009A634A"/>
    <w:rsid w:val="009A7FF8"/>
    <w:rsid w:val="009B0DB2"/>
    <w:rsid w:val="009C5011"/>
    <w:rsid w:val="009C77B9"/>
    <w:rsid w:val="009C7E6A"/>
    <w:rsid w:val="009D353B"/>
    <w:rsid w:val="009D372C"/>
    <w:rsid w:val="009D65BB"/>
    <w:rsid w:val="009D670A"/>
    <w:rsid w:val="009D7C95"/>
    <w:rsid w:val="009E3DAB"/>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4B92"/>
    <w:rsid w:val="00A35E19"/>
    <w:rsid w:val="00A37576"/>
    <w:rsid w:val="00A378B3"/>
    <w:rsid w:val="00A40228"/>
    <w:rsid w:val="00A40888"/>
    <w:rsid w:val="00A44722"/>
    <w:rsid w:val="00A44E57"/>
    <w:rsid w:val="00A54991"/>
    <w:rsid w:val="00A57C62"/>
    <w:rsid w:val="00A57CF6"/>
    <w:rsid w:val="00A63B12"/>
    <w:rsid w:val="00A65BD0"/>
    <w:rsid w:val="00A660E5"/>
    <w:rsid w:val="00A662D6"/>
    <w:rsid w:val="00A67454"/>
    <w:rsid w:val="00A67507"/>
    <w:rsid w:val="00A71803"/>
    <w:rsid w:val="00A7192F"/>
    <w:rsid w:val="00A72B6F"/>
    <w:rsid w:val="00A73189"/>
    <w:rsid w:val="00A770CA"/>
    <w:rsid w:val="00A8090E"/>
    <w:rsid w:val="00A83D08"/>
    <w:rsid w:val="00A861DF"/>
    <w:rsid w:val="00A869B7"/>
    <w:rsid w:val="00A876FB"/>
    <w:rsid w:val="00A921F0"/>
    <w:rsid w:val="00A923D1"/>
    <w:rsid w:val="00A94D29"/>
    <w:rsid w:val="00A95AAD"/>
    <w:rsid w:val="00AA0EAD"/>
    <w:rsid w:val="00AA75B3"/>
    <w:rsid w:val="00AB166A"/>
    <w:rsid w:val="00AB20D3"/>
    <w:rsid w:val="00AB2C63"/>
    <w:rsid w:val="00AB2EA0"/>
    <w:rsid w:val="00AB5C9A"/>
    <w:rsid w:val="00AB6A59"/>
    <w:rsid w:val="00AB7D3D"/>
    <w:rsid w:val="00AC0F22"/>
    <w:rsid w:val="00AC1047"/>
    <w:rsid w:val="00AC14ED"/>
    <w:rsid w:val="00AC2568"/>
    <w:rsid w:val="00AC50ED"/>
    <w:rsid w:val="00AC64A4"/>
    <w:rsid w:val="00AC7033"/>
    <w:rsid w:val="00AC7371"/>
    <w:rsid w:val="00AD77B7"/>
    <w:rsid w:val="00AE25D7"/>
    <w:rsid w:val="00AE261A"/>
    <w:rsid w:val="00AE2E25"/>
    <w:rsid w:val="00AE2F90"/>
    <w:rsid w:val="00AE37BC"/>
    <w:rsid w:val="00AE410E"/>
    <w:rsid w:val="00AE473A"/>
    <w:rsid w:val="00AF0A06"/>
    <w:rsid w:val="00AF0A5D"/>
    <w:rsid w:val="00AF23A9"/>
    <w:rsid w:val="00AF25A8"/>
    <w:rsid w:val="00AF5651"/>
    <w:rsid w:val="00AF7990"/>
    <w:rsid w:val="00B009B0"/>
    <w:rsid w:val="00B01F14"/>
    <w:rsid w:val="00B0308B"/>
    <w:rsid w:val="00B03774"/>
    <w:rsid w:val="00B0538B"/>
    <w:rsid w:val="00B05BF4"/>
    <w:rsid w:val="00B06908"/>
    <w:rsid w:val="00B16B95"/>
    <w:rsid w:val="00B17323"/>
    <w:rsid w:val="00B173D9"/>
    <w:rsid w:val="00B20C66"/>
    <w:rsid w:val="00B24FF9"/>
    <w:rsid w:val="00B30F02"/>
    <w:rsid w:val="00B31116"/>
    <w:rsid w:val="00B34077"/>
    <w:rsid w:val="00B3571C"/>
    <w:rsid w:val="00B3745A"/>
    <w:rsid w:val="00B4219D"/>
    <w:rsid w:val="00B4280F"/>
    <w:rsid w:val="00B437C4"/>
    <w:rsid w:val="00B44209"/>
    <w:rsid w:val="00B44692"/>
    <w:rsid w:val="00B44928"/>
    <w:rsid w:val="00B44BC1"/>
    <w:rsid w:val="00B46E61"/>
    <w:rsid w:val="00B473DB"/>
    <w:rsid w:val="00B47F92"/>
    <w:rsid w:val="00B5225D"/>
    <w:rsid w:val="00B54215"/>
    <w:rsid w:val="00B56151"/>
    <w:rsid w:val="00B57102"/>
    <w:rsid w:val="00B63690"/>
    <w:rsid w:val="00B64F8A"/>
    <w:rsid w:val="00B65C05"/>
    <w:rsid w:val="00B660B9"/>
    <w:rsid w:val="00B66446"/>
    <w:rsid w:val="00B7179A"/>
    <w:rsid w:val="00B72962"/>
    <w:rsid w:val="00B817CB"/>
    <w:rsid w:val="00B86D65"/>
    <w:rsid w:val="00B90A7B"/>
    <w:rsid w:val="00B91F56"/>
    <w:rsid w:val="00B9321D"/>
    <w:rsid w:val="00B975A0"/>
    <w:rsid w:val="00BA0671"/>
    <w:rsid w:val="00BA09D9"/>
    <w:rsid w:val="00BB3DFA"/>
    <w:rsid w:val="00BB686A"/>
    <w:rsid w:val="00BB75FA"/>
    <w:rsid w:val="00BC064F"/>
    <w:rsid w:val="00BC0DFD"/>
    <w:rsid w:val="00BC0E8C"/>
    <w:rsid w:val="00BD1665"/>
    <w:rsid w:val="00BD20E4"/>
    <w:rsid w:val="00BD3521"/>
    <w:rsid w:val="00BD4B7A"/>
    <w:rsid w:val="00BD6139"/>
    <w:rsid w:val="00BE3242"/>
    <w:rsid w:val="00BE51E8"/>
    <w:rsid w:val="00BF2810"/>
    <w:rsid w:val="00BF48B3"/>
    <w:rsid w:val="00BF53FD"/>
    <w:rsid w:val="00BF7B84"/>
    <w:rsid w:val="00C06551"/>
    <w:rsid w:val="00C14930"/>
    <w:rsid w:val="00C158E6"/>
    <w:rsid w:val="00C257C8"/>
    <w:rsid w:val="00C2644C"/>
    <w:rsid w:val="00C27544"/>
    <w:rsid w:val="00C30903"/>
    <w:rsid w:val="00C30E17"/>
    <w:rsid w:val="00C32695"/>
    <w:rsid w:val="00C32E7C"/>
    <w:rsid w:val="00C331B5"/>
    <w:rsid w:val="00C3351A"/>
    <w:rsid w:val="00C412F8"/>
    <w:rsid w:val="00C4421F"/>
    <w:rsid w:val="00C442CE"/>
    <w:rsid w:val="00C449B6"/>
    <w:rsid w:val="00C454E0"/>
    <w:rsid w:val="00C47C6E"/>
    <w:rsid w:val="00C532F6"/>
    <w:rsid w:val="00C62CE1"/>
    <w:rsid w:val="00C6459F"/>
    <w:rsid w:val="00C6553E"/>
    <w:rsid w:val="00C67E98"/>
    <w:rsid w:val="00C710B6"/>
    <w:rsid w:val="00C730F6"/>
    <w:rsid w:val="00C74D10"/>
    <w:rsid w:val="00C7658B"/>
    <w:rsid w:val="00C77CF2"/>
    <w:rsid w:val="00C829E4"/>
    <w:rsid w:val="00C83D91"/>
    <w:rsid w:val="00C83EDB"/>
    <w:rsid w:val="00C847F9"/>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3119"/>
    <w:rsid w:val="00CB3732"/>
    <w:rsid w:val="00CB634D"/>
    <w:rsid w:val="00CB70CD"/>
    <w:rsid w:val="00CB7C67"/>
    <w:rsid w:val="00CC1E29"/>
    <w:rsid w:val="00CC317A"/>
    <w:rsid w:val="00CC36C6"/>
    <w:rsid w:val="00CC68D8"/>
    <w:rsid w:val="00CD1A37"/>
    <w:rsid w:val="00CD4103"/>
    <w:rsid w:val="00CD4AB4"/>
    <w:rsid w:val="00CD5801"/>
    <w:rsid w:val="00CD7988"/>
    <w:rsid w:val="00CD7C5C"/>
    <w:rsid w:val="00CE4121"/>
    <w:rsid w:val="00CE52EE"/>
    <w:rsid w:val="00CE6545"/>
    <w:rsid w:val="00CE78D7"/>
    <w:rsid w:val="00CE7E15"/>
    <w:rsid w:val="00CF0035"/>
    <w:rsid w:val="00CF16E3"/>
    <w:rsid w:val="00CF413C"/>
    <w:rsid w:val="00CF5624"/>
    <w:rsid w:val="00CF5AB7"/>
    <w:rsid w:val="00CF5FD7"/>
    <w:rsid w:val="00D00067"/>
    <w:rsid w:val="00D01A18"/>
    <w:rsid w:val="00D039BB"/>
    <w:rsid w:val="00D04FB3"/>
    <w:rsid w:val="00D13270"/>
    <w:rsid w:val="00D1472C"/>
    <w:rsid w:val="00D159BC"/>
    <w:rsid w:val="00D20FE5"/>
    <w:rsid w:val="00D31049"/>
    <w:rsid w:val="00D328A7"/>
    <w:rsid w:val="00D328E7"/>
    <w:rsid w:val="00D32917"/>
    <w:rsid w:val="00D3435F"/>
    <w:rsid w:val="00D348C6"/>
    <w:rsid w:val="00D3521C"/>
    <w:rsid w:val="00D40E0E"/>
    <w:rsid w:val="00D42B2F"/>
    <w:rsid w:val="00D44A47"/>
    <w:rsid w:val="00D46666"/>
    <w:rsid w:val="00D509F9"/>
    <w:rsid w:val="00D51309"/>
    <w:rsid w:val="00D52337"/>
    <w:rsid w:val="00D52427"/>
    <w:rsid w:val="00D549DC"/>
    <w:rsid w:val="00D56076"/>
    <w:rsid w:val="00D60E71"/>
    <w:rsid w:val="00D6246C"/>
    <w:rsid w:val="00D64FAA"/>
    <w:rsid w:val="00D656C0"/>
    <w:rsid w:val="00D70765"/>
    <w:rsid w:val="00D73363"/>
    <w:rsid w:val="00D762B2"/>
    <w:rsid w:val="00D768D7"/>
    <w:rsid w:val="00D7758D"/>
    <w:rsid w:val="00D82007"/>
    <w:rsid w:val="00D83705"/>
    <w:rsid w:val="00D847E4"/>
    <w:rsid w:val="00D84BC2"/>
    <w:rsid w:val="00D92A4A"/>
    <w:rsid w:val="00D92A9B"/>
    <w:rsid w:val="00D94143"/>
    <w:rsid w:val="00DA35BD"/>
    <w:rsid w:val="00DA471E"/>
    <w:rsid w:val="00DA4AEF"/>
    <w:rsid w:val="00DA5430"/>
    <w:rsid w:val="00DA7248"/>
    <w:rsid w:val="00DA7943"/>
    <w:rsid w:val="00DA7C2C"/>
    <w:rsid w:val="00DB139F"/>
    <w:rsid w:val="00DB1860"/>
    <w:rsid w:val="00DB18AE"/>
    <w:rsid w:val="00DB2F9D"/>
    <w:rsid w:val="00DB54A5"/>
    <w:rsid w:val="00DB57C3"/>
    <w:rsid w:val="00DB67E5"/>
    <w:rsid w:val="00DB6E54"/>
    <w:rsid w:val="00DC09B5"/>
    <w:rsid w:val="00DC4798"/>
    <w:rsid w:val="00DC6E7E"/>
    <w:rsid w:val="00DC7841"/>
    <w:rsid w:val="00DD3F47"/>
    <w:rsid w:val="00DD60FD"/>
    <w:rsid w:val="00DE0C8E"/>
    <w:rsid w:val="00DE3072"/>
    <w:rsid w:val="00DE322D"/>
    <w:rsid w:val="00DE3D36"/>
    <w:rsid w:val="00DE540E"/>
    <w:rsid w:val="00DE74BA"/>
    <w:rsid w:val="00DF0240"/>
    <w:rsid w:val="00DF05D8"/>
    <w:rsid w:val="00DF24B4"/>
    <w:rsid w:val="00DF2A9B"/>
    <w:rsid w:val="00DF359B"/>
    <w:rsid w:val="00DF6783"/>
    <w:rsid w:val="00DF7536"/>
    <w:rsid w:val="00E008DB"/>
    <w:rsid w:val="00E04417"/>
    <w:rsid w:val="00E0785C"/>
    <w:rsid w:val="00E1100A"/>
    <w:rsid w:val="00E1167B"/>
    <w:rsid w:val="00E11DFF"/>
    <w:rsid w:val="00E1519D"/>
    <w:rsid w:val="00E170F9"/>
    <w:rsid w:val="00E2089E"/>
    <w:rsid w:val="00E22CB1"/>
    <w:rsid w:val="00E250E8"/>
    <w:rsid w:val="00E257AE"/>
    <w:rsid w:val="00E25998"/>
    <w:rsid w:val="00E26B4B"/>
    <w:rsid w:val="00E316D4"/>
    <w:rsid w:val="00E349D5"/>
    <w:rsid w:val="00E366B3"/>
    <w:rsid w:val="00E45911"/>
    <w:rsid w:val="00E463D5"/>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A43E5"/>
    <w:rsid w:val="00EB008E"/>
    <w:rsid w:val="00EB1F9D"/>
    <w:rsid w:val="00EB4AC4"/>
    <w:rsid w:val="00EB4D70"/>
    <w:rsid w:val="00EB4FEF"/>
    <w:rsid w:val="00EB51A1"/>
    <w:rsid w:val="00EB51EF"/>
    <w:rsid w:val="00EB6DA5"/>
    <w:rsid w:val="00EB72C1"/>
    <w:rsid w:val="00EC05E9"/>
    <w:rsid w:val="00EC0891"/>
    <w:rsid w:val="00EC171C"/>
    <w:rsid w:val="00EC1B0D"/>
    <w:rsid w:val="00EC48A3"/>
    <w:rsid w:val="00EC6B84"/>
    <w:rsid w:val="00EC73BE"/>
    <w:rsid w:val="00EC7442"/>
    <w:rsid w:val="00EC7F76"/>
    <w:rsid w:val="00ED41A5"/>
    <w:rsid w:val="00ED5902"/>
    <w:rsid w:val="00EE1EEA"/>
    <w:rsid w:val="00EE2088"/>
    <w:rsid w:val="00EE2E0F"/>
    <w:rsid w:val="00EE3204"/>
    <w:rsid w:val="00EE756E"/>
    <w:rsid w:val="00EF166E"/>
    <w:rsid w:val="00EF1C73"/>
    <w:rsid w:val="00EF27AC"/>
    <w:rsid w:val="00EF44A5"/>
    <w:rsid w:val="00EF450D"/>
    <w:rsid w:val="00EF599E"/>
    <w:rsid w:val="00EF5FD0"/>
    <w:rsid w:val="00EF7881"/>
    <w:rsid w:val="00F00E11"/>
    <w:rsid w:val="00F03FEB"/>
    <w:rsid w:val="00F06F3A"/>
    <w:rsid w:val="00F129DC"/>
    <w:rsid w:val="00F14B56"/>
    <w:rsid w:val="00F15272"/>
    <w:rsid w:val="00F20834"/>
    <w:rsid w:val="00F20DE5"/>
    <w:rsid w:val="00F232B4"/>
    <w:rsid w:val="00F245BA"/>
    <w:rsid w:val="00F26ABD"/>
    <w:rsid w:val="00F27546"/>
    <w:rsid w:val="00F2791F"/>
    <w:rsid w:val="00F27F03"/>
    <w:rsid w:val="00F3126F"/>
    <w:rsid w:val="00F35404"/>
    <w:rsid w:val="00F35E18"/>
    <w:rsid w:val="00F4366D"/>
    <w:rsid w:val="00F438A8"/>
    <w:rsid w:val="00F4421F"/>
    <w:rsid w:val="00F46415"/>
    <w:rsid w:val="00F54355"/>
    <w:rsid w:val="00F553AD"/>
    <w:rsid w:val="00F55577"/>
    <w:rsid w:val="00F564B2"/>
    <w:rsid w:val="00F565C1"/>
    <w:rsid w:val="00F5679C"/>
    <w:rsid w:val="00F57893"/>
    <w:rsid w:val="00F72461"/>
    <w:rsid w:val="00F72EF6"/>
    <w:rsid w:val="00F8660B"/>
    <w:rsid w:val="00F90671"/>
    <w:rsid w:val="00F91DA7"/>
    <w:rsid w:val="00F92EA1"/>
    <w:rsid w:val="00F93827"/>
    <w:rsid w:val="00F94C31"/>
    <w:rsid w:val="00F95AEB"/>
    <w:rsid w:val="00F96B83"/>
    <w:rsid w:val="00F97499"/>
    <w:rsid w:val="00FA36F2"/>
    <w:rsid w:val="00FA451F"/>
    <w:rsid w:val="00FA5C2A"/>
    <w:rsid w:val="00FA68D2"/>
    <w:rsid w:val="00FB4C12"/>
    <w:rsid w:val="00FB4E74"/>
    <w:rsid w:val="00FB6867"/>
    <w:rsid w:val="00FB7CF6"/>
    <w:rsid w:val="00FC347E"/>
    <w:rsid w:val="00FC35D4"/>
    <w:rsid w:val="00FC3D26"/>
    <w:rsid w:val="00FC411E"/>
    <w:rsid w:val="00FC4D8B"/>
    <w:rsid w:val="00FC7632"/>
    <w:rsid w:val="00FC76EF"/>
    <w:rsid w:val="00FD256E"/>
    <w:rsid w:val="00FD5C5B"/>
    <w:rsid w:val="00FE00CD"/>
    <w:rsid w:val="00FE0BE5"/>
    <w:rsid w:val="00FE1019"/>
    <w:rsid w:val="00FE16A2"/>
    <w:rsid w:val="00FE2001"/>
    <w:rsid w:val="00FE2E11"/>
    <w:rsid w:val="00FE39D0"/>
    <w:rsid w:val="00FE590B"/>
    <w:rsid w:val="00FE722B"/>
    <w:rsid w:val="00FF1E4A"/>
    <w:rsid w:val="00FF24FC"/>
    <w:rsid w:val="00FF2C88"/>
    <w:rsid w:val="00FF2E33"/>
    <w:rsid w:val="00FF3B83"/>
    <w:rsid w:val="00FF3FA4"/>
    <w:rsid w:val="00FF4C1D"/>
    <w:rsid w:val="00FF5A7A"/>
    <w:rsid w:val="00FF6601"/>
    <w:rsid w:val="27FB4997"/>
    <w:rsid w:val="41A53F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qFormat="1" w:uiPriority="65"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HAnsi" w:cstheme="minorBidi"/>
      <w:sz w:val="24"/>
      <w:szCs w:val="22"/>
      <w:lang w:val="en-GB" w:eastAsia="en-US" w:bidi="ar-SA"/>
    </w:rPr>
  </w:style>
  <w:style w:type="paragraph" w:styleId="2">
    <w:name w:val="heading 1"/>
    <w:basedOn w:val="1"/>
    <w:next w:val="1"/>
    <w:link w:val="28"/>
    <w:qFormat/>
    <w:uiPriority w:val="9"/>
    <w:pPr>
      <w:keepNext/>
      <w:keepLines/>
      <w:spacing w:before="360" w:after="240"/>
      <w:ind w:left="720"/>
      <w:outlineLvl w:val="0"/>
    </w:pPr>
    <w:rPr>
      <w:rFonts w:ascii="Arial" w:hAnsi="Arial" w:cs="Times New Roman" w:eastAsiaTheme="majorEastAsia"/>
      <w:b/>
      <w:bCs/>
      <w:color w:val="17375E" w:themeColor="text2" w:themeShade="BF"/>
      <w:szCs w:val="24"/>
      <w:lang w:eastAsia="ja-JP"/>
    </w:rPr>
  </w:style>
  <w:style w:type="paragraph" w:styleId="3">
    <w:name w:val="heading 2"/>
    <w:basedOn w:val="1"/>
    <w:next w:val="1"/>
    <w:link w:val="33"/>
    <w:unhideWhenUsed/>
    <w:qFormat/>
    <w:uiPriority w:val="9"/>
    <w:pPr>
      <w:keepNext/>
      <w:keepLines/>
      <w:spacing w:before="40" w:after="0" w:line="360" w:lineRule="auto"/>
      <w:jc w:val="both"/>
      <w:outlineLvl w:val="1"/>
    </w:pPr>
    <w:rPr>
      <w:rFonts w:ascii="Arial" w:hAnsi="Arial" w:eastAsiaTheme="majorEastAsia" w:cstheme="majorBidi"/>
      <w:b/>
      <w:color w:val="376092" w:themeColor="accent1" w:themeShade="BF"/>
      <w:szCs w:val="26"/>
      <w:lang w:eastAsia="ja-JP"/>
    </w:rPr>
  </w:style>
  <w:style w:type="paragraph" w:styleId="4">
    <w:name w:val="heading 3"/>
    <w:basedOn w:val="1"/>
    <w:next w:val="1"/>
    <w:link w:val="37"/>
    <w:unhideWhenUsed/>
    <w:qFormat/>
    <w:uiPriority w:val="9"/>
    <w:pPr>
      <w:keepNext/>
      <w:keepLines/>
      <w:spacing w:before="240" w:after="240"/>
      <w:jc w:val="both"/>
      <w:outlineLvl w:val="2"/>
    </w:pPr>
    <w:rPr>
      <w:rFonts w:ascii="Arial" w:hAnsi="Arial" w:eastAsiaTheme="majorEastAsia" w:cstheme="majorBidi"/>
      <w:bCs/>
      <w:i/>
      <w:iCs/>
      <w:color w:val="254061" w:themeColor="accent1" w:themeShade="80"/>
      <w:szCs w:val="24"/>
    </w:rPr>
  </w:style>
  <w:style w:type="paragraph" w:styleId="5">
    <w:name w:val="heading 4"/>
    <w:basedOn w:val="1"/>
    <w:next w:val="1"/>
    <w:link w:val="39"/>
    <w:unhideWhenUsed/>
    <w:qFormat/>
    <w:uiPriority w:val="9"/>
    <w:pPr>
      <w:keepNext/>
      <w:keepLines/>
      <w:spacing w:before="40" w:after="0"/>
      <w:outlineLvl w:val="3"/>
    </w:pPr>
    <w:rPr>
      <w:rFonts w:ascii="Arial" w:hAnsi="Arial" w:eastAsiaTheme="majorEastAsia" w:cstheme="majorBidi"/>
      <w:b/>
      <w:iCs/>
      <w:color w:val="632523" w:themeColor="accent2" w:themeShade="80"/>
    </w:rPr>
  </w:style>
  <w:style w:type="character" w:default="1" w:styleId="6">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6"/>
    <w:semiHidden/>
    <w:unhideWhenUsed/>
    <w:qFormat/>
    <w:uiPriority w:val="99"/>
    <w:pPr>
      <w:spacing w:after="0" w:line="240" w:lineRule="auto"/>
    </w:pPr>
    <w:rPr>
      <w:rFonts w:ascii="Tahoma" w:hAnsi="Tahoma" w:cs="Tahoma"/>
      <w:sz w:val="16"/>
      <w:szCs w:val="16"/>
    </w:rPr>
  </w:style>
  <w:style w:type="paragraph" w:styleId="9">
    <w:name w:val="caption"/>
    <w:basedOn w:val="1"/>
    <w:next w:val="1"/>
    <w:unhideWhenUsed/>
    <w:qFormat/>
    <w:uiPriority w:val="35"/>
    <w:pPr>
      <w:spacing w:line="240" w:lineRule="auto"/>
    </w:pPr>
    <w:rPr>
      <w:rFonts w:asciiTheme="minorHAnsi" w:hAnsiTheme="minorHAnsi"/>
      <w:i/>
      <w:iCs/>
      <w:color w:val="1F497D" w:themeColor="text2"/>
      <w:kern w:val="2"/>
      <w:sz w:val="18"/>
      <w:szCs w:val="18"/>
      <w14:textFill>
        <w14:solidFill>
          <w14:schemeClr w14:val="tx2"/>
        </w14:solidFill>
      </w14:textFill>
      <w14:ligatures w14:val="standardContextual"/>
    </w:rPr>
  </w:style>
  <w:style w:type="character" w:styleId="10">
    <w:name w:val="annotation reference"/>
    <w:basedOn w:val="6"/>
    <w:semiHidden/>
    <w:unhideWhenUsed/>
    <w:qFormat/>
    <w:uiPriority w:val="99"/>
    <w:rPr>
      <w:sz w:val="16"/>
      <w:szCs w:val="16"/>
    </w:rPr>
  </w:style>
  <w:style w:type="paragraph" w:styleId="11">
    <w:name w:val="annotation text"/>
    <w:basedOn w:val="1"/>
    <w:link w:val="40"/>
    <w:semiHidden/>
    <w:unhideWhenUsed/>
    <w:qFormat/>
    <w:uiPriority w:val="99"/>
    <w:pPr>
      <w:spacing w:line="240" w:lineRule="auto"/>
    </w:pPr>
    <w:rPr>
      <w:sz w:val="20"/>
      <w:szCs w:val="20"/>
    </w:rPr>
  </w:style>
  <w:style w:type="paragraph" w:styleId="12">
    <w:name w:val="annotation subject"/>
    <w:basedOn w:val="11"/>
    <w:next w:val="11"/>
    <w:link w:val="41"/>
    <w:semiHidden/>
    <w:unhideWhenUsed/>
    <w:qFormat/>
    <w:uiPriority w:val="99"/>
    <w:rPr>
      <w:b/>
      <w:bCs/>
    </w:rPr>
  </w:style>
  <w:style w:type="character" w:styleId="13">
    <w:name w:val="FollowedHyperlink"/>
    <w:basedOn w:val="6"/>
    <w:semiHidden/>
    <w:unhideWhenUsed/>
    <w:qFormat/>
    <w:uiPriority w:val="99"/>
    <w:rPr>
      <w:color w:val="800080" w:themeColor="followedHyperlink"/>
      <w:u w:val="single"/>
      <w14:textFill>
        <w14:solidFill>
          <w14:schemeClr w14:val="folHlink"/>
        </w14:solidFill>
      </w14:textFill>
    </w:rPr>
  </w:style>
  <w:style w:type="paragraph" w:styleId="14">
    <w:name w:val="footer"/>
    <w:basedOn w:val="1"/>
    <w:link w:val="32"/>
    <w:unhideWhenUsed/>
    <w:uiPriority w:val="99"/>
    <w:pPr>
      <w:tabs>
        <w:tab w:val="center" w:pos="4513"/>
        <w:tab w:val="right" w:pos="9026"/>
      </w:tabs>
      <w:spacing w:after="0" w:line="240" w:lineRule="auto"/>
    </w:pPr>
  </w:style>
  <w:style w:type="paragraph" w:styleId="15">
    <w:name w:val="header"/>
    <w:basedOn w:val="1"/>
    <w:link w:val="31"/>
    <w:unhideWhenUsed/>
    <w:qFormat/>
    <w:uiPriority w:val="99"/>
    <w:pPr>
      <w:tabs>
        <w:tab w:val="center" w:pos="4513"/>
        <w:tab w:val="right" w:pos="9026"/>
      </w:tabs>
      <w:spacing w:after="0" w:line="240" w:lineRule="auto"/>
    </w:pPr>
  </w:style>
  <w:style w:type="character" w:styleId="16">
    <w:name w:val="Hyperlink"/>
    <w:basedOn w:val="6"/>
    <w:unhideWhenUsed/>
    <w:uiPriority w:val="99"/>
    <w:rPr>
      <w:color w:val="0000FF" w:themeColor="hyperlink"/>
      <w:u w:val="single"/>
      <w14:textFill>
        <w14:solidFill>
          <w14:schemeClr w14:val="hlink"/>
        </w14:solidFill>
      </w14:textFill>
    </w:rPr>
  </w:style>
  <w:style w:type="character" w:styleId="17">
    <w:name w:val="Strong"/>
    <w:basedOn w:val="6"/>
    <w:qFormat/>
    <w:uiPriority w:val="22"/>
    <w:rPr>
      <w:b/>
      <w:bCs/>
    </w:rPr>
  </w:style>
  <w:style w:type="table" w:styleId="18">
    <w:name w:val="Table Grid"/>
    <w:basedOn w:val="7"/>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oc 1"/>
    <w:basedOn w:val="1"/>
    <w:next w:val="1"/>
    <w:unhideWhenUsed/>
    <w:qFormat/>
    <w:uiPriority w:val="39"/>
    <w:pPr>
      <w:spacing w:after="100"/>
    </w:pPr>
  </w:style>
  <w:style w:type="paragraph" w:styleId="20">
    <w:name w:val="toc 2"/>
    <w:basedOn w:val="1"/>
    <w:next w:val="1"/>
    <w:unhideWhenUsed/>
    <w:uiPriority w:val="39"/>
    <w:pPr>
      <w:spacing w:after="100"/>
      <w:ind w:left="220"/>
    </w:pPr>
  </w:style>
  <w:style w:type="paragraph" w:styleId="21">
    <w:name w:val="toc 3"/>
    <w:basedOn w:val="1"/>
    <w:next w:val="1"/>
    <w:unhideWhenUsed/>
    <w:qFormat/>
    <w:uiPriority w:val="39"/>
    <w:pPr>
      <w:spacing w:after="100"/>
      <w:ind w:left="440"/>
    </w:pPr>
  </w:style>
  <w:style w:type="paragraph" w:styleId="22">
    <w:name w:val="toc 4"/>
    <w:basedOn w:val="1"/>
    <w:next w:val="1"/>
    <w:unhideWhenUsed/>
    <w:qFormat/>
    <w:uiPriority w:val="39"/>
    <w:pPr>
      <w:spacing w:after="100"/>
      <w:ind w:left="660"/>
    </w:pPr>
  </w:style>
  <w:style w:type="table" w:styleId="23">
    <w:name w:val="Medium List 1 Accent 5"/>
    <w:basedOn w:val="7"/>
    <w:semiHidden/>
    <w:unhideWhenUsed/>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24">
    <w:name w:val="Colorful Shading Accent 3"/>
    <w:basedOn w:val="7"/>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paragraph" w:styleId="25">
    <w:name w:val="List Paragraph"/>
    <w:basedOn w:val="1"/>
    <w:qFormat/>
    <w:uiPriority w:val="34"/>
    <w:pPr>
      <w:ind w:left="720"/>
      <w:contextualSpacing/>
    </w:pPr>
  </w:style>
  <w:style w:type="character" w:customStyle="1" w:styleId="26">
    <w:name w:val="Balloon Text Char"/>
    <w:basedOn w:val="6"/>
    <w:link w:val="8"/>
    <w:semiHidden/>
    <w:qFormat/>
    <w:uiPriority w:val="99"/>
    <w:rPr>
      <w:rFonts w:ascii="Tahoma" w:hAnsi="Tahoma" w:cs="Tahoma"/>
      <w:sz w:val="16"/>
      <w:szCs w:val="16"/>
    </w:rPr>
  </w:style>
  <w:style w:type="paragraph" w:customStyle="1" w:styleId="27">
    <w:name w:val="Bibliography"/>
    <w:basedOn w:val="1"/>
    <w:next w:val="1"/>
    <w:unhideWhenUsed/>
    <w:qFormat/>
    <w:uiPriority w:val="37"/>
  </w:style>
  <w:style w:type="character" w:customStyle="1" w:styleId="28">
    <w:name w:val="Heading 1 Char"/>
    <w:basedOn w:val="6"/>
    <w:link w:val="2"/>
    <w:qFormat/>
    <w:uiPriority w:val="9"/>
    <w:rPr>
      <w:rFonts w:ascii="Arial" w:hAnsi="Arial" w:cs="Times New Roman" w:eastAsiaTheme="majorEastAsia"/>
      <w:b/>
      <w:bCs/>
      <w:color w:val="17375E" w:themeColor="text2" w:themeShade="BF"/>
      <w:sz w:val="24"/>
      <w:szCs w:val="24"/>
      <w:lang w:eastAsia="ja-JP"/>
    </w:rPr>
  </w:style>
  <w:style w:type="paragraph" w:styleId="29">
    <w:name w:val="No Spacing"/>
    <w:link w:val="30"/>
    <w:qFormat/>
    <w:uiPriority w:val="1"/>
    <w:pPr>
      <w:spacing w:after="0" w:line="240" w:lineRule="auto"/>
    </w:pPr>
    <w:rPr>
      <w:rFonts w:asciiTheme="minorHAnsi" w:hAnsiTheme="minorHAnsi" w:eastAsiaTheme="minorEastAsia" w:cstheme="minorBidi"/>
      <w:sz w:val="22"/>
      <w:szCs w:val="22"/>
      <w:lang w:val="en-US" w:eastAsia="ja-JP" w:bidi="ar-SA"/>
    </w:rPr>
  </w:style>
  <w:style w:type="character" w:customStyle="1" w:styleId="30">
    <w:name w:val="No Spacing Char"/>
    <w:basedOn w:val="6"/>
    <w:link w:val="29"/>
    <w:qFormat/>
    <w:uiPriority w:val="1"/>
    <w:rPr>
      <w:rFonts w:eastAsiaTheme="minorEastAsia"/>
      <w:lang w:val="en-US" w:eastAsia="ja-JP"/>
    </w:rPr>
  </w:style>
  <w:style w:type="character" w:customStyle="1" w:styleId="31">
    <w:name w:val="Header Char"/>
    <w:basedOn w:val="6"/>
    <w:link w:val="15"/>
    <w:qFormat/>
    <w:uiPriority w:val="99"/>
  </w:style>
  <w:style w:type="character" w:customStyle="1" w:styleId="32">
    <w:name w:val="Footer Char"/>
    <w:basedOn w:val="6"/>
    <w:link w:val="14"/>
    <w:qFormat/>
    <w:uiPriority w:val="99"/>
  </w:style>
  <w:style w:type="character" w:customStyle="1" w:styleId="33">
    <w:name w:val="Heading 2 Char"/>
    <w:basedOn w:val="6"/>
    <w:link w:val="3"/>
    <w:qFormat/>
    <w:uiPriority w:val="9"/>
    <w:rPr>
      <w:rFonts w:ascii="Arial" w:hAnsi="Arial" w:eastAsiaTheme="majorEastAsia" w:cstheme="majorBidi"/>
      <w:b/>
      <w:color w:val="376092" w:themeColor="accent1" w:themeShade="BF"/>
      <w:sz w:val="24"/>
      <w:szCs w:val="26"/>
      <w:lang w:eastAsia="ja-JP"/>
    </w:rPr>
  </w:style>
  <w:style w:type="paragraph" w:customStyle="1" w:styleId="34">
    <w:name w:val="TOC Heading"/>
    <w:basedOn w:val="2"/>
    <w:next w:val="1"/>
    <w:unhideWhenUsed/>
    <w:qFormat/>
    <w:uiPriority w:val="39"/>
    <w:pPr>
      <w:spacing w:before="240" w:line="259" w:lineRule="auto"/>
      <w:outlineLvl w:val="9"/>
    </w:pPr>
    <w:rPr>
      <w:rFonts w:asciiTheme="majorHAnsi" w:hAnsiTheme="majorHAnsi"/>
      <w:b w:val="0"/>
      <w:bCs w:val="0"/>
      <w:color w:val="376092" w:themeColor="accent1" w:themeShade="BF"/>
      <w:sz w:val="32"/>
      <w:szCs w:val="32"/>
      <w:lang w:eastAsia="en-US"/>
    </w:rPr>
  </w:style>
  <w:style w:type="character" w:customStyle="1" w:styleId="35">
    <w:name w:val="Unresolved Mention"/>
    <w:basedOn w:val="6"/>
    <w:semiHidden/>
    <w:unhideWhenUsed/>
    <w:qFormat/>
    <w:uiPriority w:val="99"/>
    <w:rPr>
      <w:color w:val="605E5C"/>
      <w:shd w:val="clear" w:color="auto" w:fill="E1DFDD"/>
    </w:rPr>
  </w:style>
  <w:style w:type="character" w:customStyle="1" w:styleId="36">
    <w:name w:val="fontstyle01"/>
    <w:basedOn w:val="6"/>
    <w:qFormat/>
    <w:uiPriority w:val="0"/>
    <w:rPr>
      <w:rFonts w:hint="default" w:ascii="LinoLetter-Roman" w:hAnsi="LinoLetter-Roman"/>
      <w:color w:val="242021"/>
      <w:sz w:val="20"/>
      <w:szCs w:val="20"/>
    </w:rPr>
  </w:style>
  <w:style w:type="character" w:customStyle="1" w:styleId="37">
    <w:name w:val="Heading 3 Char"/>
    <w:basedOn w:val="6"/>
    <w:link w:val="4"/>
    <w:qFormat/>
    <w:uiPriority w:val="9"/>
    <w:rPr>
      <w:rFonts w:ascii="Arial" w:hAnsi="Arial" w:eastAsiaTheme="majorEastAsia" w:cstheme="majorBidi"/>
      <w:bCs/>
      <w:i/>
      <w:iCs/>
      <w:color w:val="254061" w:themeColor="accent1" w:themeShade="80"/>
      <w:sz w:val="24"/>
      <w:szCs w:val="24"/>
    </w:rPr>
  </w:style>
  <w:style w:type="table" w:customStyle="1" w:styleId="38">
    <w:name w:val="Medium List 1 - Accent 51"/>
    <w:basedOn w:val="7"/>
    <w:qFormat/>
    <w:uiPriority w:val="65"/>
    <w:pPr>
      <w:spacing w:after="0" w:line="240" w:lineRule="auto"/>
      <w:jc w:val="both"/>
    </w:pPr>
    <w:rPr>
      <w:rFonts w:ascii="Times New Roman" w:hAnsi="Times New Roman" w:eastAsia="Times New Roman" w:cs="Times New Roman"/>
      <w:color w:val="000000"/>
      <w:sz w:val="24"/>
      <w:szCs w:val="24"/>
    </w:rPr>
    <w:tblPr>
      <w:tblBorders>
        <w:top w:val="single" w:color="4BACC6" w:sz="8" w:space="0"/>
        <w:bottom w:val="single" w:color="4BACC6" w:sz="8" w:space="0"/>
      </w:tblBorders>
    </w:tblPr>
    <w:tblStylePr w:type="firstRow">
      <w:rPr>
        <w:rFonts w:ascii="Cambria" w:hAnsi="Cambria" w:eastAsia="Times New Roman" w:cs="Times New Roman"/>
      </w:rPr>
      <w:tcPr>
        <w:tcBorders>
          <w:top w:val="nil"/>
          <w:bottom w:val="single" w:color="4BACC6" w:sz="8" w:space="0"/>
        </w:tcBorders>
      </w:tcPr>
    </w:tblStylePr>
    <w:tblStylePr w:type="lastRow">
      <w:rPr>
        <w:b/>
        <w:bCs/>
        <w:color w:val="1F497D"/>
      </w:rPr>
      <w:tcPr>
        <w:tcBorders>
          <w:top w:val="single" w:color="4BACC6" w:sz="8" w:space="0"/>
          <w:bottom w:val="single" w:color="4BACC6" w:sz="8" w:space="0"/>
        </w:tcBorders>
      </w:tcPr>
    </w:tblStylePr>
    <w:tblStylePr w:type="firstCol">
      <w:rPr>
        <w:b/>
        <w:bCs/>
      </w:rPr>
    </w:tblStylePr>
    <w:tblStylePr w:type="lastCol">
      <w:rPr>
        <w:b/>
        <w:bCs/>
      </w:rPr>
      <w:tcPr>
        <w:tcBorders>
          <w:top w:val="single" w:color="4BACC6" w:sz="8" w:space="0"/>
          <w:bottom w:val="single" w:color="4BACC6" w:sz="8" w:space="0"/>
        </w:tcBorders>
      </w:tcPr>
    </w:tblStylePr>
    <w:tblStylePr w:type="band1Vert">
      <w:tcPr>
        <w:shd w:val="clear" w:color="auto" w:fill="D2EAF1"/>
      </w:tcPr>
    </w:tblStylePr>
    <w:tblStylePr w:type="band1Horz">
      <w:tcPr>
        <w:shd w:val="clear" w:color="auto" w:fill="D2EAF1"/>
      </w:tcPr>
    </w:tblStylePr>
  </w:style>
  <w:style w:type="character" w:customStyle="1" w:styleId="39">
    <w:name w:val="Heading 4 Char"/>
    <w:basedOn w:val="6"/>
    <w:link w:val="5"/>
    <w:qFormat/>
    <w:uiPriority w:val="9"/>
    <w:rPr>
      <w:rFonts w:ascii="Arial" w:hAnsi="Arial" w:eastAsiaTheme="majorEastAsia" w:cstheme="majorBidi"/>
      <w:b/>
      <w:iCs/>
      <w:color w:val="632523" w:themeColor="accent2" w:themeShade="80"/>
    </w:rPr>
  </w:style>
  <w:style w:type="character" w:customStyle="1" w:styleId="40">
    <w:name w:val="Comment Text Char"/>
    <w:basedOn w:val="6"/>
    <w:link w:val="11"/>
    <w:semiHidden/>
    <w:qFormat/>
    <w:uiPriority w:val="99"/>
    <w:rPr>
      <w:rFonts w:ascii="Times New Roman" w:hAnsi="Times New Roman"/>
      <w:sz w:val="20"/>
      <w:szCs w:val="20"/>
    </w:rPr>
  </w:style>
  <w:style w:type="character" w:customStyle="1" w:styleId="41">
    <w:name w:val="Comment Subject Char"/>
    <w:basedOn w:val="40"/>
    <w:link w:val="12"/>
    <w:semiHidden/>
    <w:qFormat/>
    <w:uiPriority w:val="99"/>
    <w:rPr>
      <w:rFonts w:ascii="Times New Roman" w:hAnsi="Times New Roman"/>
      <w:b/>
      <w:bCs/>
      <w:sz w:val="20"/>
      <w:szCs w:val="20"/>
    </w:rPr>
  </w:style>
  <w:style w:type="table" w:customStyle="1" w:styleId="42">
    <w:name w:val="Grid Table 4 Accent 2"/>
    <w:basedOn w:val="7"/>
    <w:qFormat/>
    <w:uiPriority w:val="49"/>
    <w:pPr>
      <w:spacing w:after="0" w:line="240" w:lineRule="auto"/>
    </w:pPr>
    <w:rPr>
      <w:kern w:val="2"/>
      <w:sz w:val="24"/>
      <w:szCs w:val="24"/>
      <w14:ligatures w14:val="standardContextual"/>
    </w:rPr>
    <w:tblPr>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color w:val="FFFFFF" w:themeColor="background1"/>
        <w14:textFill>
          <w14:solidFill>
            <w14:schemeClr w14:val="bg1"/>
          </w14:solidFill>
        </w14:textFill>
      </w:rPr>
      <w:tcPr>
        <w:tcBorders>
          <w:top w:val="single" w:color="C0504D" w:themeColor="accent2" w:sz="4" w:space="0"/>
          <w:left w:val="single" w:color="C0504D" w:themeColor="accent2" w:sz="4" w:space="0"/>
          <w:bottom w:val="single" w:color="C0504D" w:themeColor="accent2" w:sz="4" w:space="0"/>
          <w:right w:val="single" w:color="C0504D" w:themeColor="accent2" w:sz="4" w:space="0"/>
          <w:insideH w:val="nil"/>
          <w:insideV w:val="nil"/>
        </w:tcBorders>
        <w:shd w:val="clear" w:color="auto" w:fill="C0504D" w:themeFill="accent2"/>
      </w:tcPr>
    </w:tblStylePr>
    <w:tblStylePr w:type="lastRow">
      <w:rPr>
        <w:b/>
        <w:bCs/>
      </w:rPr>
      <w:tcPr>
        <w:tcBorders>
          <w:top w:val="double" w:color="C0504D" w:themeColor="accent2" w:sz="4" w:space="0"/>
        </w:tcBorders>
      </w:tcPr>
    </w:tblStylePr>
    <w:tblStylePr w:type="firstCol">
      <w:rPr>
        <w:b/>
        <w:bCs/>
      </w:rPr>
    </w:tblStylePr>
    <w:tblStylePr w:type="lastCol">
      <w:rPr>
        <w:b/>
        <w:bCs/>
      </w:rPr>
    </w:tblStylePr>
    <w:tblStylePr w:type="band1Vert">
      <w:tcPr>
        <w:shd w:val="clear" w:color="auto" w:fill="F2DBDB" w:themeFill="accent2" w:themeFillTint="33"/>
      </w:tcPr>
    </w:tblStylePr>
    <w:tblStylePr w:type="band1Horz">
      <w:tcPr>
        <w:shd w:val="clear" w:color="auto" w:fill="F2DBDB" w:themeFill="accent2" w:themeFillTint="33"/>
      </w:tcPr>
    </w:tblStylePr>
  </w:style>
  <w:style w:type="table" w:customStyle="1" w:styleId="43">
    <w:name w:val="Grid Table 4 Accent 1"/>
    <w:basedOn w:val="7"/>
    <w:qFormat/>
    <w:uiPriority w:val="49"/>
    <w:pPr>
      <w:spacing w:after="0" w:line="240" w:lineRule="auto"/>
    </w:p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14:textFill>
          <w14:solidFill>
            <w14:schemeClr w14:val="bg1"/>
          </w14:solidFill>
        </w14:textFill>
      </w:r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cPr>
        <w:tcBorders>
          <w:top w:val="double" w:color="4F81BD" w:themeColor="accent1" w:sz="4" w:space="0"/>
        </w:tcBorders>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3.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27</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28</b:RefOrder>
  </b:Source>
  <b:Source>
    <b:Tag>vod23</b:Tag>
    <b:SourceType>InternetSite</b:SourceType>
    <b:Guid>{475F8963-DBA4-D14F-8BBB-AED71561624D}</b:Guid>
    <b:Author>
      <b:Author>
        <b:Corporate>vodafone</b:Corporate>
      </b:Author>
    </b:Author>
    <b:Title>vodafone.com</b:Title>
    <b:URL>https://www.vodafone.com/about-vodafone</b:URL>
    <b:Year>2023</b:Year>
    <b:RefOrder>29</b:RefOrder>
  </b:Source>
  <b:Source>
    <b:Tag>Vod23</b:Tag>
    <b:SourceType>InternetSite</b:SourceType>
    <b:Guid>{32D06C19-07B3-2B42-B0AF-4CE5B19041BD}</b:Guid>
    <b:Title>About Us</b:Title>
    <b:Year>2023</b:Year>
    <b:Author>
      <b:Author>
        <b:Corporate>Vodafone Group Plc</b:Corporate>
      </b:Author>
    </b:Author>
    <b:URL>https://www.vodafone.com/about</b:URL>
    <b:YearAccessed>2023</b:YearAccessed>
    <b:RefOrder>2</b:RefOrder>
  </b:Source>
  <b:Source>
    <b:Tag>Vod231</b:Tag>
    <b:SourceType>InternetSite</b:SourceType>
    <b:Guid>{25371A15-170E-3B46-BB34-2597D62A50B1}</b:Guid>
    <b:Author>
      <b:Author>
        <b:Corporate>Vodafone Group Plc</b:Corporate>
      </b:Author>
    </b:Author>
    <b:Title>Our Services</b:Title>
    <b:URL>https://www.vodafone.com/our-services</b:URL>
    <b:Year>2023</b:Year>
    <b:RefOrder>30</b:RefOrder>
  </b:Source>
  <b:Source>
    <b:Tag>Vod232</b:Tag>
    <b:SourceType>InternetSite</b:SourceType>
    <b:Guid>{AFCFDC36-07F0-B144-A3B4-D77E722789CC}</b:Guid>
    <b:Author>
      <b:Author>
        <b:Corporate>Vodafone Group</b:Corporate>
      </b:Author>
    </b:Author>
    <b:Title>Our-purpose, Vodafone </b:Title>
    <b:URL>https://www.vodafone.com/about-vodafone/who-we-are/our-purpose</b:URL>
    <b:Year>2023</b:Year>
    <b:YearAccessed>2023</b:YearAccessed>
    <b:MonthAccessed>07</b:MonthAccessed>
    <b:RefOrder>31</b:RefOrder>
  </b:Source>
  <b:Source>
    <b:Tag>Vod233</b:Tag>
    <b:SourceType>InternetSite</b:SourceType>
    <b:Guid>{7DBCE6A3-3E13-994A-ADD7-DAB23343B3EC}</b:Guid>
    <b:Author>
      <b:Author>
        <b:Corporate>Vodafone Group </b:Corporate>
      </b:Author>
    </b:Author>
    <b:Title>digital-society, Vodafone </b:Title>
    <b:URL>https://www.vodafone.com/sustainable-business/our-purpose-pillars/digital-society</b:URL>
    <b:Year>2023</b:Year>
    <b:YearAccessed>2023</b:YearAccessed>
    <b:MonthAccessed>July</b:MonthAccessed>
    <b:RefOrder>32</b:RefOrder>
  </b:Source>
  <b:Source>
    <b:Tag>GSM19</b:Tag>
    <b:SourceType>InternetSite</b:SourceType>
    <b:Guid>{D61D5460-709A-1B4E-BFB5-FFB011242F3C}</b:Guid>
    <b:Author>
      <b:Author>
        <b:Corporate>GSMA</b:Corporate>
      </b:Author>
    </b:Author>
    <b:Title>gsma.com</b:Title>
    <b:URL>https://www.gsma.com/futurenetworks/wiki/vodafone-case-study/</b:URL>
    <b:Year>2019</b:Year>
    <b:YearAccessed>2023</b:YearAccessed>
    <b:RefOrder>3</b:RefOrder>
  </b:Source>
  <b:Source>
    <b:Tag>Kal20</b:Tag>
    <b:SourceType>Report</b:SourceType>
    <b:Guid>{69FF2983-7DDE-574D-A360-DABCCFBF7123}</b:Guid>
    <b:Author>
      <b:Author>
        <b:NameList>
          <b:Person>
            <b:Last>Kalam</b:Last>
            <b:First>Khaled</b:First>
          </b:Person>
        </b:NameList>
      </b:Author>
    </b:Author>
    <b:Title>Market Segmentation, Targeting and Positioning Strategy Adaptation for the Global Business of Vodafone Telecommunication Company</b:Title>
    <b:Year>2020</b:Year>
    <b:JournalName>Research gate</b:JournalName>
    <b:Publisher>Research Page </b:Publisher>
    <b:RefOrder>33</b:RefOrder>
  </b:Source>
  <b:Source>
    <b:Tag>Anw03</b:Tag>
    <b:SourceType>JournalArticle</b:SourceType>
    <b:Guid>{B23F3062-DE2A-C245-88D4-40488FCFEA76}</b:Guid>
    <b:Author>
      <b:Author>
        <b:NameList>
          <b:Person>
            <b:Last>Anwar</b:Last>
            <b:First>Syed</b:First>
            <b:Middle>Tariq</b:Middle>
          </b:Person>
        </b:NameList>
      </b:Author>
    </b:Author>
    <b:Title>CASES Vodafone and the wireless industry: a case in market expansion and global strategy</b:Title>
    <b:Year>2003</b:Year>
    <b:JournalName>Journal of Business &amp; Industrial Marketing </b:JournalName>
    <b:Volume>18</b:Volume>
    <b:Issue>3</b:Issue>
    <b:Pages>270-288</b:Pages>
    <b:RefOrder>34</b:RefOrder>
  </b:Source>
  <b:Source>
    <b:Tag>Dod03</b:Tag>
    <b:SourceType>Report</b:SourceType>
    <b:Guid>{AC962624-FF27-BE45-B4A1-F8510E9502F3}</b:Guid>
    <b:Author>
      <b:Author>
        <b:NameList>
          <b:Person>
            <b:Last>Dodourova</b:Last>
            <b:First>Mariana</b:First>
          </b:Person>
        </b:NameList>
      </b:Author>
    </b:Author>
    <b:Title>Industry dynamics and strategic positioning in the wireless telecommunications industry: the case of Vodafone Group plc</b:Title>
    <b:Year>2003</b:Year>
    <b:Publisher>Emerald insight </b:Publisher>
    <b:RefOrder>4</b:RefOrder>
  </b:Source>
  <b:Source>
    <b:Tag>Fin22</b:Tag>
    <b:SourceType>InternetSite</b:SourceType>
    <b:Guid>{0487C9FF-9667-4B4C-B187-5571117FD300}</b:Guid>
    <b:Author>
      <b:Author>
        <b:Corporate>Financial Times</b:Corporate>
      </b:Author>
    </b:Author>
    <b:Title>Vodafone boosted by growth in UK business</b:Title>
    <b:URL>https://headtopics.com/uk/vodafone-boosted-by-growth-in-uk-business-28412776</b:URL>
    <b:Year>2022</b:Year>
    <b:YearAccessed>2023</b:YearAccessed>
    <b:RefOrder>35</b:RefOrder>
  </b:Source>
  <b:Source>
    <b:Tag>GBR21</b:Tag>
    <b:SourceType>InternetSite</b:SourceType>
    <b:Guid>{94079871-2C91-C641-9177-B21FB8462CC7}</b:Guid>
    <b:Author>
      <b:Author>
        <b:Corporate>GBR Team</b:Corporate>
      </b:Author>
    </b:Author>
    <b:Title>PESTLE analysis of Vodafone </b:Title>
    <b:URL>https://www.george-business-review.com/pestle-analysis-of-vodafone/</b:URL>
    <b:Year>2021</b:Year>
    <b:YearAccessed>2023</b:YearAccessed>
    <b:RefOrder>36</b:RefOrder>
  </b:Source>
  <b:Source>
    <b:Tag>TMF18</b:Tag>
    <b:SourceType>InternetSite</b:SourceType>
    <b:Guid>{34307AF4-BBC2-4349-B2E9-E2D27BCAF3D2}</b:Guid>
    <b:Author>
      <b:Author>
        <b:Corporate>TMF Group experts</b:Corporate>
      </b:Author>
    </b:Author>
    <b:Title>Cultural considerations of doing business in the UK</b:Title>
    <b:URL>https://www.tmf-group.com/en/news-insights/articles/2018/may/cultural-considerations-uk/</b:URL>
    <b:Year>2018</b:Year>
    <b:YearAccessed>2023</b:YearAccessed>
    <b:RefOrder>37</b:RefOrder>
  </b:Source>
  <b:Source>
    <b:Tag>Kas22</b:Tag>
    <b:SourceType>InternetSite</b:SourceType>
    <b:Guid>{63480CC4-146E-9444-BA87-461217F479DF}</b:Guid>
    <b:Author>
      <b:Author>
        <b:Corporate>Kasia Davies </b:Corporate>
      </b:Author>
    </b:Author>
    <b:Title>Number of mobile customers of Vodafone in Germany in the corporate years from 2008/09 to 2021/2022</b:Title>
    <b:URL>https://www.statista.com/statistics/488538/vodafone-mobile-customers-germany/</b:URL>
    <b:Year>2022</b:Year>
    <b:YearAccessed>2023</b:YearAccessed>
    <b:RefOrder>5</b:RefOrder>
  </b:Source>
  <b:Source>
    <b:Tag>ter23</b:Tag>
    <b:SourceType>InternetSite</b:SourceType>
    <b:Guid>{7E8C18C7-D20B-F548-9A1D-1A3469ADF341}</b:Guid>
    <b:Author>
      <b:Author>
        <b:Corporate>teradata</b:Corporate>
      </b:Author>
    </b:Author>
    <b:Title>Identifying upsell and cross-sell opportunities to fuel needed growth.</b:Title>
    <b:URL>https://www.teradata.com/Customers/Vodafone-Germany-Convergence</b:URL>
    <b:Year>2023</b:Year>
    <b:YearAccessed>2023</b:YearAccessed>
    <b:RefOrder>38</b:RefOrder>
  </b:Source>
  <b:Source>
    <b:Tag>Mik09</b:Tag>
    <b:SourceType>InternetSite</b:SourceType>
    <b:Guid>{C94F1D33-3B61-6446-8E9C-781A00A427BB}</b:Guid>
    <b:Author>
      <b:Author>
        <b:NameList>
          <b:Person>
            <b:Last>Cansfield</b:Last>
            <b:First>Mike</b:First>
          </b:Person>
        </b:NameList>
      </b:Author>
    </b:Author>
    <b:Title>Case Study: How Vodafone Germany Became A Convergent Operator </b:Title>
    <b:URL>https://www.forrester.com/report/case-study-how-vodafone-germany-became-a-convergent-operator/RES46828</b:URL>
    <b:Year>2009</b:Year>
    <b:YearAccessed>2023</b:YearAccessed>
    <b:RefOrder>39</b:RefOrder>
  </b:Source>
  <b:Source>
    <b:Tag>Con08</b:Tag>
    <b:SourceType>InternetSite</b:SourceType>
    <b:Guid>{F1B1B203-F2B8-134E-BEC1-41579B06952E}</b:Guid>
    <b:Author>
      <b:Author>
        <b:Corporate>Contact Centre World</b:Corporate>
      </b:Author>
    </b:Author>
    <b:Title>Case Studies : Vodafone Germany </b:Title>
    <b:URL>https://www.contactcenterworld.com/view/contact-center-case-study/vodafone-germany.aspx</b:URL>
    <b:Year>2008</b:Year>
    <b:YearAccessed>2023</b:YearAccessed>
    <b:RefOrder>40</b:RefOrder>
  </b:Source>
  <b:Source>
    <b:Tag>Mar08</b:Tag>
    <b:SourceType>Report</b:SourceType>
    <b:Guid>{A30F3958-30E6-B649-BE68-CE7E0160A34B}</b:Guid>
    <b:Author>
      <b:Author>
        <b:NameList>
          <b:Person>
            <b:Last>Coulter</b:Last>
            <b:First>Mary</b:First>
            <b:Middle>K.</b:Middle>
          </b:Person>
        </b:NameList>
      </b:Author>
    </b:Author>
    <b:Title> Strategic Management in Action</b:Title>
    <b:Year>2008</b:Year>
    <b:Publisher>Prentice Hall</b:Publisher>
    <b:RefOrder>41</b:RefOrder>
  </b:Source>
  <b:Source>
    <b:Tag>Pau23</b:Tag>
    <b:SourceType>InternetSite</b:SourceType>
    <b:Guid>{CD832B3C-3D57-7244-888E-E22FC86E2F7B}</b:Guid>
    <b:Title>Hutchison briefed UK government as Vodafone deal set for regulatory scrutiny</b:Title>
    <b:Year>2023</b:Year>
    <b:Author>
      <b:Author>
        <b:NameList>
          <b:Person>
            <b:Last>Sandle</b:Last>
            <b:First>Paul</b:First>
          </b:Person>
        </b:NameList>
      </b:Author>
    </b:Author>
    <b:URL>https://www.reuters.com/markets/deals/hutchison-briefed-uk-government-vodafone-deal-set-regulatory-scrutiny-2023-04-14/</b:URL>
    <b:YearAccessed>2023</b:YearAccessed>
    <b:MonthAccessed>Aug</b:MonthAccessed>
    <b:RefOrder>7</b:RefOrder>
  </b:Source>
  <b:Source>
    <b:Tag>Mar221</b:Tag>
    <b:SourceType>InternetSite</b:SourceType>
    <b:Guid>{66B166D8-5567-1646-8424-B46727D2BBD0}</b:Guid>
    <b:Author>
      <b:Author>
        <b:NameList>
          <b:Person>
            <b:Last>Jackson</b:Last>
            <b:First>Mark</b:First>
          </b:Person>
        </b:NameList>
      </b:Author>
    </b:Author>
    <b:Title>Vodafone Claims 5G May Boost UK Economy by £7bn Per Year </b:Title>
    <b:URL>https://www.ispreview.co.uk/index.php/2022/06/vodafone-claims-5g-may-boost-uk-economy-by-7bn-per-year.html</b:URL>
    <b:Year>2022</b:Year>
    <b:YearAccessed>2023</b:YearAccessed>
    <b:MonthAccessed>AUG</b:MonthAccessed>
    <b:RefOrder>8</b:RefOrder>
  </b:Source>
  <b:Source>
    <b:Tag>San19</b:Tag>
    <b:SourceType>InternetSite</b:SourceType>
    <b:Guid>{32D305DE-843D-704A-A417-A4675B436BFF}</b:Guid>
    <b:Author>
      <b:Author>
        <b:NameList>
          <b:Person>
            <b:Last>Paul</b:Last>
            <b:First>Sandle</b:First>
          </b:Person>
        </b:NameList>
      </b:Author>
    </b:Author>
    <b:Title>Vodafone tests new network tech in UK in challenge to 'big three' suppliers </b:Title>
    <b:URL>https://www.reuters.com/article/us-vodafone-technology-openran-idUSKCN1WL0ES</b:URL>
    <b:Year>2019</b:Year>
    <b:YearAccessed>2023</b:YearAccessed>
    <b:MonthAccessed>Aug</b:MonthAccessed>
    <b:RefOrder>9</b:RefOrder>
  </b:Source>
  <b:Source>
    <b:Tag>cel14</b:Tag>
    <b:SourceType>InternetSite</b:SourceType>
    <b:Guid>{3D35F3A3-4AC7-AB47-B3CB-FC5B2E30DE7D}</b:Guid>
    <b:Author>
      <b:Author>
        <b:NameList>
          <b:Person>
            <b:Last>celso_gomes</b:Last>
          </b:Person>
        </b:NameList>
      </b:Author>
    </b:Author>
    <b:Title>Vodafone-micro environmental factors-marketing</b:Title>
    <b:URL>https://www.slideshare.net/celso_gomes/vodafonemarket</b:URL>
    <b:Year>2014</b:Year>
    <b:YearAccessed>2023</b:YearAccessed>
    <b:RefOrder>10</b:RefOrder>
  </b:Source>
  <b:Source>
    <b:Tag>MBA22</b:Tag>
    <b:SourceType>InternetSite</b:SourceType>
    <b:Guid>{97D948A2-75F5-3A4A-8078-4E7730883F70}</b:Guid>
    <b:Author>
      <b:Author>
        <b:Corporate>MBA SKOOL</b:Corporate>
      </b:Author>
    </b:Author>
    <b:Title>Vodafone PESTLE Analysis</b:Title>
    <b:URL>https://www.mbaskool.com/pestle-analysis/companies/17973-vodafone.html</b:URL>
    <b:Year>2022</b:Year>
    <b:YearAccessed>2023</b:YearAccessed>
    <b:MonthAccessed>Aug</b:MonthAccessed>
    <b:RefOrder>11</b:RefOrder>
  </b:Source>
  <b:Source>
    <b:Tag>Tar22</b:Tag>
    <b:SourceType>InternetSite</b:SourceType>
    <b:Guid>{D1DF6B92-2FA0-AC43-B909-AB47CEC3B0D6}</b:Guid>
    <b:Author>
      <b:Author>
        <b:NameList>
          <b:Person>
            <b:Last>Zaidi</b:Last>
            <b:First>Tarab</b:First>
          </b:Person>
        </b:NameList>
      </b:Author>
    </b:Author>
    <b:Title>Vodafone market in Germany goes into reverse </b:Title>
    <b:URL>https://www.businesstoday.in/industry/telecom/story/vodafone-market-in-germany-goes-into-reverse-342583-2022-07-25</b:URL>
    <b:Year>2022</b:Year>
    <b:YearAccessed>2023</b:YearAccessed>
    <b:MonthAccessed>Aug</b:MonthAccessed>
    <b:RefOrder>12</b:RefOrder>
  </b:Source>
  <b:Source>
    <b:Tag>Dan19</b:Tag>
    <b:SourceType>Book</b:SourceType>
    <b:Guid>{0F215FF8-E651-EA46-A090-87BC7B88A71A}</b:Guid>
    <b:Title>International business : environments &amp; operations</b:Title>
    <b:Year>2019</b:Year>
    <b:Author>
      <b:Author>
        <b:NameList>
          <b:Person>
            <b:Last>Daniels</b:Last>
            <b:First>John</b:First>
            <b:Middle>D.</b:Middle>
          </b:Person>
        </b:NameList>
      </b:Author>
    </b:Author>
    <b:City>Harlow, England</b:City>
    <b:Publisher> Pearson</b:Publisher>
    <b:Edition>Sixteenth edition</b:Edition>
    <b:RefOrder>42</b:RefOrder>
  </b:Source>
  <b:Source>
    <b:Tag>Mic14</b:Tag>
    <b:SourceType>JournalArticle</b:SourceType>
    <b:Guid>{F1B4A24F-6E30-8648-8F69-FDC67B3B0D04}</b:Guid>
    <b:Title>Guidelines for applying Porter's five forces framework: a set of industry analysis templates</b:Title>
    <b:Year>2014</b:Year>
    <b:Author>
      <b:Author>
        <b:NameList>
          <b:Person>
            <b:Last>Dobbs</b:Last>
            <b:First>Michael</b:First>
            <b:Middle>E.</b:Middle>
          </b:Person>
        </b:NameList>
      </b:Author>
    </b:Author>
    <b:JournalName>Competitiveness Review,</b:JournalName>
    <b:Volume>24</b:Volume>
    <b:Issue>1</b:Issue>
    <b:Pages>32-45</b:Pages>
    <b:RefOrder>13</b:RefOrder>
  </b:Source>
  <b:Source>
    <b:Tag>Glo23</b:Tag>
    <b:SourceType>InternetSite</b:SourceType>
    <b:Guid>{DA22B6EA-EAEF-E942-8C36-8609336D932A}</b:Guid>
    <b:Title>Germany Telecom Services Market Size and Analysis</b:Title>
    <b:Year>2023</b:Year>
    <b:Author>
      <b:Author>
        <b:Corporate>Global Data </b:Corporate>
      </b:Author>
    </b:Author>
    <b:URL>https://www.globaldata.com/store/report/germany-telecom-operators-market-analysis/</b:URL>
    <b:YearAccessed>2023</b:YearAccessed>
    <b:MonthAccessed>Aug</b:MonthAccessed>
    <b:RefOrder>14</b:RefOrder>
  </b:Source>
  <b:Source>
    <b:Tag>Web21</b:Tag>
    <b:SourceType>Report</b:SourceType>
    <b:Guid>{06A0E319-15A6-B246-B16D-1E07947B1812}</b:Guid>
    <b:Author>
      <b:Author>
        <b:NameList>
          <b:Person>
            <b:Last>Weber</b:Last>
            <b:First>K.</b:First>
          </b:Person>
        </b:NameList>
      </b:Author>
    </b:Author>
    <b:Title>Telecommunications in Germany: Market Dynamics and Future Trends</b:Title>
    <b:Year>2021</b:Year>
    <b:Publisher>ARXIV</b:Publisher>
    <b:RefOrder>15</b:RefOrder>
  </b:Source>
  <b:Source>
    <b:Tag>Int22</b:Tag>
    <b:SourceType>InternetSite</b:SourceType>
    <b:Guid>{E959656D-CB6C-734B-97CE-11E859EB6420}</b:Guid>
    <b:Author>
      <b:Author>
        <b:Corporate>International Trade Administration U.S. Department of Commerce</b:Corporate>
      </b:Author>
    </b:Author>
    <b:Title>Germany - Country Commercial Guide</b:Title>
    <b:URL>https://www.trade.gov/country-commercial-guides/germany-market-overview</b:URL>
    <b:Year>2022</b:Year>
    <b:YearAccessed>2023</b:YearAccessed>
    <b:MonthAccessed>Aug</b:MonthAccessed>
    <b:RefOrder>16</b:RefOrder>
  </b:Source>
  <b:Source>
    <b:Tag>Sch21</b:Tag>
    <b:SourceType>InternetSite</b:SourceType>
    <b:Guid>{5AEB1A34-2704-4047-A6FB-BC0CC088EBD7}</b:Guid>
    <b:Author>
      <b:Author>
        <b:Corporate>SchengenVisa News </b:Corporate>
      </b:Author>
    </b:Author>
    <b:Title>German Labour Chief Says Germany Needs 400,000 Skilled Immigrants</b:Title>
    <b:URL>https://www.schengenvisainfo.com/news/german-labour-chief-says-germany-needs-400000-skilled-immigrants-yearly-to-tackle-skilled-workers-shortage/</b:URL>
    <b:Year>2021</b:Year>
    <b:YearAccessed>2023</b:YearAccessed>
    <b:MonthAccessed>Aug</b:MonthAccessed>
    <b:RefOrder>17</b:RefOrder>
  </b:Source>
  <b:Source>
    <b:Tag>POL18</b:Tag>
    <b:SourceType>InternetSite</b:SourceType>
    <b:Guid>{336954E1-DD23-B94A-AFA7-8AED71B66CD2}</b:Guid>
    <b:Author>
      <b:Author>
        <b:Corporate>POLITICO</b:Corporate>
      </b:Author>
    </b:Author>
    <b:Title>Germany’s green energy shift is more fizzle than sizzle</b:Title>
    <b:URL>https://www.politico.eu/article/germany-climate-change-green-energy-shift-is-more-fizzle-than-sizzle/</b:URL>
    <b:Year>2018</b:Year>
    <b:YearAccessed>2023</b:YearAccessed>
    <b:MonthAccessed>AUG</b:MonthAccessed>
    <b:RefOrder>18</b:RefOrder>
  </b:Source>
  <b:Source>
    <b:Tag>Ric23</b:Tag>
    <b:SourceType>JournalArticle</b:SourceType>
    <b:Guid>{F2953C37-D36F-C448-B852-9E069F7BC1D4}</b:Guid>
    <b:Title>The origins of SWOT analysis</b:Title>
    <b:Year>2023</b:Year>
    <b:Author>
      <b:Author>
        <b:NameList>
          <b:Person>
            <b:Last>Richard Puyt</b:Last>
            <b:First>Finn</b:First>
            <b:Middle>Birger Lie, Celeste PM Wilderom</b:Middle>
          </b:Person>
        </b:NameList>
      </b:Author>
    </b:Author>
    <b:JournalName>Long Range Planning</b:JournalName>
    <b:Volume>56</b:Volume>
    <b:Issue>3</b:Issue>
    <b:RefOrder>19</b:RefOrder>
  </b:Source>
  <b:Source>
    <b:Tag>Por801</b:Tag>
    <b:SourceType>Report</b:SourceType>
    <b:Guid>{64EF8FF6-05A0-8C43-A553-5742057810DD}</b:Guid>
    <b:Author>
      <b:Author>
        <b:NameList>
          <b:Person>
            <b:Last>Porter</b:Last>
            <b:First>M.</b:First>
            <b:Middle>E.</b:Middle>
          </b:Person>
        </b:NameList>
      </b:Author>
    </b:Author>
    <b:Title>Competitive Strategy</b:Title>
    <b:Year>1980</b:Year>
    <b:Publisher>Free Press</b:Publisher>
    <b:City>New York</b:City>
    <b:RefOrder>20</b:RefOrder>
  </b:Source>
  <b:Source>
    <b:Tag>Cha62</b:Tag>
    <b:SourceType>Report</b:SourceType>
    <b:Guid>{6710394E-CE29-1546-80A3-D9D60CC693CF}</b:Guid>
    <b:Author>
      <b:Author>
        <b:NameList>
          <b:Person>
            <b:Last>Chandler</b:Last>
            <b:First>A.</b:First>
            <b:Middle>D.</b:Middle>
          </b:Person>
        </b:NameList>
      </b:Author>
    </b:Author>
    <b:Title>Strategy and Structure</b:Title>
    <b:Publisher>MIT Press</b:Publisher>
    <b:City>Cambridge</b:City>
    <b:Year>1962</b:Year>
    <b:RefOrder>21</b:RefOrder>
  </b:Source>
  <b:Source>
    <b:Tag>Vod234</b:Tag>
    <b:SourceType>InternetSite</b:SourceType>
    <b:Guid>{BFE673D6-7F21-9F4C-B76A-E40A35EF752A}</b:Guid>
    <b:Author>
      <b:Author>
        <b:Corporate>Vodafone</b:Corporate>
      </b:Author>
    </b:Author>
    <b:Title>Enabling a digital society</b:Title>
    <b:Year>2023</b:Year>
    <b:URL>https://www.vodafone.com/sustainable-business/our-purpose-pillars/digital-society</b:URL>
    <b:YearAccessed>2023</b:YearAccessed>
    <b:MonthAccessed>Aug</b:MonthAccessed>
    <b:RefOrder>22</b:RefOrder>
  </b:Source>
  <b:Source>
    <b:Tag>Vod235</b:Tag>
    <b:SourceType>InternetSite</b:SourceType>
    <b:Guid>{E13F023A-6CF9-B04F-B167-30017DA5C3A2}</b:Guid>
    <b:Author>
      <b:Author>
        <b:Corporate>Vodafone Group Plc Digital Rights and Freedoms</b:Corporate>
      </b:Author>
    </b:Author>
    <b:Title>Law Enforcement Disclosure Statement</b:Title>
    <b:URL>https://www.vodafone.com/content/dam/vodcom/sustainability/pdfs/vodafone_drf_law_enforcement_disclosure_statement.pdf</b:URL>
    <b:Year>2023</b:Year>
    <b:YearAccessed>2023</b:YearAccessed>
    <b:MonthAccessed>Aug</b:MonthAccessed>
    <b:RefOrder>23</b:RefOrder>
  </b:Source>
  <b:Source>
    <b:Tag>Stu20</b:Tag>
    <b:SourceType>InternetSite</b:SourceType>
    <b:Guid>{B3B917A6-5639-2349-8431-0FA6C28B2D69}</b:Guid>
    <b:Author>
      <b:Author>
        <b:NameList>
          <b:Person>
            <b:Last>Thomson</b:Last>
            <b:First>Stuart</b:First>
          </b:Person>
        </b:NameList>
      </b:Author>
    </b:Author>
    <b:Title>Vodafone Deutschland revamps legal and regulatory team</b:Title>
    <b:URL>https://www.digitaltveurope.com/2020/04/02/vodafone-deutschland-revamps-legal-and-regulatory-team/</b:URL>
    <b:Year>2020</b:Year>
    <b:YearAccessed>2023</b:YearAccessed>
    <b:MonthAccessed>Aug</b:MonthAccessed>
    <b:RefOrder>24</b:RefOrder>
  </b:Source>
  <b:Source>
    <b:Tag>Dar17</b:Tag>
    <b:SourceType>InternetSite</b:SourceType>
    <b:Guid>{EBB2824D-713E-3540-B55E-3FA4BA1CD327}</b:Guid>
    <b:Author>
      <b:Author>
        <b:NameList>
          <b:Person>
            <b:Last>York</b:Last>
            <b:First>Darleen</b:First>
          </b:Person>
        </b:NameList>
      </b:Author>
    </b:Author>
    <b:Title>The Vodafone Code of Conduct</b:Title>
    <b:URL>https://docplayer.net/12472691-The-vodafone-code-of-conduct.html</b:URL>
    <b:Year>2017</b:Year>
    <b:YearAccessed>2023</b:YearAccessed>
    <b:MonthAccessed>Aug</b:MonthAccessed>
    <b:RefOrder>25</b:RefOrder>
  </b:Source>
  <b:Source>
    <b:Tag>Tec20</b:Tag>
    <b:SourceType>InternetSite</b:SourceType>
    <b:Guid>{289E814F-D7A9-9343-BEDB-7C646CB37F1A}</b:Guid>
    <b:Author>
      <b:Author>
        <b:NameList>
          <b:Person>
            <b:Last>Africa</b:Last>
            <b:First>Tech</b:First>
            <b:Middle>in</b:Middle>
          </b:Person>
        </b:NameList>
      </b:Author>
    </b:Author>
    <b:Title>Vodafone Foundation expanding the ‘Ambulance Taxi’ programme in US$28m investment</b:Title>
    <b:URL>https://www.techinafrica.com/vodafone-foundation-expanding-the-ambulance-taxi-programme-in-us28m-investment/</b:URL>
    <b:Year>2020</b:Year>
    <b:YearAccessed>2023</b:YearAccessed>
    <b:MonthAccessed>Aug</b:MonthAccessed>
    <b:RefOrder>26</b:RefOrder>
  </b:Source>
  <b:Source>
    <b:Tag>Vod03</b:Tag>
    <b:SourceType>InternetSite</b:SourceType>
    <b:Guid>{359863F7-90D1-A44A-81A2-E949D054CCB3}</b:Guid>
    <b:Author>
      <b:Author>
        <b:Corporate>Vodafone Group Plc</b:Corporate>
      </b:Author>
    </b:Author>
    <b:Title>Our History</b:Title>
    <b:URL>https://www.vodafone.com/our-company/about-us/our-history</b:URL>
    <b:Year>2023</b:Year>
    <b:RefOrder>1</b:RefOrder>
  </b:Source>
  <b:Source>
    <b:Tag>Mir22</b:Tag>
    <b:SourceType>InternetSite</b:SourceType>
    <b:Guid>{4D3681EB-5983-AA46-B354-908101D502F3}</b:Guid>
    <b:Title>What is Porter’s Five Forces model? And how to use it to analyze the competition </b:Title>
    <b:Year>2022</b:Year>
    <b:Author>
      <b:Author>
        <b:Corporate>Miro</b:Corporate>
      </b:Author>
    </b:Author>
    <b:URL>https://miro.com/blog/porters-five-forces/</b:URL>
    <b:YearAccessed>2023</b:YearAccessed>
    <b:MonthAccessed>Aug</b:MonthAccessed>
    <b:DayAccessed>12</b:DayAccessed>
    <b:RefOrder>43</b:RefOrder>
  </b:Source>
  <b:Source>
    <b:Tag>Buy21</b:Tag>
    <b:SourceType>Report</b:SourceType>
    <b:Guid>{A3FB29A0-E889-C74C-B3A9-B277C8C1D695}</b:Guid>
    <b:Title>Critical examination of the PESTEL Analysis Model</b:Title>
    <b:Year>2021</b:Year>
    <b:Author>
      <b:Author>
        <b:NameList>
          <b:Person>
            <b:Last>Buye</b:Last>
            <b:First>Ronald</b:First>
          </b:Person>
        </b:NameList>
      </b:Author>
    </b:Author>
    <b:Publisher>Researchgate </b:Publisher>
    <b:City>n.d</b:City>
    <b:RefOrder>6</b:RefOrder>
  </b:Source>
</b:Sources>
</file>

<file path=customXml/item3.xml><?xml version="1.0" encoding="utf-8"?>
<CoverPageProperties xmlns="http://schemas.microsoft.com/office/2006/coverPageProps">
  <PublishDate>2019/2020</PublishDate>
  <Abstract>Lecturer: Hossein Shokri</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536474-4D68-E540-B9D3-C41AD7302583}">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7452</Words>
  <Characters>42482</Characters>
  <Lines>354</Lines>
  <Paragraphs>99</Paragraphs>
  <TotalTime>35</TotalTime>
  <ScaleCrop>false</ScaleCrop>
  <LinksUpToDate>false</LinksUpToDate>
  <CharactersWithSpaces>49835</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2023-08-21T15:43:00Z</dcterms:created>
  <dc:creator>Nicole</dc:creator>
  <cp:lastModifiedBy>Rimpal Yadav</cp:lastModifiedBy>
  <cp:lastPrinted>2023-08-14T22:18:00Z</cp:lastPrinted>
  <dcterms:modified xsi:type="dcterms:W3CDTF">2023-08-21T18:08:13Z</dcterms:modified>
  <dc:subject>Marketing Management Report</dc:subject>
  <dc:title>Marketing Management LCMB 7001</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D3A1B6D88C34480BB2BCCDA3D088136F</vt:lpwstr>
  </property>
</Properties>
</file>