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3C1B" w14:textId="120C1440" w:rsidR="00BB254E" w:rsidRPr="00BB254E" w:rsidRDefault="00BB254E" w:rsidP="00BB254E">
      <w:pPr>
        <w:rPr>
          <w:rFonts w:ascii="Helvetica Neue" w:hAnsi="Helvetica Neue" w:cs="Times New Roman"/>
          <w:color w:val="313131"/>
          <w:kern w:val="0"/>
          <w:sz w:val="24"/>
          <w:szCs w:val="24"/>
          <w14:ligatures w14:val="none"/>
        </w:rPr>
      </w:pPr>
    </w:p>
    <w:p w14:paraId="2362CC06" w14:textId="4BC7FCC8" w:rsidR="00BB254E" w:rsidRPr="00AA0032" w:rsidRDefault="00BB254E" w:rsidP="00AA0032">
      <w:pPr>
        <w:jc w:val="center"/>
        <w:rPr>
          <w:rFonts w:ascii="Helvetica Neue" w:hAnsi="Helvetica Neue" w:cs="Times New Roman"/>
          <w:b/>
          <w:bCs/>
          <w:color w:val="313131"/>
          <w:kern w:val="0"/>
          <w:sz w:val="36"/>
          <w:szCs w:val="36"/>
          <w14:ligatures w14:val="none"/>
        </w:rPr>
      </w:pPr>
      <w:r w:rsidRPr="00AA0032">
        <w:rPr>
          <w:rFonts w:ascii="Arial" w:hAnsi="Arial" w:cs="Arial"/>
          <w:b/>
          <w:bCs/>
          <w:color w:val="000000"/>
          <w:kern w:val="0"/>
          <w:sz w:val="36"/>
          <w:szCs w:val="36"/>
          <w:bdr w:val="none" w:sz="0" w:space="0" w:color="auto" w:frame="1"/>
          <w14:ligatures w14:val="none"/>
        </w:rPr>
        <w:t>Health and Social Care</w:t>
      </w:r>
    </w:p>
    <w:p w14:paraId="256D7933" w14:textId="2EBEFCA0" w:rsidR="00AA0032" w:rsidRDefault="00AA0032" w:rsidP="00BB254E">
      <w:pPr>
        <w:rPr>
          <w:rFonts w:ascii="Helvetica Neue" w:hAnsi="Helvetica Neue" w:cs="Times New Roman"/>
          <w:color w:val="313131"/>
          <w:kern w:val="0"/>
          <w:sz w:val="24"/>
          <w:szCs w:val="24"/>
          <w14:ligatures w14:val="none"/>
        </w:rPr>
      </w:pPr>
    </w:p>
    <w:p w14:paraId="00D37E51" w14:textId="77777777" w:rsidR="00AA0032" w:rsidRPr="00AA0032" w:rsidRDefault="00AA0032" w:rsidP="00BB254E">
      <w:pPr>
        <w:rPr>
          <w:rFonts w:ascii="Helvetica Neue" w:hAnsi="Helvetica Neue" w:cs="Times New Roman"/>
          <w:color w:val="313131"/>
          <w:kern w:val="0"/>
          <w:sz w:val="24"/>
          <w:szCs w:val="24"/>
          <w14:ligatures w14:val="none"/>
        </w:rPr>
      </w:pPr>
    </w:p>
    <w:p w14:paraId="4CD021C2" w14:textId="77777777" w:rsidR="00AA0032" w:rsidRDefault="00AA0032" w:rsidP="00BB254E">
      <w:pPr>
        <w:rPr>
          <w:rFonts w:ascii="Arial" w:hAnsi="Arial" w:cs="Arial"/>
          <w:color w:val="000000"/>
          <w:kern w:val="0"/>
          <w:sz w:val="24"/>
          <w:szCs w:val="24"/>
          <w:bdr w:val="none" w:sz="0" w:space="0" w:color="auto" w:frame="1"/>
          <w14:ligatures w14:val="none"/>
        </w:rPr>
      </w:pPr>
    </w:p>
    <w:p w14:paraId="4231FB6D" w14:textId="77777777" w:rsidR="00F0137C" w:rsidRDefault="00F0137C" w:rsidP="00BB254E">
      <w:pPr>
        <w:rPr>
          <w:rFonts w:ascii="Arial" w:hAnsi="Arial" w:cs="Arial"/>
          <w:color w:val="000000"/>
          <w:kern w:val="0"/>
          <w:sz w:val="24"/>
          <w:szCs w:val="24"/>
          <w:bdr w:val="none" w:sz="0" w:space="0" w:color="auto" w:frame="1"/>
          <w14:ligatures w14:val="none"/>
        </w:rPr>
      </w:pPr>
    </w:p>
    <w:p w14:paraId="7083663C" w14:textId="77777777" w:rsidR="00F0137C" w:rsidRDefault="00F0137C" w:rsidP="00BB254E">
      <w:pPr>
        <w:rPr>
          <w:rFonts w:ascii="Arial" w:hAnsi="Arial" w:cs="Arial"/>
          <w:color w:val="000000"/>
          <w:kern w:val="0"/>
          <w:sz w:val="24"/>
          <w:szCs w:val="24"/>
          <w:bdr w:val="none" w:sz="0" w:space="0" w:color="auto" w:frame="1"/>
          <w14:ligatures w14:val="none"/>
        </w:rPr>
      </w:pPr>
    </w:p>
    <w:p w14:paraId="2520DCD3" w14:textId="77777777" w:rsidR="00F0137C" w:rsidRDefault="00F0137C" w:rsidP="00BB254E">
      <w:pPr>
        <w:rPr>
          <w:rFonts w:ascii="Arial" w:hAnsi="Arial" w:cs="Arial"/>
          <w:color w:val="000000"/>
          <w:kern w:val="0"/>
          <w:sz w:val="24"/>
          <w:szCs w:val="24"/>
          <w:bdr w:val="none" w:sz="0" w:space="0" w:color="auto" w:frame="1"/>
          <w14:ligatures w14:val="none"/>
        </w:rPr>
      </w:pPr>
    </w:p>
    <w:p w14:paraId="1D22B78F" w14:textId="77777777" w:rsidR="00F0137C" w:rsidRDefault="00F0137C" w:rsidP="00BB254E">
      <w:pPr>
        <w:rPr>
          <w:rFonts w:ascii="Arial" w:hAnsi="Arial" w:cs="Arial"/>
          <w:color w:val="000000"/>
          <w:kern w:val="0"/>
          <w:sz w:val="24"/>
          <w:szCs w:val="24"/>
          <w:bdr w:val="none" w:sz="0" w:space="0" w:color="auto" w:frame="1"/>
          <w14:ligatures w14:val="none"/>
        </w:rPr>
      </w:pPr>
    </w:p>
    <w:p w14:paraId="1180D660" w14:textId="77777777" w:rsidR="00F0137C" w:rsidRDefault="00F0137C" w:rsidP="00BB254E">
      <w:pPr>
        <w:rPr>
          <w:rFonts w:ascii="Arial" w:hAnsi="Arial" w:cs="Arial"/>
          <w:color w:val="000000"/>
          <w:kern w:val="0"/>
          <w:sz w:val="24"/>
          <w:szCs w:val="24"/>
          <w:bdr w:val="none" w:sz="0" w:space="0" w:color="auto" w:frame="1"/>
          <w14:ligatures w14:val="none"/>
        </w:rPr>
      </w:pPr>
    </w:p>
    <w:p w14:paraId="48CF3DD9" w14:textId="77777777" w:rsidR="00AA0032" w:rsidRDefault="00AA0032" w:rsidP="00BB254E">
      <w:pPr>
        <w:rPr>
          <w:rFonts w:ascii="Arial" w:hAnsi="Arial" w:cs="Arial"/>
          <w:color w:val="000000"/>
          <w:kern w:val="0"/>
          <w:sz w:val="24"/>
          <w:szCs w:val="24"/>
          <w:bdr w:val="none" w:sz="0" w:space="0" w:color="auto" w:frame="1"/>
          <w14:ligatures w14:val="none"/>
        </w:rPr>
      </w:pPr>
    </w:p>
    <w:p w14:paraId="64EDFC4D" w14:textId="77777777" w:rsidR="00AA0032" w:rsidRDefault="00AA0032" w:rsidP="00AA0032">
      <w:pPr>
        <w:jc w:val="center"/>
        <w:rPr>
          <w:rFonts w:ascii="Arial" w:hAnsi="Arial" w:cs="Arial"/>
          <w:color w:val="000000"/>
          <w:kern w:val="0"/>
          <w:sz w:val="24"/>
          <w:szCs w:val="24"/>
          <w:bdr w:val="none" w:sz="0" w:space="0" w:color="auto" w:frame="1"/>
          <w14:ligatures w14:val="none"/>
        </w:rPr>
      </w:pPr>
    </w:p>
    <w:p w14:paraId="0952DCB6" w14:textId="0A4603CD" w:rsidR="00AA0032" w:rsidRPr="00AA0032" w:rsidRDefault="00AA0032" w:rsidP="006C3330">
      <w:pPr>
        <w:spacing w:line="360" w:lineRule="auto"/>
        <w:jc w:val="center"/>
        <w:rPr>
          <w:rFonts w:ascii="Arial" w:hAnsi="Arial" w:cs="Arial"/>
          <w:b/>
          <w:bCs/>
          <w:color w:val="000000"/>
          <w:kern w:val="0"/>
          <w:sz w:val="24"/>
          <w:szCs w:val="24"/>
          <w:bdr w:val="none" w:sz="0" w:space="0" w:color="auto" w:frame="1"/>
          <w14:ligatures w14:val="none"/>
        </w:rPr>
      </w:pPr>
      <w:r w:rsidRPr="00AA0032">
        <w:rPr>
          <w:rFonts w:ascii="Arial" w:hAnsi="Arial" w:cs="Arial"/>
          <w:b/>
          <w:bCs/>
          <w:color w:val="000000"/>
          <w:kern w:val="0"/>
          <w:sz w:val="24"/>
          <w:szCs w:val="24"/>
          <w:bdr w:val="none" w:sz="0" w:space="0" w:color="auto" w:frame="1"/>
          <w14:ligatures w14:val="none"/>
        </w:rPr>
        <w:t>Module Name: Children, Young People and Families</w:t>
      </w:r>
    </w:p>
    <w:p w14:paraId="7CBA8279" w14:textId="0FFD5998" w:rsidR="00AA0032" w:rsidRPr="00AA0032" w:rsidRDefault="00AA0032" w:rsidP="006C3330">
      <w:pPr>
        <w:spacing w:line="360" w:lineRule="auto"/>
        <w:rPr>
          <w:rFonts w:ascii="Arial" w:hAnsi="Arial" w:cs="Arial"/>
          <w:b/>
          <w:bCs/>
          <w:color w:val="000000"/>
          <w:kern w:val="0"/>
          <w:sz w:val="24"/>
          <w:szCs w:val="24"/>
          <w:bdr w:val="none" w:sz="0" w:space="0" w:color="auto" w:frame="1"/>
          <w14:ligatures w14:val="none"/>
        </w:rPr>
      </w:pPr>
      <w:r>
        <w:rPr>
          <w:rFonts w:ascii="Arial" w:hAnsi="Arial" w:cs="Arial"/>
          <w:b/>
          <w:bCs/>
          <w:color w:val="000000"/>
          <w:kern w:val="0"/>
          <w:sz w:val="24"/>
          <w:szCs w:val="24"/>
          <w:bdr w:val="none" w:sz="0" w:space="0" w:color="auto" w:frame="1"/>
          <w14:ligatures w14:val="none"/>
        </w:rPr>
        <w:t xml:space="preserve">                       </w:t>
      </w:r>
      <w:r w:rsidRPr="00AA0032">
        <w:rPr>
          <w:rFonts w:ascii="Arial" w:hAnsi="Arial" w:cs="Arial"/>
          <w:b/>
          <w:bCs/>
          <w:color w:val="000000"/>
          <w:kern w:val="0"/>
          <w:sz w:val="24"/>
          <w:szCs w:val="24"/>
          <w:bdr w:val="none" w:sz="0" w:space="0" w:color="auto" w:frame="1"/>
          <w14:ligatures w14:val="none"/>
        </w:rPr>
        <w:t>Module Code: BMHP5004</w:t>
      </w:r>
    </w:p>
    <w:p w14:paraId="270B0281" w14:textId="53362574" w:rsidR="00AA0032" w:rsidRPr="00AA0032" w:rsidRDefault="00AA0032" w:rsidP="006C3330">
      <w:pPr>
        <w:spacing w:line="360" w:lineRule="auto"/>
        <w:rPr>
          <w:rFonts w:ascii="Arial" w:hAnsi="Arial" w:cs="Arial"/>
          <w:b/>
          <w:bCs/>
          <w:color w:val="000000"/>
          <w:kern w:val="0"/>
          <w:sz w:val="24"/>
          <w:szCs w:val="24"/>
          <w:bdr w:val="none" w:sz="0" w:space="0" w:color="auto" w:frame="1"/>
          <w14:ligatures w14:val="none"/>
        </w:rPr>
      </w:pPr>
      <w:r>
        <w:rPr>
          <w:rFonts w:ascii="Arial" w:hAnsi="Arial" w:cs="Arial"/>
          <w:b/>
          <w:bCs/>
          <w:color w:val="000000"/>
          <w:kern w:val="0"/>
          <w:sz w:val="24"/>
          <w:szCs w:val="24"/>
          <w:bdr w:val="none" w:sz="0" w:space="0" w:color="auto" w:frame="1"/>
          <w14:ligatures w14:val="none"/>
        </w:rPr>
        <w:t xml:space="preserve">                       </w:t>
      </w:r>
      <w:r w:rsidRPr="00AA0032">
        <w:rPr>
          <w:rFonts w:ascii="Arial" w:hAnsi="Arial" w:cs="Arial"/>
          <w:b/>
          <w:bCs/>
          <w:color w:val="000000"/>
          <w:kern w:val="0"/>
          <w:sz w:val="24"/>
          <w:szCs w:val="24"/>
          <w:bdr w:val="none" w:sz="0" w:space="0" w:color="auto" w:frame="1"/>
          <w14:ligatures w14:val="none"/>
        </w:rPr>
        <w:t>Lecture Name: Jolly Nwankwo</w:t>
      </w:r>
    </w:p>
    <w:p w14:paraId="227220DC" w14:textId="68A9E332" w:rsidR="00AA0032" w:rsidRPr="00AA0032" w:rsidRDefault="00AA0032" w:rsidP="006C3330">
      <w:pPr>
        <w:spacing w:line="360" w:lineRule="auto"/>
        <w:rPr>
          <w:rFonts w:ascii="Arial" w:hAnsi="Arial" w:cs="Arial"/>
          <w:b/>
          <w:bCs/>
          <w:color w:val="000000"/>
          <w:kern w:val="0"/>
          <w:sz w:val="24"/>
          <w:szCs w:val="24"/>
          <w:bdr w:val="none" w:sz="0" w:space="0" w:color="auto" w:frame="1"/>
          <w14:ligatures w14:val="none"/>
        </w:rPr>
      </w:pPr>
      <w:r>
        <w:rPr>
          <w:rFonts w:ascii="Arial" w:hAnsi="Arial" w:cs="Arial"/>
          <w:b/>
          <w:bCs/>
          <w:color w:val="000000"/>
          <w:kern w:val="0"/>
          <w:sz w:val="24"/>
          <w:szCs w:val="24"/>
          <w:bdr w:val="none" w:sz="0" w:space="0" w:color="auto" w:frame="1"/>
          <w14:ligatures w14:val="none"/>
        </w:rPr>
        <w:t xml:space="preserve">                       </w:t>
      </w:r>
      <w:r w:rsidRPr="00AA0032">
        <w:rPr>
          <w:rFonts w:ascii="Arial" w:hAnsi="Arial" w:cs="Arial"/>
          <w:b/>
          <w:bCs/>
          <w:color w:val="000000"/>
          <w:kern w:val="0"/>
          <w:sz w:val="24"/>
          <w:szCs w:val="24"/>
          <w:bdr w:val="none" w:sz="0" w:space="0" w:color="auto" w:frame="1"/>
          <w14:ligatures w14:val="none"/>
        </w:rPr>
        <w:t>Student Name: Yelmi Sebastiao</w:t>
      </w:r>
    </w:p>
    <w:p w14:paraId="52D406C4" w14:textId="37694FB9" w:rsidR="00AA0032" w:rsidRPr="00AA0032" w:rsidRDefault="00AA0032" w:rsidP="006C3330">
      <w:pPr>
        <w:spacing w:line="360" w:lineRule="auto"/>
        <w:rPr>
          <w:rFonts w:ascii="Arial" w:hAnsi="Arial" w:cs="Arial"/>
          <w:b/>
          <w:bCs/>
          <w:color w:val="000000"/>
          <w:kern w:val="0"/>
          <w:sz w:val="24"/>
          <w:szCs w:val="24"/>
          <w:bdr w:val="none" w:sz="0" w:space="0" w:color="auto" w:frame="1"/>
          <w14:ligatures w14:val="none"/>
        </w:rPr>
      </w:pPr>
      <w:r>
        <w:rPr>
          <w:rFonts w:ascii="Arial" w:hAnsi="Arial" w:cs="Arial"/>
          <w:b/>
          <w:bCs/>
          <w:color w:val="000000"/>
          <w:kern w:val="0"/>
          <w:sz w:val="24"/>
          <w:szCs w:val="24"/>
          <w:bdr w:val="none" w:sz="0" w:space="0" w:color="auto" w:frame="1"/>
          <w14:ligatures w14:val="none"/>
        </w:rPr>
        <w:t xml:space="preserve">                       </w:t>
      </w:r>
      <w:r w:rsidRPr="00AA0032">
        <w:rPr>
          <w:rFonts w:ascii="Arial" w:hAnsi="Arial" w:cs="Arial"/>
          <w:b/>
          <w:bCs/>
          <w:color w:val="000000"/>
          <w:kern w:val="0"/>
          <w:sz w:val="24"/>
          <w:szCs w:val="24"/>
          <w:bdr w:val="none" w:sz="0" w:space="0" w:color="auto" w:frame="1"/>
          <w14:ligatures w14:val="none"/>
        </w:rPr>
        <w:t>Student ID: 2122805</w:t>
      </w:r>
    </w:p>
    <w:p w14:paraId="4A3A71BA" w14:textId="77777777" w:rsidR="00AA0032" w:rsidRPr="00AA0032" w:rsidRDefault="00AA0032" w:rsidP="006C3330">
      <w:pPr>
        <w:spacing w:line="360" w:lineRule="auto"/>
        <w:jc w:val="center"/>
        <w:rPr>
          <w:rFonts w:ascii="Helvetica Neue" w:eastAsia="Times New Roman" w:hAnsi="Helvetica Neue" w:cs="Times New Roman"/>
          <w:b/>
          <w:bCs/>
          <w:color w:val="D4D4D5"/>
          <w:kern w:val="0"/>
          <w:sz w:val="24"/>
          <w:szCs w:val="24"/>
          <w14:ligatures w14:val="none"/>
        </w:rPr>
      </w:pPr>
    </w:p>
    <w:p w14:paraId="4031E161" w14:textId="77777777" w:rsidR="00AA0032" w:rsidRDefault="00AA0032" w:rsidP="00AA0032">
      <w:pPr>
        <w:jc w:val="center"/>
        <w:rPr>
          <w:rFonts w:ascii="Helvetica Neue" w:eastAsia="Times New Roman" w:hAnsi="Helvetica Neue" w:cs="Times New Roman"/>
          <w:color w:val="D4D4D5"/>
          <w:kern w:val="0"/>
          <w:sz w:val="24"/>
          <w:szCs w:val="24"/>
          <w14:ligatures w14:val="none"/>
        </w:rPr>
      </w:pPr>
    </w:p>
    <w:p w14:paraId="1BB9AAEF" w14:textId="77777777" w:rsidR="00AA0032" w:rsidRDefault="00AA0032" w:rsidP="00BB254E">
      <w:pPr>
        <w:rPr>
          <w:rFonts w:ascii="Helvetica Neue" w:eastAsia="Times New Roman" w:hAnsi="Helvetica Neue" w:cs="Times New Roman"/>
          <w:color w:val="D4D4D5"/>
          <w:kern w:val="0"/>
          <w:sz w:val="24"/>
          <w:szCs w:val="24"/>
          <w14:ligatures w14:val="none"/>
        </w:rPr>
      </w:pPr>
    </w:p>
    <w:p w14:paraId="5FEE833C" w14:textId="77777777" w:rsidR="00AA0032" w:rsidRDefault="00AA0032" w:rsidP="00BB254E">
      <w:pPr>
        <w:rPr>
          <w:rFonts w:ascii="Helvetica Neue" w:eastAsia="Times New Roman" w:hAnsi="Helvetica Neue" w:cs="Times New Roman"/>
          <w:color w:val="D4D4D5"/>
          <w:kern w:val="0"/>
          <w:sz w:val="24"/>
          <w:szCs w:val="24"/>
          <w14:ligatures w14:val="none"/>
        </w:rPr>
      </w:pPr>
    </w:p>
    <w:p w14:paraId="5675CF53" w14:textId="77777777" w:rsidR="00AA0032" w:rsidRDefault="00AA0032" w:rsidP="00BB254E">
      <w:pPr>
        <w:rPr>
          <w:rFonts w:ascii="Helvetica Neue" w:eastAsia="Times New Roman" w:hAnsi="Helvetica Neue" w:cs="Times New Roman"/>
          <w:color w:val="D4D4D5"/>
          <w:kern w:val="0"/>
          <w:sz w:val="24"/>
          <w:szCs w:val="24"/>
          <w14:ligatures w14:val="none"/>
        </w:rPr>
      </w:pPr>
    </w:p>
    <w:p w14:paraId="03AA3582" w14:textId="77777777" w:rsidR="00AA0032" w:rsidRDefault="00AA0032" w:rsidP="00BB254E">
      <w:pPr>
        <w:rPr>
          <w:rFonts w:ascii="Helvetica Neue" w:eastAsia="Times New Roman" w:hAnsi="Helvetica Neue" w:cs="Times New Roman"/>
          <w:color w:val="D4D4D5"/>
          <w:kern w:val="0"/>
          <w:sz w:val="24"/>
          <w:szCs w:val="24"/>
          <w14:ligatures w14:val="none"/>
        </w:rPr>
      </w:pPr>
    </w:p>
    <w:p w14:paraId="4FA25E61" w14:textId="77777777" w:rsidR="00AA0032" w:rsidRDefault="00AA0032" w:rsidP="00BB254E">
      <w:pPr>
        <w:rPr>
          <w:rFonts w:ascii="Helvetica Neue" w:eastAsia="Times New Roman" w:hAnsi="Helvetica Neue" w:cs="Times New Roman"/>
          <w:color w:val="D4D4D5"/>
          <w:kern w:val="0"/>
          <w:sz w:val="24"/>
          <w:szCs w:val="24"/>
          <w14:ligatures w14:val="none"/>
        </w:rPr>
      </w:pPr>
    </w:p>
    <w:p w14:paraId="0F44270F" w14:textId="77777777" w:rsidR="00AA0032" w:rsidRDefault="00AA0032" w:rsidP="00BB254E">
      <w:pPr>
        <w:rPr>
          <w:rFonts w:ascii="Helvetica Neue" w:eastAsia="Times New Roman" w:hAnsi="Helvetica Neue" w:cs="Times New Roman"/>
          <w:color w:val="D4D4D5"/>
          <w:kern w:val="0"/>
          <w:sz w:val="24"/>
          <w:szCs w:val="24"/>
          <w14:ligatures w14:val="none"/>
        </w:rPr>
      </w:pPr>
    </w:p>
    <w:p w14:paraId="0F700C69" w14:textId="77777777" w:rsidR="00AA0032" w:rsidRDefault="00AA0032" w:rsidP="00BB254E">
      <w:pPr>
        <w:rPr>
          <w:rFonts w:ascii="Helvetica Neue" w:eastAsia="Times New Roman" w:hAnsi="Helvetica Neue" w:cs="Times New Roman"/>
          <w:color w:val="D4D4D5"/>
          <w:kern w:val="0"/>
          <w:sz w:val="24"/>
          <w:szCs w:val="24"/>
          <w14:ligatures w14:val="none"/>
        </w:rPr>
      </w:pPr>
    </w:p>
    <w:p w14:paraId="77417605" w14:textId="77777777" w:rsidR="00AA0032" w:rsidRDefault="00AA0032" w:rsidP="00BB254E">
      <w:pPr>
        <w:rPr>
          <w:rFonts w:ascii="Helvetica Neue" w:eastAsia="Times New Roman" w:hAnsi="Helvetica Neue" w:cs="Times New Roman"/>
          <w:color w:val="D4D4D5"/>
          <w:kern w:val="0"/>
          <w:sz w:val="24"/>
          <w:szCs w:val="24"/>
          <w14:ligatures w14:val="none"/>
        </w:rPr>
      </w:pPr>
    </w:p>
    <w:p w14:paraId="77BFD234" w14:textId="77777777" w:rsidR="00AA0032" w:rsidRDefault="00AA0032" w:rsidP="00BB254E">
      <w:pPr>
        <w:rPr>
          <w:rFonts w:ascii="Helvetica Neue" w:eastAsia="Times New Roman" w:hAnsi="Helvetica Neue" w:cs="Times New Roman"/>
          <w:color w:val="D4D4D5"/>
          <w:kern w:val="0"/>
          <w:sz w:val="24"/>
          <w:szCs w:val="24"/>
          <w14:ligatures w14:val="none"/>
        </w:rPr>
      </w:pPr>
    </w:p>
    <w:p w14:paraId="555E19D1" w14:textId="77777777" w:rsidR="00AA0032" w:rsidRDefault="00AA0032" w:rsidP="00BB254E">
      <w:pPr>
        <w:rPr>
          <w:rFonts w:ascii="Helvetica Neue" w:eastAsia="Times New Roman" w:hAnsi="Helvetica Neue" w:cs="Times New Roman"/>
          <w:color w:val="D4D4D5"/>
          <w:kern w:val="0"/>
          <w:sz w:val="24"/>
          <w:szCs w:val="24"/>
          <w14:ligatures w14:val="none"/>
        </w:rPr>
      </w:pPr>
    </w:p>
    <w:p w14:paraId="321BEC47" w14:textId="77777777" w:rsidR="00AA0032" w:rsidRDefault="00AA0032" w:rsidP="00BB254E">
      <w:pPr>
        <w:rPr>
          <w:rFonts w:ascii="Helvetica Neue" w:eastAsia="Times New Roman" w:hAnsi="Helvetica Neue" w:cs="Times New Roman"/>
          <w:color w:val="D4D4D5"/>
          <w:kern w:val="0"/>
          <w:sz w:val="24"/>
          <w:szCs w:val="24"/>
          <w14:ligatures w14:val="none"/>
        </w:rPr>
      </w:pPr>
    </w:p>
    <w:p w14:paraId="760548CF" w14:textId="77777777" w:rsidR="00AA0032" w:rsidRDefault="00AA0032" w:rsidP="00BB254E">
      <w:pPr>
        <w:rPr>
          <w:rFonts w:ascii="Helvetica Neue" w:eastAsia="Times New Roman" w:hAnsi="Helvetica Neue" w:cs="Times New Roman"/>
          <w:color w:val="D4D4D5"/>
          <w:kern w:val="0"/>
          <w:sz w:val="24"/>
          <w:szCs w:val="24"/>
          <w14:ligatures w14:val="none"/>
        </w:rPr>
      </w:pPr>
    </w:p>
    <w:p w14:paraId="492BB0ED" w14:textId="77777777" w:rsidR="00AA0032" w:rsidRDefault="00AA0032" w:rsidP="00BB254E">
      <w:pPr>
        <w:rPr>
          <w:rFonts w:ascii="Helvetica Neue" w:eastAsia="Times New Roman" w:hAnsi="Helvetica Neue" w:cs="Times New Roman"/>
          <w:color w:val="D4D4D5"/>
          <w:kern w:val="0"/>
          <w:sz w:val="24"/>
          <w:szCs w:val="24"/>
          <w14:ligatures w14:val="none"/>
        </w:rPr>
      </w:pPr>
    </w:p>
    <w:p w14:paraId="2E3DDCD1" w14:textId="77777777" w:rsidR="00AA0032" w:rsidRDefault="00AA0032" w:rsidP="00BB254E">
      <w:pPr>
        <w:rPr>
          <w:rFonts w:ascii="Helvetica Neue" w:eastAsia="Times New Roman" w:hAnsi="Helvetica Neue" w:cs="Times New Roman"/>
          <w:color w:val="D4D4D5"/>
          <w:kern w:val="0"/>
          <w:sz w:val="24"/>
          <w:szCs w:val="24"/>
          <w14:ligatures w14:val="none"/>
        </w:rPr>
      </w:pPr>
    </w:p>
    <w:p w14:paraId="09DDB9A3" w14:textId="77777777" w:rsidR="00F0137C" w:rsidRDefault="00F0137C" w:rsidP="00BB254E">
      <w:pPr>
        <w:rPr>
          <w:rFonts w:ascii="Helvetica Neue" w:eastAsia="Times New Roman" w:hAnsi="Helvetica Neue" w:cs="Times New Roman"/>
          <w:color w:val="D4D4D5"/>
          <w:kern w:val="0"/>
          <w:sz w:val="24"/>
          <w:szCs w:val="24"/>
          <w14:ligatures w14:val="none"/>
        </w:rPr>
      </w:pPr>
    </w:p>
    <w:p w14:paraId="71D89B6D" w14:textId="77777777" w:rsidR="00F0137C" w:rsidRDefault="00F0137C" w:rsidP="00BB254E">
      <w:pPr>
        <w:rPr>
          <w:rFonts w:ascii="Helvetica Neue" w:eastAsia="Times New Roman" w:hAnsi="Helvetica Neue" w:cs="Times New Roman"/>
          <w:color w:val="D4D4D5"/>
          <w:kern w:val="0"/>
          <w:sz w:val="24"/>
          <w:szCs w:val="24"/>
          <w14:ligatures w14:val="none"/>
        </w:rPr>
      </w:pPr>
    </w:p>
    <w:p w14:paraId="421D3C5B" w14:textId="77777777" w:rsidR="00F0137C" w:rsidRDefault="00F0137C" w:rsidP="00BB254E">
      <w:pPr>
        <w:rPr>
          <w:rFonts w:ascii="Helvetica Neue" w:eastAsia="Times New Roman" w:hAnsi="Helvetica Neue" w:cs="Times New Roman"/>
          <w:color w:val="D4D4D5"/>
          <w:kern w:val="0"/>
          <w:sz w:val="24"/>
          <w:szCs w:val="24"/>
          <w14:ligatures w14:val="none"/>
        </w:rPr>
      </w:pPr>
    </w:p>
    <w:p w14:paraId="22F8226E" w14:textId="77777777" w:rsidR="00F0137C" w:rsidRDefault="00F0137C" w:rsidP="00BB254E">
      <w:pPr>
        <w:rPr>
          <w:rFonts w:ascii="Helvetica Neue" w:eastAsia="Times New Roman" w:hAnsi="Helvetica Neue" w:cs="Times New Roman"/>
          <w:color w:val="D4D4D5"/>
          <w:kern w:val="0"/>
          <w:sz w:val="24"/>
          <w:szCs w:val="24"/>
          <w14:ligatures w14:val="none"/>
        </w:rPr>
      </w:pPr>
    </w:p>
    <w:p w14:paraId="4F368CFF" w14:textId="77777777" w:rsidR="00F0137C" w:rsidRDefault="00F0137C" w:rsidP="00BB254E">
      <w:pPr>
        <w:rPr>
          <w:rFonts w:ascii="Helvetica Neue" w:eastAsia="Times New Roman" w:hAnsi="Helvetica Neue" w:cs="Times New Roman"/>
          <w:color w:val="D4D4D5"/>
          <w:kern w:val="0"/>
          <w:sz w:val="24"/>
          <w:szCs w:val="24"/>
          <w14:ligatures w14:val="none"/>
        </w:rPr>
      </w:pPr>
    </w:p>
    <w:p w14:paraId="7AB4E794" w14:textId="77777777" w:rsidR="00F0137C" w:rsidRDefault="00F0137C" w:rsidP="00BB254E">
      <w:pPr>
        <w:rPr>
          <w:rFonts w:ascii="Helvetica Neue" w:eastAsia="Times New Roman" w:hAnsi="Helvetica Neue" w:cs="Times New Roman"/>
          <w:color w:val="D4D4D5"/>
          <w:kern w:val="0"/>
          <w:sz w:val="24"/>
          <w:szCs w:val="24"/>
          <w14:ligatures w14:val="none"/>
        </w:rPr>
      </w:pPr>
    </w:p>
    <w:p w14:paraId="6CF14E38" w14:textId="77777777" w:rsidR="00F0137C" w:rsidRDefault="00F0137C" w:rsidP="00BB254E">
      <w:pPr>
        <w:rPr>
          <w:rFonts w:ascii="Helvetica Neue" w:eastAsia="Times New Roman" w:hAnsi="Helvetica Neue" w:cs="Times New Roman"/>
          <w:color w:val="D4D4D5"/>
          <w:kern w:val="0"/>
          <w:sz w:val="24"/>
          <w:szCs w:val="24"/>
          <w14:ligatures w14:val="none"/>
        </w:rPr>
      </w:pPr>
    </w:p>
    <w:p w14:paraId="0146F920" w14:textId="77777777" w:rsidR="00F0137C" w:rsidRDefault="00F0137C" w:rsidP="00BB254E">
      <w:pPr>
        <w:rPr>
          <w:rFonts w:ascii="Helvetica Neue" w:eastAsia="Times New Roman" w:hAnsi="Helvetica Neue" w:cs="Times New Roman"/>
          <w:color w:val="D4D4D5"/>
          <w:kern w:val="0"/>
          <w:sz w:val="24"/>
          <w:szCs w:val="24"/>
          <w14:ligatures w14:val="none"/>
        </w:rPr>
      </w:pPr>
    </w:p>
    <w:p w14:paraId="354A9B36" w14:textId="77777777" w:rsidR="00F0137C" w:rsidRDefault="00F0137C" w:rsidP="00BB254E">
      <w:pPr>
        <w:rPr>
          <w:rFonts w:ascii="Helvetica Neue" w:eastAsia="Times New Roman" w:hAnsi="Helvetica Neue" w:cs="Times New Roman"/>
          <w:color w:val="D4D4D5"/>
          <w:kern w:val="0"/>
          <w:sz w:val="24"/>
          <w:szCs w:val="24"/>
          <w14:ligatures w14:val="none"/>
        </w:rPr>
      </w:pPr>
    </w:p>
    <w:p w14:paraId="1A63A9A4" w14:textId="77777777" w:rsidR="00F0137C" w:rsidRDefault="00F0137C" w:rsidP="00BB254E">
      <w:pPr>
        <w:rPr>
          <w:rFonts w:ascii="Helvetica Neue" w:eastAsia="Times New Roman" w:hAnsi="Helvetica Neue" w:cs="Times New Roman"/>
          <w:color w:val="D4D4D5"/>
          <w:kern w:val="0"/>
          <w:sz w:val="24"/>
          <w:szCs w:val="24"/>
          <w14:ligatures w14:val="none"/>
        </w:rPr>
      </w:pPr>
    </w:p>
    <w:p w14:paraId="6586EB78" w14:textId="77777777" w:rsidR="00F0137C" w:rsidRDefault="00F0137C" w:rsidP="00BB254E">
      <w:pPr>
        <w:rPr>
          <w:rFonts w:ascii="Helvetica Neue" w:eastAsia="Times New Roman" w:hAnsi="Helvetica Neue" w:cs="Times New Roman"/>
          <w:color w:val="D4D4D5"/>
          <w:kern w:val="0"/>
          <w:sz w:val="24"/>
          <w:szCs w:val="24"/>
          <w14:ligatures w14:val="none"/>
        </w:rPr>
      </w:pPr>
    </w:p>
    <w:p w14:paraId="32398287" w14:textId="77777777" w:rsidR="00F0137C" w:rsidRDefault="00F0137C" w:rsidP="00BB254E">
      <w:pPr>
        <w:rPr>
          <w:rFonts w:ascii="Helvetica Neue" w:eastAsia="Times New Roman" w:hAnsi="Helvetica Neue" w:cs="Times New Roman"/>
          <w:color w:val="D4D4D5"/>
          <w:kern w:val="0"/>
          <w:sz w:val="24"/>
          <w:szCs w:val="24"/>
          <w14:ligatures w14:val="none"/>
        </w:rPr>
      </w:pPr>
    </w:p>
    <w:p w14:paraId="0BA052C1" w14:textId="2C2F50DC"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209377D4"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Introduction</w:t>
      </w:r>
    </w:p>
    <w:p w14:paraId="5468BEF4"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bdr w:val="none" w:sz="0" w:space="0" w:color="auto" w:frame="1"/>
          <w14:ligatures w14:val="none"/>
        </w:rPr>
        <w:t> </w:t>
      </w:r>
    </w:p>
    <w:p w14:paraId="31A4CA14" w14:textId="169DBE09" w:rsidR="00BB254E" w:rsidRPr="006C3330" w:rsidRDefault="00BB254E" w:rsidP="006C3330">
      <w:pPr>
        <w:spacing w:line="360" w:lineRule="auto"/>
        <w:rPr>
          <w:rFonts w:ascii="Helvetica Neue" w:hAnsi="Helvetica Neue" w:cs="Times New Roman"/>
          <w:color w:val="313131"/>
          <w:kern w:val="0"/>
          <w14:ligatures w14:val="none"/>
        </w:rPr>
      </w:pPr>
      <w:r w:rsidRPr="006C3330">
        <w:rPr>
          <w:rFonts w:ascii="Arial" w:hAnsi="Arial" w:cs="Arial"/>
          <w:color w:val="000000"/>
          <w:kern w:val="0"/>
          <w:bdr w:val="none" w:sz="0" w:space="0" w:color="auto" w:frame="1"/>
          <w14:ligatures w14:val="none"/>
        </w:rPr>
        <w:t>Health services research is a multidisciplinary field of study that looks at the use, costs, quality, delivery, organisation, financing, and outcomes of health care services in order to learn more about their structure, processes, and effects on both individuals and populations.  (Health services Research: opportunities for an expanding field of inquiry, 1994) </w:t>
      </w:r>
    </w:p>
    <w:p w14:paraId="19E91C16" w14:textId="5A7841D1" w:rsidR="00BB254E" w:rsidRPr="00BB254E" w:rsidRDefault="00BB254E" w:rsidP="006C3330">
      <w:pPr>
        <w:spacing w:line="360" w:lineRule="auto"/>
        <w:rPr>
          <w:rFonts w:ascii="Helvetica Neue" w:hAnsi="Helvetica Neue" w:cs="Times New Roman"/>
          <w:color w:val="313131"/>
          <w:kern w:val="0"/>
          <w:sz w:val="24"/>
          <w:szCs w:val="24"/>
          <w14:ligatures w14:val="none"/>
        </w:rPr>
      </w:pPr>
      <w:r w:rsidRPr="006C3330">
        <w:rPr>
          <w:rFonts w:ascii="Arial" w:hAnsi="Arial" w:cs="Arial"/>
          <w:color w:val="000000"/>
          <w:kern w:val="0"/>
          <w:bdr w:val="none" w:sz="0" w:space="0" w:color="auto" w:frame="1"/>
          <w14:ligatures w14:val="none"/>
        </w:rPr>
        <w:t xml:space="preserve">Childhood is either a current concept, a fabrication, or a biological stage of development that occurs naturally. Theories of childhood are interested in what a child is, what it does, and how society uses the idea of childhood and children. Like any innovation, the idea of childhood was created through the powerful interaction of ideas and technologies in </w:t>
      </w:r>
      <w:r w:rsidRPr="00BB254E">
        <w:rPr>
          <w:rFonts w:ascii="Arial" w:hAnsi="Arial" w:cs="Arial"/>
          <w:color w:val="000000"/>
          <w:kern w:val="0"/>
          <w:sz w:val="24"/>
          <w:szCs w:val="24"/>
          <w:bdr w:val="none" w:sz="0" w:space="0" w:color="auto" w:frame="1"/>
          <w14:ligatures w14:val="none"/>
        </w:rPr>
        <w:t xml:space="preserve">the </w:t>
      </w:r>
      <w:r w:rsidRPr="006C3330">
        <w:rPr>
          <w:rFonts w:ascii="Arial" w:hAnsi="Arial" w:cs="Arial"/>
          <w:color w:val="000000"/>
          <w:kern w:val="0"/>
          <w:bdr w:val="none" w:sz="0" w:space="0" w:color="auto" w:frame="1"/>
          <w14:ligatures w14:val="none"/>
        </w:rPr>
        <w:t>context of social, political, and economic necessities</w:t>
      </w:r>
      <w:r w:rsidR="00152753">
        <w:rPr>
          <w:rFonts w:ascii="Arial" w:hAnsi="Arial" w:cs="Arial"/>
          <w:color w:val="000000"/>
          <w:kern w:val="0"/>
          <w:bdr w:val="none" w:sz="0" w:space="0" w:color="auto" w:frame="1"/>
          <w14:ligatures w14:val="none"/>
        </w:rPr>
        <w:t xml:space="preserve"> </w:t>
      </w:r>
      <w:r w:rsidR="00152753" w:rsidRPr="00152753">
        <w:rPr>
          <w:rFonts w:ascii="Arial" w:hAnsi="Arial" w:cs="Arial"/>
          <w:color w:val="000000"/>
          <w:kern w:val="0"/>
          <w:bdr w:val="none" w:sz="0" w:space="0" w:color="auto" w:frame="1"/>
          <w14:ligatures w14:val="none"/>
        </w:rPr>
        <w:t>(SERVICES, 2023)</w:t>
      </w:r>
    </w:p>
    <w:p w14:paraId="1EE74206"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28DCA557" w14:textId="440CBA98"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 xml:space="preserve">Definitions of childhood and discuss key elements of family life and </w:t>
      </w:r>
      <w:r w:rsidR="00152753" w:rsidRPr="00BB254E">
        <w:rPr>
          <w:rFonts w:ascii="Arial" w:hAnsi="Arial" w:cs="Arial"/>
          <w:b/>
          <w:bCs/>
          <w:color w:val="000000"/>
          <w:kern w:val="0"/>
          <w:sz w:val="24"/>
          <w:szCs w:val="24"/>
          <w:bdr w:val="none" w:sz="0" w:space="0" w:color="auto" w:frame="1"/>
          <w14:ligatures w14:val="none"/>
        </w:rPr>
        <w:t>childhoods.</w:t>
      </w:r>
      <w:r w:rsidRPr="00BB254E">
        <w:rPr>
          <w:rFonts w:ascii="Arial" w:hAnsi="Arial" w:cs="Arial"/>
          <w:b/>
          <w:bCs/>
          <w:color w:val="000000"/>
          <w:kern w:val="0"/>
          <w:sz w:val="24"/>
          <w:szCs w:val="24"/>
          <w:bdr w:val="none" w:sz="0" w:space="0" w:color="auto" w:frame="1"/>
          <w14:ligatures w14:val="none"/>
        </w:rPr>
        <w:t> </w:t>
      </w:r>
    </w:p>
    <w:p w14:paraId="33BFC72F"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5F4921FA" w14:textId="77777777" w:rsidR="00BB254E" w:rsidRPr="006C3330" w:rsidRDefault="00BB254E" w:rsidP="006C3330">
      <w:pPr>
        <w:spacing w:line="360" w:lineRule="auto"/>
        <w:rPr>
          <w:rFonts w:ascii="Helvetica Neue" w:hAnsi="Helvetica Neue" w:cs="Times New Roman"/>
          <w:color w:val="313131"/>
          <w:kern w:val="0"/>
          <w14:ligatures w14:val="none"/>
        </w:rPr>
      </w:pPr>
      <w:r w:rsidRPr="006C3330">
        <w:rPr>
          <w:rFonts w:ascii="Arial" w:hAnsi="Arial" w:cs="Arial"/>
          <w:color w:val="000000"/>
          <w:kern w:val="0"/>
          <w:bdr w:val="none" w:sz="0" w:space="0" w:color="auto" w:frame="1"/>
          <w14:ligatures w14:val="none"/>
        </w:rPr>
        <w:t>According to the Health Resources and Services Administration, a family is a group of two or more people related by birth, marriage, or adoption who live together. Family centred services are founded on the idea that a family is the ideal setting for children to grow up in and that offering services that involve, engage, strengthen, and support families is the best approach to ensuring their safety, permanence, and wellbeing.</w:t>
      </w:r>
    </w:p>
    <w:p w14:paraId="13A94DBD" w14:textId="5F2C62C1" w:rsidR="00BB254E" w:rsidRPr="006C3330" w:rsidRDefault="00BB254E" w:rsidP="006C3330">
      <w:pPr>
        <w:numPr>
          <w:ilvl w:val="0"/>
          <w:numId w:val="1"/>
        </w:numPr>
        <w:spacing w:line="360" w:lineRule="auto"/>
        <w:textAlignment w:val="baseline"/>
        <w:rPr>
          <w:rFonts w:ascii="Arial" w:hAnsi="Arial" w:cs="Arial"/>
          <w:color w:val="000000"/>
          <w:kern w:val="0"/>
          <w14:ligatures w14:val="none"/>
        </w:rPr>
      </w:pPr>
      <w:r w:rsidRPr="006C3330">
        <w:rPr>
          <w:rFonts w:ascii="Arial" w:hAnsi="Arial" w:cs="Arial"/>
          <w:color w:val="000000"/>
          <w:kern w:val="0"/>
          <w:bdr w:val="none" w:sz="0" w:space="0" w:color="auto" w:frame="1"/>
          <w14:ligatures w14:val="none"/>
        </w:rPr>
        <w:t xml:space="preserve">Family centered practises’ essential elements include collaborating with the family to ensure everyone’s safety and wellbeing, enhancing families; ability to function well and concentrating on solutions involving, enabling and working in partnership with families as they make decisions and set </w:t>
      </w:r>
      <w:r w:rsidR="00F0137C" w:rsidRPr="006C3330">
        <w:rPr>
          <w:rFonts w:ascii="Arial" w:hAnsi="Arial" w:cs="Arial"/>
          <w:color w:val="000000"/>
          <w:kern w:val="0"/>
          <w:bdr w:val="none" w:sz="0" w:space="0" w:color="auto" w:frame="1"/>
          <w14:ligatures w14:val="none"/>
        </w:rPr>
        <w:t>goals.</w:t>
      </w:r>
      <w:r w:rsidRPr="006C3330">
        <w:rPr>
          <w:rFonts w:ascii="Arial" w:hAnsi="Arial" w:cs="Arial"/>
          <w:color w:val="000000"/>
          <w:kern w:val="0"/>
          <w:bdr w:val="none" w:sz="0" w:space="0" w:color="auto" w:frame="1"/>
          <w14:ligatures w14:val="none"/>
        </w:rPr>
        <w:t> </w:t>
      </w:r>
    </w:p>
    <w:p w14:paraId="6117FDEF" w14:textId="6530BE12" w:rsidR="00BB254E" w:rsidRPr="006C3330" w:rsidRDefault="00BB254E" w:rsidP="006C3330">
      <w:pPr>
        <w:numPr>
          <w:ilvl w:val="0"/>
          <w:numId w:val="2"/>
        </w:numPr>
        <w:spacing w:line="360" w:lineRule="auto"/>
        <w:textAlignment w:val="baseline"/>
        <w:rPr>
          <w:rFonts w:ascii="Arial" w:hAnsi="Arial" w:cs="Arial"/>
          <w:color w:val="000000"/>
          <w:kern w:val="0"/>
          <w14:ligatures w14:val="none"/>
        </w:rPr>
      </w:pPr>
      <w:r w:rsidRPr="006C3330">
        <w:rPr>
          <w:rFonts w:ascii="Arial" w:hAnsi="Arial" w:cs="Arial"/>
          <w:color w:val="000000"/>
          <w:kern w:val="0"/>
          <w:bdr w:val="none" w:sz="0" w:space="0" w:color="auto" w:frame="1"/>
          <w14:ligatures w14:val="none"/>
        </w:rPr>
        <w:t xml:space="preserve">establishing a partnership based on mutual respect, honesty and open communication between parents and service providers delivering tailored, culturally sensitive, adaptable and pertinent services to each </w:t>
      </w:r>
      <w:r w:rsidR="00F0137C" w:rsidRPr="006C3330">
        <w:rPr>
          <w:rFonts w:ascii="Arial" w:hAnsi="Arial" w:cs="Arial"/>
          <w:color w:val="000000"/>
          <w:kern w:val="0"/>
          <w:bdr w:val="none" w:sz="0" w:space="0" w:color="auto" w:frame="1"/>
          <w14:ligatures w14:val="none"/>
        </w:rPr>
        <w:t>family.</w:t>
      </w:r>
    </w:p>
    <w:p w14:paraId="7075B574" w14:textId="3E84A500" w:rsidR="00BB254E" w:rsidRPr="006C3330" w:rsidRDefault="00BB254E" w:rsidP="006C3330">
      <w:pPr>
        <w:numPr>
          <w:ilvl w:val="0"/>
          <w:numId w:val="3"/>
        </w:numPr>
        <w:spacing w:line="360" w:lineRule="auto"/>
        <w:textAlignment w:val="baseline"/>
        <w:rPr>
          <w:rFonts w:ascii="Arial" w:hAnsi="Arial" w:cs="Arial"/>
          <w:color w:val="000000"/>
          <w:kern w:val="0"/>
          <w14:ligatures w14:val="none"/>
        </w:rPr>
      </w:pPr>
      <w:r w:rsidRPr="006C3330">
        <w:rPr>
          <w:rFonts w:ascii="Arial" w:hAnsi="Arial" w:cs="Arial"/>
          <w:color w:val="000000"/>
          <w:kern w:val="0"/>
          <w:bdr w:val="none" w:sz="0" w:space="0" w:color="auto" w:frame="1"/>
          <w14:ligatures w14:val="none"/>
        </w:rPr>
        <w:t>Connecting families to cooperative, thorough, culturally appropriate, community- based networks </w:t>
      </w:r>
      <w:r w:rsidR="00596593" w:rsidRPr="00596593">
        <w:rPr>
          <w:rFonts w:ascii="Arial" w:hAnsi="Arial" w:cs="Arial"/>
          <w:color w:val="000000"/>
          <w:kern w:val="0"/>
          <w:bdr w:val="none" w:sz="0" w:space="0" w:color="auto" w:frame="1"/>
          <w14:ligatures w14:val="none"/>
        </w:rPr>
        <w:t>(services, 2023)</w:t>
      </w:r>
    </w:p>
    <w:p w14:paraId="340C8C1E"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149FF7AB" w14:textId="01BAB87C" w:rsidR="00BB254E" w:rsidRPr="00596593" w:rsidRDefault="00BB254E" w:rsidP="00596593">
      <w:pPr>
        <w:spacing w:line="360" w:lineRule="auto"/>
        <w:rPr>
          <w:rFonts w:ascii="Helvetica Neue" w:hAnsi="Helvetica Neue" w:cs="Times New Roman"/>
          <w:color w:val="313131"/>
          <w:kern w:val="0"/>
          <w14:ligatures w14:val="none"/>
        </w:rPr>
      </w:pPr>
      <w:r w:rsidRPr="00BB254E">
        <w:rPr>
          <w:rFonts w:ascii="Arial" w:hAnsi="Arial" w:cs="Arial"/>
          <w:color w:val="000000"/>
          <w:kern w:val="0"/>
          <w:sz w:val="24"/>
          <w:szCs w:val="24"/>
          <w:bdr w:val="none" w:sz="0" w:space="0" w:color="auto" w:frame="1"/>
          <w14:ligatures w14:val="none"/>
        </w:rPr>
        <w:lastRenderedPageBreak/>
        <w:t> </w:t>
      </w:r>
      <w:r w:rsidRPr="006C3330">
        <w:rPr>
          <w:rFonts w:ascii="Arial" w:hAnsi="Arial" w:cs="Arial"/>
          <w:color w:val="000000"/>
          <w:kern w:val="0"/>
          <w:bdr w:val="none" w:sz="0" w:space="0" w:color="auto" w:frame="1"/>
          <w14:ligatures w14:val="none"/>
        </w:rPr>
        <w:t xml:space="preserve">All aspects and phases of a child’s development are impacted by their interactions. </w:t>
      </w:r>
      <w:r w:rsidR="00F0137C" w:rsidRPr="006C3330">
        <w:rPr>
          <w:rFonts w:ascii="Arial" w:hAnsi="Arial" w:cs="Arial"/>
          <w:color w:val="000000"/>
          <w:kern w:val="0"/>
          <w:bdr w:val="none" w:sz="0" w:space="0" w:color="auto" w:frame="1"/>
          <w14:ligatures w14:val="none"/>
        </w:rPr>
        <w:t>Supportive</w:t>
      </w:r>
      <w:r w:rsidRPr="006C3330">
        <w:rPr>
          <w:rFonts w:ascii="Arial" w:hAnsi="Arial" w:cs="Arial"/>
          <w:color w:val="000000"/>
          <w:kern w:val="0"/>
          <w:bdr w:val="none" w:sz="0" w:space="0" w:color="auto" w:frame="1"/>
          <w14:ligatures w14:val="none"/>
        </w:rPr>
        <w:t xml:space="preserve"> interactions lay the groundwork for a child’s healthy development. Your child picks up important knowledge about themselves and the world through loving, supportive relationships. Your child may learn, for instance, that they are safe, secure, and cherished. They also discover what happens when they laugh, cry, or have a question. Your child can also learn by observing how other people relate to one another, such as by observing how you interact with family or friends. The basis for your child’s speech, conduct, social, and other skill development is laid by this learning.</w:t>
      </w:r>
      <w:r w:rsidRPr="00BB254E">
        <w:rPr>
          <w:rFonts w:ascii="Helvetica Neue" w:eastAsia="Times New Roman" w:hAnsi="Helvetica Neue" w:cs="Times New Roman"/>
          <w:color w:val="D4D4D5"/>
          <w:kern w:val="0"/>
          <w:sz w:val="24"/>
          <w:szCs w:val="24"/>
          <w14:ligatures w14:val="none"/>
        </w:rPr>
        <w:br/>
      </w:r>
    </w:p>
    <w:p w14:paraId="57ED1A49" w14:textId="77777777" w:rsidR="00BB254E" w:rsidRPr="006C3330" w:rsidRDefault="00BB254E" w:rsidP="006C3330">
      <w:pPr>
        <w:spacing w:line="360" w:lineRule="auto"/>
        <w:rPr>
          <w:rFonts w:ascii="Helvetica Neue" w:hAnsi="Helvetica Neue" w:cs="Times New Roman"/>
          <w:color w:val="313131"/>
          <w:kern w:val="0"/>
          <w14:ligatures w14:val="none"/>
        </w:rPr>
      </w:pPr>
      <w:r w:rsidRPr="006C3330">
        <w:rPr>
          <w:rFonts w:ascii="Arial" w:hAnsi="Arial" w:cs="Arial"/>
          <w:color w:val="000000"/>
          <w:kern w:val="0"/>
          <w:bdr w:val="none" w:sz="0" w:space="0" w:color="auto" w:frame="1"/>
          <w14:ligatures w14:val="none"/>
        </w:rPr>
        <w:t>A comparative approach to the social construction of childhood is to look at how children are perceived and handled in times and locations other than their own. </w:t>
      </w:r>
    </w:p>
    <w:p w14:paraId="3E164114" w14:textId="77777777" w:rsidR="00BB254E" w:rsidRPr="006C3330" w:rsidRDefault="00BB254E" w:rsidP="006C3330">
      <w:pPr>
        <w:spacing w:line="360" w:lineRule="auto"/>
        <w:rPr>
          <w:rFonts w:ascii="Helvetica Neue" w:hAnsi="Helvetica Neue" w:cs="Times New Roman"/>
          <w:color w:val="313131"/>
          <w:kern w:val="0"/>
          <w14:ligatures w14:val="none"/>
        </w:rPr>
      </w:pPr>
      <w:r w:rsidRPr="006C3330">
        <w:rPr>
          <w:rFonts w:ascii="Arial" w:hAnsi="Arial" w:cs="Arial"/>
          <w:color w:val="000000"/>
          <w:kern w:val="0"/>
          <w:bdr w:val="none" w:sz="0" w:space="0" w:color="auto" w:frame="1"/>
          <w14:ligatures w14:val="none"/>
        </w:rPr>
        <w:t>Sociologists who use the phrase “Childhood is socially constructed” indicate that our conceptions of childhood are shaped by society rather than by a person’s chronological age. The following are some areas of childhood that are influenced by society: </w:t>
      </w:r>
    </w:p>
    <w:p w14:paraId="76CB7EF1" w14:textId="1FD9FC0C" w:rsidR="00BB254E" w:rsidRPr="00BB254E" w:rsidRDefault="00BB254E" w:rsidP="006C3330">
      <w:pPr>
        <w:numPr>
          <w:ilvl w:val="0"/>
          <w:numId w:val="4"/>
        </w:numPr>
        <w:spacing w:line="360" w:lineRule="auto"/>
        <w:textAlignment w:val="baseline"/>
        <w:rPr>
          <w:rFonts w:ascii="Arial" w:hAnsi="Arial" w:cs="Arial"/>
          <w:color w:val="000000"/>
          <w:kern w:val="0"/>
          <w14:ligatures w14:val="none"/>
        </w:rPr>
      </w:pPr>
      <w:r w:rsidRPr="00BB254E">
        <w:rPr>
          <w:rFonts w:ascii="Arial" w:hAnsi="Arial" w:cs="Arial"/>
          <w:color w:val="000000"/>
          <w:kern w:val="0"/>
          <w:bdr w:val="none" w:sz="0" w:space="0" w:color="auto" w:frame="1"/>
          <w14:ligatures w14:val="none"/>
        </w:rPr>
        <w:t xml:space="preserve">The duration of childhood and the age at which a child turns into an </w:t>
      </w:r>
      <w:r w:rsidR="00F0137C" w:rsidRPr="00BB254E">
        <w:rPr>
          <w:rFonts w:ascii="Arial" w:hAnsi="Arial" w:cs="Arial"/>
          <w:color w:val="000000"/>
          <w:kern w:val="0"/>
          <w:bdr w:val="none" w:sz="0" w:space="0" w:color="auto" w:frame="1"/>
          <w14:ligatures w14:val="none"/>
        </w:rPr>
        <w:t>adult.</w:t>
      </w:r>
    </w:p>
    <w:p w14:paraId="77D1EC38" w14:textId="77777777" w:rsidR="00BB254E" w:rsidRPr="00BB254E" w:rsidRDefault="00BB254E" w:rsidP="006C3330">
      <w:pPr>
        <w:numPr>
          <w:ilvl w:val="0"/>
          <w:numId w:val="4"/>
        </w:numPr>
        <w:spacing w:line="360" w:lineRule="auto"/>
        <w:textAlignment w:val="baseline"/>
        <w:rPr>
          <w:rFonts w:ascii="Arial" w:hAnsi="Arial" w:cs="Arial"/>
          <w:color w:val="000000"/>
          <w:kern w:val="0"/>
          <w14:ligatures w14:val="none"/>
        </w:rPr>
      </w:pPr>
      <w:r w:rsidRPr="00BB254E">
        <w:rPr>
          <w:rFonts w:ascii="Arial" w:hAnsi="Arial" w:cs="Arial"/>
          <w:color w:val="000000"/>
          <w:kern w:val="0"/>
          <w:bdr w:val="none" w:sz="0" w:space="0" w:color="auto" w:frame="1"/>
          <w14:ligatures w14:val="none"/>
        </w:rPr>
        <w:t>The place of children in society, their rights and obligations and the legal safeguards and limitations we impose on them </w:t>
      </w:r>
    </w:p>
    <w:p w14:paraId="4B60062C" w14:textId="3A1DA75B" w:rsidR="00BB254E" w:rsidRPr="00BB254E" w:rsidRDefault="00BB254E" w:rsidP="006C3330">
      <w:pPr>
        <w:numPr>
          <w:ilvl w:val="0"/>
          <w:numId w:val="4"/>
        </w:numPr>
        <w:spacing w:line="360" w:lineRule="auto"/>
        <w:textAlignment w:val="baseline"/>
        <w:rPr>
          <w:rFonts w:ascii="Arial" w:hAnsi="Arial" w:cs="Arial"/>
          <w:color w:val="000000"/>
          <w:kern w:val="0"/>
          <w14:ligatures w14:val="none"/>
        </w:rPr>
      </w:pPr>
      <w:r w:rsidRPr="00BB254E">
        <w:rPr>
          <w:rFonts w:ascii="Arial" w:hAnsi="Arial" w:cs="Arial"/>
          <w:color w:val="000000"/>
          <w:kern w:val="0"/>
          <w:bdr w:val="none" w:sz="0" w:space="0" w:color="auto" w:frame="1"/>
          <w14:ligatures w14:val="none"/>
        </w:rPr>
        <w:t>The overall perceptions we have of kids, such as whether we believe they are defenceless and in need of protection or strong and in need of the opportunity to explore and grow as independently as possible</w:t>
      </w:r>
      <w:r w:rsidR="00596593">
        <w:rPr>
          <w:rFonts w:ascii="Arial" w:hAnsi="Arial" w:cs="Arial"/>
          <w:color w:val="000000"/>
          <w:kern w:val="0"/>
          <w:bdr w:val="none" w:sz="0" w:space="0" w:color="auto" w:frame="1"/>
          <w14:ligatures w14:val="none"/>
        </w:rPr>
        <w:t xml:space="preserve"> </w:t>
      </w:r>
      <w:r w:rsidR="00596593" w:rsidRPr="00596593">
        <w:rPr>
          <w:rFonts w:ascii="Arial" w:hAnsi="Arial" w:cs="Arial"/>
          <w:color w:val="000000"/>
          <w:kern w:val="0"/>
          <w:bdr w:val="none" w:sz="0" w:space="0" w:color="auto" w:frame="1"/>
          <w14:ligatures w14:val="none"/>
        </w:rPr>
        <w:t>(Thompson, 2023)</w:t>
      </w:r>
    </w:p>
    <w:p w14:paraId="5FFABD27"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313760DA"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Historical construction of childhood </w:t>
      </w:r>
      <w:r w:rsidRPr="00BB254E">
        <w:rPr>
          <w:rFonts w:ascii="Arial" w:hAnsi="Arial" w:cs="Arial"/>
          <w:b/>
          <w:bCs/>
          <w:color w:val="2F5496"/>
          <w:kern w:val="0"/>
          <w:sz w:val="24"/>
          <w:szCs w:val="24"/>
          <w:bdr w:val="none" w:sz="0" w:space="0" w:color="auto" w:frame="1"/>
          <w14:ligatures w14:val="none"/>
        </w:rPr>
        <w:t>(include discussion of a range of factors, including developments in policy and legislation, which have influenced changes in the social construction of childhood and families from historical to present times.)</w:t>
      </w:r>
    </w:p>
    <w:p w14:paraId="348B6350"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626DBEEA" w14:textId="51C74D18" w:rsidR="00BB254E" w:rsidRPr="00BB254E" w:rsidRDefault="00BB254E" w:rsidP="006C3330">
      <w:pPr>
        <w:spacing w:line="360" w:lineRule="auto"/>
        <w:rPr>
          <w:rFonts w:ascii="Helvetica Neue" w:hAnsi="Helvetica Neue" w:cs="Times New Roman"/>
          <w:color w:val="313131"/>
          <w:kern w:val="0"/>
          <w:sz w:val="24"/>
          <w:szCs w:val="24"/>
          <w14:ligatures w14:val="none"/>
        </w:rPr>
      </w:pPr>
      <w:r w:rsidRPr="006C3330">
        <w:rPr>
          <w:rFonts w:ascii="Arial" w:hAnsi="Arial" w:cs="Arial"/>
          <w:color w:val="000000"/>
          <w:kern w:val="0"/>
          <w:bdr w:val="none" w:sz="0" w:space="0" w:color="auto" w:frame="1"/>
          <w14:ligatures w14:val="none"/>
        </w:rPr>
        <w:t>The idea that different civilizations have distinct perspectives on childhood (or how it is ‘constructed’) is known as the social construction of childhood. ‘Children as good’., ‘Children as evil’ and ‘Children as innocent’ are a few examples of social constructs</w:t>
      </w:r>
      <w:r w:rsidR="00354B86">
        <w:rPr>
          <w:rFonts w:ascii="Arial" w:hAnsi="Arial" w:cs="Arial"/>
          <w:color w:val="000000"/>
          <w:kern w:val="0"/>
          <w:bdr w:val="none" w:sz="0" w:space="0" w:color="auto" w:frame="1"/>
          <w14:ligatures w14:val="none"/>
        </w:rPr>
        <w:t xml:space="preserve"> </w:t>
      </w:r>
      <w:r w:rsidR="00354B86" w:rsidRPr="00354B86">
        <w:rPr>
          <w:rFonts w:ascii="Arial" w:hAnsi="Arial" w:cs="Arial"/>
          <w:color w:val="000000"/>
          <w:kern w:val="0"/>
          <w:bdr w:val="none" w:sz="0" w:space="0" w:color="auto" w:frame="1"/>
          <w14:ligatures w14:val="none"/>
        </w:rPr>
        <w:t>(Drew, 2023)</w:t>
      </w:r>
    </w:p>
    <w:p w14:paraId="27420275" w14:textId="5FF3056A" w:rsidR="00C431F8" w:rsidRPr="00BB254E" w:rsidRDefault="00BB254E" w:rsidP="00C431F8">
      <w:pPr>
        <w:spacing w:line="360" w:lineRule="auto"/>
        <w:rPr>
          <w:rFonts w:ascii="Helvetica Neue" w:eastAsia="Times New Roman" w:hAnsi="Helvetica Neue" w:cs="Times New Roman"/>
          <w:color w:val="D4D4D5"/>
          <w:kern w:val="0"/>
          <w:sz w:val="24"/>
          <w:szCs w:val="24"/>
          <w14:ligatures w14:val="none"/>
        </w:rPr>
      </w:pPr>
      <w:r w:rsidRPr="006C3330">
        <w:rPr>
          <w:rFonts w:ascii="Arial" w:hAnsi="Arial" w:cs="Arial"/>
          <w:color w:val="000000"/>
          <w:kern w:val="0"/>
          <w:bdr w:val="none" w:sz="0" w:space="0" w:color="auto" w:frame="1"/>
          <w14:ligatures w14:val="none"/>
        </w:rPr>
        <w:t xml:space="preserve">The theory that childhood is socially constructed emphasises the fact that this experience is not set in stone for everyone. Instead, it is a subjective experience influenced by a variety of social circumstances. There are several ways to explain how childhood experiences are relative. The childhood experience is very different from that in the industrialised world in many less developed countries. Due to poverty, a lack of access to basic medical care, clean water, and sanitary facilities, among other factors, many children in these nations are continually at risk of dying young. They may end up working adult jobs as employees or </w:t>
      </w:r>
      <w:r w:rsidRPr="006C3330">
        <w:rPr>
          <w:rFonts w:ascii="Arial" w:hAnsi="Arial" w:cs="Arial"/>
          <w:color w:val="000000"/>
          <w:kern w:val="0"/>
          <w:bdr w:val="none" w:sz="0" w:space="0" w:color="auto" w:frame="1"/>
          <w14:ligatures w14:val="none"/>
        </w:rPr>
        <w:lastRenderedPageBreak/>
        <w:t xml:space="preserve">soilders and are unlikely to have access to education. Different ethnic and religious groups may have different childhood experiences. For instance, there is evidence that children in Muslim, Hindu, and Sikh families tend to have more a sense of duty and commitment to their parents than white western children. As a result, intergenerational conflict is either less frequent or more likely to be covered up. Depending on social class, childhood memories in Britain can </w:t>
      </w:r>
      <w:r w:rsidR="00F0137C" w:rsidRPr="006C3330">
        <w:rPr>
          <w:rFonts w:ascii="Arial" w:hAnsi="Arial" w:cs="Arial"/>
          <w:color w:val="000000"/>
          <w:kern w:val="0"/>
          <w:bdr w:val="none" w:sz="0" w:space="0" w:color="auto" w:frame="1"/>
          <w14:ligatures w14:val="none"/>
        </w:rPr>
        <w:t>vary;</w:t>
      </w:r>
      <w:r w:rsidRPr="006C3330">
        <w:rPr>
          <w:rFonts w:ascii="Arial" w:hAnsi="Arial" w:cs="Arial"/>
          <w:color w:val="000000"/>
          <w:kern w:val="0"/>
          <w:bdr w:val="none" w:sz="0" w:space="0" w:color="auto" w:frame="1"/>
          <w14:ligatures w14:val="none"/>
        </w:rPr>
        <w:t xml:space="preserve"> working- class childhoods may be made more challenging by the experience of poverty, whereas upper class children may find that they spend </w:t>
      </w:r>
      <w:r w:rsidR="00F0137C" w:rsidRPr="006C3330">
        <w:rPr>
          <w:rFonts w:ascii="Arial" w:hAnsi="Arial" w:cs="Arial"/>
          <w:color w:val="000000"/>
          <w:kern w:val="0"/>
          <w:bdr w:val="none" w:sz="0" w:space="0" w:color="auto" w:frame="1"/>
          <w14:ligatures w14:val="none"/>
        </w:rPr>
        <w:t>most of</w:t>
      </w:r>
      <w:r w:rsidRPr="006C3330">
        <w:rPr>
          <w:rFonts w:ascii="Arial" w:hAnsi="Arial" w:cs="Arial"/>
          <w:color w:val="000000"/>
          <w:kern w:val="0"/>
          <w:bdr w:val="none" w:sz="0" w:space="0" w:color="auto" w:frame="1"/>
          <w14:ligatures w14:val="none"/>
        </w:rPr>
        <w:t xml:space="preserve"> their formative years in boarding institutions. Childhood experiences can vary depending on how children are socialised regarding gender roles; for instance, there is some evidence that females are exposed to tighter social constraints from parents when they enter puberty than boys. Childhood memories for some kids could be traumatic. Recent years have seen an increase of various forms of child neglect and physical, sexual and emotional abuse. Due to the potential of abuse from family members, up to 3000 young people are included on child protection records</w:t>
      </w:r>
      <w:r w:rsidR="00C431F8">
        <w:rPr>
          <w:rFonts w:ascii="Arial" w:hAnsi="Arial" w:cs="Arial"/>
          <w:color w:val="000000"/>
          <w:kern w:val="0"/>
          <w:bdr w:val="none" w:sz="0" w:space="0" w:color="auto" w:frame="1"/>
          <w14:ligatures w14:val="none"/>
        </w:rPr>
        <w:t xml:space="preserve"> </w:t>
      </w:r>
      <w:r w:rsidR="00C431F8" w:rsidRPr="00C431F8">
        <w:rPr>
          <w:rFonts w:ascii="Arial" w:hAnsi="Arial" w:cs="Arial"/>
          <w:color w:val="000000"/>
          <w:kern w:val="0"/>
          <w:bdr w:val="none" w:sz="0" w:space="0" w:color="auto" w:frame="1"/>
          <w14:ligatures w14:val="none"/>
        </w:rPr>
        <w:t xml:space="preserve">(revision </w:t>
      </w:r>
      <w:proofErr w:type="spellStart"/>
      <w:r w:rsidR="00C431F8" w:rsidRPr="00C431F8">
        <w:rPr>
          <w:rFonts w:ascii="Arial" w:hAnsi="Arial" w:cs="Arial"/>
          <w:color w:val="000000"/>
          <w:kern w:val="0"/>
          <w:bdr w:val="none" w:sz="0" w:space="0" w:color="auto" w:frame="1"/>
          <w14:ligatures w14:val="none"/>
        </w:rPr>
        <w:t>wold</w:t>
      </w:r>
      <w:proofErr w:type="spellEnd"/>
      <w:r w:rsidR="00C431F8" w:rsidRPr="00C431F8">
        <w:rPr>
          <w:rFonts w:ascii="Arial" w:hAnsi="Arial" w:cs="Arial"/>
          <w:color w:val="000000"/>
          <w:kern w:val="0"/>
          <w:bdr w:val="none" w:sz="0" w:space="0" w:color="auto" w:frame="1"/>
          <w14:ligatures w14:val="none"/>
        </w:rPr>
        <w:t>, 2023)</w:t>
      </w:r>
    </w:p>
    <w:p w14:paraId="2A65081D" w14:textId="0444472A"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00F51090"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i/>
          <w:iCs/>
          <w:color w:val="000000"/>
          <w:kern w:val="0"/>
          <w:sz w:val="24"/>
          <w:szCs w:val="24"/>
          <w:bdr w:val="none" w:sz="0" w:space="0" w:color="auto" w:frame="1"/>
          <w14:ligatures w14:val="none"/>
        </w:rPr>
        <w:t>Safeguarding Vulnerable Groups Act 2006</w:t>
      </w:r>
      <w:r w:rsidRPr="00BB254E">
        <w:rPr>
          <w:rFonts w:ascii="Arial" w:hAnsi="Arial" w:cs="Arial"/>
          <w:color w:val="000000"/>
          <w:kern w:val="0"/>
          <w:bdr w:val="none" w:sz="0" w:space="0" w:color="auto" w:frame="1"/>
          <w14:ligatures w14:val="none"/>
        </w:rPr>
        <w:t> </w:t>
      </w:r>
    </w:p>
    <w:p w14:paraId="5489177D" w14:textId="47A8948D" w:rsidR="00BB254E" w:rsidRPr="00BB254E" w:rsidRDefault="00BB254E" w:rsidP="006C3330">
      <w:pPr>
        <w:spacing w:line="360" w:lineRule="auto"/>
        <w:rPr>
          <w:rFonts w:ascii="Helvetica Neue" w:hAnsi="Helvetica Neue" w:cs="Times New Roman"/>
          <w:color w:val="313131"/>
          <w:kern w:val="0"/>
          <w:sz w:val="24"/>
          <w:szCs w:val="24"/>
          <w14:ligatures w14:val="none"/>
        </w:rPr>
      </w:pPr>
      <w:r w:rsidRPr="006C3330">
        <w:rPr>
          <w:rFonts w:ascii="Arial" w:hAnsi="Arial" w:cs="Arial"/>
          <w:color w:val="000000"/>
          <w:kern w:val="0"/>
          <w:bdr w:val="none" w:sz="0" w:space="0" w:color="auto" w:frame="1"/>
          <w14:ligatures w14:val="none"/>
        </w:rPr>
        <w:t>The Safeguarding Vulnerable Groups Act (SVGA) of 2006 was created to help prevent harm or the possibility of harm by limiting access to children and vulnerable adults through the employment of those who are deemed unfit to work with them. This Act had the effect of creating the Independent Safeguarding Authority</w:t>
      </w:r>
      <w:r w:rsidR="00A14209">
        <w:rPr>
          <w:rFonts w:ascii="Arial" w:hAnsi="Arial" w:cs="Arial"/>
          <w:color w:val="000000"/>
          <w:kern w:val="0"/>
          <w:bdr w:val="none" w:sz="0" w:space="0" w:color="auto" w:frame="1"/>
          <w14:ligatures w14:val="none"/>
        </w:rPr>
        <w:t xml:space="preserve"> </w:t>
      </w:r>
      <w:r w:rsidR="00A14209" w:rsidRPr="00A14209">
        <w:rPr>
          <w:rFonts w:ascii="Arial" w:hAnsi="Arial" w:cs="Arial"/>
          <w:color w:val="000000"/>
          <w:kern w:val="0"/>
          <w:bdr w:val="none" w:sz="0" w:space="0" w:color="auto" w:frame="1"/>
          <w14:ligatures w14:val="none"/>
        </w:rPr>
        <w:t>(excellence, 2023)</w:t>
      </w:r>
    </w:p>
    <w:p w14:paraId="2A56F293"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p>
    <w:p w14:paraId="64A4C060"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i/>
          <w:iCs/>
          <w:color w:val="000000"/>
          <w:kern w:val="0"/>
          <w:sz w:val="24"/>
          <w:szCs w:val="24"/>
          <w:bdr w:val="none" w:sz="0" w:space="0" w:color="auto" w:frame="1"/>
          <w14:ligatures w14:val="none"/>
        </w:rPr>
        <w:t>Education and Inspection Act 2006 </w:t>
      </w:r>
    </w:p>
    <w:p w14:paraId="1F750DF3" w14:textId="1944D014" w:rsidR="00BB254E" w:rsidRPr="00BB254E" w:rsidRDefault="00BB254E" w:rsidP="006C3330">
      <w:pPr>
        <w:spacing w:line="360" w:lineRule="auto"/>
        <w:rPr>
          <w:rFonts w:ascii="Helvetica Neue" w:hAnsi="Helvetica Neue" w:cs="Times New Roman"/>
          <w:color w:val="313131"/>
          <w:kern w:val="0"/>
          <w:sz w:val="24"/>
          <w:szCs w:val="24"/>
          <w14:ligatures w14:val="none"/>
        </w:rPr>
      </w:pPr>
      <w:r w:rsidRPr="006C3330">
        <w:rPr>
          <w:rFonts w:ascii="Arial" w:hAnsi="Arial" w:cs="Arial"/>
          <w:color w:val="000000"/>
          <w:kern w:val="0"/>
          <w:bdr w:val="none" w:sz="0" w:space="0" w:color="auto" w:frame="1"/>
          <w14:ligatures w14:val="none"/>
        </w:rPr>
        <w:t>An Act to provide for the establishment of an Office for Standards in Education, Children's Services, and Skills, the appointment of Her Majesty’s Chief Inspector of Education, Children’s Services, and Skills, and to provide for the functions of that Office; to provide for the provision of primary, secondary, and further education and training: to provide for food or drink provided on school premises or in connection with the provision of education or childcare. Local education authorities have new responsibilities, including encouraging diversity and choice in the schools they provide, taking parental complaints about the quality of education in their community into consideration, and identifying children who are not receiving an education</w:t>
      </w:r>
      <w:r w:rsidR="00A14209">
        <w:rPr>
          <w:rFonts w:ascii="Arial" w:hAnsi="Arial" w:cs="Arial"/>
          <w:color w:val="000000"/>
          <w:kern w:val="0"/>
          <w:sz w:val="24"/>
          <w:szCs w:val="24"/>
          <w:bdr w:val="none" w:sz="0" w:space="0" w:color="auto" w:frame="1"/>
          <w14:ligatures w14:val="none"/>
        </w:rPr>
        <w:t xml:space="preserve"> </w:t>
      </w:r>
      <w:r w:rsidR="00A14209" w:rsidRPr="00A14209">
        <w:rPr>
          <w:rFonts w:ascii="Arial" w:hAnsi="Arial" w:cs="Arial"/>
          <w:color w:val="000000"/>
          <w:kern w:val="0"/>
          <w:sz w:val="24"/>
          <w:szCs w:val="24"/>
          <w:bdr w:val="none" w:sz="0" w:space="0" w:color="auto" w:frame="1"/>
          <w14:ligatures w14:val="none"/>
        </w:rPr>
        <w:t>(archives, 2023)</w:t>
      </w:r>
    </w:p>
    <w:p w14:paraId="68A4EC68"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1A0E366A"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i/>
          <w:iCs/>
          <w:color w:val="000000"/>
          <w:kern w:val="0"/>
          <w:sz w:val="24"/>
          <w:szCs w:val="24"/>
          <w:bdr w:val="none" w:sz="0" w:space="0" w:color="auto" w:frame="1"/>
          <w14:ligatures w14:val="none"/>
        </w:rPr>
        <w:t>The health and social care act 2012 </w:t>
      </w:r>
    </w:p>
    <w:p w14:paraId="2E4A31D0" w14:textId="77777777" w:rsidR="00BB254E" w:rsidRPr="006C3330" w:rsidRDefault="00BB254E" w:rsidP="006C3330">
      <w:pPr>
        <w:spacing w:line="360" w:lineRule="auto"/>
        <w:rPr>
          <w:rFonts w:ascii="Helvetica Neue" w:hAnsi="Helvetica Neue" w:cs="Times New Roman"/>
          <w:color w:val="313131"/>
          <w:kern w:val="0"/>
          <w14:ligatures w14:val="none"/>
        </w:rPr>
      </w:pPr>
      <w:r w:rsidRPr="006C3330">
        <w:rPr>
          <w:rFonts w:ascii="Arial" w:hAnsi="Arial" w:cs="Arial"/>
          <w:color w:val="000000"/>
          <w:kern w:val="0"/>
          <w:bdr w:val="none" w:sz="0" w:space="0" w:color="auto" w:frame="1"/>
          <w14:ligatures w14:val="none"/>
        </w:rPr>
        <w:t>An Act to establish and make provisions about a national health service commissioning board and clinical commissioning groups and to make other provisions about </w:t>
      </w:r>
    </w:p>
    <w:p w14:paraId="2D826AE8" w14:textId="38C9437C" w:rsidR="00BB254E" w:rsidRDefault="00BB254E" w:rsidP="00481A87">
      <w:pPr>
        <w:spacing w:line="360" w:lineRule="auto"/>
        <w:rPr>
          <w:rFonts w:ascii="Arial" w:hAnsi="Arial" w:cs="Arial"/>
          <w:color w:val="000000"/>
          <w:kern w:val="0"/>
          <w:bdr w:val="none" w:sz="0" w:space="0" w:color="auto" w:frame="1"/>
          <w14:ligatures w14:val="none"/>
        </w:rPr>
      </w:pPr>
      <w:r w:rsidRPr="006C3330">
        <w:rPr>
          <w:rFonts w:ascii="Arial" w:hAnsi="Arial" w:cs="Arial"/>
          <w:color w:val="000000"/>
          <w:kern w:val="0"/>
          <w:bdr w:val="none" w:sz="0" w:space="0" w:color="auto" w:frame="1"/>
          <w14:ligatures w14:val="none"/>
        </w:rPr>
        <w:lastRenderedPageBreak/>
        <w:t>The National Health Service (NHS) in England, Public Health in the United Kingdom, Regulation of Health and Adult Social Care services, Public Involvement in Health and Social Care Matters, Local Authorities’ Examination of Health Matters and Cooperation </w:t>
      </w:r>
      <w:r w:rsidR="00481A87" w:rsidRPr="00481A87">
        <w:rPr>
          <w:rFonts w:ascii="Arial" w:hAnsi="Arial" w:cs="Arial"/>
          <w:color w:val="000000"/>
          <w:kern w:val="0"/>
          <w:bdr w:val="none" w:sz="0" w:space="0" w:color="auto" w:frame="1"/>
          <w14:ligatures w14:val="none"/>
        </w:rPr>
        <w:t>(archives, Health and Social Care, 2012)</w:t>
      </w:r>
    </w:p>
    <w:p w14:paraId="17B060E9" w14:textId="77777777" w:rsidR="00481A87" w:rsidRPr="00BB254E" w:rsidRDefault="00481A87" w:rsidP="00481A87">
      <w:pPr>
        <w:spacing w:line="360" w:lineRule="auto"/>
        <w:rPr>
          <w:rFonts w:ascii="Times New Roman" w:eastAsia="Times New Roman" w:hAnsi="Times New Roman" w:cs="Times New Roman"/>
          <w:kern w:val="0"/>
          <w:sz w:val="24"/>
          <w:szCs w:val="24"/>
          <w14:ligatures w14:val="none"/>
        </w:rPr>
      </w:pPr>
    </w:p>
    <w:p w14:paraId="515469A5" w14:textId="77777777" w:rsidR="00481A87" w:rsidRDefault="00BB254E" w:rsidP="00BB254E">
      <w:pPr>
        <w:rPr>
          <w:rFonts w:ascii="Arial" w:hAnsi="Arial" w:cs="Arial"/>
          <w:b/>
          <w:bCs/>
          <w:i/>
          <w:iCs/>
          <w:color w:val="000000"/>
          <w:kern w:val="0"/>
          <w:sz w:val="24"/>
          <w:szCs w:val="24"/>
          <w:bdr w:val="none" w:sz="0" w:space="0" w:color="auto" w:frame="1"/>
          <w14:ligatures w14:val="none"/>
        </w:rPr>
      </w:pPr>
      <w:r w:rsidRPr="00BB254E">
        <w:rPr>
          <w:rFonts w:ascii="Arial" w:hAnsi="Arial" w:cs="Arial"/>
          <w:b/>
          <w:bCs/>
          <w:i/>
          <w:iCs/>
          <w:color w:val="000000"/>
          <w:kern w:val="0"/>
          <w:sz w:val="24"/>
          <w:szCs w:val="24"/>
          <w:bdr w:val="none" w:sz="0" w:space="0" w:color="auto" w:frame="1"/>
          <w14:ligatures w14:val="none"/>
        </w:rPr>
        <w:t>The Children Act 2004</w:t>
      </w:r>
    </w:p>
    <w:p w14:paraId="1062F757" w14:textId="77777777" w:rsidR="00481A87" w:rsidRDefault="00481A87" w:rsidP="00BB254E">
      <w:pPr>
        <w:rPr>
          <w:rFonts w:ascii="Arial" w:hAnsi="Arial" w:cs="Arial"/>
          <w:b/>
          <w:bCs/>
          <w:i/>
          <w:iCs/>
          <w:color w:val="000000"/>
          <w:kern w:val="0"/>
          <w:sz w:val="24"/>
          <w:szCs w:val="24"/>
          <w:bdr w:val="none" w:sz="0" w:space="0" w:color="auto" w:frame="1"/>
          <w14:ligatures w14:val="none"/>
        </w:rPr>
      </w:pPr>
    </w:p>
    <w:p w14:paraId="231ABDBC" w14:textId="13A30407" w:rsidR="00BB254E" w:rsidRPr="00BB254E" w:rsidRDefault="00BB254E" w:rsidP="006C3330">
      <w:pPr>
        <w:spacing w:line="360" w:lineRule="auto"/>
        <w:rPr>
          <w:rFonts w:ascii="Helvetica Neue" w:hAnsi="Helvetica Neue" w:cs="Times New Roman"/>
          <w:color w:val="313131"/>
          <w:kern w:val="0"/>
          <w:sz w:val="24"/>
          <w:szCs w:val="24"/>
          <w14:ligatures w14:val="none"/>
        </w:rPr>
      </w:pPr>
      <w:r w:rsidRPr="006C3330">
        <w:rPr>
          <w:rFonts w:ascii="Arial" w:hAnsi="Arial" w:cs="Arial"/>
          <w:color w:val="000000"/>
          <w:kern w:val="0"/>
          <w:bdr w:val="none" w:sz="0" w:space="0" w:color="auto" w:frame="1"/>
          <w14:ligatures w14:val="none"/>
        </w:rPr>
        <w:t>The 1989 Children's Act was enhanced by the Children's Act of 2004. The 2004 Act reiterates that everyone who works with children has a responsibility to promote child welfare and help safeguard children. Making Britain a safer place for kids is the major goal of the Children's Act of 2004. The welfare of children is one of the Act’s primary goals. The Act was put in place because there are so many instances of child abuse and to make sure that the appropriate authorities are informed of them. The Act also works with Children’s Trusts, offering a mechanism for cooperation and relationship-building between government and non-government organisations and people in charge of children, including teachers, parents, and guardians who don't necessarily welcome an outside intervention</w:t>
      </w:r>
      <w:r w:rsidR="002622D2">
        <w:rPr>
          <w:rFonts w:ascii="Arial" w:hAnsi="Arial" w:cs="Arial"/>
          <w:color w:val="000000"/>
          <w:kern w:val="0"/>
          <w:bdr w:val="none" w:sz="0" w:space="0" w:color="auto" w:frame="1"/>
          <w14:ligatures w14:val="none"/>
        </w:rPr>
        <w:t xml:space="preserve"> </w:t>
      </w:r>
      <w:r w:rsidR="002622D2" w:rsidRPr="002622D2">
        <w:rPr>
          <w:rFonts w:ascii="Arial" w:hAnsi="Arial" w:cs="Arial"/>
          <w:color w:val="000000"/>
          <w:kern w:val="0"/>
          <w:bdr w:val="none" w:sz="0" w:space="0" w:color="auto" w:frame="1"/>
          <w14:ligatures w14:val="none"/>
        </w:rPr>
        <w:t>(law, 2023)</w:t>
      </w:r>
    </w:p>
    <w:p w14:paraId="53ED9104"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p>
    <w:p w14:paraId="5BE11760"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Impact of factors on children, young people and families</w:t>
      </w:r>
      <w:r w:rsidRPr="00BB254E">
        <w:rPr>
          <w:rFonts w:ascii="Arial" w:hAnsi="Arial" w:cs="Arial"/>
          <w:b/>
          <w:bCs/>
          <w:color w:val="2F5496"/>
          <w:kern w:val="0"/>
          <w:sz w:val="24"/>
          <w:szCs w:val="24"/>
          <w:bdr w:val="none" w:sz="0" w:space="0" w:color="auto" w:frame="1"/>
          <w14:ligatures w14:val="none"/>
        </w:rPr>
        <w:t> (the impact such factors have had in improving the lives of children, young people and families and in reducing inequalities in health and social care service provision for children, young people and families)</w:t>
      </w:r>
    </w:p>
    <w:p w14:paraId="654A9E4E"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7AA80DC5" w14:textId="3D62BECF"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 xml:space="preserve">Disparities in health status are what cause health inequities. However, the phrase is also used to describe variations in the support that people receive and the chances that they </w:t>
      </w:r>
      <w:r w:rsidR="00F0137C" w:rsidRPr="00F0137C">
        <w:rPr>
          <w:rFonts w:ascii="Arial" w:hAnsi="Arial" w:cs="Arial"/>
          <w:color w:val="000000"/>
          <w:kern w:val="0"/>
          <w:bdr w:val="none" w:sz="0" w:space="0" w:color="auto" w:frame="1"/>
          <w14:ligatures w14:val="none"/>
        </w:rPr>
        <w:t>must</w:t>
      </w:r>
      <w:r w:rsidRPr="00F0137C">
        <w:rPr>
          <w:rFonts w:ascii="Arial" w:hAnsi="Arial" w:cs="Arial"/>
          <w:color w:val="000000"/>
          <w:kern w:val="0"/>
          <w:bdr w:val="none" w:sz="0" w:space="0" w:color="auto" w:frame="1"/>
          <w14:ligatures w14:val="none"/>
        </w:rPr>
        <w:t xml:space="preserve"> live healthy lives, both of which can affect their state of health. As a result, health disparities may involve variations </w:t>
      </w:r>
      <w:r w:rsidR="00F0137C" w:rsidRPr="00F0137C">
        <w:rPr>
          <w:rFonts w:ascii="Arial" w:hAnsi="Arial" w:cs="Arial"/>
          <w:color w:val="000000"/>
          <w:kern w:val="0"/>
          <w:bdr w:val="none" w:sz="0" w:space="0" w:color="auto" w:frame="1"/>
          <w14:ligatures w14:val="none"/>
        </w:rPr>
        <w:t>in</w:t>
      </w:r>
      <w:r w:rsidRPr="00F0137C">
        <w:rPr>
          <w:rFonts w:ascii="Arial" w:hAnsi="Arial" w:cs="Arial"/>
          <w:color w:val="000000"/>
          <w:kern w:val="0"/>
          <w:bdr w:val="none" w:sz="0" w:space="0" w:color="auto" w:frame="1"/>
          <w14:ligatures w14:val="none"/>
        </w:rPr>
        <w:t xml:space="preserve"> life expectancy, for instance; access to care or the availability of specific services; patient satisfaction scores as an example of the care’s effectiveness and experience; health concerns associated with behaviour, such as smoking rates; and broader factors influencing health, such as home quality</w:t>
      </w:r>
      <w:r w:rsidR="00055B58">
        <w:rPr>
          <w:rFonts w:ascii="Arial" w:hAnsi="Arial" w:cs="Arial"/>
          <w:color w:val="000000"/>
          <w:kern w:val="0"/>
          <w:bdr w:val="none" w:sz="0" w:space="0" w:color="auto" w:frame="1"/>
          <w14:ligatures w14:val="none"/>
        </w:rPr>
        <w:t xml:space="preserve"> </w:t>
      </w:r>
      <w:r w:rsidR="00055B58" w:rsidRPr="00055B58">
        <w:rPr>
          <w:rFonts w:ascii="Arial" w:hAnsi="Arial" w:cs="Arial"/>
          <w:color w:val="000000"/>
          <w:kern w:val="0"/>
          <w:bdr w:val="none" w:sz="0" w:space="0" w:color="auto" w:frame="1"/>
          <w14:ligatures w14:val="none"/>
        </w:rPr>
        <w:t>(fund, 2022)</w:t>
      </w:r>
    </w:p>
    <w:p w14:paraId="1C252CF0"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5939BC17" w14:textId="3AA093E0" w:rsidR="00BB254E" w:rsidRPr="00F0137C" w:rsidRDefault="00BB254E" w:rsidP="00F0137C">
      <w:pPr>
        <w:spacing w:line="360" w:lineRule="auto"/>
        <w:rPr>
          <w:rFonts w:ascii="Helvetica Neue" w:hAnsi="Helvetica Neue" w:cs="Times New Roman"/>
          <w:color w:val="313131"/>
          <w:kern w:val="0"/>
          <w14:ligatures w14:val="none"/>
        </w:rPr>
      </w:pPr>
      <w:r w:rsidRPr="00F0137C">
        <w:rPr>
          <w:rFonts w:ascii="Arial" w:hAnsi="Arial" w:cs="Arial"/>
          <w:color w:val="000000"/>
          <w:kern w:val="0"/>
          <w:bdr w:val="none" w:sz="0" w:space="0" w:color="auto" w:frame="1"/>
          <w14:ligatures w14:val="none"/>
        </w:rPr>
        <w:t xml:space="preserve">The circumstances in which children are raised, the relationships they form, and the experiences they have all have an impact on how they develop and how they feel about themselves. The term “Child development” refers to a kid's or young person’s ongoing physical, cognitive, emotional, and social development. This development, as well as </w:t>
      </w:r>
      <w:r w:rsidR="00F0137C" w:rsidRPr="00F0137C">
        <w:rPr>
          <w:rFonts w:ascii="Arial" w:hAnsi="Arial" w:cs="Arial"/>
          <w:color w:val="000000"/>
          <w:kern w:val="0"/>
          <w:bdr w:val="none" w:sz="0" w:space="0" w:color="auto" w:frame="1"/>
          <w14:ligatures w14:val="none"/>
        </w:rPr>
        <w:t>several</w:t>
      </w:r>
      <w:r w:rsidRPr="00F0137C">
        <w:rPr>
          <w:rFonts w:ascii="Arial" w:hAnsi="Arial" w:cs="Arial"/>
          <w:color w:val="000000"/>
          <w:kern w:val="0"/>
          <w:bdr w:val="none" w:sz="0" w:space="0" w:color="auto" w:frame="1"/>
          <w14:ligatures w14:val="none"/>
        </w:rPr>
        <w:t xml:space="preserve"> </w:t>
      </w:r>
      <w:r w:rsidRPr="00F0137C">
        <w:rPr>
          <w:rFonts w:ascii="Arial" w:hAnsi="Arial" w:cs="Arial"/>
          <w:color w:val="000000"/>
          <w:kern w:val="0"/>
          <w:bdr w:val="none" w:sz="0" w:space="0" w:color="auto" w:frame="1"/>
          <w14:ligatures w14:val="none"/>
        </w:rPr>
        <w:lastRenderedPageBreak/>
        <w:t>other factors, such as trauma and abuse, have an impact on children’s mental health, which includes their cognitive, behavioural, and social welfare. Children’s total wellbeing is shaped by all facets of their health and development. </w:t>
      </w:r>
    </w:p>
    <w:p w14:paraId="16F1B472" w14:textId="77777777" w:rsidR="00BB254E" w:rsidRPr="00BB254E" w:rsidRDefault="00055B58" w:rsidP="00BB254E">
      <w:pPr>
        <w:rPr>
          <w:rFonts w:ascii="Helvetica Neue" w:hAnsi="Helvetica Neue" w:cs="Times New Roman"/>
          <w:color w:val="313131"/>
          <w:kern w:val="0"/>
          <w:sz w:val="24"/>
          <w:szCs w:val="24"/>
          <w14:ligatures w14:val="none"/>
        </w:rPr>
      </w:pPr>
      <w:hyperlink r:id="rId6" w:anchor=":~:text=Children's%20development%20and%20mental%20health,child%20and%20young%20person's%20life" w:tgtFrame="_blank" w:history="1">
        <w:r w:rsidR="00BB254E" w:rsidRPr="00BB254E">
          <w:rPr>
            <w:rFonts w:ascii="Arial" w:hAnsi="Arial" w:cs="Arial"/>
            <w:b/>
            <w:bCs/>
            <w:color w:val="4285F4"/>
            <w:kern w:val="0"/>
            <w:sz w:val="24"/>
            <w:szCs w:val="24"/>
            <w:u w:val="single"/>
            <w:bdr w:val="none" w:sz="0" w:space="0" w:color="auto" w:frame="1"/>
            <w14:ligatures w14:val="none"/>
          </w:rPr>
          <w:t>https://learning.nspcc.org.uk/child-health-development#:~:text=Children's%20development%20and%20mental%20health,child%20and%20young%20person's%20life</w:t>
        </w:r>
      </w:hyperlink>
      <w:r w:rsidR="00BB254E" w:rsidRPr="00BB254E">
        <w:rPr>
          <w:rFonts w:ascii="Arial" w:hAnsi="Arial" w:cs="Arial"/>
          <w:b/>
          <w:bCs/>
          <w:color w:val="2F5496"/>
          <w:kern w:val="0"/>
          <w:sz w:val="24"/>
          <w:szCs w:val="24"/>
          <w:bdr w:val="none" w:sz="0" w:space="0" w:color="auto" w:frame="1"/>
          <w14:ligatures w14:val="none"/>
        </w:rPr>
        <w:t>. </w:t>
      </w:r>
    </w:p>
    <w:p w14:paraId="51A43714"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23E1E6EA"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Poverty makes it harder for parents to provide their kids with a healthy diet and way of life. Since nutritious meals are approximately three times more expensive per calorie than less healthy foods, families may be more likely to consume cheap but nutritionally inferior food, which can cause childhood obesity and malnutrition. As young children experience this, it is possible for them to be victims of bullying or experience behavioural disruption because they cannot afford clothes or have a filthy uniform. They can face bullying and ridicule. Poor mental health and the potential for depression or anxiety would result from poverty. They can become enraged and irritated and lash out at others. They can be exposed to ‘dodgy’ individuals and drugs as a result of becoming more open to danger. It's possible that you will have to make poor decisions, which causes issues.</w:t>
      </w:r>
      <w:r w:rsidRPr="00BB254E">
        <w:rPr>
          <w:rFonts w:ascii="Arial" w:hAnsi="Arial" w:cs="Arial"/>
          <w:color w:val="000000"/>
          <w:kern w:val="0"/>
          <w:sz w:val="24"/>
          <w:szCs w:val="24"/>
          <w:bdr w:val="none" w:sz="0" w:space="0" w:color="auto" w:frame="1"/>
          <w14:ligatures w14:val="none"/>
        </w:rPr>
        <w:t>  </w:t>
      </w:r>
      <w:hyperlink r:id="rId7" w:anchor="evidence-of-how-poverty-drives-health-inequalities-in-the-uk" w:tgtFrame="_blank" w:history="1">
        <w:r w:rsidRPr="00BB254E">
          <w:rPr>
            <w:rFonts w:ascii="Arial" w:hAnsi="Arial" w:cs="Arial"/>
            <w:color w:val="4285F4"/>
            <w:kern w:val="0"/>
            <w:sz w:val="24"/>
            <w:szCs w:val="24"/>
            <w:u w:val="single"/>
            <w:bdr w:val="none" w:sz="0" w:space="0" w:color="auto" w:frame="1"/>
            <w14:ligatures w14:val="none"/>
          </w:rPr>
          <w:t>https://www.rcpch.ac.uk/resources/child-health-inequalities-position-statement#evidence-of-how-poverty-drives-health-inequalities-in-the-uk</w:t>
        </w:r>
      </w:hyperlink>
      <w:r w:rsidRPr="00BB254E">
        <w:rPr>
          <w:rFonts w:ascii="Arial" w:hAnsi="Arial" w:cs="Arial"/>
          <w:color w:val="000000"/>
          <w:kern w:val="0"/>
          <w:bdr w:val="none" w:sz="0" w:space="0" w:color="auto" w:frame="1"/>
          <w14:ligatures w14:val="none"/>
        </w:rPr>
        <w:t> </w:t>
      </w:r>
    </w:p>
    <w:p w14:paraId="2C646105"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color w:val="000000"/>
          <w:kern w:val="0"/>
          <w:bdr w:val="none" w:sz="0" w:space="0" w:color="auto" w:frame="1"/>
          <w14:ligatures w14:val="none"/>
        </w:rPr>
        <w:t> </w:t>
      </w:r>
    </w:p>
    <w:p w14:paraId="21EAD7A2"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495F1B06"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Approaches and Interventions to support vulnerable children, young people and Families </w:t>
      </w:r>
      <w:r w:rsidRPr="00BB254E">
        <w:rPr>
          <w:rFonts w:ascii="Arial" w:hAnsi="Arial" w:cs="Arial"/>
          <w:b/>
          <w:bCs/>
          <w:color w:val="2F5496"/>
          <w:kern w:val="0"/>
          <w:sz w:val="24"/>
          <w:szCs w:val="24"/>
          <w:bdr w:val="none" w:sz="0" w:space="0" w:color="auto" w:frame="1"/>
          <w14:ligatures w14:val="none"/>
        </w:rPr>
        <w:t>(identify and analyse a range of approaches and interventions which support vulnerable children, young people and families in present times)</w:t>
      </w:r>
    </w:p>
    <w:p w14:paraId="609C7F5B"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6ECEBF84"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Early assistance and early intervention are forms of support meant to improve outcomes for kids or stop a need or risk from growing. They are also sometimes referred to as preventative services or prevention services because of this. These programmes are a component of a continuum of support’ that helps families that no longer qualify for state intervention.</w:t>
      </w:r>
      <w:r w:rsidRPr="00BB254E">
        <w:rPr>
          <w:rFonts w:ascii="Arial" w:hAnsi="Arial" w:cs="Arial"/>
          <w:color w:val="000000"/>
          <w:kern w:val="0"/>
          <w:sz w:val="24"/>
          <w:szCs w:val="24"/>
          <w:bdr w:val="none" w:sz="0" w:space="0" w:color="auto" w:frame="1"/>
          <w14:ligatures w14:val="none"/>
        </w:rPr>
        <w:t> </w:t>
      </w:r>
      <w:hyperlink r:id="rId8" w:tgtFrame="_blank" w:history="1">
        <w:r w:rsidRPr="00BB254E">
          <w:rPr>
            <w:rFonts w:ascii="Arial" w:hAnsi="Arial" w:cs="Arial"/>
            <w:color w:val="4285F4"/>
            <w:kern w:val="0"/>
            <w:sz w:val="24"/>
            <w:szCs w:val="24"/>
            <w:u w:val="single"/>
            <w:bdr w:val="none" w:sz="0" w:space="0" w:color="auto" w:frame="1"/>
            <w14:ligatures w14:val="none"/>
          </w:rPr>
          <w:t>https://learning.nspcc.org.uk/safeguarding-child-protection/early-help-and-early-intervention</w:t>
        </w:r>
      </w:hyperlink>
      <w:r w:rsidRPr="00BB254E">
        <w:rPr>
          <w:rFonts w:ascii="Arial" w:hAnsi="Arial" w:cs="Arial"/>
          <w:color w:val="000000"/>
          <w:kern w:val="0"/>
          <w:bdr w:val="none" w:sz="0" w:space="0" w:color="auto" w:frame="1"/>
          <w14:ligatures w14:val="none"/>
        </w:rPr>
        <w:t> </w:t>
      </w:r>
    </w:p>
    <w:p w14:paraId="0C9615A8"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74C97451"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 xml:space="preserve">An integrated framework for conducting child intervention work called Signs of Safety. Principles for practise, disciplines for practitioners to apply the approach, a variety of tools for assessment and planning, decision-making, and involving families, young people, and </w:t>
      </w:r>
      <w:r w:rsidRPr="00F0137C">
        <w:rPr>
          <w:rFonts w:ascii="Arial" w:hAnsi="Arial" w:cs="Arial"/>
          <w:color w:val="000000"/>
          <w:kern w:val="0"/>
          <w:bdr w:val="none" w:sz="0" w:space="0" w:color="auto" w:frame="1"/>
          <w14:ligatures w14:val="none"/>
        </w:rPr>
        <w:lastRenderedPageBreak/>
        <w:t>children, and procedures for working with families, including partner agencies, make up this framework. When ‘mapping’ the complex issues, instruments for assessment and planning are utilised, and past harm and potential future danger are condensed into anxieties. In order to create a plan for the family that needs to be put in place, the existing strengths and safety are also summarised. (Early Help: Approaches and interventions</w:t>
      </w:r>
      <w:r w:rsidRPr="00BB254E">
        <w:rPr>
          <w:rFonts w:ascii="Arial" w:hAnsi="Arial" w:cs="Arial"/>
          <w:color w:val="000000"/>
          <w:kern w:val="0"/>
          <w:sz w:val="24"/>
          <w:szCs w:val="24"/>
          <w:bdr w:val="none" w:sz="0" w:space="0" w:color="auto" w:frame="1"/>
          <w14:ligatures w14:val="none"/>
        </w:rPr>
        <w:t> </w:t>
      </w:r>
      <w:hyperlink r:id="rId9" w:tgtFrame="_blank" w:history="1">
        <w:r w:rsidRPr="00BB254E">
          <w:rPr>
            <w:rFonts w:ascii="Arial" w:hAnsi="Arial" w:cs="Arial"/>
            <w:color w:val="4285F4"/>
            <w:kern w:val="0"/>
            <w:sz w:val="24"/>
            <w:szCs w:val="24"/>
            <w:u w:val="single"/>
            <w:bdr w:val="none" w:sz="0" w:space="0" w:color="auto" w:frame="1"/>
            <w14:ligatures w14:val="none"/>
          </w:rPr>
          <w:t>https://www.cardifffamilies.co.uk/wp-content/uploads/Approaches-and-Interventions-2.pdf</w:t>
        </w:r>
      </w:hyperlink>
      <w:r w:rsidRPr="00BB254E">
        <w:rPr>
          <w:rFonts w:ascii="Arial" w:hAnsi="Arial" w:cs="Arial"/>
          <w:color w:val="000000"/>
          <w:kern w:val="0"/>
          <w:sz w:val="24"/>
          <w:szCs w:val="24"/>
          <w:bdr w:val="none" w:sz="0" w:space="0" w:color="auto" w:frame="1"/>
          <w14:ligatures w14:val="none"/>
        </w:rPr>
        <w:t> )</w:t>
      </w:r>
    </w:p>
    <w:p w14:paraId="6F8040A8" w14:textId="77777777" w:rsidR="00BB254E" w:rsidRPr="00F0137C" w:rsidRDefault="00BB254E" w:rsidP="00F0137C">
      <w:pPr>
        <w:spacing w:line="360" w:lineRule="auto"/>
        <w:rPr>
          <w:rFonts w:ascii="Times New Roman" w:eastAsia="Times New Roman" w:hAnsi="Times New Roman" w:cs="Times New Roman"/>
          <w:kern w:val="0"/>
          <w14:ligatures w14:val="none"/>
        </w:rPr>
      </w:pP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p>
    <w:p w14:paraId="263D6930"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A strengths-based approach (SBA) to social care focuses on identifying both the needs and challenges that children, young people, and families are facing as well as their strengths or assets. It is important for them to have a right-based, person-centred approach that holds a definite position in terms of ethics and values. It places people, families, and communities at the centre of social care, knowing that they have a crucial role to play in the care of children and young people that cannot be replaced solely by professional intervention. It also recognises the role the Mental Capacity Act plays in supporting young people aged 16 and over to be in control of their own decision making. A new perspective on people, one that embraces the fundamental idea that even those who are struggling can make positive changes in their lives if given the opportunity and support to do so. It also recognises the importance of working with children, young people, and their families to produce solutions because of the valuable experiences and skills they have to offer.</w:t>
      </w:r>
      <w:r w:rsidRPr="00BB254E">
        <w:rPr>
          <w:rFonts w:ascii="Arial" w:hAnsi="Arial" w:cs="Arial"/>
          <w:color w:val="000000"/>
          <w:kern w:val="0"/>
          <w:sz w:val="24"/>
          <w:szCs w:val="24"/>
          <w:bdr w:val="none" w:sz="0" w:space="0" w:color="auto" w:frame="1"/>
          <w14:ligatures w14:val="none"/>
        </w:rPr>
        <w:t xml:space="preserve"> ( </w:t>
      </w:r>
      <w:hyperlink r:id="rId10" w:anchor="defining" w:tgtFrame="_blank" w:history="1">
        <w:r w:rsidRPr="00BB254E">
          <w:rPr>
            <w:rFonts w:ascii="Arial" w:hAnsi="Arial" w:cs="Arial"/>
            <w:color w:val="4285F4"/>
            <w:kern w:val="0"/>
            <w:sz w:val="24"/>
            <w:szCs w:val="24"/>
            <w:u w:val="single"/>
            <w:bdr w:val="none" w:sz="0" w:space="0" w:color="auto" w:frame="1"/>
            <w14:ligatures w14:val="none"/>
          </w:rPr>
          <w:t>https://www.scie.org.uk/strengths-based-approaches/young-people#defining</w:t>
        </w:r>
      </w:hyperlink>
      <w:r w:rsidRPr="00BB254E">
        <w:rPr>
          <w:rFonts w:ascii="Arial" w:hAnsi="Arial" w:cs="Arial"/>
          <w:color w:val="000000"/>
          <w:kern w:val="0"/>
          <w:sz w:val="24"/>
          <w:szCs w:val="24"/>
          <w:bdr w:val="none" w:sz="0" w:space="0" w:color="auto" w:frame="1"/>
          <w14:ligatures w14:val="none"/>
        </w:rPr>
        <w:t>) </w:t>
      </w:r>
    </w:p>
    <w:p w14:paraId="1CF92F88"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1EA126C3"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PHE’s Start4life campaign is a nationwide initiative created support parents during the first 1,000 days of pregnancy. To offer their children the best start in life, it is geared towards expecting parents as well as families with infants and young children, encouragin them to develop their parenting abilities and form good habits early on. The start4life website, the breastfeeding friend support service, Start4life social media channels and the flagship email programme (information service for parents) are some of the digital tools that Start4life uses to provide information and support.</w:t>
      </w:r>
      <w:r w:rsidRPr="00BB254E">
        <w:rPr>
          <w:rFonts w:ascii="Arial" w:hAnsi="Arial" w:cs="Arial"/>
          <w:color w:val="000000"/>
          <w:kern w:val="0"/>
          <w:sz w:val="24"/>
          <w:szCs w:val="24"/>
          <w:bdr w:val="none" w:sz="0" w:space="0" w:color="auto" w:frame="1"/>
          <w14:ligatures w14:val="none"/>
        </w:rPr>
        <w:t>  </w:t>
      </w:r>
      <w:hyperlink r:id="rId11" w:tgtFrame="_blank" w:history="1">
        <w:r w:rsidRPr="00BB254E">
          <w:rPr>
            <w:rFonts w:ascii="Arial" w:hAnsi="Arial" w:cs="Arial"/>
            <w:color w:val="4285F4"/>
            <w:kern w:val="0"/>
            <w:sz w:val="24"/>
            <w:szCs w:val="24"/>
            <w:u w:val="single"/>
            <w:bdr w:val="none" w:sz="0" w:space="0" w:color="auto" w:frame="1"/>
            <w14:ligatures w14:val="none"/>
          </w:rPr>
          <w:t>https://assets.publishing.service.gov.uk/government/uploads/system/uploads/attachment_data/file/913764/Public_health_approach_to_vulnerability_in_childhood.pdf</w:t>
        </w:r>
      </w:hyperlink>
      <w:r w:rsidRPr="00BB254E">
        <w:rPr>
          <w:rFonts w:ascii="Arial" w:hAnsi="Arial" w:cs="Arial"/>
          <w:color w:val="000000"/>
          <w:kern w:val="0"/>
          <w:bdr w:val="none" w:sz="0" w:space="0" w:color="auto" w:frame="1"/>
          <w14:ligatures w14:val="none"/>
        </w:rPr>
        <w:t> </w:t>
      </w:r>
    </w:p>
    <w:p w14:paraId="2758BCB7"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lastRenderedPageBreak/>
        <w:br/>
      </w:r>
    </w:p>
    <w:p w14:paraId="124C82F6"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b/>
          <w:bCs/>
          <w:color w:val="000000"/>
          <w:kern w:val="0"/>
          <w:sz w:val="24"/>
          <w:szCs w:val="24"/>
          <w:bdr w:val="none" w:sz="0" w:space="0" w:color="auto" w:frame="1"/>
          <w14:ligatures w14:val="none"/>
        </w:rPr>
        <w:t>Evaluation and Recommendations: Evaluate</w:t>
      </w:r>
      <w:r w:rsidRPr="00BB254E">
        <w:rPr>
          <w:rFonts w:ascii="Arial" w:hAnsi="Arial" w:cs="Arial"/>
          <w:b/>
          <w:bCs/>
          <w:color w:val="2F5496"/>
          <w:kern w:val="0"/>
          <w:sz w:val="24"/>
          <w:szCs w:val="24"/>
          <w:bdr w:val="none" w:sz="0" w:space="0" w:color="auto" w:frame="1"/>
          <w14:ligatures w14:val="none"/>
        </w:rPr>
        <w:t> the approaches and interventions’ effectiveness in reducing inequalities. Provide relevant recommendations for improvements. Discuss their potential impact and benefits for children, young people, and  families.</w:t>
      </w:r>
    </w:p>
    <w:p w14:paraId="1C48DFFA"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p>
    <w:p w14:paraId="32C52DAC" w14:textId="331118E5" w:rsidR="00BB254E" w:rsidRPr="00F0137C" w:rsidRDefault="00BB254E" w:rsidP="00F0137C">
      <w:pPr>
        <w:spacing w:line="360" w:lineRule="auto"/>
        <w:rPr>
          <w:rFonts w:ascii="Helvetica Neue" w:hAnsi="Helvetica Neue" w:cs="Times New Roman"/>
          <w:color w:val="313131"/>
          <w:kern w:val="0"/>
          <w14:ligatures w14:val="none"/>
        </w:rPr>
      </w:pPr>
      <w:r w:rsidRPr="00F0137C">
        <w:rPr>
          <w:rFonts w:ascii="Arial" w:hAnsi="Arial" w:cs="Arial"/>
          <w:color w:val="000000"/>
          <w:kern w:val="0"/>
          <w:bdr w:val="none" w:sz="0" w:space="0" w:color="auto" w:frame="1"/>
          <w14:ligatures w14:val="none"/>
        </w:rPr>
        <w:t xml:space="preserve">The improvement of children’s youths, families and </w:t>
      </w:r>
      <w:r w:rsidR="00F0137C" w:rsidRPr="00F0137C">
        <w:rPr>
          <w:rFonts w:ascii="Arial" w:hAnsi="Arial" w:cs="Arial"/>
          <w:color w:val="000000"/>
          <w:kern w:val="0"/>
          <w:bdr w:val="none" w:sz="0" w:space="0" w:color="auto" w:frame="1"/>
          <w14:ligatures w14:val="none"/>
        </w:rPr>
        <w:t>communities’</w:t>
      </w:r>
      <w:r w:rsidRPr="00F0137C">
        <w:rPr>
          <w:rFonts w:ascii="Arial" w:hAnsi="Arial" w:cs="Arial"/>
          <w:color w:val="000000"/>
          <w:kern w:val="0"/>
          <w:bdr w:val="none" w:sz="0" w:space="0" w:color="auto" w:frame="1"/>
          <w14:ligatures w14:val="none"/>
        </w:rPr>
        <w:t xml:space="preserve"> lives is what drives those work in children’s services. All around the nation, employees of local governments, nonprofit businesses want to see families expand, children </w:t>
      </w:r>
      <w:r w:rsidR="00F0137C" w:rsidRPr="00F0137C">
        <w:rPr>
          <w:rFonts w:ascii="Arial" w:hAnsi="Arial" w:cs="Arial"/>
          <w:color w:val="000000"/>
          <w:kern w:val="0"/>
          <w:bdr w:val="none" w:sz="0" w:space="0" w:color="auto" w:frame="1"/>
          <w14:ligatures w14:val="none"/>
        </w:rPr>
        <w:t>thrive,</w:t>
      </w:r>
      <w:r w:rsidRPr="00F0137C">
        <w:rPr>
          <w:rFonts w:ascii="Arial" w:hAnsi="Arial" w:cs="Arial"/>
          <w:color w:val="000000"/>
          <w:kern w:val="0"/>
          <w:bdr w:val="none" w:sz="0" w:space="0" w:color="auto" w:frame="1"/>
          <w14:ligatures w14:val="none"/>
        </w:rPr>
        <w:t xml:space="preserve"> and children mature into content adults. In order to give the children and families they work with the best opportunity of </w:t>
      </w:r>
      <w:r w:rsidR="00F0137C" w:rsidRPr="00F0137C">
        <w:rPr>
          <w:rFonts w:ascii="Arial" w:hAnsi="Arial" w:cs="Arial"/>
          <w:color w:val="000000"/>
          <w:kern w:val="0"/>
          <w:bdr w:val="none" w:sz="0" w:space="0" w:color="auto" w:frame="1"/>
          <w14:ligatures w14:val="none"/>
        </w:rPr>
        <w:t>success;</w:t>
      </w:r>
      <w:r w:rsidRPr="00F0137C">
        <w:rPr>
          <w:rFonts w:ascii="Arial" w:hAnsi="Arial" w:cs="Arial"/>
          <w:color w:val="000000"/>
          <w:kern w:val="0"/>
          <w:bdr w:val="none" w:sz="0" w:space="0" w:color="auto" w:frame="1"/>
          <w14:ligatures w14:val="none"/>
        </w:rPr>
        <w:t xml:space="preserve"> they are consequently experimenting with novel concepts and methods. </w:t>
      </w:r>
    </w:p>
    <w:p w14:paraId="5175EDA2" w14:textId="77777777" w:rsidR="00BB254E" w:rsidRPr="00BB254E" w:rsidRDefault="00BB254E" w:rsidP="00F0137C">
      <w:pPr>
        <w:spacing w:line="360" w:lineRule="auto"/>
        <w:rPr>
          <w:rFonts w:ascii="Helvetica Neue" w:hAnsi="Helvetica Neue" w:cs="Times New Roman"/>
          <w:color w:val="313131"/>
          <w:kern w:val="0"/>
          <w:sz w:val="24"/>
          <w:szCs w:val="24"/>
          <w14:ligatures w14:val="none"/>
        </w:rPr>
      </w:pPr>
      <w:r w:rsidRPr="00F0137C">
        <w:rPr>
          <w:rFonts w:ascii="Arial" w:hAnsi="Arial" w:cs="Arial"/>
          <w:color w:val="000000"/>
          <w:kern w:val="0"/>
          <w:bdr w:val="none" w:sz="0" w:space="0" w:color="auto" w:frame="1"/>
          <w14:ligatures w14:val="none"/>
        </w:rPr>
        <w:t>There is no one solution that works for everyone but there are recurring patterns in the ‘conditions for successful innovations’ in each of the case studies. These consist of having a distinct vision, showing results, committing to the long term, being visible as a leader, continuing to work with children, young people, families and communities and being open to learning new things. Additionally, it is feasible to pinpoint the common obstacles and enablers that organisations engaged in innovative child welfare practises confront.</w:t>
      </w:r>
      <w:r w:rsidRPr="00BB254E">
        <w:rPr>
          <w:rFonts w:ascii="Arial" w:hAnsi="Arial" w:cs="Arial"/>
          <w:color w:val="000000"/>
          <w:kern w:val="0"/>
          <w:sz w:val="24"/>
          <w:szCs w:val="24"/>
          <w:bdr w:val="none" w:sz="0" w:space="0" w:color="auto" w:frame="1"/>
          <w14:ligatures w14:val="none"/>
        </w:rPr>
        <w:t>  </w:t>
      </w:r>
      <w:hyperlink r:id="rId12" w:anchor="future" w:tgtFrame="_blank" w:history="1">
        <w:r w:rsidRPr="00BB254E">
          <w:rPr>
            <w:rFonts w:ascii="Arial" w:hAnsi="Arial" w:cs="Arial"/>
            <w:color w:val="4285F4"/>
            <w:kern w:val="0"/>
            <w:sz w:val="24"/>
            <w:szCs w:val="24"/>
            <w:u w:val="single"/>
            <w:bdr w:val="none" w:sz="0" w:space="0" w:color="auto" w:frame="1"/>
            <w14:ligatures w14:val="none"/>
          </w:rPr>
          <w:t>https://www.scie.org.uk/children/innovation#future</w:t>
        </w:r>
      </w:hyperlink>
      <w:r w:rsidRPr="00BB254E">
        <w:rPr>
          <w:rFonts w:ascii="Arial" w:hAnsi="Arial" w:cs="Arial"/>
          <w:color w:val="000000"/>
          <w:kern w:val="0"/>
          <w:bdr w:val="none" w:sz="0" w:space="0" w:color="auto" w:frame="1"/>
          <w14:ligatures w14:val="none"/>
        </w:rPr>
        <w:t> </w:t>
      </w:r>
    </w:p>
    <w:p w14:paraId="342A4B00" w14:textId="77777777" w:rsid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p>
    <w:p w14:paraId="3E3DFCC3" w14:textId="77777777" w:rsidR="00F0137C" w:rsidRDefault="00F0137C" w:rsidP="00BB254E">
      <w:pPr>
        <w:rPr>
          <w:rFonts w:ascii="Times New Roman" w:eastAsia="Times New Roman" w:hAnsi="Times New Roman" w:cs="Times New Roman"/>
          <w:kern w:val="0"/>
          <w:sz w:val="24"/>
          <w:szCs w:val="24"/>
          <w14:ligatures w14:val="none"/>
        </w:rPr>
      </w:pPr>
    </w:p>
    <w:p w14:paraId="5CB5B7AF" w14:textId="77777777" w:rsidR="00F0137C" w:rsidRDefault="00F0137C" w:rsidP="00BB254E">
      <w:pPr>
        <w:rPr>
          <w:rFonts w:ascii="Times New Roman" w:eastAsia="Times New Roman" w:hAnsi="Times New Roman" w:cs="Times New Roman"/>
          <w:kern w:val="0"/>
          <w:sz w:val="24"/>
          <w:szCs w:val="24"/>
          <w14:ligatures w14:val="none"/>
        </w:rPr>
      </w:pPr>
    </w:p>
    <w:p w14:paraId="448020CC" w14:textId="77777777" w:rsidR="00F0137C" w:rsidRDefault="00F0137C" w:rsidP="00BB254E">
      <w:pPr>
        <w:rPr>
          <w:rFonts w:ascii="Times New Roman" w:eastAsia="Times New Roman" w:hAnsi="Times New Roman" w:cs="Times New Roman"/>
          <w:kern w:val="0"/>
          <w:sz w:val="24"/>
          <w:szCs w:val="24"/>
          <w14:ligatures w14:val="none"/>
        </w:rPr>
      </w:pPr>
    </w:p>
    <w:p w14:paraId="29D9148F" w14:textId="77777777" w:rsidR="00F0137C" w:rsidRDefault="00F0137C" w:rsidP="00BB254E">
      <w:pPr>
        <w:rPr>
          <w:rFonts w:ascii="Times New Roman" w:eastAsia="Times New Roman" w:hAnsi="Times New Roman" w:cs="Times New Roman"/>
          <w:kern w:val="0"/>
          <w:sz w:val="24"/>
          <w:szCs w:val="24"/>
          <w14:ligatures w14:val="none"/>
        </w:rPr>
      </w:pPr>
    </w:p>
    <w:p w14:paraId="14195E34" w14:textId="77777777" w:rsidR="00F0137C" w:rsidRDefault="00F0137C" w:rsidP="00BB254E">
      <w:pPr>
        <w:rPr>
          <w:rFonts w:ascii="Times New Roman" w:eastAsia="Times New Roman" w:hAnsi="Times New Roman" w:cs="Times New Roman"/>
          <w:kern w:val="0"/>
          <w:sz w:val="24"/>
          <w:szCs w:val="24"/>
          <w14:ligatures w14:val="none"/>
        </w:rPr>
      </w:pPr>
    </w:p>
    <w:p w14:paraId="23DBB5EE" w14:textId="77777777" w:rsidR="00F0137C" w:rsidRDefault="00F0137C" w:rsidP="00BB254E">
      <w:pPr>
        <w:rPr>
          <w:rFonts w:ascii="Times New Roman" w:eastAsia="Times New Roman" w:hAnsi="Times New Roman" w:cs="Times New Roman"/>
          <w:kern w:val="0"/>
          <w:sz w:val="24"/>
          <w:szCs w:val="24"/>
          <w14:ligatures w14:val="none"/>
        </w:rPr>
      </w:pPr>
    </w:p>
    <w:p w14:paraId="13A6ACDA" w14:textId="77777777" w:rsidR="00F0137C" w:rsidRPr="00BB254E" w:rsidRDefault="00F0137C" w:rsidP="00BB254E">
      <w:pPr>
        <w:rPr>
          <w:rFonts w:ascii="Times New Roman" w:eastAsia="Times New Roman" w:hAnsi="Times New Roman" w:cs="Times New Roman"/>
          <w:kern w:val="0"/>
          <w:sz w:val="24"/>
          <w:szCs w:val="24"/>
          <w14:ligatures w14:val="none"/>
        </w:rPr>
      </w:pPr>
    </w:p>
    <w:p w14:paraId="558C0F19"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color w:val="000000"/>
          <w:kern w:val="0"/>
          <w:sz w:val="24"/>
          <w:szCs w:val="24"/>
          <w:bdr w:val="none" w:sz="0" w:space="0" w:color="auto" w:frame="1"/>
          <w14:ligatures w14:val="none"/>
        </w:rPr>
        <w:t>Reference </w:t>
      </w:r>
    </w:p>
    <w:p w14:paraId="792C1296" w14:textId="77777777" w:rsidR="00BB254E" w:rsidRPr="00BB254E" w:rsidRDefault="00BB254E" w:rsidP="00BB254E">
      <w:pPr>
        <w:rPr>
          <w:rFonts w:ascii="Times New Roman" w:eastAsia="Times New Roman" w:hAnsi="Times New Roman" w:cs="Times New Roman"/>
          <w:kern w:val="0"/>
          <w:sz w:val="24"/>
          <w:szCs w:val="24"/>
          <w14:ligatures w14:val="none"/>
        </w:rPr>
      </w:pPr>
      <w:r w:rsidRPr="00BB254E">
        <w:rPr>
          <w:rFonts w:ascii="Helvetica Neue" w:eastAsia="Times New Roman" w:hAnsi="Helvetica Neue" w:cs="Times New Roman"/>
          <w:color w:val="D4D4D5"/>
          <w:kern w:val="0"/>
          <w:sz w:val="24"/>
          <w:szCs w:val="24"/>
          <w14:ligatures w14:val="none"/>
        </w:rPr>
        <w:br/>
      </w:r>
      <w:r w:rsidRPr="00BB254E">
        <w:rPr>
          <w:rFonts w:ascii="Helvetica Neue" w:eastAsia="Times New Roman" w:hAnsi="Helvetica Neue" w:cs="Times New Roman"/>
          <w:color w:val="D4D4D5"/>
          <w:kern w:val="0"/>
          <w:sz w:val="24"/>
          <w:szCs w:val="24"/>
          <w14:ligatures w14:val="none"/>
        </w:rPr>
        <w:br/>
      </w:r>
    </w:p>
    <w:p w14:paraId="2AD202E6" w14:textId="77777777" w:rsidR="00BB254E" w:rsidRPr="00BB254E" w:rsidRDefault="00055B58" w:rsidP="00BB254E">
      <w:pPr>
        <w:rPr>
          <w:rFonts w:ascii="Helvetica Neue" w:hAnsi="Helvetica Neue" w:cs="Times New Roman"/>
          <w:color w:val="313131"/>
          <w:kern w:val="0"/>
          <w:sz w:val="24"/>
          <w:szCs w:val="24"/>
          <w14:ligatures w14:val="none"/>
        </w:rPr>
      </w:pPr>
      <w:hyperlink r:id="rId13" w:anchor=":~:text=Relationships%3A%20the%20foundation%20of%20child%20development,-Children's%20relationships%20affect&amp;text=In%20fact%2C%20nurturing%20relationships%20are,re%20loved%2C%20safe%20and%20secure" w:tgtFrame="_blank" w:history="1">
        <w:r w:rsidR="00BB254E" w:rsidRPr="00BB254E">
          <w:rPr>
            <w:rFonts w:ascii="Arial" w:hAnsi="Arial" w:cs="Arial"/>
            <w:color w:val="4285F4"/>
            <w:kern w:val="0"/>
            <w:sz w:val="24"/>
            <w:szCs w:val="24"/>
            <w:u w:val="single"/>
            <w:bdr w:val="none" w:sz="0" w:space="0" w:color="auto" w:frame="1"/>
            <w14:ligatures w14:val="none"/>
          </w:rPr>
          <w:t>https://raisingchildren.net.au/newborns/development/understanding-development/development-first-five-years  #:~:text=  Relationships%3A%20the%20foundation%20of%20child%20development,-</w:t>
        </w:r>
        <w:r w:rsidR="00BB254E" w:rsidRPr="00BB254E">
          <w:rPr>
            <w:rFonts w:ascii="Arial" w:hAnsi="Arial" w:cs="Arial"/>
            <w:color w:val="4285F4"/>
            <w:kern w:val="0"/>
            <w:sz w:val="24"/>
            <w:szCs w:val="24"/>
            <w:u w:val="single"/>
            <w:bdr w:val="none" w:sz="0" w:space="0" w:color="auto" w:frame="1"/>
            <w14:ligatures w14:val="none"/>
          </w:rPr>
          <w:lastRenderedPageBreak/>
          <w:t>Children's%20relationships%20affect&amp;text=In%20fact%2C%20nurturing%20relationships%20are,re%20loved%2C%20safe%20and%20secure</w:t>
        </w:r>
      </w:hyperlink>
      <w:r w:rsidR="00BB254E" w:rsidRPr="00BB254E">
        <w:rPr>
          <w:rFonts w:ascii="Arial" w:hAnsi="Arial" w:cs="Arial"/>
          <w:color w:val="000000"/>
          <w:kern w:val="0"/>
          <w:sz w:val="24"/>
          <w:szCs w:val="24"/>
          <w:bdr w:val="none" w:sz="0" w:space="0" w:color="auto" w:frame="1"/>
          <w14:ligatures w14:val="none"/>
        </w:rPr>
        <w:t>.  </w:t>
      </w:r>
    </w:p>
    <w:p w14:paraId="55C5F583" w14:textId="77777777" w:rsidR="00BB254E" w:rsidRPr="00BB254E" w:rsidRDefault="00055B58" w:rsidP="00BB254E">
      <w:pPr>
        <w:rPr>
          <w:rFonts w:ascii="Helvetica Neue" w:hAnsi="Helvetica Neue" w:cs="Times New Roman"/>
          <w:color w:val="313131"/>
          <w:kern w:val="0"/>
          <w:sz w:val="24"/>
          <w:szCs w:val="24"/>
          <w14:ligatures w14:val="none"/>
        </w:rPr>
      </w:pPr>
      <w:hyperlink r:id="rId14" w:tgtFrame="_blank" w:history="1">
        <w:r w:rsidR="00BB254E" w:rsidRPr="00BB254E">
          <w:rPr>
            <w:rFonts w:ascii="Arial" w:hAnsi="Arial" w:cs="Arial"/>
            <w:color w:val="4285F4"/>
            <w:kern w:val="0"/>
            <w:sz w:val="24"/>
            <w:szCs w:val="24"/>
            <w:u w:val="single"/>
            <w:bdr w:val="none" w:sz="0" w:space="0" w:color="auto" w:frame="1"/>
            <w14:ligatures w14:val="none"/>
          </w:rPr>
          <w:t>https://www.childwelfare.gov/topics/famcentered/philosophy/</w:t>
        </w:r>
      </w:hyperlink>
      <w:r w:rsidR="00BB254E" w:rsidRPr="00BB254E">
        <w:rPr>
          <w:rFonts w:ascii="Arial" w:hAnsi="Arial" w:cs="Arial"/>
          <w:color w:val="000000"/>
          <w:kern w:val="0"/>
          <w:bdr w:val="none" w:sz="0" w:space="0" w:color="auto" w:frame="1"/>
          <w14:ligatures w14:val="none"/>
        </w:rPr>
        <w:t> </w:t>
      </w:r>
    </w:p>
    <w:p w14:paraId="26689921" w14:textId="77777777" w:rsidR="00BB254E" w:rsidRPr="00BB254E" w:rsidRDefault="00055B58" w:rsidP="00BB254E">
      <w:pPr>
        <w:rPr>
          <w:rFonts w:ascii="Helvetica Neue" w:hAnsi="Helvetica Neue" w:cs="Times New Roman"/>
          <w:color w:val="313131"/>
          <w:kern w:val="0"/>
          <w:sz w:val="24"/>
          <w:szCs w:val="24"/>
          <w14:ligatures w14:val="none"/>
        </w:rPr>
      </w:pPr>
      <w:hyperlink r:id="rId15" w:tgtFrame="_blank" w:history="1">
        <w:r w:rsidR="00BB254E" w:rsidRPr="00BB254E">
          <w:rPr>
            <w:rFonts w:ascii="Arial" w:hAnsi="Arial" w:cs="Arial"/>
            <w:color w:val="4285F4"/>
            <w:kern w:val="0"/>
            <w:sz w:val="24"/>
            <w:szCs w:val="24"/>
            <w:u w:val="single"/>
            <w:bdr w:val="none" w:sz="0" w:space="0" w:color="auto" w:frame="1"/>
            <w14:ligatures w14:val="none"/>
          </w:rPr>
          <w:t>https://www.ncbi.nlm.nih.gov/books/NBK231502/</w:t>
        </w:r>
      </w:hyperlink>
      <w:r w:rsidR="00BB254E" w:rsidRPr="00BB254E">
        <w:rPr>
          <w:rFonts w:ascii="Arial" w:hAnsi="Arial" w:cs="Arial"/>
          <w:color w:val="000000"/>
          <w:kern w:val="0"/>
          <w:bdr w:val="none" w:sz="0" w:space="0" w:color="auto" w:frame="1"/>
          <w14:ligatures w14:val="none"/>
        </w:rPr>
        <w:t> </w:t>
      </w:r>
    </w:p>
    <w:p w14:paraId="15C7481B" w14:textId="77777777" w:rsidR="00BB254E" w:rsidRPr="00BB254E" w:rsidRDefault="00055B58" w:rsidP="00BB254E">
      <w:pPr>
        <w:rPr>
          <w:rFonts w:ascii="Helvetica Neue" w:hAnsi="Helvetica Neue" w:cs="Times New Roman"/>
          <w:color w:val="313131"/>
          <w:kern w:val="0"/>
          <w:sz w:val="24"/>
          <w:szCs w:val="24"/>
          <w14:ligatures w14:val="none"/>
        </w:rPr>
      </w:pPr>
      <w:hyperlink r:id="rId16" w:anchor="google_vignette" w:tgtFrame="_blank" w:history="1">
        <w:r w:rsidR="00BB254E" w:rsidRPr="00BB254E">
          <w:rPr>
            <w:rFonts w:ascii="Arial" w:hAnsi="Arial" w:cs="Arial"/>
            <w:color w:val="4285F4"/>
            <w:kern w:val="0"/>
            <w:sz w:val="24"/>
            <w:szCs w:val="24"/>
            <w:u w:val="single"/>
            <w:bdr w:val="none" w:sz="0" w:space="0" w:color="auto" w:frame="1"/>
            <w14:ligatures w14:val="none"/>
          </w:rPr>
          <w:t>https://revisesociology.com/2015/05/06/social-construction-of-childhood/#google_vignette</w:t>
        </w:r>
      </w:hyperlink>
      <w:r w:rsidR="00BB254E" w:rsidRPr="00BB254E">
        <w:rPr>
          <w:rFonts w:ascii="Arial" w:hAnsi="Arial" w:cs="Arial"/>
          <w:color w:val="000000"/>
          <w:kern w:val="0"/>
          <w:bdr w:val="none" w:sz="0" w:space="0" w:color="auto" w:frame="1"/>
          <w14:ligatures w14:val="none"/>
        </w:rPr>
        <w:t> </w:t>
      </w:r>
    </w:p>
    <w:p w14:paraId="1925E15E" w14:textId="77777777" w:rsidR="00BB254E" w:rsidRPr="00BB254E" w:rsidRDefault="00055B58" w:rsidP="00BB254E">
      <w:pPr>
        <w:rPr>
          <w:rFonts w:ascii="Helvetica Neue" w:hAnsi="Helvetica Neue" w:cs="Times New Roman"/>
          <w:color w:val="313131"/>
          <w:kern w:val="0"/>
          <w:sz w:val="24"/>
          <w:szCs w:val="24"/>
          <w14:ligatures w14:val="none"/>
        </w:rPr>
      </w:pPr>
      <w:hyperlink r:id="rId17" w:anchor=":~:text=The%20social%20construction%20of%20childhood,and%20%E2%80%9Cchildren%20as%20innocent%E2%80%9D" w:tgtFrame="_blank" w:history="1">
        <w:r w:rsidR="00BB254E" w:rsidRPr="00BB254E">
          <w:rPr>
            <w:rFonts w:ascii="Arial" w:hAnsi="Arial" w:cs="Arial"/>
            <w:color w:val="4285F4"/>
            <w:kern w:val="0"/>
            <w:sz w:val="24"/>
            <w:szCs w:val="24"/>
            <w:u w:val="single"/>
            <w:bdr w:val="none" w:sz="0" w:space="0" w:color="auto" w:frame="1"/>
            <w14:ligatures w14:val="none"/>
          </w:rPr>
          <w:t>https://helpfulprofessor.com/social-constructions-of-childhood-examples/#:~:text=The%20social%20construction%20of%20childhood,and%20%E2%80%9Cchildren%20as%20innocent%E2%80%9D</w:t>
        </w:r>
      </w:hyperlink>
      <w:r w:rsidR="00BB254E" w:rsidRPr="00BB254E">
        <w:rPr>
          <w:rFonts w:ascii="Arial" w:hAnsi="Arial" w:cs="Arial"/>
          <w:color w:val="000000"/>
          <w:kern w:val="0"/>
          <w:sz w:val="24"/>
          <w:szCs w:val="24"/>
          <w:bdr w:val="none" w:sz="0" w:space="0" w:color="auto" w:frame="1"/>
          <w14:ligatures w14:val="none"/>
        </w:rPr>
        <w:t>. </w:t>
      </w:r>
    </w:p>
    <w:p w14:paraId="5D439768" w14:textId="77777777" w:rsidR="00BB254E" w:rsidRPr="00BB254E" w:rsidRDefault="00055B58" w:rsidP="00BB254E">
      <w:pPr>
        <w:rPr>
          <w:rFonts w:ascii="Helvetica Neue" w:hAnsi="Helvetica Neue" w:cs="Times New Roman"/>
          <w:color w:val="313131"/>
          <w:kern w:val="0"/>
          <w:sz w:val="24"/>
          <w:szCs w:val="24"/>
          <w14:ligatures w14:val="none"/>
        </w:rPr>
      </w:pPr>
      <w:hyperlink r:id="rId18" w:tgtFrame="_blank" w:history="1">
        <w:r w:rsidR="00BB254E" w:rsidRPr="00BB254E">
          <w:rPr>
            <w:rFonts w:ascii="Arial" w:hAnsi="Arial" w:cs="Arial"/>
            <w:color w:val="4285F4"/>
            <w:kern w:val="0"/>
            <w:sz w:val="24"/>
            <w:szCs w:val="24"/>
            <w:u w:val="single"/>
            <w:bdr w:val="none" w:sz="0" w:space="0" w:color="auto" w:frame="1"/>
            <w14:ligatures w14:val="none"/>
          </w:rPr>
          <w:t>https://revisionworld.com/a2-level-level-revision/sociology-level-revision/family/childhood</w:t>
        </w:r>
      </w:hyperlink>
      <w:r w:rsidR="00BB254E" w:rsidRPr="00BB254E">
        <w:rPr>
          <w:rFonts w:ascii="Arial" w:hAnsi="Arial" w:cs="Arial"/>
          <w:color w:val="000000"/>
          <w:kern w:val="0"/>
          <w:bdr w:val="none" w:sz="0" w:space="0" w:color="auto" w:frame="1"/>
          <w14:ligatures w14:val="none"/>
        </w:rPr>
        <w:t>  </w:t>
      </w:r>
    </w:p>
    <w:p w14:paraId="05145CD5" w14:textId="77777777" w:rsidR="00BB254E" w:rsidRPr="00BB254E" w:rsidRDefault="00055B58" w:rsidP="00BB254E">
      <w:pPr>
        <w:rPr>
          <w:rFonts w:ascii="Helvetica Neue" w:hAnsi="Helvetica Neue" w:cs="Times New Roman"/>
          <w:color w:val="313131"/>
          <w:kern w:val="0"/>
          <w:sz w:val="24"/>
          <w:szCs w:val="24"/>
          <w14:ligatures w14:val="none"/>
        </w:rPr>
      </w:pPr>
      <w:hyperlink r:id="rId19" w:anchor=":~:text=This%20Safeguarding%20Vulnerable%20Groups%20Act,a%20result%20of%20this%20Act" w:tgtFrame="_blank" w:history="1">
        <w:r w:rsidR="00BB254E" w:rsidRPr="00BB254E">
          <w:rPr>
            <w:rFonts w:ascii="Arial" w:hAnsi="Arial" w:cs="Arial"/>
            <w:color w:val="4285F4"/>
            <w:kern w:val="0"/>
            <w:sz w:val="24"/>
            <w:szCs w:val="24"/>
            <w:u w:val="single"/>
            <w:bdr w:val="none" w:sz="0" w:space="0" w:color="auto" w:frame="1"/>
            <w14:ligatures w14:val="none"/>
          </w:rPr>
          <w:t>https://www.scie.org.uk/key-social-care-legislation/safeguarding-adults#:~:text=This%20Safeguarding%20Vulnerable%20Groups%20Act,a%20result%20of%20this%20Act</w:t>
        </w:r>
      </w:hyperlink>
      <w:r w:rsidR="00BB254E" w:rsidRPr="00BB254E">
        <w:rPr>
          <w:rFonts w:ascii="Arial" w:hAnsi="Arial" w:cs="Arial"/>
          <w:color w:val="000000"/>
          <w:kern w:val="0"/>
          <w:sz w:val="24"/>
          <w:szCs w:val="24"/>
          <w:bdr w:val="none" w:sz="0" w:space="0" w:color="auto" w:frame="1"/>
          <w14:ligatures w14:val="none"/>
        </w:rPr>
        <w:t>. </w:t>
      </w:r>
    </w:p>
    <w:p w14:paraId="793A0801"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color w:val="000000"/>
          <w:kern w:val="0"/>
          <w:bdr w:val="none" w:sz="0" w:space="0" w:color="auto" w:frame="1"/>
          <w14:ligatures w14:val="none"/>
        </w:rPr>
        <w:t> </w:t>
      </w:r>
      <w:hyperlink r:id="rId20" w:tgtFrame="_blank" w:history="1">
        <w:r w:rsidRPr="00BB254E">
          <w:rPr>
            <w:rFonts w:ascii="Arial" w:hAnsi="Arial" w:cs="Arial"/>
            <w:color w:val="4285F4"/>
            <w:kern w:val="0"/>
            <w:sz w:val="24"/>
            <w:szCs w:val="24"/>
            <w:u w:val="single"/>
            <w:bdr w:val="none" w:sz="0" w:space="0" w:color="auto" w:frame="1"/>
            <w14:ligatures w14:val="none"/>
          </w:rPr>
          <w:t>https://www.legislation.gov.uk/ukpga/2006/40/contents</w:t>
        </w:r>
      </w:hyperlink>
      <w:r w:rsidRPr="00BB254E">
        <w:rPr>
          <w:rFonts w:ascii="Arial" w:hAnsi="Arial" w:cs="Arial"/>
          <w:color w:val="000000"/>
          <w:kern w:val="0"/>
          <w:bdr w:val="none" w:sz="0" w:space="0" w:color="auto" w:frame="1"/>
          <w14:ligatures w14:val="none"/>
        </w:rPr>
        <w:t> </w:t>
      </w:r>
    </w:p>
    <w:p w14:paraId="42520A25" w14:textId="77777777" w:rsidR="00BB254E" w:rsidRPr="00BB254E" w:rsidRDefault="00055B58" w:rsidP="00BB254E">
      <w:pPr>
        <w:rPr>
          <w:rFonts w:ascii="Helvetica Neue" w:hAnsi="Helvetica Neue" w:cs="Times New Roman"/>
          <w:color w:val="313131"/>
          <w:kern w:val="0"/>
          <w:sz w:val="24"/>
          <w:szCs w:val="24"/>
          <w14:ligatures w14:val="none"/>
        </w:rPr>
      </w:pPr>
      <w:hyperlink r:id="rId21" w:anchor=":~:text=An%20Act%20to%20establish%20and,regulating%20health%20and%20adult%20social" w:tgtFrame="_blank" w:history="1">
        <w:r w:rsidR="00BB254E" w:rsidRPr="00BB254E">
          <w:rPr>
            <w:rFonts w:ascii="Arial" w:hAnsi="Arial" w:cs="Arial"/>
            <w:color w:val="4285F4"/>
            <w:kern w:val="0"/>
            <w:sz w:val="24"/>
            <w:szCs w:val="24"/>
            <w:u w:val="single"/>
            <w:bdr w:val="none" w:sz="0" w:space="0" w:color="auto" w:frame="1"/>
            <w14:ligatures w14:val="none"/>
          </w:rPr>
          <w:t>https://www.legislation.gov.uk/ukpga/2012/7/enacted#:~:text=An%20Act%20to%20establish%20and,regulating%20health%20and%20adult%20social</w:t>
        </w:r>
      </w:hyperlink>
      <w:r w:rsidR="00BB254E" w:rsidRPr="00BB254E">
        <w:rPr>
          <w:rFonts w:ascii="Arial" w:hAnsi="Arial" w:cs="Arial"/>
          <w:color w:val="000000"/>
          <w:kern w:val="0"/>
          <w:bdr w:val="none" w:sz="0" w:space="0" w:color="auto" w:frame="1"/>
          <w14:ligatures w14:val="none"/>
        </w:rPr>
        <w:t> </w:t>
      </w:r>
    </w:p>
    <w:p w14:paraId="605C09FA" w14:textId="77777777" w:rsidR="00BB254E" w:rsidRPr="00BB254E" w:rsidRDefault="00055B58" w:rsidP="00BB254E">
      <w:pPr>
        <w:rPr>
          <w:rFonts w:ascii="Helvetica Neue" w:hAnsi="Helvetica Neue" w:cs="Times New Roman"/>
          <w:color w:val="313131"/>
          <w:kern w:val="0"/>
          <w:sz w:val="24"/>
          <w:szCs w:val="24"/>
          <w14:ligatures w14:val="none"/>
        </w:rPr>
      </w:pPr>
      <w:hyperlink r:id="rId22" w:anchor=":~:text=The%20Children%20Act%202004%20is,a%20safer%20place%20for%20children" w:tgtFrame="_blank" w:history="1">
        <w:r w:rsidR="00BB254E" w:rsidRPr="00BB254E">
          <w:rPr>
            <w:rFonts w:ascii="Arial" w:hAnsi="Arial" w:cs="Arial"/>
            <w:color w:val="4285F4"/>
            <w:kern w:val="0"/>
            <w:sz w:val="24"/>
            <w:szCs w:val="24"/>
            <w:u w:val="single"/>
            <w:bdr w:val="none" w:sz="0" w:space="0" w:color="auto" w:frame="1"/>
            <w14:ligatures w14:val="none"/>
          </w:rPr>
          <w:t>https://hollandfamilylaw.co.uk/what-is-the-children-act-2004/#:~:text=The%20Children%20Act%202004%20is,a%20safer%20place%20for%20children</w:t>
        </w:r>
      </w:hyperlink>
      <w:r w:rsidR="00BB254E" w:rsidRPr="00BB254E">
        <w:rPr>
          <w:rFonts w:ascii="Arial" w:hAnsi="Arial" w:cs="Arial"/>
          <w:color w:val="000000"/>
          <w:kern w:val="0"/>
          <w:sz w:val="24"/>
          <w:szCs w:val="24"/>
          <w:bdr w:val="none" w:sz="0" w:space="0" w:color="auto" w:frame="1"/>
          <w14:ligatures w14:val="none"/>
        </w:rPr>
        <w:t>. </w:t>
      </w:r>
    </w:p>
    <w:p w14:paraId="45F7A22C" w14:textId="77777777" w:rsidR="00BB254E" w:rsidRPr="00BB254E" w:rsidRDefault="00BB254E" w:rsidP="00BB254E">
      <w:pPr>
        <w:rPr>
          <w:rFonts w:ascii="Helvetica Neue" w:hAnsi="Helvetica Neue" w:cs="Times New Roman"/>
          <w:color w:val="313131"/>
          <w:kern w:val="0"/>
          <w:sz w:val="24"/>
          <w:szCs w:val="24"/>
          <w14:ligatures w14:val="none"/>
        </w:rPr>
      </w:pPr>
      <w:r w:rsidRPr="00BB254E">
        <w:rPr>
          <w:rFonts w:ascii="Arial" w:hAnsi="Arial" w:cs="Arial"/>
          <w:color w:val="000000"/>
          <w:kern w:val="0"/>
          <w:sz w:val="24"/>
          <w:szCs w:val="24"/>
          <w:bdr w:val="none" w:sz="0" w:space="0" w:color="auto" w:frame="1"/>
          <w14:ligatures w14:val="none"/>
        </w:rPr>
        <w:t>(</w:t>
      </w:r>
      <w:hyperlink r:id="rId23" w:tgtFrame="_blank" w:history="1">
        <w:r w:rsidRPr="00BB254E">
          <w:rPr>
            <w:rFonts w:ascii="Arial" w:hAnsi="Arial" w:cs="Arial"/>
            <w:color w:val="4285F4"/>
            <w:kern w:val="0"/>
            <w:sz w:val="24"/>
            <w:szCs w:val="24"/>
            <w:u w:val="single"/>
            <w:bdr w:val="none" w:sz="0" w:space="0" w:color="auto" w:frame="1"/>
            <w14:ligatures w14:val="none"/>
          </w:rPr>
          <w:t>https://www.kingsfund.org.uk/publications/what-are-health-inequalities</w:t>
        </w:r>
      </w:hyperlink>
      <w:r w:rsidRPr="00BB254E">
        <w:rPr>
          <w:rFonts w:ascii="Arial" w:hAnsi="Arial" w:cs="Arial"/>
          <w:color w:val="000000"/>
          <w:kern w:val="0"/>
          <w:sz w:val="24"/>
          <w:szCs w:val="24"/>
          <w:bdr w:val="none" w:sz="0" w:space="0" w:color="auto" w:frame="1"/>
          <w14:ligatures w14:val="none"/>
        </w:rPr>
        <w:t>)  </w:t>
      </w:r>
    </w:p>
    <w:p w14:paraId="48155078" w14:textId="77777777" w:rsidR="00BB254E" w:rsidRPr="00BB254E" w:rsidRDefault="00055B58" w:rsidP="00BB254E">
      <w:pPr>
        <w:rPr>
          <w:rFonts w:ascii="Helvetica Neue" w:hAnsi="Helvetica Neue" w:cs="Times New Roman"/>
          <w:color w:val="313131"/>
          <w:kern w:val="0"/>
          <w:sz w:val="24"/>
          <w:szCs w:val="24"/>
          <w14:ligatures w14:val="none"/>
        </w:rPr>
      </w:pPr>
      <w:hyperlink r:id="rId24" w:anchor=":~:text=Children's%20development%20and%20mental%20health,child%20and%20young%20person's%20life" w:tgtFrame="_blank" w:history="1">
        <w:r w:rsidR="00BB254E" w:rsidRPr="00BB254E">
          <w:rPr>
            <w:rFonts w:ascii="Arial" w:hAnsi="Arial" w:cs="Arial"/>
            <w:b/>
            <w:bCs/>
            <w:color w:val="4285F4"/>
            <w:kern w:val="0"/>
            <w:sz w:val="24"/>
            <w:szCs w:val="24"/>
            <w:u w:val="single"/>
            <w:bdr w:val="none" w:sz="0" w:space="0" w:color="auto" w:frame="1"/>
            <w14:ligatures w14:val="none"/>
          </w:rPr>
          <w:t>https://learning.nspcc.org.uk/child-health-development#:~:text=Children's%20development%20and%20mental%20health,child%20and%20young%20person's%20life</w:t>
        </w:r>
      </w:hyperlink>
      <w:r w:rsidR="00BB254E" w:rsidRPr="00BB254E">
        <w:rPr>
          <w:rFonts w:ascii="Arial" w:hAnsi="Arial" w:cs="Arial"/>
          <w:b/>
          <w:bCs/>
          <w:color w:val="2F5496"/>
          <w:kern w:val="0"/>
          <w:sz w:val="24"/>
          <w:szCs w:val="24"/>
          <w:bdr w:val="none" w:sz="0" w:space="0" w:color="auto" w:frame="1"/>
          <w14:ligatures w14:val="none"/>
        </w:rPr>
        <w:t>. </w:t>
      </w:r>
      <w:hyperlink r:id="rId25" w:anchor="evidence-of-how-poverty-drives-health-inequalities-in-the-uk" w:tgtFrame="_blank" w:history="1">
        <w:r w:rsidR="00BB254E" w:rsidRPr="00BB254E">
          <w:rPr>
            <w:rFonts w:ascii="Arial" w:hAnsi="Arial" w:cs="Arial"/>
            <w:color w:val="4285F4"/>
            <w:kern w:val="0"/>
            <w:sz w:val="24"/>
            <w:szCs w:val="24"/>
            <w:u w:val="single"/>
            <w:bdr w:val="none" w:sz="0" w:space="0" w:color="auto" w:frame="1"/>
            <w14:ligatures w14:val="none"/>
          </w:rPr>
          <w:t>https://www.rcpch.ac.uk/resources/child-health-inequalities-position-statement#evidence-of-how-poverty-drives-health-inequalities-in-the-uk</w:t>
        </w:r>
      </w:hyperlink>
      <w:r w:rsidR="00BB254E" w:rsidRPr="00BB254E">
        <w:rPr>
          <w:rFonts w:ascii="Arial" w:hAnsi="Arial" w:cs="Arial"/>
          <w:color w:val="000000"/>
          <w:kern w:val="0"/>
          <w:bdr w:val="none" w:sz="0" w:space="0" w:color="auto" w:frame="1"/>
          <w14:ligatures w14:val="none"/>
        </w:rPr>
        <w:t> </w:t>
      </w:r>
    </w:p>
    <w:p w14:paraId="74BCE74E" w14:textId="77777777" w:rsidR="00BB254E" w:rsidRPr="00BB254E" w:rsidRDefault="00055B58" w:rsidP="00BB254E">
      <w:pPr>
        <w:rPr>
          <w:rFonts w:ascii="Helvetica Neue" w:hAnsi="Helvetica Neue" w:cs="Times New Roman"/>
          <w:color w:val="313131"/>
          <w:kern w:val="0"/>
          <w:sz w:val="24"/>
          <w:szCs w:val="24"/>
          <w14:ligatures w14:val="none"/>
        </w:rPr>
      </w:pPr>
      <w:hyperlink r:id="rId26" w:tgtFrame="_blank" w:history="1">
        <w:r w:rsidR="00BB254E" w:rsidRPr="00BB254E">
          <w:rPr>
            <w:rFonts w:ascii="Arial" w:hAnsi="Arial" w:cs="Arial"/>
            <w:color w:val="4285F4"/>
            <w:kern w:val="0"/>
            <w:sz w:val="24"/>
            <w:szCs w:val="24"/>
            <w:u w:val="single"/>
            <w:bdr w:val="none" w:sz="0" w:space="0" w:color="auto" w:frame="1"/>
            <w14:ligatures w14:val="none"/>
          </w:rPr>
          <w:t>https://learning.nspcc.org.uk/safeguarding-child-protection/early-help-and-early-intervention</w:t>
        </w:r>
      </w:hyperlink>
      <w:r w:rsidR="00BB254E" w:rsidRPr="00BB254E">
        <w:rPr>
          <w:rFonts w:ascii="Arial" w:hAnsi="Arial" w:cs="Arial"/>
          <w:color w:val="000000"/>
          <w:kern w:val="0"/>
          <w:bdr w:val="none" w:sz="0" w:space="0" w:color="auto" w:frame="1"/>
          <w14:ligatures w14:val="none"/>
        </w:rPr>
        <w:t> </w:t>
      </w:r>
    </w:p>
    <w:p w14:paraId="0E0281C4" w14:textId="77777777" w:rsidR="00BB254E" w:rsidRPr="00BB254E" w:rsidRDefault="00055B58" w:rsidP="00BB254E">
      <w:pPr>
        <w:rPr>
          <w:rFonts w:ascii="Helvetica Neue" w:hAnsi="Helvetica Neue" w:cs="Times New Roman"/>
          <w:color w:val="313131"/>
          <w:kern w:val="0"/>
          <w:sz w:val="24"/>
          <w:szCs w:val="24"/>
          <w14:ligatures w14:val="none"/>
        </w:rPr>
      </w:pPr>
      <w:hyperlink r:id="rId27" w:tgtFrame="_blank" w:history="1">
        <w:r w:rsidR="00BB254E" w:rsidRPr="00BB254E">
          <w:rPr>
            <w:rFonts w:ascii="Arial" w:hAnsi="Arial" w:cs="Arial"/>
            <w:color w:val="4285F4"/>
            <w:kern w:val="0"/>
            <w:sz w:val="24"/>
            <w:szCs w:val="24"/>
            <w:u w:val="single"/>
            <w:bdr w:val="none" w:sz="0" w:space="0" w:color="auto" w:frame="1"/>
            <w14:ligatures w14:val="none"/>
          </w:rPr>
          <w:t>https://www.cardifffamilies.co.uk/wp-content/uploads/Approaches-and-Interventions-2.pdf</w:t>
        </w:r>
      </w:hyperlink>
      <w:r w:rsidR="00BB254E" w:rsidRPr="00BB254E">
        <w:rPr>
          <w:rFonts w:ascii="Arial" w:hAnsi="Arial" w:cs="Arial"/>
          <w:color w:val="000000"/>
          <w:kern w:val="0"/>
          <w:bdr w:val="none" w:sz="0" w:space="0" w:color="auto" w:frame="1"/>
          <w14:ligatures w14:val="none"/>
        </w:rPr>
        <w:t> </w:t>
      </w:r>
    </w:p>
    <w:p w14:paraId="1138FB5F" w14:textId="77777777" w:rsidR="00BB254E" w:rsidRPr="00BB254E" w:rsidRDefault="00055B58" w:rsidP="00BB254E">
      <w:pPr>
        <w:rPr>
          <w:rFonts w:ascii="Helvetica Neue" w:hAnsi="Helvetica Neue" w:cs="Times New Roman"/>
          <w:color w:val="313131"/>
          <w:kern w:val="0"/>
          <w:sz w:val="24"/>
          <w:szCs w:val="24"/>
          <w14:ligatures w14:val="none"/>
        </w:rPr>
      </w:pPr>
      <w:hyperlink r:id="rId28" w:anchor="defining" w:tgtFrame="_blank" w:history="1">
        <w:r w:rsidR="00BB254E" w:rsidRPr="00BB254E">
          <w:rPr>
            <w:rFonts w:ascii="Arial" w:hAnsi="Arial" w:cs="Arial"/>
            <w:color w:val="4285F4"/>
            <w:kern w:val="0"/>
            <w:sz w:val="24"/>
            <w:szCs w:val="24"/>
            <w:u w:val="single"/>
            <w:bdr w:val="none" w:sz="0" w:space="0" w:color="auto" w:frame="1"/>
            <w14:ligatures w14:val="none"/>
          </w:rPr>
          <w:t>https://www.scie.org.uk/strengths-based-approaches/young-people#defining</w:t>
        </w:r>
      </w:hyperlink>
    </w:p>
    <w:p w14:paraId="521023B5" w14:textId="77777777" w:rsidR="00BB254E" w:rsidRPr="00BB254E" w:rsidRDefault="00055B58" w:rsidP="00BB254E">
      <w:pPr>
        <w:rPr>
          <w:rFonts w:ascii="Helvetica Neue" w:hAnsi="Helvetica Neue" w:cs="Times New Roman"/>
          <w:color w:val="313131"/>
          <w:kern w:val="0"/>
          <w:sz w:val="24"/>
          <w:szCs w:val="24"/>
          <w14:ligatures w14:val="none"/>
        </w:rPr>
      </w:pPr>
      <w:hyperlink r:id="rId29" w:tgtFrame="_blank" w:history="1">
        <w:r w:rsidR="00BB254E" w:rsidRPr="00BB254E">
          <w:rPr>
            <w:rFonts w:ascii="Arial" w:hAnsi="Arial" w:cs="Arial"/>
            <w:color w:val="4285F4"/>
            <w:kern w:val="0"/>
            <w:sz w:val="24"/>
            <w:szCs w:val="24"/>
            <w:u w:val="single"/>
            <w:bdr w:val="none" w:sz="0" w:space="0" w:color="auto" w:frame="1"/>
            <w14:ligatures w14:val="none"/>
          </w:rPr>
          <w:t>https://assets.publishing.service.gov.uk/government/uploads/system/uploads/attachment_data/file/913764/Public_health_approach_to_vulnerability_in_childhood.pdf</w:t>
        </w:r>
      </w:hyperlink>
      <w:r w:rsidR="00BB254E" w:rsidRPr="00BB254E">
        <w:rPr>
          <w:rFonts w:ascii="Arial" w:hAnsi="Arial" w:cs="Arial"/>
          <w:color w:val="000000"/>
          <w:kern w:val="0"/>
          <w:bdr w:val="none" w:sz="0" w:space="0" w:color="auto" w:frame="1"/>
          <w14:ligatures w14:val="none"/>
        </w:rPr>
        <w:t> </w:t>
      </w:r>
    </w:p>
    <w:p w14:paraId="5036B96F" w14:textId="77777777" w:rsidR="00BB254E" w:rsidRPr="00BB254E" w:rsidRDefault="00055B58" w:rsidP="00BB254E">
      <w:pPr>
        <w:rPr>
          <w:rFonts w:ascii="Helvetica Neue" w:hAnsi="Helvetica Neue" w:cs="Times New Roman"/>
          <w:color w:val="313131"/>
          <w:kern w:val="0"/>
          <w:sz w:val="24"/>
          <w:szCs w:val="24"/>
          <w14:ligatures w14:val="none"/>
        </w:rPr>
      </w:pPr>
      <w:hyperlink r:id="rId30" w:anchor="future" w:tgtFrame="_blank" w:history="1">
        <w:r w:rsidR="00BB254E" w:rsidRPr="00BB254E">
          <w:rPr>
            <w:rFonts w:ascii="Arial" w:hAnsi="Arial" w:cs="Arial"/>
            <w:color w:val="4285F4"/>
            <w:kern w:val="0"/>
            <w:sz w:val="24"/>
            <w:szCs w:val="24"/>
            <w:u w:val="single"/>
            <w:bdr w:val="none" w:sz="0" w:space="0" w:color="auto" w:frame="1"/>
            <w14:ligatures w14:val="none"/>
          </w:rPr>
          <w:t>https://www.scie.org.uk/children/innovation#future</w:t>
        </w:r>
      </w:hyperlink>
      <w:r w:rsidR="00BB254E" w:rsidRPr="00BB254E">
        <w:rPr>
          <w:rFonts w:ascii="Arial" w:hAnsi="Arial" w:cs="Arial"/>
          <w:color w:val="000000"/>
          <w:kern w:val="0"/>
          <w:bdr w:val="none" w:sz="0" w:space="0" w:color="auto" w:frame="1"/>
          <w14:ligatures w14:val="none"/>
        </w:rPr>
        <w:t> </w:t>
      </w:r>
    </w:p>
    <w:p w14:paraId="2F7A8929" w14:textId="77777777" w:rsidR="00BB254E" w:rsidRDefault="00BB254E"/>
    <w:sectPr w:rsidR="00BB2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B73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C4C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0A32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446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611073">
    <w:abstractNumId w:val="0"/>
  </w:num>
  <w:num w:numId="2" w16cid:durableId="1403603754">
    <w:abstractNumId w:val="2"/>
  </w:num>
  <w:num w:numId="3" w16cid:durableId="1209994030">
    <w:abstractNumId w:val="3"/>
  </w:num>
  <w:num w:numId="4" w16cid:durableId="203754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4E"/>
    <w:rsid w:val="00055B58"/>
    <w:rsid w:val="00152753"/>
    <w:rsid w:val="002622D2"/>
    <w:rsid w:val="002D1393"/>
    <w:rsid w:val="00354B86"/>
    <w:rsid w:val="00481A87"/>
    <w:rsid w:val="00596593"/>
    <w:rsid w:val="006C3330"/>
    <w:rsid w:val="00A14209"/>
    <w:rsid w:val="00AA0032"/>
    <w:rsid w:val="00BB254E"/>
    <w:rsid w:val="00C431F8"/>
    <w:rsid w:val="00F01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E0540"/>
  <w15:chartTrackingRefBased/>
  <w15:docId w15:val="{D56FB323-1A20-5244-8807-1ACAB1785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254E"/>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BB254E"/>
  </w:style>
  <w:style w:type="character" w:styleId="Hyperlink">
    <w:name w:val="Hyperlink"/>
    <w:basedOn w:val="DefaultParagraphFont"/>
    <w:uiPriority w:val="99"/>
    <w:unhideWhenUsed/>
    <w:rsid w:val="00BB254E"/>
    <w:rPr>
      <w:color w:val="0000FF"/>
      <w:u w:val="single"/>
    </w:rPr>
  </w:style>
  <w:style w:type="character" w:styleId="UnresolvedMention">
    <w:name w:val="Unresolved Mention"/>
    <w:basedOn w:val="DefaultParagraphFont"/>
    <w:uiPriority w:val="99"/>
    <w:semiHidden/>
    <w:unhideWhenUsed/>
    <w:rsid w:val="002D1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early-help-and-early-intervention" TargetMode="External"/><Relationship Id="rId13" Type="http://schemas.openxmlformats.org/officeDocument/2006/relationships/hyperlink" Target="https://raisingchildren.net.au/newborns/development/understanding-development/development-first-five-years" TargetMode="External"/><Relationship Id="rId18" Type="http://schemas.openxmlformats.org/officeDocument/2006/relationships/hyperlink" Target="https://revisionworld.com/a2-level-level-revision/sociology-level-revision/family/childhood" TargetMode="External"/><Relationship Id="rId26" Type="http://schemas.openxmlformats.org/officeDocument/2006/relationships/hyperlink" Target="https://learning.nspcc.org.uk/safeguarding-child-protection/early-help-and-early-intervention" TargetMode="External"/><Relationship Id="rId3" Type="http://schemas.openxmlformats.org/officeDocument/2006/relationships/styles" Target="styles.xml"/><Relationship Id="rId21" Type="http://schemas.openxmlformats.org/officeDocument/2006/relationships/hyperlink" Target="https://www.legislation.gov.uk/ukpga/2012/7/enacted" TargetMode="External"/><Relationship Id="rId7" Type="http://schemas.openxmlformats.org/officeDocument/2006/relationships/hyperlink" Target="https://www.rcpch.ac.uk/resources/child-health-inequalities-position-statement" TargetMode="External"/><Relationship Id="rId12" Type="http://schemas.openxmlformats.org/officeDocument/2006/relationships/hyperlink" Target="https://www.scie.org.uk/children/innovation" TargetMode="External"/><Relationship Id="rId17" Type="http://schemas.openxmlformats.org/officeDocument/2006/relationships/hyperlink" Target="https://helpfulprofessor.com/social-constructions-of-childhood-examples/" TargetMode="External"/><Relationship Id="rId25" Type="http://schemas.openxmlformats.org/officeDocument/2006/relationships/hyperlink" Target="https://www.rcpch.ac.uk/resources/child-health-inequalities-position-statement" TargetMode="External"/><Relationship Id="rId2" Type="http://schemas.openxmlformats.org/officeDocument/2006/relationships/numbering" Target="numbering.xml"/><Relationship Id="rId16" Type="http://schemas.openxmlformats.org/officeDocument/2006/relationships/hyperlink" Target="https://revisesociology.com/2015/05/06/social-construction-of-childhood/" TargetMode="External"/><Relationship Id="rId20" Type="http://schemas.openxmlformats.org/officeDocument/2006/relationships/hyperlink" Target="https://www.legislation.gov.uk/ukpga/2006/40/contents" TargetMode="External"/><Relationship Id="rId29" Type="http://schemas.openxmlformats.org/officeDocument/2006/relationships/hyperlink" Target="https://assets.publishing.service.gov.uk/government/uploads/system/uploads/attachment_data/file/913764/Public_health_approach_to_vulnerability_in_childhood.pdf" TargetMode="External"/><Relationship Id="rId1" Type="http://schemas.openxmlformats.org/officeDocument/2006/relationships/customXml" Target="../customXml/item1.xml"/><Relationship Id="rId6" Type="http://schemas.openxmlformats.org/officeDocument/2006/relationships/hyperlink" Target="https://learning.nspcc.org.uk/child-health-development" TargetMode="External"/><Relationship Id="rId11" Type="http://schemas.openxmlformats.org/officeDocument/2006/relationships/hyperlink" Target="https://assets.publishing.service.gov.uk/government/uploads/system/uploads/attachment_data/file/913764/Public_health_approach_to_vulnerability_in_childhood.pdf" TargetMode="External"/><Relationship Id="rId24" Type="http://schemas.openxmlformats.org/officeDocument/2006/relationships/hyperlink" Target="https://learning.nspcc.org.uk/child-health-develop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cbi.nlm.nih.gov/books/NBK231502/" TargetMode="External"/><Relationship Id="rId23" Type="http://schemas.openxmlformats.org/officeDocument/2006/relationships/hyperlink" Target="https://www.kingsfund.org.uk/publications/what-are-health-inequalities" TargetMode="External"/><Relationship Id="rId28" Type="http://schemas.openxmlformats.org/officeDocument/2006/relationships/hyperlink" Target="https://www.scie.org.uk/strengths-based-approaches/young-people" TargetMode="External"/><Relationship Id="rId10" Type="http://schemas.openxmlformats.org/officeDocument/2006/relationships/hyperlink" Target="https://www.scie.org.uk/strengths-based-approaches/young-people" TargetMode="External"/><Relationship Id="rId19" Type="http://schemas.openxmlformats.org/officeDocument/2006/relationships/hyperlink" Target="https://www.scie.org.uk/key-social-care-legislation/safeguarding-adult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rdifffamilies.co.uk/wp-content/uploads/Approaches-and-Interventions-2.pdf" TargetMode="External"/><Relationship Id="rId14" Type="http://schemas.openxmlformats.org/officeDocument/2006/relationships/hyperlink" Target="https://www.childwelfare.gov/topics/famcentered/philosophy/" TargetMode="External"/><Relationship Id="rId22" Type="http://schemas.openxmlformats.org/officeDocument/2006/relationships/hyperlink" Target="https://hollandfamilylaw.co.uk/what-is-the-children-act-2004/" TargetMode="External"/><Relationship Id="rId27" Type="http://schemas.openxmlformats.org/officeDocument/2006/relationships/hyperlink" Target="https://www.cardifffamilies.co.uk/wp-content/uploads/Approaches-and-Interventions-2.pdf" TargetMode="External"/><Relationship Id="rId30" Type="http://schemas.openxmlformats.org/officeDocument/2006/relationships/hyperlink" Target="https://www.scie.org.uk/children/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53F57-AE01-4A04-B8E4-53F708D6E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3241</Words>
  <Characters>18478</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SEBASTIAO</dc:creator>
  <cp:keywords/>
  <dc:description/>
  <cp:lastModifiedBy>liliane Sebastiao</cp:lastModifiedBy>
  <cp:revision>2</cp:revision>
  <dcterms:created xsi:type="dcterms:W3CDTF">2023-08-30T12:52:00Z</dcterms:created>
  <dcterms:modified xsi:type="dcterms:W3CDTF">2023-08-30T12:52:00Z</dcterms:modified>
</cp:coreProperties>
</file>