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202" w:rsidRPr="00362C91" w:rsidRDefault="00391202" w:rsidP="00391202">
      <w:pPr>
        <w:jc w:val="center"/>
        <w:rPr>
          <w:b/>
          <w:color w:val="7030A0"/>
          <w:sz w:val="44"/>
          <w:szCs w:val="44"/>
        </w:rPr>
      </w:pPr>
      <w:r>
        <w:rPr>
          <w:b/>
          <w:color w:val="7030A0"/>
          <w:sz w:val="44"/>
          <w:szCs w:val="44"/>
        </w:rPr>
        <w:t>Criminal Law</w:t>
      </w:r>
      <w:r w:rsidR="00C07B9D">
        <w:rPr>
          <w:b/>
          <w:color w:val="7030A0"/>
          <w:sz w:val="44"/>
          <w:szCs w:val="44"/>
        </w:rPr>
        <w:t xml:space="preserve"> Portfolio</w:t>
      </w:r>
    </w:p>
    <w:p w:rsidR="00391202" w:rsidRPr="00515286" w:rsidRDefault="00391202" w:rsidP="00391202">
      <w:pPr>
        <w:jc w:val="center"/>
        <w:rPr>
          <w:i/>
          <w:color w:val="7030A0"/>
        </w:rPr>
      </w:pPr>
      <w:r>
        <w:rPr>
          <w:i/>
          <w:color w:val="7030A0"/>
        </w:rPr>
        <w:t>Scenario Question</w:t>
      </w:r>
    </w:p>
    <w:p w:rsidR="00F85595" w:rsidRPr="008D4ED9" w:rsidRDefault="00F85595" w:rsidP="00DF3936">
      <w:pPr>
        <w:spacing w:line="360" w:lineRule="auto"/>
        <w:rPr>
          <w:rFonts w:cs="Times New Roman"/>
          <w:b/>
          <w:sz w:val="28"/>
          <w:szCs w:val="28"/>
        </w:rPr>
      </w:pPr>
    </w:p>
    <w:p w:rsidR="00F85595" w:rsidRPr="008D4ED9" w:rsidRDefault="00F85595" w:rsidP="00DF3936">
      <w:pPr>
        <w:spacing w:line="360" w:lineRule="auto"/>
        <w:rPr>
          <w:rFonts w:cs="Times New Roman"/>
          <w:b/>
          <w:sz w:val="28"/>
          <w:szCs w:val="28"/>
        </w:rPr>
      </w:pPr>
    </w:p>
    <w:p w:rsidR="00F85595" w:rsidRDefault="00F85595"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Default="001665BA" w:rsidP="00DF3936">
      <w:pPr>
        <w:spacing w:line="360" w:lineRule="auto"/>
        <w:rPr>
          <w:rFonts w:cs="Times New Roman"/>
          <w:b/>
          <w:sz w:val="28"/>
          <w:szCs w:val="28"/>
        </w:rPr>
      </w:pPr>
    </w:p>
    <w:p w:rsidR="001665BA" w:rsidRPr="008D4ED9" w:rsidRDefault="001665BA" w:rsidP="00DF3936">
      <w:pPr>
        <w:spacing w:line="360" w:lineRule="auto"/>
        <w:rPr>
          <w:rFonts w:cs="Times New Roman"/>
          <w:b/>
          <w:sz w:val="28"/>
          <w:szCs w:val="28"/>
        </w:rPr>
      </w:pPr>
    </w:p>
    <w:p w:rsidR="00746F81" w:rsidRPr="008D4ED9" w:rsidRDefault="00746F81" w:rsidP="00A7303C">
      <w:pPr>
        <w:pStyle w:val="Heading1"/>
        <w:spacing w:line="360" w:lineRule="auto"/>
        <w:rPr>
          <w:rFonts w:cs="Times New Roman"/>
          <w:b w:val="0"/>
          <w:szCs w:val="28"/>
        </w:rPr>
      </w:pPr>
    </w:p>
    <w:p w:rsidR="00A7303C" w:rsidRPr="008D4ED9" w:rsidRDefault="00A7303C" w:rsidP="00A7303C">
      <w:pPr>
        <w:rPr>
          <w:rFonts w:cs="Times New Roman"/>
        </w:rPr>
      </w:pPr>
    </w:p>
    <w:p w:rsidR="00A7303C" w:rsidRPr="008D4ED9" w:rsidRDefault="00A7303C" w:rsidP="00A7303C">
      <w:pPr>
        <w:rPr>
          <w:rFonts w:cs="Times New Roman"/>
        </w:rPr>
      </w:pPr>
    </w:p>
    <w:p w:rsidR="00A7303C" w:rsidRDefault="00A7303C" w:rsidP="00A7303C">
      <w:pPr>
        <w:rPr>
          <w:rFonts w:cs="Times New Roman"/>
        </w:rPr>
      </w:pPr>
    </w:p>
    <w:p w:rsidR="00391202" w:rsidRDefault="00391202" w:rsidP="00A7303C">
      <w:pPr>
        <w:rPr>
          <w:rFonts w:cs="Times New Roman"/>
        </w:rPr>
      </w:pPr>
    </w:p>
    <w:p w:rsidR="00A04AD4" w:rsidRDefault="00A04AD4" w:rsidP="00A7303C">
      <w:pPr>
        <w:rPr>
          <w:rFonts w:cs="Times New Roman"/>
        </w:rPr>
      </w:pPr>
    </w:p>
    <w:p w:rsidR="005F6B41" w:rsidRPr="008D4ED9" w:rsidRDefault="005F6B41" w:rsidP="00A7303C">
      <w:pPr>
        <w:rPr>
          <w:rFonts w:cs="Times New Roman"/>
        </w:rPr>
      </w:pPr>
    </w:p>
    <w:p w:rsidR="00A04AD4" w:rsidRPr="00391202" w:rsidRDefault="00A04AD4" w:rsidP="002E3219">
      <w:pPr>
        <w:pStyle w:val="Heading1"/>
        <w:spacing w:line="360" w:lineRule="auto"/>
        <w:rPr>
          <w:rFonts w:cs="Times New Roman"/>
          <w:color w:val="7030A0"/>
        </w:rPr>
      </w:pPr>
      <w:bookmarkStart w:id="0" w:name="_Toc117183125"/>
      <w:r w:rsidRPr="00391202">
        <w:rPr>
          <w:rFonts w:cs="Times New Roman"/>
          <w:color w:val="7030A0"/>
        </w:rPr>
        <w:lastRenderedPageBreak/>
        <w:t>Introduction</w:t>
      </w:r>
      <w:bookmarkEnd w:id="0"/>
    </w:p>
    <w:p w:rsidR="002103CA" w:rsidRDefault="002103CA" w:rsidP="002E3219">
      <w:pPr>
        <w:spacing w:line="360" w:lineRule="auto"/>
        <w:rPr>
          <w:rFonts w:cs="Times New Roman"/>
        </w:rPr>
      </w:pPr>
      <w:r w:rsidRPr="008D4ED9">
        <w:rPr>
          <w:rFonts w:cs="Times New Roman"/>
        </w:rPr>
        <w:t xml:space="preserve">Two cases are discussed in this research. Here after discussing each aspect of the two cases it is decided </w:t>
      </w:r>
      <w:r w:rsidR="005C6C77">
        <w:rPr>
          <w:rFonts w:cs="Times New Roman"/>
        </w:rPr>
        <w:t>who is the real culprit and what</w:t>
      </w:r>
      <w:r w:rsidRPr="008D4ED9">
        <w:rPr>
          <w:rFonts w:cs="Times New Roman"/>
        </w:rPr>
        <w:t xml:space="preserve"> his punishment</w:t>
      </w:r>
      <w:r w:rsidR="005C6C77">
        <w:rPr>
          <w:rFonts w:cs="Times New Roman"/>
        </w:rPr>
        <w:t xml:space="preserve"> should be</w:t>
      </w:r>
      <w:r w:rsidRPr="008D4ED9">
        <w:rPr>
          <w:rFonts w:cs="Times New Roman"/>
        </w:rPr>
        <w:t>. The first case in this research is the case between Ronan and Hadley. This study describes the events that occurred between the two individuals and explains how the law of duress applies to Hadley. The second case is between Freya, Nicky, and Mike</w:t>
      </w:r>
      <w:r w:rsidR="002E3219" w:rsidRPr="008D4ED9">
        <w:rPr>
          <w:rFonts w:cs="Times New Roman"/>
        </w:rPr>
        <w:t xml:space="preserve"> (</w:t>
      </w:r>
      <w:proofErr w:type="spellStart"/>
      <w:r w:rsidR="002E3219" w:rsidRPr="008D4ED9">
        <w:rPr>
          <w:rFonts w:cs="Times New Roman"/>
        </w:rPr>
        <w:t>Turchan</w:t>
      </w:r>
      <w:proofErr w:type="spellEnd"/>
      <w:r w:rsidR="002E3219" w:rsidRPr="008D4ED9">
        <w:rPr>
          <w:rFonts w:cs="Times New Roman"/>
        </w:rPr>
        <w:t xml:space="preserve"> et al. 2019)</w:t>
      </w:r>
      <w:r w:rsidRPr="008D4ED9">
        <w:rPr>
          <w:rFonts w:cs="Times New Roman"/>
        </w:rPr>
        <w:t>. This research discusses the problems that the three of them had and how Freya would handle her case if Mike sued Freya for drunken assault.</w:t>
      </w:r>
    </w:p>
    <w:p w:rsidR="00391202" w:rsidRPr="008D4ED9" w:rsidRDefault="00391202" w:rsidP="002E3219">
      <w:pPr>
        <w:spacing w:line="360" w:lineRule="auto"/>
        <w:rPr>
          <w:rFonts w:cs="Times New Roman"/>
        </w:rPr>
      </w:pPr>
    </w:p>
    <w:p w:rsidR="00A04AD4" w:rsidRPr="00391202" w:rsidRDefault="00E237B5" w:rsidP="002E3219">
      <w:pPr>
        <w:pStyle w:val="Heading2"/>
        <w:spacing w:line="360" w:lineRule="auto"/>
        <w:rPr>
          <w:rFonts w:cs="Times New Roman"/>
          <w:color w:val="7030A0"/>
          <w:sz w:val="28"/>
          <w:szCs w:val="28"/>
          <w:u w:val="single"/>
        </w:rPr>
      </w:pPr>
      <w:bookmarkStart w:id="1" w:name="_Toc117183126"/>
      <w:r w:rsidRPr="00391202">
        <w:rPr>
          <w:rFonts w:cs="Times New Roman"/>
          <w:color w:val="7030A0"/>
          <w:sz w:val="28"/>
          <w:szCs w:val="28"/>
          <w:u w:val="single"/>
        </w:rPr>
        <w:t>Part-A (First Case Ronan and Hadley)</w:t>
      </w:r>
      <w:bookmarkEnd w:id="1"/>
    </w:p>
    <w:p w:rsidR="002103CA" w:rsidRPr="008D4ED9" w:rsidRDefault="00E237B5" w:rsidP="002E3219">
      <w:pPr>
        <w:spacing w:line="360" w:lineRule="auto"/>
        <w:rPr>
          <w:rFonts w:cs="Times New Roman"/>
        </w:rPr>
      </w:pPr>
      <w:r w:rsidRPr="008D4ED9">
        <w:rPr>
          <w:rFonts w:cs="Times New Roman"/>
        </w:rPr>
        <w:t xml:space="preserve">The first case is about Ronan and Hadley. Ronan is a successful businessman and has a habit of flaunting expensive clothes. He recently purchased a pair of </w:t>
      </w:r>
      <w:proofErr w:type="spellStart"/>
      <w:r w:rsidRPr="008D4ED9">
        <w:rPr>
          <w:rFonts w:cs="Times New Roman"/>
        </w:rPr>
        <w:t>Bucci</w:t>
      </w:r>
      <w:proofErr w:type="spellEnd"/>
      <w:r w:rsidRPr="008D4ED9">
        <w:rPr>
          <w:rFonts w:cs="Times New Roman"/>
        </w:rPr>
        <w:t xml:space="preserve"> traine</w:t>
      </w:r>
      <w:r w:rsidR="005C6C77">
        <w:rPr>
          <w:rFonts w:cs="Times New Roman"/>
        </w:rPr>
        <w:t>rs. Ronan always brags about his</w:t>
      </w:r>
      <w:r w:rsidRPr="008D4ED9">
        <w:rPr>
          <w:rFonts w:cs="Times New Roman"/>
        </w:rPr>
        <w:t xml:space="preserve"> </w:t>
      </w:r>
      <w:proofErr w:type="spellStart"/>
      <w:r w:rsidRPr="008D4ED9">
        <w:rPr>
          <w:rFonts w:cs="Times New Roman"/>
        </w:rPr>
        <w:t>Bucci</w:t>
      </w:r>
      <w:proofErr w:type="spellEnd"/>
      <w:r w:rsidRPr="008D4ED9">
        <w:rPr>
          <w:rFonts w:cs="Times New Roman"/>
        </w:rPr>
        <w:t xml:space="preserve"> trainer</w:t>
      </w:r>
      <w:r w:rsidR="005C6C77">
        <w:rPr>
          <w:rFonts w:cs="Times New Roman"/>
        </w:rPr>
        <w:t>s</w:t>
      </w:r>
      <w:r w:rsidRPr="008D4ED9">
        <w:rPr>
          <w:rFonts w:cs="Times New Roman"/>
        </w:rPr>
        <w:t xml:space="preserve"> to his friends and tells a lot of stories about it. Among</w:t>
      </w:r>
      <w:r w:rsidR="005C6C77">
        <w:rPr>
          <w:rFonts w:cs="Times New Roman"/>
        </w:rPr>
        <w:t>st</w:t>
      </w:r>
      <w:r w:rsidRPr="008D4ED9">
        <w:rPr>
          <w:rFonts w:cs="Times New Roman"/>
        </w:rPr>
        <w:t xml:space="preserve"> his friends is a friend named Hadley who is interested in the </w:t>
      </w:r>
      <w:proofErr w:type="spellStart"/>
      <w:r w:rsidRPr="008D4ED9">
        <w:rPr>
          <w:rFonts w:cs="Times New Roman"/>
        </w:rPr>
        <w:t>Bucci</w:t>
      </w:r>
      <w:proofErr w:type="spellEnd"/>
      <w:r w:rsidRPr="008D4ED9">
        <w:rPr>
          <w:rFonts w:cs="Times New Roman"/>
        </w:rPr>
        <w:t xml:space="preserve"> trainer</w:t>
      </w:r>
      <w:r w:rsidR="005C6C77">
        <w:rPr>
          <w:rFonts w:cs="Times New Roman"/>
        </w:rPr>
        <w:t>s</w:t>
      </w:r>
      <w:r w:rsidRPr="008D4ED9">
        <w:rPr>
          <w:rFonts w:cs="Times New Roman"/>
        </w:rPr>
        <w:t>. Ronan suddenly plans to go to the Maldives and leaves home for the airport one day. After Ronan leaves the house, Hadley goes</w:t>
      </w:r>
      <w:r w:rsidR="005C6C77">
        <w:rPr>
          <w:rFonts w:cs="Times New Roman"/>
        </w:rPr>
        <w:t xml:space="preserve"> to Ronan's house to steal trainers</w:t>
      </w:r>
      <w:r w:rsidRPr="008D4ED9">
        <w:rPr>
          <w:rFonts w:cs="Times New Roman"/>
        </w:rPr>
        <w:t>. Unable to enter the house directly, Hadley went through the garden to the house door and broke the d</w:t>
      </w:r>
      <w:r w:rsidR="005C6C77">
        <w:rPr>
          <w:rFonts w:cs="Times New Roman"/>
        </w:rPr>
        <w:t>oor frame through the cat's flap</w:t>
      </w:r>
      <w:r w:rsidRPr="008D4ED9">
        <w:rPr>
          <w:rFonts w:cs="Times New Roman"/>
        </w:rPr>
        <w:t xml:space="preserve">. Hadley searched the entire house but did not find </w:t>
      </w:r>
      <w:r w:rsidR="006D1C03">
        <w:rPr>
          <w:rFonts w:cs="Times New Roman"/>
        </w:rPr>
        <w:t xml:space="preserve">the </w:t>
      </w:r>
      <w:proofErr w:type="spellStart"/>
      <w:r w:rsidR="006D1C03">
        <w:rPr>
          <w:rFonts w:cs="Times New Roman"/>
        </w:rPr>
        <w:t>Bucci</w:t>
      </w:r>
      <w:proofErr w:type="spellEnd"/>
      <w:r w:rsidR="006D1C03">
        <w:rPr>
          <w:rFonts w:cs="Times New Roman"/>
        </w:rPr>
        <w:t xml:space="preserve"> </w:t>
      </w:r>
      <w:r w:rsidRPr="008D4ED9">
        <w:rPr>
          <w:rFonts w:cs="Times New Roman"/>
        </w:rPr>
        <w:t>trainer</w:t>
      </w:r>
      <w:r w:rsidR="005C6C77">
        <w:rPr>
          <w:rFonts w:cs="Times New Roman"/>
        </w:rPr>
        <w:t>s</w:t>
      </w:r>
      <w:r w:rsidR="002E3219" w:rsidRPr="008D4ED9">
        <w:rPr>
          <w:rFonts w:cs="Times New Roman"/>
        </w:rPr>
        <w:t xml:space="preserve"> (Cryer et al. 2019)</w:t>
      </w:r>
      <w:r w:rsidRPr="008D4ED9">
        <w:rPr>
          <w:rFonts w:cs="Times New Roman"/>
        </w:rPr>
        <w:t>. Hadley suddenly finds a "</w:t>
      </w:r>
      <w:proofErr w:type="spellStart"/>
      <w:r w:rsidRPr="008D4ED9">
        <w:rPr>
          <w:rFonts w:cs="Times New Roman"/>
        </w:rPr>
        <w:t>Kolex</w:t>
      </w:r>
      <w:proofErr w:type="spellEnd"/>
      <w:r w:rsidRPr="008D4ED9">
        <w:rPr>
          <w:rFonts w:cs="Times New Roman"/>
        </w:rPr>
        <w:t>" watch and steals it</w:t>
      </w:r>
      <w:r w:rsidR="002E3219" w:rsidRPr="008D4ED9">
        <w:rPr>
          <w:rFonts w:cs="Times New Roman"/>
        </w:rPr>
        <w:t xml:space="preserve"> (Dickens et al. 2017)</w:t>
      </w:r>
      <w:r w:rsidRPr="008D4ED9">
        <w:rPr>
          <w:rFonts w:cs="Times New Roman"/>
        </w:rPr>
        <w:t xml:space="preserve">. Then he goes to the dressing room and pours aftershave </w:t>
      </w:r>
      <w:r w:rsidR="005C6C77">
        <w:rPr>
          <w:rFonts w:cs="Times New Roman"/>
        </w:rPr>
        <w:t>into the room bin and sets it on fire</w:t>
      </w:r>
      <w:r w:rsidRPr="008D4ED9">
        <w:rPr>
          <w:rFonts w:cs="Times New Roman"/>
        </w:rPr>
        <w:t xml:space="preserve">. </w:t>
      </w:r>
    </w:p>
    <w:p w:rsidR="00E237B5" w:rsidRPr="008D4ED9" w:rsidRDefault="005C6C77" w:rsidP="002E3219">
      <w:pPr>
        <w:spacing w:line="360" w:lineRule="auto"/>
        <w:rPr>
          <w:rFonts w:cs="Times New Roman"/>
        </w:rPr>
      </w:pPr>
      <w:r>
        <w:rPr>
          <w:rFonts w:cs="Times New Roman"/>
        </w:rPr>
        <w:t>Hadley’s</w:t>
      </w:r>
      <w:r w:rsidR="00E237B5" w:rsidRPr="008D4ED9">
        <w:rPr>
          <w:rFonts w:cs="Times New Roman"/>
        </w:rPr>
        <w:t xml:space="preserve"> crimes in this case </w:t>
      </w:r>
      <w:r>
        <w:rPr>
          <w:rFonts w:cs="Times New Roman"/>
        </w:rPr>
        <w:t>included stealing, breaking and entering the house without permission and</w:t>
      </w:r>
      <w:r w:rsidR="00E237B5" w:rsidRPr="008D4ED9">
        <w:rPr>
          <w:rFonts w:cs="Times New Roman"/>
        </w:rPr>
        <w:t xml:space="preserve"> arson. According to the 1968 act, theft is taking someone's own valuables without permission. For example, a thief enters a person's house and steals a mobile phone without his permission. This is commonly referred to as stealing under UK law. In this case, without Ronan's permission, Hadley goes to Ronan's house to steal </w:t>
      </w:r>
      <w:r>
        <w:rPr>
          <w:rFonts w:cs="Times New Roman"/>
        </w:rPr>
        <w:t xml:space="preserve">the </w:t>
      </w:r>
      <w:proofErr w:type="spellStart"/>
      <w:r w:rsidR="00E237B5" w:rsidRPr="008D4ED9">
        <w:rPr>
          <w:rFonts w:cs="Times New Roman"/>
        </w:rPr>
        <w:t>Bucci</w:t>
      </w:r>
      <w:proofErr w:type="spellEnd"/>
      <w:r w:rsidR="00E237B5" w:rsidRPr="008D4ED9">
        <w:rPr>
          <w:rFonts w:cs="Times New Roman"/>
        </w:rPr>
        <w:t xml:space="preserve"> </w:t>
      </w:r>
      <w:r>
        <w:rPr>
          <w:rFonts w:cs="Times New Roman"/>
        </w:rPr>
        <w:t>trainers but when this</w:t>
      </w:r>
      <w:r w:rsidR="00E237B5" w:rsidRPr="008D4ED9">
        <w:rPr>
          <w:rFonts w:cs="Times New Roman"/>
        </w:rPr>
        <w:t xml:space="preserve"> is not found, he steals a </w:t>
      </w:r>
      <w:proofErr w:type="spellStart"/>
      <w:r w:rsidR="00E237B5" w:rsidRPr="008D4ED9">
        <w:rPr>
          <w:rFonts w:cs="Times New Roman"/>
        </w:rPr>
        <w:t>Kolex</w:t>
      </w:r>
      <w:proofErr w:type="spellEnd"/>
      <w:r w:rsidR="00E237B5" w:rsidRPr="008D4ED9">
        <w:rPr>
          <w:rFonts w:cs="Times New Roman"/>
        </w:rPr>
        <w:t xml:space="preserve"> brand watch. The judge could find Hadley a thief and sentence him in accordance with UK law, as the UK has a his</w:t>
      </w:r>
      <w:r w:rsidR="006D1C03">
        <w:rPr>
          <w:rFonts w:cs="Times New Roman"/>
        </w:rPr>
        <w:t>tory of sentencing thieves to 10 or 14</w:t>
      </w:r>
      <w:r w:rsidR="00E237B5" w:rsidRPr="008D4ED9">
        <w:rPr>
          <w:rFonts w:cs="Times New Roman"/>
        </w:rPr>
        <w:t xml:space="preserve"> years in various cases</w:t>
      </w:r>
      <w:r w:rsidR="002E3219" w:rsidRPr="008D4ED9">
        <w:rPr>
          <w:rFonts w:cs="Times New Roman"/>
        </w:rPr>
        <w:t xml:space="preserve"> (</w:t>
      </w:r>
      <w:proofErr w:type="spellStart"/>
      <w:r w:rsidR="002E3219" w:rsidRPr="008D4ED9">
        <w:rPr>
          <w:rFonts w:cs="Times New Roman"/>
        </w:rPr>
        <w:t>Barrowcliffe</w:t>
      </w:r>
      <w:proofErr w:type="spellEnd"/>
      <w:r w:rsidR="002E3219" w:rsidRPr="008D4ED9">
        <w:rPr>
          <w:rFonts w:cs="Times New Roman"/>
        </w:rPr>
        <w:t xml:space="preserve"> et al. 2016)</w:t>
      </w:r>
      <w:r w:rsidR="00E237B5" w:rsidRPr="008D4ED9">
        <w:rPr>
          <w:rFonts w:cs="Times New Roman"/>
        </w:rPr>
        <w:t>. Under UK law, Hadley could face a fine of any amount or imprisonment for any term if found guilty.</w:t>
      </w:r>
    </w:p>
    <w:p w:rsidR="00E237B5" w:rsidRPr="008D4ED9" w:rsidRDefault="00E237B5" w:rsidP="002E3219">
      <w:pPr>
        <w:spacing w:line="360" w:lineRule="auto"/>
        <w:rPr>
          <w:rFonts w:cs="Times New Roman"/>
        </w:rPr>
      </w:pPr>
      <w:r w:rsidRPr="008D4ED9">
        <w:rPr>
          <w:rFonts w:cs="Times New Roman"/>
        </w:rPr>
        <w:t>In this case, Hadley entered Ronan's house by breakin</w:t>
      </w:r>
      <w:r w:rsidR="006D1C03">
        <w:rPr>
          <w:rFonts w:cs="Times New Roman"/>
        </w:rPr>
        <w:t>g the lock of Ronan's house and</w:t>
      </w:r>
      <w:r w:rsidRPr="008D4ED9">
        <w:rPr>
          <w:rFonts w:cs="Times New Roman"/>
        </w:rPr>
        <w:t xml:space="preserve"> unable to directly enter the house, broke the lock through the cat's fl</w:t>
      </w:r>
      <w:r w:rsidR="005C6C77">
        <w:rPr>
          <w:rFonts w:cs="Times New Roman"/>
        </w:rPr>
        <w:t>ap</w:t>
      </w:r>
      <w:r w:rsidRPr="008D4ED9">
        <w:rPr>
          <w:rFonts w:cs="Times New Roman"/>
        </w:rPr>
        <w:t xml:space="preserve"> and then entered the house. According to UK law, it is illegal to enter a home without the owner's permission and in such </w:t>
      </w:r>
      <w:r w:rsidRPr="008D4ED9">
        <w:rPr>
          <w:rFonts w:cs="Times New Roman"/>
        </w:rPr>
        <w:lastRenderedPageBreak/>
        <w:t>a case, if anything is missing from the</w:t>
      </w:r>
      <w:r w:rsidR="006D1C03">
        <w:rPr>
          <w:rFonts w:cs="Times New Roman"/>
        </w:rPr>
        <w:t xml:space="preserve"> home, the person is held liable</w:t>
      </w:r>
      <w:r w:rsidRPr="008D4ED9">
        <w:rPr>
          <w:rFonts w:cs="Times New Roman"/>
        </w:rPr>
        <w:t>.</w:t>
      </w:r>
      <w:r w:rsidR="002103CA" w:rsidRPr="008D4ED9">
        <w:rPr>
          <w:rFonts w:cs="Times New Roman"/>
        </w:rPr>
        <w:t xml:space="preserve"> </w:t>
      </w:r>
      <w:r w:rsidRPr="008D4ED9">
        <w:rPr>
          <w:rFonts w:cs="Times New Roman"/>
        </w:rPr>
        <w:t>As Hadley entered Ronan's house without permission by breaking t</w:t>
      </w:r>
      <w:r w:rsidR="005C6C77">
        <w:rPr>
          <w:rFonts w:cs="Times New Roman"/>
        </w:rPr>
        <w:t>he lock of</w:t>
      </w:r>
      <w:r w:rsidRPr="008D4ED9">
        <w:rPr>
          <w:rFonts w:cs="Times New Roman"/>
        </w:rPr>
        <w:t xml:space="preserve"> the door, Hadley is guilty under UK law, and as Hadley stole a watch from the house he is guilty of both burglary and trespassing</w:t>
      </w:r>
      <w:r w:rsidR="002E3219" w:rsidRPr="008D4ED9">
        <w:rPr>
          <w:rFonts w:cs="Times New Roman"/>
        </w:rPr>
        <w:t xml:space="preserve"> (</w:t>
      </w:r>
      <w:proofErr w:type="spellStart"/>
      <w:r w:rsidR="002E3219" w:rsidRPr="008D4ED9">
        <w:rPr>
          <w:rFonts w:cs="Times New Roman"/>
        </w:rPr>
        <w:t>Kurilovska</w:t>
      </w:r>
      <w:proofErr w:type="spellEnd"/>
      <w:r w:rsidR="002E3219" w:rsidRPr="008D4ED9">
        <w:rPr>
          <w:rFonts w:cs="Times New Roman"/>
        </w:rPr>
        <w:t xml:space="preserve"> et al. 2020)</w:t>
      </w:r>
      <w:r w:rsidRPr="008D4ED9">
        <w:rPr>
          <w:rFonts w:cs="Times New Roman"/>
        </w:rPr>
        <w:t xml:space="preserve">. Under UK law, Hadley could be fined any sum of money or jailed for several years for breaking into Ronan's home without permission. </w:t>
      </w:r>
    </w:p>
    <w:p w:rsidR="00E237B5" w:rsidRDefault="00E237B5" w:rsidP="002E3219">
      <w:pPr>
        <w:spacing w:line="360" w:lineRule="auto"/>
        <w:rPr>
          <w:rFonts w:cs="Times New Roman"/>
        </w:rPr>
      </w:pPr>
      <w:r w:rsidRPr="008D4ED9">
        <w:rPr>
          <w:rFonts w:cs="Times New Roman"/>
        </w:rPr>
        <w:t>The criminal case here by Hadley is arson. Arson is more serious and dangerous than the other two offenses which are covered</w:t>
      </w:r>
      <w:r w:rsidR="006D1C03">
        <w:rPr>
          <w:rFonts w:cs="Times New Roman"/>
        </w:rPr>
        <w:t xml:space="preserve"> by the criminal law. Sections </w:t>
      </w:r>
      <w:r w:rsidRPr="008D4ED9">
        <w:rPr>
          <w:rFonts w:cs="Times New Roman"/>
        </w:rPr>
        <w:t>(1) and (3) of the UK Act provide</w:t>
      </w:r>
      <w:r w:rsidR="006D1C03">
        <w:rPr>
          <w:rFonts w:cs="Times New Roman"/>
        </w:rPr>
        <w:t>d</w:t>
      </w:r>
      <w:r w:rsidRPr="008D4ED9">
        <w:rPr>
          <w:rFonts w:cs="Times New Roman"/>
        </w:rPr>
        <w:t xml:space="preserve"> that a person is guilty of setting fire to another person's property or building without reasonable c</w:t>
      </w:r>
      <w:r w:rsidR="006D1C03">
        <w:rPr>
          <w:rFonts w:cs="Times New Roman"/>
        </w:rPr>
        <w:t>ause will be done and punished</w:t>
      </w:r>
      <w:r w:rsidRPr="008D4ED9">
        <w:rPr>
          <w:rFonts w:cs="Times New Roman"/>
        </w:rPr>
        <w:t xml:space="preserve"> under criminal law. </w:t>
      </w:r>
      <w:r w:rsidR="002103CA" w:rsidRPr="008D4ED9">
        <w:rPr>
          <w:rFonts w:cs="Times New Roman"/>
        </w:rPr>
        <w:t xml:space="preserve"> </w:t>
      </w:r>
      <w:r w:rsidRPr="008D4ED9">
        <w:rPr>
          <w:rFonts w:cs="Times New Roman"/>
        </w:rPr>
        <w:t xml:space="preserve">According to the Criminal Damage Rules 1971, it is a highly punishable offense to enter a house without the permission of a person and to set it on fire, and this offense is included in the Criminal Code and the offender is punished. Sections 274 and 285 of Schedule 19 of the UK Act make anyone who burns another person's property, building or other property without permission </w:t>
      </w:r>
      <w:r w:rsidR="006D1C03">
        <w:rPr>
          <w:rFonts w:cs="Times New Roman"/>
        </w:rPr>
        <w:t xml:space="preserve">is </w:t>
      </w:r>
      <w:r w:rsidRPr="008D4ED9">
        <w:rPr>
          <w:rFonts w:cs="Times New Roman"/>
        </w:rPr>
        <w:t>punishable with life imprisonment</w:t>
      </w:r>
      <w:r w:rsidR="008D4ED9" w:rsidRPr="008D4ED9">
        <w:rPr>
          <w:rFonts w:cs="Times New Roman"/>
        </w:rPr>
        <w:t xml:space="preserve"> (O’Sullivan et al. 2022)</w:t>
      </w:r>
      <w:r w:rsidRPr="008D4ED9">
        <w:rPr>
          <w:rFonts w:cs="Times New Roman"/>
        </w:rPr>
        <w:t>.</w:t>
      </w:r>
      <w:r w:rsidR="002103CA" w:rsidRPr="008D4ED9">
        <w:rPr>
          <w:rFonts w:cs="Times New Roman"/>
        </w:rPr>
        <w:t xml:space="preserve"> </w:t>
      </w:r>
      <w:r w:rsidRPr="008D4ED9">
        <w:rPr>
          <w:rFonts w:cs="Times New Roman"/>
        </w:rPr>
        <w:t>In this case, because Hadley entered Ronan's home without his permission and set fire to the dressing room, Hadley would be sentenced to life imprisonment under sections 274 and 285 o</w:t>
      </w:r>
      <w:r w:rsidR="002103CA" w:rsidRPr="008D4ED9">
        <w:rPr>
          <w:rFonts w:cs="Times New Roman"/>
        </w:rPr>
        <w:t xml:space="preserve">f the Schedule 19 offence. </w:t>
      </w:r>
      <w:r w:rsidRPr="008D4ED9">
        <w:rPr>
          <w:rFonts w:cs="Times New Roman"/>
        </w:rPr>
        <w:t>Investigating the case, it is revealed that Hadley broke into Ronan's house w</w:t>
      </w:r>
      <w:r w:rsidR="006475B0">
        <w:rPr>
          <w:rFonts w:cs="Times New Roman"/>
        </w:rPr>
        <w:t>ithout permission to steal the trainers</w:t>
      </w:r>
      <w:r w:rsidRPr="008D4ED9">
        <w:rPr>
          <w:rFonts w:cs="Times New Roman"/>
        </w:rPr>
        <w:t>. Hadley, unable to find this valuable item, steals a watch and burns down Ronan's dressing room upon arrival. There is no logical reason for Hadley to burn down Ronan's house. So it's clear that Hadley entered Ronan's house for immoral purposes and burned down his dressing room for no apparent reason. As a result, Hadley will be jailed for life under UK law.</w:t>
      </w:r>
      <w:bookmarkStart w:id="2" w:name="_GoBack"/>
      <w:bookmarkEnd w:id="2"/>
      <w:r w:rsidR="006475B0">
        <w:rPr>
          <w:rFonts w:cs="Times New Roman"/>
        </w:rPr>
        <w:t xml:space="preserve"> </w:t>
      </w:r>
    </w:p>
    <w:p w:rsidR="00391202" w:rsidRPr="008D4ED9" w:rsidRDefault="00391202" w:rsidP="002E3219">
      <w:pPr>
        <w:spacing w:line="360" w:lineRule="auto"/>
        <w:rPr>
          <w:rFonts w:cs="Times New Roman"/>
        </w:rPr>
      </w:pPr>
    </w:p>
    <w:p w:rsidR="00E237B5" w:rsidRPr="00391202" w:rsidRDefault="00E237B5" w:rsidP="002E3219">
      <w:pPr>
        <w:pStyle w:val="Heading2"/>
        <w:spacing w:line="360" w:lineRule="auto"/>
        <w:rPr>
          <w:rFonts w:cs="Times New Roman"/>
          <w:color w:val="7030A0"/>
          <w:sz w:val="28"/>
          <w:szCs w:val="28"/>
          <w:u w:val="single"/>
        </w:rPr>
      </w:pPr>
      <w:bookmarkStart w:id="3" w:name="_Toc117183127"/>
      <w:r w:rsidRPr="00391202">
        <w:rPr>
          <w:rFonts w:cs="Times New Roman"/>
          <w:color w:val="7030A0"/>
          <w:sz w:val="28"/>
          <w:szCs w:val="28"/>
          <w:u w:val="single"/>
        </w:rPr>
        <w:t>Part-B (Second Case of Freya, Nicky and Mike)</w:t>
      </w:r>
      <w:bookmarkEnd w:id="3"/>
    </w:p>
    <w:p w:rsidR="00E237B5" w:rsidRPr="008D4ED9" w:rsidRDefault="00E237B5" w:rsidP="002E3219">
      <w:pPr>
        <w:spacing w:line="360" w:lineRule="auto"/>
        <w:rPr>
          <w:rFonts w:cs="Times New Roman"/>
        </w:rPr>
      </w:pPr>
      <w:r w:rsidRPr="008D4ED9">
        <w:rPr>
          <w:rFonts w:cs="Times New Roman"/>
        </w:rPr>
        <w:t>The second case is a problem between Freya, Nicky and Mike who are three students at the same university. The student, named Freya, had epilepsy as a child but had not taken any medication for the past 10 years as she had no seizures during this period. Freya and Nicky went to celebrate together at a weekly party where both drank intoxicating gin. They each finished about six bottles of gin. Back at home, Freya suddenly started vomiting and was convulsing on the floor</w:t>
      </w:r>
      <w:r w:rsidR="008D4ED9" w:rsidRPr="008D4ED9">
        <w:rPr>
          <w:rFonts w:cs="Times New Roman"/>
        </w:rPr>
        <w:t xml:space="preserve"> (Hutton et al. 2020)</w:t>
      </w:r>
      <w:r w:rsidRPr="008D4ED9">
        <w:rPr>
          <w:rFonts w:cs="Times New Roman"/>
        </w:rPr>
        <w:t xml:space="preserve">. In such a situation, Nicky went to the kitchen to get a bottle to heal him and, seeing the situation, called Mike from the next room. Mike comes from next door to help Freya but Freya punches Mike in the face while unconscious, scarring his face. The culprit in this case is Freya lying on the floor in an epileptic seizure and </w:t>
      </w:r>
      <w:r w:rsidRPr="008D4ED9">
        <w:rPr>
          <w:rFonts w:cs="Times New Roman"/>
        </w:rPr>
        <w:lastRenderedPageBreak/>
        <w:t>unconscious Mike touching her and causing the scar.</w:t>
      </w:r>
      <w:r w:rsidR="002103CA" w:rsidRPr="008D4ED9">
        <w:rPr>
          <w:rFonts w:cs="Times New Roman"/>
        </w:rPr>
        <w:t xml:space="preserve"> </w:t>
      </w:r>
      <w:r w:rsidRPr="008D4ED9">
        <w:rPr>
          <w:rFonts w:cs="Times New Roman"/>
        </w:rPr>
        <w:t xml:space="preserve">Now it is a matter of course that Mike will file a case against Freya under 47 Offenses Act 1861 that Freya </w:t>
      </w:r>
      <w:r w:rsidR="002103CA" w:rsidRPr="008D4ED9">
        <w:rPr>
          <w:rFonts w:cs="Times New Roman"/>
        </w:rPr>
        <w:t>wilfully</w:t>
      </w:r>
      <w:r w:rsidRPr="008D4ED9">
        <w:rPr>
          <w:rFonts w:cs="Times New Roman"/>
        </w:rPr>
        <w:t xml:space="preserve"> laid his hands on Mike and physically harmed him.</w:t>
      </w:r>
    </w:p>
    <w:p w:rsidR="00E237B5" w:rsidRPr="008D4ED9" w:rsidRDefault="00E237B5" w:rsidP="002E3219">
      <w:pPr>
        <w:spacing w:line="360" w:lineRule="auto"/>
        <w:rPr>
          <w:rFonts w:cs="Times New Roman"/>
        </w:rPr>
      </w:pPr>
      <w:r w:rsidRPr="008D4ED9">
        <w:rPr>
          <w:rFonts w:cs="Times New Roman"/>
        </w:rPr>
        <w:t>Now let's have a clear idea of ​​how Freya can deal with her problems. Freya is an epileptic who has not taken any medication for the past 10 years to avoid seizures. Freya can deal with the case that she is not only intoxicated by drinking gin but is an epileptic. Since he is usually an epileptic and has not had seizures in the past 10 years, there is no possibility that he will not have seizures in the future</w:t>
      </w:r>
      <w:r w:rsidR="008D4ED9" w:rsidRPr="008D4ED9">
        <w:rPr>
          <w:rFonts w:cs="Times New Roman"/>
        </w:rPr>
        <w:t xml:space="preserve"> (Haydock et al. 2016)</w:t>
      </w:r>
      <w:r w:rsidRPr="008D4ED9">
        <w:rPr>
          <w:rFonts w:cs="Times New Roman"/>
        </w:rPr>
        <w:t xml:space="preserve">. Now as Freya lays on the ground in an epileptic fit, she lays her hands on Mike while he is unconscious. Voluntary intoxication is never a defence to the offense of fundamental doctrine. Therefore, where the accused has voluntarily placed him in such a position that he is unable to form the mental elements of the crime in the country, it will be evidence of a defence to the crime of specific intent. </w:t>
      </w:r>
    </w:p>
    <w:p w:rsidR="00E237B5" w:rsidRDefault="00E237B5" w:rsidP="002E3219">
      <w:pPr>
        <w:spacing w:line="360" w:lineRule="auto"/>
        <w:rPr>
          <w:rFonts w:cs="Times New Roman"/>
        </w:rPr>
      </w:pPr>
      <w:r w:rsidRPr="008D4ED9">
        <w:rPr>
          <w:rFonts w:cs="Times New Roman"/>
        </w:rPr>
        <w:t>Under UK law, it is an offense for a person to voluntarily place themselves in a state of intoxication and injure someone while in that state. Because this person has entered the state of intoxication by his own will, so if he commits a crime in this state, he has to accept the responsibility himself</w:t>
      </w:r>
      <w:r w:rsidR="008D4ED9" w:rsidRPr="008D4ED9">
        <w:rPr>
          <w:rFonts w:cs="Times New Roman"/>
        </w:rPr>
        <w:t xml:space="preserve"> (Murphy et al. 2019)</w:t>
      </w:r>
      <w:r w:rsidRPr="008D4ED9">
        <w:rPr>
          <w:rFonts w:cs="Times New Roman"/>
        </w:rPr>
        <w:t>.</w:t>
      </w:r>
      <w:r w:rsidR="002103CA" w:rsidRPr="008D4ED9">
        <w:rPr>
          <w:rFonts w:cs="Times New Roman"/>
        </w:rPr>
        <w:t xml:space="preserve"> </w:t>
      </w:r>
      <w:r w:rsidRPr="008D4ED9">
        <w:rPr>
          <w:rFonts w:cs="Times New Roman"/>
        </w:rPr>
        <w:t xml:space="preserve">But Freya was an epileptic and drank while epileptic. So intoxication and epilepsy are responsible for his conscious state. Because not only intoxication is responsible for the condition in which he raised his hand on Mike, but he is epileptic and responsible for this condition. So the UK law towards Freya should be somewhat relaxed. </w:t>
      </w:r>
      <w:r w:rsidR="002103CA" w:rsidRPr="008D4ED9">
        <w:rPr>
          <w:rFonts w:cs="Times New Roman"/>
        </w:rPr>
        <w:t xml:space="preserve"> </w:t>
      </w:r>
      <w:r w:rsidRPr="008D4ED9">
        <w:rPr>
          <w:rFonts w:cs="Times New Roman"/>
        </w:rPr>
        <w:t>Section 91 of the Criminal Justice Act 1967 provides that if a person behaves disorderly in a public place while intoxicated and lays hands on another person then this drunken person shall be found guilty and liable to a fine greater than [F2 level 3 on the standard scale]. Now this rule is issued only to such persons who behave disorderly on the road while drunk and lay hands on another person. But this rule cannot be entirely reco</w:t>
      </w:r>
      <w:r w:rsidR="002103CA" w:rsidRPr="008D4ED9">
        <w:rPr>
          <w:rFonts w:cs="Times New Roman"/>
        </w:rPr>
        <w:t>nciled with Freya</w:t>
      </w:r>
      <w:r w:rsidRPr="008D4ED9">
        <w:rPr>
          <w:rFonts w:cs="Times New Roman"/>
        </w:rPr>
        <w:t>'s case. Because not only was Freya a drunken victim of this situation, she was also epileptic. So UK law can punish Freya under Section 91 of the Criminal Justice Act 1967 if it so wishes</w:t>
      </w:r>
      <w:r w:rsidR="008D4ED9" w:rsidRPr="008D4ED9">
        <w:rPr>
          <w:rFonts w:cs="Times New Roman"/>
        </w:rPr>
        <w:t xml:space="preserve"> (</w:t>
      </w:r>
      <w:proofErr w:type="spellStart"/>
      <w:r w:rsidR="008D4ED9" w:rsidRPr="008D4ED9">
        <w:rPr>
          <w:rFonts w:cs="Times New Roman"/>
        </w:rPr>
        <w:t>Weare</w:t>
      </w:r>
      <w:proofErr w:type="spellEnd"/>
      <w:r w:rsidR="008D4ED9" w:rsidRPr="008D4ED9">
        <w:rPr>
          <w:rFonts w:cs="Times New Roman"/>
        </w:rPr>
        <w:t xml:space="preserve"> et al. 2018)</w:t>
      </w:r>
      <w:r w:rsidRPr="008D4ED9">
        <w:rPr>
          <w:rFonts w:cs="Times New Roman"/>
        </w:rPr>
        <w:t>. Again the UK government could not punish him under section 91 if he wanted to because not only did he hit Mike while drunk but he was an epileptic.</w:t>
      </w:r>
    </w:p>
    <w:p w:rsidR="00391202" w:rsidRPr="008D4ED9" w:rsidRDefault="00391202" w:rsidP="002E3219">
      <w:pPr>
        <w:spacing w:line="360" w:lineRule="auto"/>
        <w:rPr>
          <w:rFonts w:cs="Times New Roman"/>
        </w:rPr>
      </w:pPr>
    </w:p>
    <w:p w:rsidR="00A04AD4" w:rsidRPr="00391202" w:rsidRDefault="00A04AD4" w:rsidP="002E3219">
      <w:pPr>
        <w:pStyle w:val="Heading1"/>
        <w:spacing w:line="360" w:lineRule="auto"/>
        <w:rPr>
          <w:rFonts w:cs="Times New Roman"/>
          <w:color w:val="7030A0"/>
        </w:rPr>
      </w:pPr>
      <w:bookmarkStart w:id="4" w:name="_Toc117183128"/>
      <w:r w:rsidRPr="00391202">
        <w:rPr>
          <w:rFonts w:cs="Times New Roman"/>
          <w:color w:val="7030A0"/>
        </w:rPr>
        <w:lastRenderedPageBreak/>
        <w:t>Conclusion</w:t>
      </w:r>
      <w:bookmarkEnd w:id="4"/>
    </w:p>
    <w:p w:rsidR="002E3219" w:rsidRDefault="002103CA" w:rsidP="002E3219">
      <w:pPr>
        <w:spacing w:line="360" w:lineRule="auto"/>
        <w:rPr>
          <w:rFonts w:cs="Times New Roman"/>
        </w:rPr>
      </w:pPr>
      <w:r w:rsidRPr="008D4ED9">
        <w:rPr>
          <w:rFonts w:cs="Times New Roman"/>
        </w:rPr>
        <w:t xml:space="preserve">This research presents an overall description of the two cases described in the module and </w:t>
      </w:r>
      <w:proofErr w:type="spellStart"/>
      <w:r w:rsidRPr="008D4ED9">
        <w:rPr>
          <w:rFonts w:cs="Times New Roman"/>
        </w:rPr>
        <w:t>analyzes</w:t>
      </w:r>
      <w:proofErr w:type="spellEnd"/>
      <w:r w:rsidRPr="008D4ED9">
        <w:rPr>
          <w:rFonts w:cs="Times New Roman"/>
        </w:rPr>
        <w:t xml:space="preserve"> each case to decide who is really guilty and what the punishment should be. It also highlights how the defendant can handle the case.</w:t>
      </w:r>
    </w:p>
    <w:p w:rsidR="00391202" w:rsidRPr="008D4ED9" w:rsidRDefault="00391202" w:rsidP="002E3219">
      <w:pPr>
        <w:spacing w:line="360" w:lineRule="auto"/>
        <w:rPr>
          <w:rFonts w:cs="Times New Roman"/>
        </w:rPr>
      </w:pPr>
    </w:p>
    <w:p w:rsidR="00A04AD4" w:rsidRPr="00391202" w:rsidRDefault="00A04AD4" w:rsidP="00A04AD4">
      <w:pPr>
        <w:pStyle w:val="Heading1"/>
        <w:rPr>
          <w:rFonts w:cs="Times New Roman"/>
          <w:color w:val="7030A0"/>
        </w:rPr>
      </w:pPr>
      <w:bookmarkStart w:id="5" w:name="_Toc117183129"/>
      <w:r w:rsidRPr="00391202">
        <w:rPr>
          <w:rFonts w:cs="Times New Roman"/>
          <w:color w:val="7030A0"/>
        </w:rPr>
        <w:t>Reference</w:t>
      </w:r>
      <w:bookmarkEnd w:id="5"/>
    </w:p>
    <w:p w:rsidR="008D4ED9" w:rsidRPr="008D4ED9" w:rsidRDefault="008D4ED9" w:rsidP="008D4ED9">
      <w:pPr>
        <w:spacing w:line="360" w:lineRule="auto"/>
        <w:ind w:left="720" w:hanging="720"/>
        <w:rPr>
          <w:rFonts w:cs="Times New Roman"/>
        </w:rPr>
      </w:pPr>
      <w:proofErr w:type="spellStart"/>
      <w:r w:rsidRPr="008D4ED9">
        <w:rPr>
          <w:rFonts w:cs="Times New Roman"/>
        </w:rPr>
        <w:t>Barrowcliffe</w:t>
      </w:r>
      <w:proofErr w:type="spellEnd"/>
      <w:r w:rsidRPr="008D4ED9">
        <w:rPr>
          <w:rFonts w:cs="Times New Roman"/>
        </w:rPr>
        <w:t xml:space="preserve">, E.R. and Gannon, T.A., (2016). Comparing the psychological characteristics of un-apprehended </w:t>
      </w:r>
      <w:proofErr w:type="spellStart"/>
      <w:r w:rsidRPr="008D4ED9">
        <w:rPr>
          <w:rFonts w:cs="Times New Roman"/>
        </w:rPr>
        <w:t>firesetters</w:t>
      </w:r>
      <w:proofErr w:type="spellEnd"/>
      <w:r w:rsidRPr="008D4ED9">
        <w:rPr>
          <w:rFonts w:cs="Times New Roman"/>
        </w:rPr>
        <w:t xml:space="preserve"> and non-</w:t>
      </w:r>
      <w:proofErr w:type="spellStart"/>
      <w:r w:rsidRPr="008D4ED9">
        <w:rPr>
          <w:rFonts w:cs="Times New Roman"/>
        </w:rPr>
        <w:t>firesetters</w:t>
      </w:r>
      <w:proofErr w:type="spellEnd"/>
      <w:r w:rsidRPr="008D4ED9">
        <w:rPr>
          <w:rFonts w:cs="Times New Roman"/>
        </w:rPr>
        <w:t xml:space="preserve"> living in the UK. Psychology, Crime &amp; Law, 22(4), pp.382-404.</w:t>
      </w:r>
    </w:p>
    <w:p w:rsidR="008D4ED9" w:rsidRPr="008D4ED9" w:rsidRDefault="008D4ED9" w:rsidP="008D4ED9">
      <w:pPr>
        <w:spacing w:line="360" w:lineRule="auto"/>
        <w:ind w:left="720" w:hanging="720"/>
        <w:rPr>
          <w:rFonts w:cs="Times New Roman"/>
        </w:rPr>
      </w:pPr>
      <w:r w:rsidRPr="008D4ED9">
        <w:rPr>
          <w:rFonts w:cs="Times New Roman"/>
        </w:rPr>
        <w:t xml:space="preserve">Dickens, G.L. and </w:t>
      </w:r>
      <w:proofErr w:type="spellStart"/>
      <w:r w:rsidRPr="008D4ED9">
        <w:rPr>
          <w:rFonts w:cs="Times New Roman"/>
        </w:rPr>
        <w:t>Sugarman</w:t>
      </w:r>
      <w:proofErr w:type="spellEnd"/>
      <w:r w:rsidRPr="008D4ED9">
        <w:rPr>
          <w:rFonts w:cs="Times New Roman"/>
        </w:rPr>
        <w:t>, P., (2017). Fire Setting (arson) and Criminal Damage. In Forensic Psychiatry (pp. 341-346). CRC Press.</w:t>
      </w:r>
    </w:p>
    <w:p w:rsidR="008D4ED9" w:rsidRPr="008D4ED9" w:rsidRDefault="008D4ED9" w:rsidP="008D4ED9">
      <w:pPr>
        <w:spacing w:line="360" w:lineRule="auto"/>
        <w:ind w:left="720" w:hanging="720"/>
        <w:rPr>
          <w:rFonts w:cs="Times New Roman"/>
        </w:rPr>
      </w:pPr>
      <w:r w:rsidRPr="008D4ED9">
        <w:rPr>
          <w:rFonts w:cs="Times New Roman"/>
        </w:rPr>
        <w:t xml:space="preserve">Haydock, W., (2016). The consumption, production and regulation of alcohol in the UK: The relevance of the ambivalence of the </w:t>
      </w:r>
      <w:proofErr w:type="spellStart"/>
      <w:r w:rsidRPr="008D4ED9">
        <w:rPr>
          <w:rFonts w:cs="Times New Roman"/>
        </w:rPr>
        <w:t>carnivalesque</w:t>
      </w:r>
      <w:proofErr w:type="spellEnd"/>
      <w:r w:rsidRPr="008D4ED9">
        <w:rPr>
          <w:rFonts w:cs="Times New Roman"/>
        </w:rPr>
        <w:t>. Sociology, 50(6), pp.1056-1071.</w:t>
      </w:r>
    </w:p>
    <w:p w:rsidR="008D4ED9" w:rsidRPr="008D4ED9" w:rsidRDefault="008D4ED9" w:rsidP="008D4ED9">
      <w:pPr>
        <w:spacing w:line="360" w:lineRule="auto"/>
        <w:ind w:left="720" w:hanging="720"/>
        <w:rPr>
          <w:rFonts w:cs="Times New Roman"/>
        </w:rPr>
      </w:pPr>
      <w:r w:rsidRPr="008D4ED9">
        <w:rPr>
          <w:rFonts w:cs="Times New Roman"/>
        </w:rPr>
        <w:t>Hutton, F., (2020). Cultures of intoxication</w:t>
      </w:r>
      <w:proofErr w:type="gramStart"/>
      <w:r w:rsidRPr="008D4ED9">
        <w:rPr>
          <w:rFonts w:cs="Times New Roman"/>
        </w:rPr>
        <w:t>:‘</w:t>
      </w:r>
      <w:proofErr w:type="spellStart"/>
      <w:r w:rsidRPr="008D4ED9">
        <w:rPr>
          <w:rFonts w:cs="Times New Roman"/>
        </w:rPr>
        <w:t>new’psychoactive</w:t>
      </w:r>
      <w:proofErr w:type="spellEnd"/>
      <w:proofErr w:type="gramEnd"/>
      <w:r w:rsidRPr="008D4ED9">
        <w:rPr>
          <w:rFonts w:cs="Times New Roman"/>
        </w:rPr>
        <w:t xml:space="preserve"> substances. In Cultures of intoxication (pp. 87-110). Palgrave Macmillan, Cham.</w:t>
      </w:r>
    </w:p>
    <w:p w:rsidR="008D4ED9" w:rsidRPr="008D4ED9" w:rsidRDefault="008D4ED9" w:rsidP="008D4ED9">
      <w:pPr>
        <w:spacing w:line="360" w:lineRule="auto"/>
        <w:ind w:left="720" w:hanging="720"/>
        <w:rPr>
          <w:rFonts w:cs="Times New Roman"/>
        </w:rPr>
      </w:pPr>
      <w:proofErr w:type="spellStart"/>
      <w:r w:rsidRPr="008D4ED9">
        <w:rPr>
          <w:rFonts w:cs="Times New Roman"/>
        </w:rPr>
        <w:t>Kurilovska</w:t>
      </w:r>
      <w:proofErr w:type="spellEnd"/>
      <w:r w:rsidRPr="008D4ED9">
        <w:rPr>
          <w:rFonts w:cs="Times New Roman"/>
        </w:rPr>
        <w:t xml:space="preserve">, L. and </w:t>
      </w:r>
      <w:proofErr w:type="spellStart"/>
      <w:r w:rsidRPr="008D4ED9">
        <w:rPr>
          <w:rFonts w:cs="Times New Roman"/>
        </w:rPr>
        <w:t>Mullerova</w:t>
      </w:r>
      <w:proofErr w:type="spellEnd"/>
      <w:r w:rsidRPr="008D4ED9">
        <w:rPr>
          <w:rFonts w:cs="Times New Roman"/>
        </w:rPr>
        <w:t xml:space="preserve">, J., (2020). RISK ASSESSMENT OF THE SOCIAL IMPACT ON ARSON CRIMINALITY USING THE RM/RA CRAMM METHOD. International Multidisciplinary Scientific </w:t>
      </w:r>
      <w:proofErr w:type="spellStart"/>
      <w:r w:rsidRPr="008D4ED9">
        <w:rPr>
          <w:rFonts w:cs="Times New Roman"/>
        </w:rPr>
        <w:t>GeoConference</w:t>
      </w:r>
      <w:proofErr w:type="spellEnd"/>
      <w:r w:rsidRPr="008D4ED9">
        <w:rPr>
          <w:rFonts w:cs="Times New Roman"/>
        </w:rPr>
        <w:t>: SGEM, 20(5.1), pp.687-694.</w:t>
      </w:r>
    </w:p>
    <w:p w:rsidR="008D4ED9" w:rsidRPr="008D4ED9" w:rsidRDefault="008D4ED9" w:rsidP="008D4ED9">
      <w:pPr>
        <w:spacing w:line="360" w:lineRule="auto"/>
        <w:ind w:left="720" w:hanging="720"/>
        <w:rPr>
          <w:rFonts w:cs="Times New Roman"/>
        </w:rPr>
      </w:pPr>
      <w:r w:rsidRPr="008D4ED9">
        <w:rPr>
          <w:rFonts w:cs="Times New Roman"/>
        </w:rPr>
        <w:t>Murphy, A. and Hine, B., (2019). Investigating the demographic and attitudinal predictors of rape myth acceptance in UK Police officers: developing an evidence-base for training and professional development. Psychology, Crime &amp; Law, 25(1), pp.69-89.</w:t>
      </w:r>
    </w:p>
    <w:p w:rsidR="008D4ED9" w:rsidRPr="008D4ED9" w:rsidRDefault="008D4ED9" w:rsidP="008D4ED9">
      <w:pPr>
        <w:spacing w:line="360" w:lineRule="auto"/>
        <w:ind w:left="720" w:hanging="720"/>
        <w:rPr>
          <w:rFonts w:cs="Times New Roman"/>
        </w:rPr>
      </w:pPr>
      <w:r w:rsidRPr="008D4ED9">
        <w:rPr>
          <w:rFonts w:cs="Times New Roman"/>
        </w:rPr>
        <w:t xml:space="preserve">O’Sullivan, C., Arson, C. and </w:t>
      </w:r>
      <w:proofErr w:type="spellStart"/>
      <w:r w:rsidRPr="008D4ED9">
        <w:rPr>
          <w:rFonts w:cs="Times New Roman"/>
        </w:rPr>
        <w:t>Coasne</w:t>
      </w:r>
      <w:proofErr w:type="spellEnd"/>
      <w:r w:rsidRPr="008D4ED9">
        <w:rPr>
          <w:rFonts w:cs="Times New Roman"/>
        </w:rPr>
        <w:t>, B., (2022). A Perspective on Darcy’s Law across the Scales: From Physical Foundations to Particulate Mechanics. Journal of Engineering Mechanics, 148(11), p.04022064.</w:t>
      </w:r>
    </w:p>
    <w:p w:rsidR="008D4ED9" w:rsidRPr="008D4ED9" w:rsidRDefault="008D4ED9" w:rsidP="008D4ED9">
      <w:pPr>
        <w:spacing w:line="360" w:lineRule="auto"/>
        <w:ind w:left="720" w:hanging="720"/>
        <w:rPr>
          <w:rFonts w:cs="Times New Roman"/>
        </w:rPr>
      </w:pPr>
      <w:proofErr w:type="spellStart"/>
      <w:r w:rsidRPr="008D4ED9">
        <w:rPr>
          <w:rFonts w:cs="Times New Roman"/>
        </w:rPr>
        <w:t>Turchan</w:t>
      </w:r>
      <w:proofErr w:type="spellEnd"/>
      <w:r w:rsidRPr="008D4ED9">
        <w:rPr>
          <w:rFonts w:cs="Times New Roman"/>
        </w:rPr>
        <w:t xml:space="preserve">, B., Grubb, J.A., Pizarro, J.M. and </w:t>
      </w:r>
      <w:proofErr w:type="spellStart"/>
      <w:r w:rsidRPr="008D4ED9">
        <w:rPr>
          <w:rFonts w:cs="Times New Roman"/>
        </w:rPr>
        <w:t>McGarrell</w:t>
      </w:r>
      <w:proofErr w:type="spellEnd"/>
      <w:r w:rsidRPr="008D4ED9">
        <w:rPr>
          <w:rFonts w:cs="Times New Roman"/>
        </w:rPr>
        <w:t>, E.F., (2019). Arson in an urban setting: A multi-event near repeat chain analysis in Flint, Michigan. Security Journal, 32(3), pp.179-197.</w:t>
      </w:r>
    </w:p>
    <w:p w:rsidR="008D4ED9" w:rsidRPr="008D4ED9" w:rsidRDefault="008D4ED9" w:rsidP="008D4ED9">
      <w:pPr>
        <w:spacing w:line="360" w:lineRule="auto"/>
        <w:ind w:left="720" w:hanging="720"/>
        <w:rPr>
          <w:rFonts w:cs="Times New Roman"/>
        </w:rPr>
      </w:pPr>
      <w:proofErr w:type="spellStart"/>
      <w:r w:rsidRPr="008D4ED9">
        <w:rPr>
          <w:rFonts w:cs="Times New Roman"/>
        </w:rPr>
        <w:lastRenderedPageBreak/>
        <w:t>Weare</w:t>
      </w:r>
      <w:proofErr w:type="spellEnd"/>
      <w:r w:rsidRPr="008D4ED9">
        <w:rPr>
          <w:rFonts w:cs="Times New Roman"/>
        </w:rPr>
        <w:t xml:space="preserve">, S., (2018). From coercion to physical force: Aggressive strategies used by women against men in “forced-to-penetrate” cases in the UK. Archives of Sexual </w:t>
      </w:r>
      <w:proofErr w:type="spellStart"/>
      <w:r w:rsidRPr="008D4ED9">
        <w:rPr>
          <w:rFonts w:cs="Times New Roman"/>
        </w:rPr>
        <w:t>Behavior</w:t>
      </w:r>
      <w:proofErr w:type="spellEnd"/>
      <w:r w:rsidRPr="008D4ED9">
        <w:rPr>
          <w:rFonts w:cs="Times New Roman"/>
        </w:rPr>
        <w:t>, 47(8), pp.2191-2205.</w:t>
      </w:r>
    </w:p>
    <w:sectPr w:rsidR="008D4ED9" w:rsidRPr="008D4ED9" w:rsidSect="008927A6">
      <w:headerReference w:type="default"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BAF" w:rsidRDefault="00425BAF" w:rsidP="00391202">
      <w:pPr>
        <w:spacing w:after="0" w:line="240" w:lineRule="auto"/>
      </w:pPr>
      <w:r>
        <w:separator/>
      </w:r>
    </w:p>
  </w:endnote>
  <w:endnote w:type="continuationSeparator" w:id="0">
    <w:p w:rsidR="00425BAF" w:rsidRDefault="00425BAF" w:rsidP="0039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26258"/>
      <w:docPartObj>
        <w:docPartGallery w:val="Page Numbers (Bottom of Page)"/>
        <w:docPartUnique/>
      </w:docPartObj>
    </w:sdtPr>
    <w:sdtEndPr>
      <w:rPr>
        <w:noProof/>
      </w:rPr>
    </w:sdtEndPr>
    <w:sdtContent>
      <w:p w:rsidR="00901963" w:rsidRDefault="00901963">
        <w:pPr>
          <w:pStyle w:val="Footer"/>
          <w:jc w:val="center"/>
        </w:pPr>
        <w:r>
          <w:fldChar w:fldCharType="begin"/>
        </w:r>
        <w:r>
          <w:instrText xml:space="preserve"> PAGE   \* MERGEFORMAT </w:instrText>
        </w:r>
        <w:r>
          <w:fldChar w:fldCharType="separate"/>
        </w:r>
        <w:r w:rsidR="005F6B41">
          <w:rPr>
            <w:noProof/>
          </w:rPr>
          <w:t>4</w:t>
        </w:r>
        <w:r>
          <w:rPr>
            <w:noProof/>
          </w:rPr>
          <w:fldChar w:fldCharType="end"/>
        </w:r>
      </w:p>
    </w:sdtContent>
  </w:sdt>
  <w:p w:rsidR="00901963" w:rsidRDefault="00901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BAF" w:rsidRDefault="00425BAF" w:rsidP="00391202">
      <w:pPr>
        <w:spacing w:after="0" w:line="240" w:lineRule="auto"/>
      </w:pPr>
      <w:r>
        <w:separator/>
      </w:r>
    </w:p>
  </w:footnote>
  <w:footnote w:type="continuationSeparator" w:id="0">
    <w:p w:rsidR="00425BAF" w:rsidRDefault="00425BAF" w:rsidP="00391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202" w:rsidRPr="00391202" w:rsidRDefault="00391202">
    <w:pPr>
      <w:pStyle w:val="Header"/>
      <w:rPr>
        <w:i/>
      </w:rPr>
    </w:pPr>
    <w:r w:rsidRPr="00391202">
      <w:rPr>
        <w:i/>
      </w:rPr>
      <w:t>Saleha S</w:t>
    </w:r>
    <w:r>
      <w:rPr>
        <w:i/>
      </w:rPr>
      <w:t>ahara Begum</w:t>
    </w:r>
    <w:r>
      <w:rPr>
        <w:i/>
      </w:rPr>
      <w:tab/>
    </w:r>
    <w:r>
      <w:rPr>
        <w:i/>
      </w:rPr>
      <w:tab/>
      <w:t>Student ID: 2129298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72D"/>
    <w:rsid w:val="000069FA"/>
    <w:rsid w:val="000175AC"/>
    <w:rsid w:val="00036071"/>
    <w:rsid w:val="000517D2"/>
    <w:rsid w:val="000554C9"/>
    <w:rsid w:val="000567A7"/>
    <w:rsid w:val="000572AB"/>
    <w:rsid w:val="00061CEF"/>
    <w:rsid w:val="00082B5F"/>
    <w:rsid w:val="000B2A77"/>
    <w:rsid w:val="000B4FC9"/>
    <w:rsid w:val="000C0E01"/>
    <w:rsid w:val="000C17F2"/>
    <w:rsid w:val="000D49DA"/>
    <w:rsid w:val="000E5FB7"/>
    <w:rsid w:val="000F2F23"/>
    <w:rsid w:val="000F3E3B"/>
    <w:rsid w:val="000F5496"/>
    <w:rsid w:val="00107112"/>
    <w:rsid w:val="00111153"/>
    <w:rsid w:val="001123BD"/>
    <w:rsid w:val="00135D0B"/>
    <w:rsid w:val="001450AC"/>
    <w:rsid w:val="00145464"/>
    <w:rsid w:val="00150983"/>
    <w:rsid w:val="00160864"/>
    <w:rsid w:val="001665BA"/>
    <w:rsid w:val="00183408"/>
    <w:rsid w:val="00190BCF"/>
    <w:rsid w:val="00190FA8"/>
    <w:rsid w:val="00191F18"/>
    <w:rsid w:val="001A3716"/>
    <w:rsid w:val="001A42FE"/>
    <w:rsid w:val="001A456E"/>
    <w:rsid w:val="001B0A69"/>
    <w:rsid w:val="001B2DA0"/>
    <w:rsid w:val="001C08F8"/>
    <w:rsid w:val="001C4577"/>
    <w:rsid w:val="001C4945"/>
    <w:rsid w:val="001C518A"/>
    <w:rsid w:val="001D336D"/>
    <w:rsid w:val="001D5F90"/>
    <w:rsid w:val="001D6F24"/>
    <w:rsid w:val="001E59EE"/>
    <w:rsid w:val="001E67FE"/>
    <w:rsid w:val="002027F7"/>
    <w:rsid w:val="00202F46"/>
    <w:rsid w:val="002041B1"/>
    <w:rsid w:val="002103CA"/>
    <w:rsid w:val="00212D6D"/>
    <w:rsid w:val="002242C2"/>
    <w:rsid w:val="0024531F"/>
    <w:rsid w:val="00251ED5"/>
    <w:rsid w:val="002641E4"/>
    <w:rsid w:val="00267707"/>
    <w:rsid w:val="00270432"/>
    <w:rsid w:val="002753EF"/>
    <w:rsid w:val="0027628D"/>
    <w:rsid w:val="00280765"/>
    <w:rsid w:val="00284016"/>
    <w:rsid w:val="002918F4"/>
    <w:rsid w:val="00294D64"/>
    <w:rsid w:val="002A3329"/>
    <w:rsid w:val="002A39BF"/>
    <w:rsid w:val="002A7A48"/>
    <w:rsid w:val="002C1685"/>
    <w:rsid w:val="002C1A54"/>
    <w:rsid w:val="002C2DBE"/>
    <w:rsid w:val="002C7E5B"/>
    <w:rsid w:val="002D1947"/>
    <w:rsid w:val="002D424F"/>
    <w:rsid w:val="002E0598"/>
    <w:rsid w:val="002E3219"/>
    <w:rsid w:val="002F1B1B"/>
    <w:rsid w:val="00310100"/>
    <w:rsid w:val="003221A4"/>
    <w:rsid w:val="0032582F"/>
    <w:rsid w:val="003373B2"/>
    <w:rsid w:val="0034185B"/>
    <w:rsid w:val="00343ADF"/>
    <w:rsid w:val="0035109C"/>
    <w:rsid w:val="00364741"/>
    <w:rsid w:val="003674D2"/>
    <w:rsid w:val="0037180E"/>
    <w:rsid w:val="00374DC6"/>
    <w:rsid w:val="0037709D"/>
    <w:rsid w:val="00377131"/>
    <w:rsid w:val="00382C5F"/>
    <w:rsid w:val="00391202"/>
    <w:rsid w:val="003A5E06"/>
    <w:rsid w:val="003B0277"/>
    <w:rsid w:val="003B4519"/>
    <w:rsid w:val="003C28A7"/>
    <w:rsid w:val="003C3823"/>
    <w:rsid w:val="003D04F6"/>
    <w:rsid w:val="003D4B5D"/>
    <w:rsid w:val="003D59D9"/>
    <w:rsid w:val="003E0D8A"/>
    <w:rsid w:val="004013A7"/>
    <w:rsid w:val="00402ACD"/>
    <w:rsid w:val="00406528"/>
    <w:rsid w:val="0041167E"/>
    <w:rsid w:val="00413088"/>
    <w:rsid w:val="0042094F"/>
    <w:rsid w:val="00423C68"/>
    <w:rsid w:val="00425BAF"/>
    <w:rsid w:val="00445B51"/>
    <w:rsid w:val="00446E02"/>
    <w:rsid w:val="00470322"/>
    <w:rsid w:val="004713EB"/>
    <w:rsid w:val="00481D72"/>
    <w:rsid w:val="00495953"/>
    <w:rsid w:val="0049742B"/>
    <w:rsid w:val="00497F9F"/>
    <w:rsid w:val="004A245F"/>
    <w:rsid w:val="004C1218"/>
    <w:rsid w:val="004C5DDD"/>
    <w:rsid w:val="004D1218"/>
    <w:rsid w:val="004D4124"/>
    <w:rsid w:val="004E7B07"/>
    <w:rsid w:val="004F0254"/>
    <w:rsid w:val="004F0BC3"/>
    <w:rsid w:val="004F70C7"/>
    <w:rsid w:val="004F71F5"/>
    <w:rsid w:val="00506FF1"/>
    <w:rsid w:val="00507C6B"/>
    <w:rsid w:val="00510FD0"/>
    <w:rsid w:val="0053510E"/>
    <w:rsid w:val="00555CC6"/>
    <w:rsid w:val="0057570A"/>
    <w:rsid w:val="00576441"/>
    <w:rsid w:val="00584431"/>
    <w:rsid w:val="00586AEE"/>
    <w:rsid w:val="00594A2A"/>
    <w:rsid w:val="00594F60"/>
    <w:rsid w:val="005A4AB5"/>
    <w:rsid w:val="005C6C77"/>
    <w:rsid w:val="005D7852"/>
    <w:rsid w:val="005F41B6"/>
    <w:rsid w:val="005F6B41"/>
    <w:rsid w:val="00601802"/>
    <w:rsid w:val="0062387C"/>
    <w:rsid w:val="00631CD2"/>
    <w:rsid w:val="00642813"/>
    <w:rsid w:val="006475B0"/>
    <w:rsid w:val="00651C5E"/>
    <w:rsid w:val="006547FF"/>
    <w:rsid w:val="00661D8E"/>
    <w:rsid w:val="00685BD3"/>
    <w:rsid w:val="00685EAA"/>
    <w:rsid w:val="00687465"/>
    <w:rsid w:val="00697A93"/>
    <w:rsid w:val="006A24DE"/>
    <w:rsid w:val="006A6B5A"/>
    <w:rsid w:val="006B401F"/>
    <w:rsid w:val="006C095A"/>
    <w:rsid w:val="006D1C03"/>
    <w:rsid w:val="006D36BC"/>
    <w:rsid w:val="006E3B49"/>
    <w:rsid w:val="006E7FBF"/>
    <w:rsid w:val="006F3038"/>
    <w:rsid w:val="00705D4B"/>
    <w:rsid w:val="00706755"/>
    <w:rsid w:val="00706B5A"/>
    <w:rsid w:val="00711053"/>
    <w:rsid w:val="00724D18"/>
    <w:rsid w:val="00737820"/>
    <w:rsid w:val="00746F81"/>
    <w:rsid w:val="007474D7"/>
    <w:rsid w:val="0075184A"/>
    <w:rsid w:val="0075456E"/>
    <w:rsid w:val="00755FDE"/>
    <w:rsid w:val="007643D9"/>
    <w:rsid w:val="00775D4F"/>
    <w:rsid w:val="007778DF"/>
    <w:rsid w:val="0078144A"/>
    <w:rsid w:val="007944D6"/>
    <w:rsid w:val="007B14AE"/>
    <w:rsid w:val="007C28DF"/>
    <w:rsid w:val="007C3524"/>
    <w:rsid w:val="007C6BB8"/>
    <w:rsid w:val="007D5980"/>
    <w:rsid w:val="007E4114"/>
    <w:rsid w:val="007E6876"/>
    <w:rsid w:val="007F73A3"/>
    <w:rsid w:val="00805AD0"/>
    <w:rsid w:val="00835648"/>
    <w:rsid w:val="00845A7C"/>
    <w:rsid w:val="00850F27"/>
    <w:rsid w:val="00855EF6"/>
    <w:rsid w:val="00880082"/>
    <w:rsid w:val="008800E6"/>
    <w:rsid w:val="00886FA3"/>
    <w:rsid w:val="008927A6"/>
    <w:rsid w:val="00895A83"/>
    <w:rsid w:val="00895AE5"/>
    <w:rsid w:val="008A3803"/>
    <w:rsid w:val="008B0B51"/>
    <w:rsid w:val="008C706B"/>
    <w:rsid w:val="008D4ED9"/>
    <w:rsid w:val="008E4BFD"/>
    <w:rsid w:val="008E5188"/>
    <w:rsid w:val="008E62C8"/>
    <w:rsid w:val="008F3E95"/>
    <w:rsid w:val="008F4847"/>
    <w:rsid w:val="00901963"/>
    <w:rsid w:val="0093015F"/>
    <w:rsid w:val="009315C7"/>
    <w:rsid w:val="0093585C"/>
    <w:rsid w:val="00950C61"/>
    <w:rsid w:val="00955242"/>
    <w:rsid w:val="00964866"/>
    <w:rsid w:val="00980550"/>
    <w:rsid w:val="00982ABA"/>
    <w:rsid w:val="0099112F"/>
    <w:rsid w:val="0099298C"/>
    <w:rsid w:val="00992D24"/>
    <w:rsid w:val="009A0846"/>
    <w:rsid w:val="009A33CF"/>
    <w:rsid w:val="009B1FD5"/>
    <w:rsid w:val="009C5433"/>
    <w:rsid w:val="009C5E12"/>
    <w:rsid w:val="009D022A"/>
    <w:rsid w:val="009D082F"/>
    <w:rsid w:val="009D284F"/>
    <w:rsid w:val="009D4500"/>
    <w:rsid w:val="009D632E"/>
    <w:rsid w:val="00A0442A"/>
    <w:rsid w:val="00A04AD4"/>
    <w:rsid w:val="00A26AD9"/>
    <w:rsid w:val="00A31EB5"/>
    <w:rsid w:val="00A35611"/>
    <w:rsid w:val="00A3577F"/>
    <w:rsid w:val="00A4150D"/>
    <w:rsid w:val="00A45B87"/>
    <w:rsid w:val="00A46FE9"/>
    <w:rsid w:val="00A5270A"/>
    <w:rsid w:val="00A546B2"/>
    <w:rsid w:val="00A57387"/>
    <w:rsid w:val="00A625D6"/>
    <w:rsid w:val="00A66D9F"/>
    <w:rsid w:val="00A72569"/>
    <w:rsid w:val="00A7303C"/>
    <w:rsid w:val="00A81B4C"/>
    <w:rsid w:val="00A84014"/>
    <w:rsid w:val="00A93367"/>
    <w:rsid w:val="00AA4920"/>
    <w:rsid w:val="00AB19B0"/>
    <w:rsid w:val="00AB7671"/>
    <w:rsid w:val="00AC5256"/>
    <w:rsid w:val="00AD1B4B"/>
    <w:rsid w:val="00AF00E0"/>
    <w:rsid w:val="00AF19A8"/>
    <w:rsid w:val="00B052EE"/>
    <w:rsid w:val="00B05355"/>
    <w:rsid w:val="00B065C1"/>
    <w:rsid w:val="00B34AB3"/>
    <w:rsid w:val="00B4699C"/>
    <w:rsid w:val="00B55197"/>
    <w:rsid w:val="00B5613C"/>
    <w:rsid w:val="00B67F9B"/>
    <w:rsid w:val="00B8059F"/>
    <w:rsid w:val="00B81947"/>
    <w:rsid w:val="00B82F29"/>
    <w:rsid w:val="00B85F1A"/>
    <w:rsid w:val="00B92AC9"/>
    <w:rsid w:val="00B943A2"/>
    <w:rsid w:val="00B94F01"/>
    <w:rsid w:val="00B97380"/>
    <w:rsid w:val="00BA283D"/>
    <w:rsid w:val="00BB0605"/>
    <w:rsid w:val="00BC01AD"/>
    <w:rsid w:val="00BC4C8E"/>
    <w:rsid w:val="00BE59FD"/>
    <w:rsid w:val="00BE5C78"/>
    <w:rsid w:val="00BF3BA7"/>
    <w:rsid w:val="00BF4784"/>
    <w:rsid w:val="00BF50C0"/>
    <w:rsid w:val="00BF557B"/>
    <w:rsid w:val="00C041D2"/>
    <w:rsid w:val="00C07165"/>
    <w:rsid w:val="00C07B9D"/>
    <w:rsid w:val="00C15F99"/>
    <w:rsid w:val="00C213DF"/>
    <w:rsid w:val="00C21755"/>
    <w:rsid w:val="00C2461C"/>
    <w:rsid w:val="00C30687"/>
    <w:rsid w:val="00C3195F"/>
    <w:rsid w:val="00C65451"/>
    <w:rsid w:val="00C66E4B"/>
    <w:rsid w:val="00C72097"/>
    <w:rsid w:val="00CB1AAE"/>
    <w:rsid w:val="00CB372D"/>
    <w:rsid w:val="00CC10EC"/>
    <w:rsid w:val="00CE3074"/>
    <w:rsid w:val="00CE6013"/>
    <w:rsid w:val="00D02A0B"/>
    <w:rsid w:val="00D0300D"/>
    <w:rsid w:val="00D04086"/>
    <w:rsid w:val="00D14AB4"/>
    <w:rsid w:val="00D1608D"/>
    <w:rsid w:val="00D32223"/>
    <w:rsid w:val="00D330B7"/>
    <w:rsid w:val="00D3467A"/>
    <w:rsid w:val="00D36D2D"/>
    <w:rsid w:val="00D60322"/>
    <w:rsid w:val="00D718DE"/>
    <w:rsid w:val="00D744A8"/>
    <w:rsid w:val="00D74675"/>
    <w:rsid w:val="00D7724F"/>
    <w:rsid w:val="00D81B21"/>
    <w:rsid w:val="00D81C2B"/>
    <w:rsid w:val="00D83B3F"/>
    <w:rsid w:val="00D97259"/>
    <w:rsid w:val="00D9727D"/>
    <w:rsid w:val="00DB2045"/>
    <w:rsid w:val="00DC71AD"/>
    <w:rsid w:val="00DE2588"/>
    <w:rsid w:val="00DE6916"/>
    <w:rsid w:val="00DE6D46"/>
    <w:rsid w:val="00DF23C4"/>
    <w:rsid w:val="00DF3936"/>
    <w:rsid w:val="00E1499E"/>
    <w:rsid w:val="00E218C8"/>
    <w:rsid w:val="00E2190D"/>
    <w:rsid w:val="00E237B5"/>
    <w:rsid w:val="00E23BDA"/>
    <w:rsid w:val="00E301EE"/>
    <w:rsid w:val="00E30325"/>
    <w:rsid w:val="00E41333"/>
    <w:rsid w:val="00E41E97"/>
    <w:rsid w:val="00E442B2"/>
    <w:rsid w:val="00E4464E"/>
    <w:rsid w:val="00E47507"/>
    <w:rsid w:val="00E533E1"/>
    <w:rsid w:val="00E56A5F"/>
    <w:rsid w:val="00E7519B"/>
    <w:rsid w:val="00E94147"/>
    <w:rsid w:val="00EB06ED"/>
    <w:rsid w:val="00EB59F5"/>
    <w:rsid w:val="00EB6128"/>
    <w:rsid w:val="00EB7945"/>
    <w:rsid w:val="00EC3D0D"/>
    <w:rsid w:val="00EC7102"/>
    <w:rsid w:val="00ED7107"/>
    <w:rsid w:val="00ED74EF"/>
    <w:rsid w:val="00EE3B1D"/>
    <w:rsid w:val="00EE763C"/>
    <w:rsid w:val="00EF3E4C"/>
    <w:rsid w:val="00EF6564"/>
    <w:rsid w:val="00F00040"/>
    <w:rsid w:val="00F065EB"/>
    <w:rsid w:val="00F267D2"/>
    <w:rsid w:val="00F4689F"/>
    <w:rsid w:val="00F470BF"/>
    <w:rsid w:val="00F47202"/>
    <w:rsid w:val="00F82BC0"/>
    <w:rsid w:val="00F83DF2"/>
    <w:rsid w:val="00F85595"/>
    <w:rsid w:val="00FA51E1"/>
    <w:rsid w:val="00FC0F3C"/>
    <w:rsid w:val="00FE30E2"/>
    <w:rsid w:val="00FE639B"/>
    <w:rsid w:val="00FE7F2A"/>
    <w:rsid w:val="00FF0FD5"/>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6B2972-E4D5-40FC-9E94-EE7556C8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Header">
    <w:name w:val="header"/>
    <w:basedOn w:val="Normal"/>
    <w:link w:val="HeaderChar"/>
    <w:uiPriority w:val="99"/>
    <w:unhideWhenUsed/>
    <w:rsid w:val="0039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202"/>
    <w:rPr>
      <w:rFonts w:ascii="Times New Roman" w:hAnsi="Times New Roman"/>
      <w:color w:val="000000" w:themeColor="text1"/>
      <w:sz w:val="24"/>
    </w:rPr>
  </w:style>
  <w:style w:type="paragraph" w:styleId="Footer">
    <w:name w:val="footer"/>
    <w:basedOn w:val="Normal"/>
    <w:link w:val="FooterChar"/>
    <w:uiPriority w:val="99"/>
    <w:unhideWhenUsed/>
    <w:rsid w:val="0039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20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DC4F4-8D26-4F2A-9FBB-C710CA21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1484</Words>
  <Characters>8464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account</cp:lastModifiedBy>
  <cp:revision>10</cp:revision>
  <dcterms:created xsi:type="dcterms:W3CDTF">2022-10-25T15:00:00Z</dcterms:created>
  <dcterms:modified xsi:type="dcterms:W3CDTF">2022-12-15T21:36:00Z</dcterms:modified>
</cp:coreProperties>
</file>