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12EABB" w14:textId="77777777" w:rsidR="00E250E5" w:rsidRDefault="00E250E5">
      <w:pPr>
        <w:pStyle w:val="Title"/>
        <w:jc w:val="center"/>
        <w:rPr>
          <w:b/>
          <w:sz w:val="32"/>
          <w:szCs w:val="32"/>
        </w:rPr>
      </w:pPr>
      <w:bookmarkStart w:id="0" w:name="_ssm4a6kfwl6c" w:colFirst="0" w:colLast="0"/>
      <w:bookmarkEnd w:id="0"/>
    </w:p>
    <w:p w14:paraId="65C3EEF5" w14:textId="77777777" w:rsidR="00E250E5" w:rsidRDefault="00E250E5">
      <w:pPr>
        <w:pStyle w:val="Title"/>
        <w:jc w:val="center"/>
        <w:rPr>
          <w:b/>
          <w:sz w:val="32"/>
          <w:szCs w:val="32"/>
        </w:rPr>
      </w:pPr>
    </w:p>
    <w:p w14:paraId="28B323EB" w14:textId="77777777" w:rsidR="00E250E5" w:rsidRDefault="00E250E5">
      <w:pPr>
        <w:pStyle w:val="Title"/>
        <w:jc w:val="center"/>
        <w:rPr>
          <w:b/>
          <w:sz w:val="32"/>
          <w:szCs w:val="32"/>
        </w:rPr>
      </w:pPr>
    </w:p>
    <w:p w14:paraId="7B75ABF5" w14:textId="77777777" w:rsidR="00E250E5" w:rsidRDefault="00E250E5">
      <w:pPr>
        <w:pStyle w:val="Title"/>
        <w:jc w:val="center"/>
        <w:rPr>
          <w:b/>
          <w:sz w:val="32"/>
          <w:szCs w:val="32"/>
        </w:rPr>
      </w:pPr>
    </w:p>
    <w:p w14:paraId="6C52E20B" w14:textId="77777777" w:rsidR="00E250E5" w:rsidRDefault="00E250E5">
      <w:pPr>
        <w:pStyle w:val="Title"/>
        <w:jc w:val="center"/>
        <w:rPr>
          <w:b/>
          <w:sz w:val="32"/>
          <w:szCs w:val="32"/>
        </w:rPr>
      </w:pPr>
    </w:p>
    <w:p w14:paraId="42B6AC91" w14:textId="45507831" w:rsidR="00E250E5" w:rsidRDefault="00F7327E">
      <w:pPr>
        <w:pStyle w:val="Title"/>
        <w:jc w:val="center"/>
        <w:rPr>
          <w:b/>
          <w:sz w:val="32"/>
          <w:szCs w:val="32"/>
        </w:rPr>
      </w:pPr>
      <w:r>
        <w:rPr>
          <w:b/>
          <w:sz w:val="32"/>
          <w:szCs w:val="32"/>
        </w:rPr>
        <w:t xml:space="preserve">Student Name: </w:t>
      </w:r>
      <w:proofErr w:type="spellStart"/>
      <w:r>
        <w:rPr>
          <w:b/>
          <w:sz w:val="32"/>
          <w:szCs w:val="32"/>
        </w:rPr>
        <w:t>Pirvu</w:t>
      </w:r>
      <w:proofErr w:type="spellEnd"/>
      <w:r>
        <w:rPr>
          <w:b/>
          <w:sz w:val="32"/>
          <w:szCs w:val="32"/>
        </w:rPr>
        <w:t xml:space="preserve"> Remus Nicolae</w:t>
      </w:r>
    </w:p>
    <w:p w14:paraId="3B1FD3AE" w14:textId="3B64B7BC" w:rsidR="00F7327E" w:rsidRDefault="00F7327E" w:rsidP="00F7327E">
      <w:pPr>
        <w:jc w:val="center"/>
        <w:rPr>
          <w:b/>
          <w:bCs/>
          <w:sz w:val="36"/>
          <w:szCs w:val="36"/>
        </w:rPr>
      </w:pPr>
      <w:r>
        <w:rPr>
          <w:b/>
          <w:bCs/>
          <w:sz w:val="36"/>
          <w:szCs w:val="36"/>
        </w:rPr>
        <w:t>Student Id: 2112416</w:t>
      </w:r>
    </w:p>
    <w:p w14:paraId="21E98196" w14:textId="28A49020" w:rsidR="009A5FC1" w:rsidRDefault="009A5FC1" w:rsidP="00F7327E">
      <w:pPr>
        <w:jc w:val="center"/>
        <w:rPr>
          <w:b/>
          <w:bCs/>
          <w:sz w:val="36"/>
          <w:szCs w:val="36"/>
        </w:rPr>
      </w:pPr>
      <w:r>
        <w:rPr>
          <w:b/>
          <w:bCs/>
          <w:sz w:val="36"/>
          <w:szCs w:val="36"/>
        </w:rPr>
        <w:t xml:space="preserve">Module: Community Engagement </w:t>
      </w:r>
    </w:p>
    <w:p w14:paraId="4C39EE45" w14:textId="4177A069" w:rsidR="009A5FC1" w:rsidRDefault="009A5FC1" w:rsidP="00F7327E">
      <w:pPr>
        <w:jc w:val="center"/>
        <w:rPr>
          <w:b/>
          <w:bCs/>
          <w:sz w:val="36"/>
          <w:szCs w:val="36"/>
        </w:rPr>
      </w:pPr>
      <w:r>
        <w:rPr>
          <w:b/>
          <w:bCs/>
          <w:sz w:val="36"/>
          <w:szCs w:val="36"/>
        </w:rPr>
        <w:t>Module Code: LCBB4002</w:t>
      </w:r>
    </w:p>
    <w:p w14:paraId="2551A846" w14:textId="016124F0" w:rsidR="009A5FC1" w:rsidRPr="00F7327E" w:rsidRDefault="009A5FC1" w:rsidP="00F7327E">
      <w:pPr>
        <w:jc w:val="center"/>
        <w:rPr>
          <w:b/>
          <w:bCs/>
          <w:sz w:val="36"/>
          <w:szCs w:val="36"/>
        </w:rPr>
      </w:pPr>
      <w:r>
        <w:rPr>
          <w:b/>
          <w:bCs/>
          <w:sz w:val="36"/>
          <w:szCs w:val="36"/>
        </w:rPr>
        <w:t xml:space="preserve">Assignment Title: Assessment 2 </w:t>
      </w:r>
    </w:p>
    <w:p w14:paraId="75071828" w14:textId="77777777" w:rsidR="00E250E5" w:rsidRDefault="00E250E5">
      <w:pPr>
        <w:pStyle w:val="Title"/>
        <w:jc w:val="center"/>
        <w:rPr>
          <w:b/>
          <w:sz w:val="32"/>
          <w:szCs w:val="32"/>
        </w:rPr>
      </w:pPr>
    </w:p>
    <w:p w14:paraId="2C369C6F" w14:textId="77777777" w:rsidR="00E250E5" w:rsidRDefault="00E250E5">
      <w:pPr>
        <w:pStyle w:val="Title"/>
        <w:jc w:val="center"/>
        <w:rPr>
          <w:b/>
          <w:sz w:val="32"/>
          <w:szCs w:val="32"/>
        </w:rPr>
      </w:pPr>
    </w:p>
    <w:p w14:paraId="461C295D" w14:textId="77777777" w:rsidR="00E250E5" w:rsidRDefault="00E250E5">
      <w:pPr>
        <w:pStyle w:val="Title"/>
        <w:jc w:val="center"/>
        <w:rPr>
          <w:b/>
          <w:sz w:val="32"/>
          <w:szCs w:val="32"/>
        </w:rPr>
      </w:pPr>
    </w:p>
    <w:p w14:paraId="416BA2DC" w14:textId="77777777" w:rsidR="00E250E5" w:rsidRDefault="00E250E5">
      <w:pPr>
        <w:pStyle w:val="Title"/>
        <w:jc w:val="center"/>
        <w:rPr>
          <w:b/>
          <w:sz w:val="32"/>
          <w:szCs w:val="32"/>
        </w:rPr>
      </w:pPr>
    </w:p>
    <w:p w14:paraId="5953B61A" w14:textId="77777777" w:rsidR="00E250E5" w:rsidRDefault="00E250E5">
      <w:pPr>
        <w:pStyle w:val="Title"/>
        <w:jc w:val="center"/>
        <w:rPr>
          <w:b/>
          <w:sz w:val="32"/>
          <w:szCs w:val="32"/>
        </w:rPr>
      </w:pPr>
    </w:p>
    <w:p w14:paraId="7B7DD7A9" w14:textId="77777777" w:rsidR="00E250E5" w:rsidRDefault="00E250E5">
      <w:pPr>
        <w:pStyle w:val="Title"/>
        <w:jc w:val="center"/>
        <w:rPr>
          <w:b/>
          <w:sz w:val="32"/>
          <w:szCs w:val="32"/>
        </w:rPr>
      </w:pPr>
    </w:p>
    <w:p w14:paraId="25C774E5" w14:textId="77777777" w:rsidR="00E250E5" w:rsidRDefault="00E250E5">
      <w:pPr>
        <w:pStyle w:val="Title"/>
        <w:jc w:val="center"/>
        <w:rPr>
          <w:b/>
          <w:sz w:val="32"/>
          <w:szCs w:val="32"/>
        </w:rPr>
      </w:pPr>
    </w:p>
    <w:p w14:paraId="00000001" w14:textId="77777777" w:rsidR="00CA085E" w:rsidRDefault="00DE48F5">
      <w:pPr>
        <w:pStyle w:val="Title"/>
        <w:jc w:val="center"/>
        <w:rPr>
          <w:b/>
          <w:sz w:val="32"/>
          <w:szCs w:val="32"/>
        </w:rPr>
      </w:pPr>
      <w:r>
        <w:rPr>
          <w:b/>
          <w:sz w:val="32"/>
          <w:szCs w:val="32"/>
        </w:rPr>
        <w:t xml:space="preserve">Effective Coordination in Community Engagement </w:t>
      </w:r>
      <w:proofErr w:type="spellStart"/>
      <w:r>
        <w:rPr>
          <w:b/>
          <w:sz w:val="32"/>
          <w:szCs w:val="32"/>
        </w:rPr>
        <w:t>Programme</w:t>
      </w:r>
      <w:proofErr w:type="spellEnd"/>
    </w:p>
    <w:p w14:paraId="00000002" w14:textId="77777777" w:rsidR="00CA085E" w:rsidRDefault="00CA085E"/>
    <w:p w14:paraId="300C2274" w14:textId="77777777" w:rsidR="00E250E5" w:rsidRDefault="00E250E5">
      <w:pPr>
        <w:rPr>
          <w:b/>
          <w:sz w:val="28"/>
          <w:szCs w:val="28"/>
        </w:rPr>
      </w:pPr>
      <w:bookmarkStart w:id="1" w:name="_1xjf792s12bz" w:colFirst="0" w:colLast="0"/>
      <w:bookmarkEnd w:id="1"/>
      <w:r>
        <w:br w:type="page"/>
      </w:r>
    </w:p>
    <w:sdt>
      <w:sdtPr>
        <w:rPr>
          <w:rFonts w:ascii="Times New Roman" w:eastAsia="Times New Roman" w:hAnsi="Times New Roman" w:cs="Times New Roman"/>
          <w:color w:val="auto"/>
          <w:sz w:val="24"/>
          <w:szCs w:val="24"/>
          <w:lang w:val="en"/>
        </w:rPr>
        <w:id w:val="794184149"/>
        <w:docPartObj>
          <w:docPartGallery w:val="Table of Contents"/>
          <w:docPartUnique/>
        </w:docPartObj>
      </w:sdtPr>
      <w:sdtEndPr>
        <w:rPr>
          <w:b/>
          <w:bCs/>
          <w:noProof/>
        </w:rPr>
      </w:sdtEndPr>
      <w:sdtContent>
        <w:p w14:paraId="39EFBE31" w14:textId="24E8F27D" w:rsidR="00E250E5" w:rsidRPr="00E250E5" w:rsidRDefault="00E250E5" w:rsidP="00E250E5">
          <w:pPr>
            <w:pStyle w:val="TOCHeading"/>
            <w:jc w:val="center"/>
            <w:rPr>
              <w:rFonts w:ascii="Times New Roman" w:hAnsi="Times New Roman" w:cs="Times New Roman"/>
              <w:color w:val="auto"/>
              <w:sz w:val="28"/>
              <w:szCs w:val="28"/>
            </w:rPr>
          </w:pPr>
          <w:r w:rsidRPr="00E250E5">
            <w:rPr>
              <w:rFonts w:ascii="Times New Roman" w:hAnsi="Times New Roman" w:cs="Times New Roman"/>
              <w:color w:val="auto"/>
              <w:sz w:val="28"/>
              <w:szCs w:val="28"/>
            </w:rPr>
            <w:t>Table of Contents</w:t>
          </w:r>
        </w:p>
        <w:p w14:paraId="7E3DE6EB" w14:textId="77777777" w:rsidR="00E250E5" w:rsidRDefault="00E250E5">
          <w:pPr>
            <w:pStyle w:val="TOC1"/>
            <w:tabs>
              <w:tab w:val="right" w:leader="dot" w:pos="9350"/>
            </w:tabs>
            <w:rPr>
              <w:noProof/>
            </w:rPr>
          </w:pPr>
          <w:r>
            <w:fldChar w:fldCharType="begin"/>
          </w:r>
          <w:r>
            <w:instrText xml:space="preserve"> TOC \o "1-3" \h \z \u </w:instrText>
          </w:r>
          <w:r>
            <w:fldChar w:fldCharType="separate"/>
          </w:r>
          <w:hyperlink w:anchor="_Toc101894155" w:history="1">
            <w:r w:rsidRPr="005902AE">
              <w:rPr>
                <w:rStyle w:val="Hyperlink"/>
                <w:noProof/>
              </w:rPr>
              <w:t>Introduction</w:t>
            </w:r>
            <w:r>
              <w:rPr>
                <w:noProof/>
                <w:webHidden/>
              </w:rPr>
              <w:tab/>
            </w:r>
            <w:r>
              <w:rPr>
                <w:noProof/>
                <w:webHidden/>
              </w:rPr>
              <w:fldChar w:fldCharType="begin"/>
            </w:r>
            <w:r>
              <w:rPr>
                <w:noProof/>
                <w:webHidden/>
              </w:rPr>
              <w:instrText xml:space="preserve"> PAGEREF _Toc101894155 \h </w:instrText>
            </w:r>
            <w:r>
              <w:rPr>
                <w:noProof/>
                <w:webHidden/>
              </w:rPr>
            </w:r>
            <w:r>
              <w:rPr>
                <w:noProof/>
                <w:webHidden/>
              </w:rPr>
              <w:fldChar w:fldCharType="separate"/>
            </w:r>
            <w:r>
              <w:rPr>
                <w:noProof/>
                <w:webHidden/>
              </w:rPr>
              <w:t>3</w:t>
            </w:r>
            <w:r>
              <w:rPr>
                <w:noProof/>
                <w:webHidden/>
              </w:rPr>
              <w:fldChar w:fldCharType="end"/>
            </w:r>
          </w:hyperlink>
        </w:p>
        <w:p w14:paraId="27D0CC65" w14:textId="77777777" w:rsidR="00E250E5" w:rsidRDefault="00802C75">
          <w:pPr>
            <w:pStyle w:val="TOC1"/>
            <w:tabs>
              <w:tab w:val="right" w:leader="dot" w:pos="9350"/>
            </w:tabs>
            <w:rPr>
              <w:noProof/>
            </w:rPr>
          </w:pPr>
          <w:hyperlink w:anchor="_Toc101894156" w:history="1">
            <w:r w:rsidR="00E250E5" w:rsidRPr="005902AE">
              <w:rPr>
                <w:rStyle w:val="Hyperlink"/>
                <w:noProof/>
              </w:rPr>
              <w:t>Community Engagement Project in Brief</w:t>
            </w:r>
            <w:r w:rsidR="00E250E5">
              <w:rPr>
                <w:noProof/>
                <w:webHidden/>
              </w:rPr>
              <w:tab/>
            </w:r>
            <w:r w:rsidR="00E250E5">
              <w:rPr>
                <w:noProof/>
                <w:webHidden/>
              </w:rPr>
              <w:fldChar w:fldCharType="begin"/>
            </w:r>
            <w:r w:rsidR="00E250E5">
              <w:rPr>
                <w:noProof/>
                <w:webHidden/>
              </w:rPr>
              <w:instrText xml:space="preserve"> PAGEREF _Toc101894156 \h </w:instrText>
            </w:r>
            <w:r w:rsidR="00E250E5">
              <w:rPr>
                <w:noProof/>
                <w:webHidden/>
              </w:rPr>
            </w:r>
            <w:r w:rsidR="00E250E5">
              <w:rPr>
                <w:noProof/>
                <w:webHidden/>
              </w:rPr>
              <w:fldChar w:fldCharType="separate"/>
            </w:r>
            <w:r w:rsidR="00E250E5">
              <w:rPr>
                <w:noProof/>
                <w:webHidden/>
              </w:rPr>
              <w:t>3</w:t>
            </w:r>
            <w:r w:rsidR="00E250E5">
              <w:rPr>
                <w:noProof/>
                <w:webHidden/>
              </w:rPr>
              <w:fldChar w:fldCharType="end"/>
            </w:r>
          </w:hyperlink>
        </w:p>
        <w:p w14:paraId="103DFE75" w14:textId="77777777" w:rsidR="00E250E5" w:rsidRDefault="00802C75">
          <w:pPr>
            <w:pStyle w:val="TOC2"/>
            <w:tabs>
              <w:tab w:val="right" w:leader="dot" w:pos="9350"/>
            </w:tabs>
            <w:rPr>
              <w:noProof/>
            </w:rPr>
          </w:pPr>
          <w:hyperlink w:anchor="_Toc101894157" w:history="1">
            <w:r w:rsidR="00E250E5" w:rsidRPr="005902AE">
              <w:rPr>
                <w:rStyle w:val="Hyperlink"/>
                <w:noProof/>
              </w:rPr>
              <w:t>Difference between Projects</w:t>
            </w:r>
            <w:r w:rsidR="00E250E5">
              <w:rPr>
                <w:noProof/>
                <w:webHidden/>
              </w:rPr>
              <w:tab/>
            </w:r>
            <w:r w:rsidR="00E250E5">
              <w:rPr>
                <w:noProof/>
                <w:webHidden/>
              </w:rPr>
              <w:fldChar w:fldCharType="begin"/>
            </w:r>
            <w:r w:rsidR="00E250E5">
              <w:rPr>
                <w:noProof/>
                <w:webHidden/>
              </w:rPr>
              <w:instrText xml:space="preserve"> PAGEREF _Toc101894157 \h </w:instrText>
            </w:r>
            <w:r w:rsidR="00E250E5">
              <w:rPr>
                <w:noProof/>
                <w:webHidden/>
              </w:rPr>
            </w:r>
            <w:r w:rsidR="00E250E5">
              <w:rPr>
                <w:noProof/>
                <w:webHidden/>
              </w:rPr>
              <w:fldChar w:fldCharType="separate"/>
            </w:r>
            <w:r w:rsidR="00E250E5">
              <w:rPr>
                <w:noProof/>
                <w:webHidden/>
              </w:rPr>
              <w:t>4</w:t>
            </w:r>
            <w:r w:rsidR="00E250E5">
              <w:rPr>
                <w:noProof/>
                <w:webHidden/>
              </w:rPr>
              <w:fldChar w:fldCharType="end"/>
            </w:r>
          </w:hyperlink>
        </w:p>
        <w:p w14:paraId="35579816" w14:textId="77777777" w:rsidR="00E250E5" w:rsidRDefault="00802C75">
          <w:pPr>
            <w:pStyle w:val="TOC2"/>
            <w:tabs>
              <w:tab w:val="right" w:leader="dot" w:pos="9350"/>
            </w:tabs>
            <w:rPr>
              <w:noProof/>
            </w:rPr>
          </w:pPr>
          <w:hyperlink w:anchor="_Toc101894158" w:history="1">
            <w:r w:rsidR="00E250E5" w:rsidRPr="005902AE">
              <w:rPr>
                <w:rStyle w:val="Hyperlink"/>
                <w:noProof/>
              </w:rPr>
              <w:t>Comparison of the Projects</w:t>
            </w:r>
            <w:r w:rsidR="00E250E5">
              <w:rPr>
                <w:noProof/>
                <w:webHidden/>
              </w:rPr>
              <w:tab/>
            </w:r>
            <w:r w:rsidR="00E250E5">
              <w:rPr>
                <w:noProof/>
                <w:webHidden/>
              </w:rPr>
              <w:fldChar w:fldCharType="begin"/>
            </w:r>
            <w:r w:rsidR="00E250E5">
              <w:rPr>
                <w:noProof/>
                <w:webHidden/>
              </w:rPr>
              <w:instrText xml:space="preserve"> PAGEREF _Toc101894158 \h </w:instrText>
            </w:r>
            <w:r w:rsidR="00E250E5">
              <w:rPr>
                <w:noProof/>
                <w:webHidden/>
              </w:rPr>
            </w:r>
            <w:r w:rsidR="00E250E5">
              <w:rPr>
                <w:noProof/>
                <w:webHidden/>
              </w:rPr>
              <w:fldChar w:fldCharType="separate"/>
            </w:r>
            <w:r w:rsidR="00E250E5">
              <w:rPr>
                <w:noProof/>
                <w:webHidden/>
              </w:rPr>
              <w:t>4</w:t>
            </w:r>
            <w:r w:rsidR="00E250E5">
              <w:rPr>
                <w:noProof/>
                <w:webHidden/>
              </w:rPr>
              <w:fldChar w:fldCharType="end"/>
            </w:r>
          </w:hyperlink>
        </w:p>
        <w:p w14:paraId="7C7245B3" w14:textId="77777777" w:rsidR="00E250E5" w:rsidRDefault="00802C75">
          <w:pPr>
            <w:pStyle w:val="TOC2"/>
            <w:tabs>
              <w:tab w:val="right" w:leader="dot" w:pos="9350"/>
            </w:tabs>
            <w:rPr>
              <w:noProof/>
            </w:rPr>
          </w:pPr>
          <w:hyperlink w:anchor="_Toc101894159" w:history="1">
            <w:r w:rsidR="00E250E5" w:rsidRPr="005902AE">
              <w:rPr>
                <w:rStyle w:val="Hyperlink"/>
                <w:noProof/>
              </w:rPr>
              <w:t>Analysis of Projects</w:t>
            </w:r>
            <w:r w:rsidR="00E250E5">
              <w:rPr>
                <w:noProof/>
                <w:webHidden/>
              </w:rPr>
              <w:tab/>
            </w:r>
            <w:r w:rsidR="00E250E5">
              <w:rPr>
                <w:noProof/>
                <w:webHidden/>
              </w:rPr>
              <w:fldChar w:fldCharType="begin"/>
            </w:r>
            <w:r w:rsidR="00E250E5">
              <w:rPr>
                <w:noProof/>
                <w:webHidden/>
              </w:rPr>
              <w:instrText xml:space="preserve"> PAGEREF _Toc101894159 \h </w:instrText>
            </w:r>
            <w:r w:rsidR="00E250E5">
              <w:rPr>
                <w:noProof/>
                <w:webHidden/>
              </w:rPr>
            </w:r>
            <w:r w:rsidR="00E250E5">
              <w:rPr>
                <w:noProof/>
                <w:webHidden/>
              </w:rPr>
              <w:fldChar w:fldCharType="separate"/>
            </w:r>
            <w:r w:rsidR="00E250E5">
              <w:rPr>
                <w:noProof/>
                <w:webHidden/>
              </w:rPr>
              <w:t>5</w:t>
            </w:r>
            <w:r w:rsidR="00E250E5">
              <w:rPr>
                <w:noProof/>
                <w:webHidden/>
              </w:rPr>
              <w:fldChar w:fldCharType="end"/>
            </w:r>
          </w:hyperlink>
        </w:p>
        <w:p w14:paraId="46E8EFB2" w14:textId="77777777" w:rsidR="00E250E5" w:rsidRDefault="00802C75">
          <w:pPr>
            <w:pStyle w:val="TOC2"/>
            <w:tabs>
              <w:tab w:val="right" w:leader="dot" w:pos="9350"/>
            </w:tabs>
            <w:rPr>
              <w:noProof/>
            </w:rPr>
          </w:pPr>
          <w:hyperlink w:anchor="_Toc101894160" w:history="1">
            <w:r w:rsidR="00E250E5" w:rsidRPr="005902AE">
              <w:rPr>
                <w:rStyle w:val="Hyperlink"/>
                <w:noProof/>
              </w:rPr>
              <w:t>Analysis of Best Practices</w:t>
            </w:r>
            <w:r w:rsidR="00E250E5">
              <w:rPr>
                <w:noProof/>
                <w:webHidden/>
              </w:rPr>
              <w:tab/>
            </w:r>
            <w:r w:rsidR="00E250E5">
              <w:rPr>
                <w:noProof/>
                <w:webHidden/>
              </w:rPr>
              <w:fldChar w:fldCharType="begin"/>
            </w:r>
            <w:r w:rsidR="00E250E5">
              <w:rPr>
                <w:noProof/>
                <w:webHidden/>
              </w:rPr>
              <w:instrText xml:space="preserve"> PAGEREF _Toc101894160 \h </w:instrText>
            </w:r>
            <w:r w:rsidR="00E250E5">
              <w:rPr>
                <w:noProof/>
                <w:webHidden/>
              </w:rPr>
            </w:r>
            <w:r w:rsidR="00E250E5">
              <w:rPr>
                <w:noProof/>
                <w:webHidden/>
              </w:rPr>
              <w:fldChar w:fldCharType="separate"/>
            </w:r>
            <w:r w:rsidR="00E250E5">
              <w:rPr>
                <w:noProof/>
                <w:webHidden/>
              </w:rPr>
              <w:t>5</w:t>
            </w:r>
            <w:r w:rsidR="00E250E5">
              <w:rPr>
                <w:noProof/>
                <w:webHidden/>
              </w:rPr>
              <w:fldChar w:fldCharType="end"/>
            </w:r>
          </w:hyperlink>
        </w:p>
        <w:p w14:paraId="71404951" w14:textId="77777777" w:rsidR="00E250E5" w:rsidRDefault="00802C75">
          <w:pPr>
            <w:pStyle w:val="TOC2"/>
            <w:tabs>
              <w:tab w:val="right" w:leader="dot" w:pos="9350"/>
            </w:tabs>
            <w:rPr>
              <w:noProof/>
            </w:rPr>
          </w:pPr>
          <w:hyperlink w:anchor="_Toc101894161" w:history="1">
            <w:r w:rsidR="00E250E5" w:rsidRPr="005902AE">
              <w:rPr>
                <w:rStyle w:val="Hyperlink"/>
                <w:noProof/>
              </w:rPr>
              <w:t>Different Perspectives of Projects</w:t>
            </w:r>
            <w:r w:rsidR="00E250E5">
              <w:rPr>
                <w:noProof/>
                <w:webHidden/>
              </w:rPr>
              <w:tab/>
            </w:r>
            <w:r w:rsidR="00E250E5">
              <w:rPr>
                <w:noProof/>
                <w:webHidden/>
              </w:rPr>
              <w:fldChar w:fldCharType="begin"/>
            </w:r>
            <w:r w:rsidR="00E250E5">
              <w:rPr>
                <w:noProof/>
                <w:webHidden/>
              </w:rPr>
              <w:instrText xml:space="preserve"> PAGEREF _Toc101894161 \h </w:instrText>
            </w:r>
            <w:r w:rsidR="00E250E5">
              <w:rPr>
                <w:noProof/>
                <w:webHidden/>
              </w:rPr>
            </w:r>
            <w:r w:rsidR="00E250E5">
              <w:rPr>
                <w:noProof/>
                <w:webHidden/>
              </w:rPr>
              <w:fldChar w:fldCharType="separate"/>
            </w:r>
            <w:r w:rsidR="00E250E5">
              <w:rPr>
                <w:noProof/>
                <w:webHidden/>
              </w:rPr>
              <w:t>6</w:t>
            </w:r>
            <w:r w:rsidR="00E250E5">
              <w:rPr>
                <w:noProof/>
                <w:webHidden/>
              </w:rPr>
              <w:fldChar w:fldCharType="end"/>
            </w:r>
          </w:hyperlink>
        </w:p>
        <w:p w14:paraId="4A499778" w14:textId="77777777" w:rsidR="00E250E5" w:rsidRDefault="00802C75">
          <w:pPr>
            <w:pStyle w:val="TOC2"/>
            <w:tabs>
              <w:tab w:val="right" w:leader="dot" w:pos="9350"/>
            </w:tabs>
            <w:rPr>
              <w:noProof/>
            </w:rPr>
          </w:pPr>
          <w:hyperlink w:anchor="_Toc101894162" w:history="1">
            <w:r w:rsidR="00E250E5" w:rsidRPr="005902AE">
              <w:rPr>
                <w:rStyle w:val="Hyperlink"/>
                <w:noProof/>
              </w:rPr>
              <w:t>Active Consultations</w:t>
            </w:r>
            <w:r w:rsidR="00E250E5">
              <w:rPr>
                <w:noProof/>
                <w:webHidden/>
              </w:rPr>
              <w:tab/>
            </w:r>
            <w:r w:rsidR="00E250E5">
              <w:rPr>
                <w:noProof/>
                <w:webHidden/>
              </w:rPr>
              <w:fldChar w:fldCharType="begin"/>
            </w:r>
            <w:r w:rsidR="00E250E5">
              <w:rPr>
                <w:noProof/>
                <w:webHidden/>
              </w:rPr>
              <w:instrText xml:space="preserve"> PAGEREF _Toc101894162 \h </w:instrText>
            </w:r>
            <w:r w:rsidR="00E250E5">
              <w:rPr>
                <w:noProof/>
                <w:webHidden/>
              </w:rPr>
            </w:r>
            <w:r w:rsidR="00E250E5">
              <w:rPr>
                <w:noProof/>
                <w:webHidden/>
              </w:rPr>
              <w:fldChar w:fldCharType="separate"/>
            </w:r>
            <w:r w:rsidR="00E250E5">
              <w:rPr>
                <w:noProof/>
                <w:webHidden/>
              </w:rPr>
              <w:t>6</w:t>
            </w:r>
            <w:r w:rsidR="00E250E5">
              <w:rPr>
                <w:noProof/>
                <w:webHidden/>
              </w:rPr>
              <w:fldChar w:fldCharType="end"/>
            </w:r>
          </w:hyperlink>
        </w:p>
        <w:p w14:paraId="0444B7EE" w14:textId="77777777" w:rsidR="00E250E5" w:rsidRDefault="00802C75">
          <w:pPr>
            <w:pStyle w:val="TOC2"/>
            <w:tabs>
              <w:tab w:val="right" w:leader="dot" w:pos="9350"/>
            </w:tabs>
            <w:rPr>
              <w:noProof/>
            </w:rPr>
          </w:pPr>
          <w:hyperlink w:anchor="_Toc101894163" w:history="1">
            <w:r w:rsidR="00E250E5" w:rsidRPr="005902AE">
              <w:rPr>
                <w:rStyle w:val="Hyperlink"/>
                <w:noProof/>
              </w:rPr>
              <w:t>Effective Communication</w:t>
            </w:r>
            <w:r w:rsidR="00E250E5">
              <w:rPr>
                <w:noProof/>
                <w:webHidden/>
              </w:rPr>
              <w:tab/>
            </w:r>
            <w:r w:rsidR="00E250E5">
              <w:rPr>
                <w:noProof/>
                <w:webHidden/>
              </w:rPr>
              <w:fldChar w:fldCharType="begin"/>
            </w:r>
            <w:r w:rsidR="00E250E5">
              <w:rPr>
                <w:noProof/>
                <w:webHidden/>
              </w:rPr>
              <w:instrText xml:space="preserve"> PAGEREF _Toc101894163 \h </w:instrText>
            </w:r>
            <w:r w:rsidR="00E250E5">
              <w:rPr>
                <w:noProof/>
                <w:webHidden/>
              </w:rPr>
            </w:r>
            <w:r w:rsidR="00E250E5">
              <w:rPr>
                <w:noProof/>
                <w:webHidden/>
              </w:rPr>
              <w:fldChar w:fldCharType="separate"/>
            </w:r>
            <w:r w:rsidR="00E250E5">
              <w:rPr>
                <w:noProof/>
                <w:webHidden/>
              </w:rPr>
              <w:t>6</w:t>
            </w:r>
            <w:r w:rsidR="00E250E5">
              <w:rPr>
                <w:noProof/>
                <w:webHidden/>
              </w:rPr>
              <w:fldChar w:fldCharType="end"/>
            </w:r>
          </w:hyperlink>
        </w:p>
        <w:p w14:paraId="5B50D710" w14:textId="77777777" w:rsidR="00E250E5" w:rsidRDefault="00802C75">
          <w:pPr>
            <w:pStyle w:val="TOC2"/>
            <w:tabs>
              <w:tab w:val="right" w:leader="dot" w:pos="9350"/>
            </w:tabs>
            <w:rPr>
              <w:noProof/>
            </w:rPr>
          </w:pPr>
          <w:hyperlink w:anchor="_Toc101894164" w:history="1">
            <w:r w:rsidR="00E250E5" w:rsidRPr="005902AE">
              <w:rPr>
                <w:rStyle w:val="Hyperlink"/>
                <w:noProof/>
              </w:rPr>
              <w:t>Stakeholders Participation</w:t>
            </w:r>
            <w:r w:rsidR="00E250E5">
              <w:rPr>
                <w:noProof/>
                <w:webHidden/>
              </w:rPr>
              <w:tab/>
            </w:r>
            <w:r w:rsidR="00E250E5">
              <w:rPr>
                <w:noProof/>
                <w:webHidden/>
              </w:rPr>
              <w:fldChar w:fldCharType="begin"/>
            </w:r>
            <w:r w:rsidR="00E250E5">
              <w:rPr>
                <w:noProof/>
                <w:webHidden/>
              </w:rPr>
              <w:instrText xml:space="preserve"> PAGEREF _Toc101894164 \h </w:instrText>
            </w:r>
            <w:r w:rsidR="00E250E5">
              <w:rPr>
                <w:noProof/>
                <w:webHidden/>
              </w:rPr>
            </w:r>
            <w:r w:rsidR="00E250E5">
              <w:rPr>
                <w:noProof/>
                <w:webHidden/>
              </w:rPr>
              <w:fldChar w:fldCharType="separate"/>
            </w:r>
            <w:r w:rsidR="00E250E5">
              <w:rPr>
                <w:noProof/>
                <w:webHidden/>
              </w:rPr>
              <w:t>7</w:t>
            </w:r>
            <w:r w:rsidR="00E250E5">
              <w:rPr>
                <w:noProof/>
                <w:webHidden/>
              </w:rPr>
              <w:fldChar w:fldCharType="end"/>
            </w:r>
          </w:hyperlink>
        </w:p>
        <w:p w14:paraId="47576418" w14:textId="77777777" w:rsidR="00E250E5" w:rsidRDefault="00802C75">
          <w:pPr>
            <w:pStyle w:val="TOC1"/>
            <w:tabs>
              <w:tab w:val="right" w:leader="dot" w:pos="9350"/>
            </w:tabs>
            <w:rPr>
              <w:noProof/>
            </w:rPr>
          </w:pPr>
          <w:hyperlink w:anchor="_Toc101894165" w:history="1">
            <w:r w:rsidR="00E250E5" w:rsidRPr="005902AE">
              <w:rPr>
                <w:rStyle w:val="Hyperlink"/>
                <w:noProof/>
              </w:rPr>
              <w:t>Conclusion</w:t>
            </w:r>
            <w:r w:rsidR="00E250E5">
              <w:rPr>
                <w:noProof/>
                <w:webHidden/>
              </w:rPr>
              <w:tab/>
            </w:r>
            <w:r w:rsidR="00E250E5">
              <w:rPr>
                <w:noProof/>
                <w:webHidden/>
              </w:rPr>
              <w:fldChar w:fldCharType="begin"/>
            </w:r>
            <w:r w:rsidR="00E250E5">
              <w:rPr>
                <w:noProof/>
                <w:webHidden/>
              </w:rPr>
              <w:instrText xml:space="preserve"> PAGEREF _Toc101894165 \h </w:instrText>
            </w:r>
            <w:r w:rsidR="00E250E5">
              <w:rPr>
                <w:noProof/>
                <w:webHidden/>
              </w:rPr>
            </w:r>
            <w:r w:rsidR="00E250E5">
              <w:rPr>
                <w:noProof/>
                <w:webHidden/>
              </w:rPr>
              <w:fldChar w:fldCharType="separate"/>
            </w:r>
            <w:r w:rsidR="00E250E5">
              <w:rPr>
                <w:noProof/>
                <w:webHidden/>
              </w:rPr>
              <w:t>7</w:t>
            </w:r>
            <w:r w:rsidR="00E250E5">
              <w:rPr>
                <w:noProof/>
                <w:webHidden/>
              </w:rPr>
              <w:fldChar w:fldCharType="end"/>
            </w:r>
          </w:hyperlink>
        </w:p>
        <w:p w14:paraId="7EA7BA0B" w14:textId="77777777" w:rsidR="00E250E5" w:rsidRDefault="00802C75">
          <w:pPr>
            <w:pStyle w:val="TOC1"/>
            <w:tabs>
              <w:tab w:val="right" w:leader="dot" w:pos="9350"/>
            </w:tabs>
            <w:rPr>
              <w:noProof/>
            </w:rPr>
          </w:pPr>
          <w:hyperlink w:anchor="_Toc101894166" w:history="1">
            <w:r w:rsidR="00E250E5" w:rsidRPr="005902AE">
              <w:rPr>
                <w:rStyle w:val="Hyperlink"/>
                <w:noProof/>
              </w:rPr>
              <w:t>References</w:t>
            </w:r>
            <w:r w:rsidR="00E250E5">
              <w:rPr>
                <w:noProof/>
                <w:webHidden/>
              </w:rPr>
              <w:tab/>
            </w:r>
            <w:r w:rsidR="00E250E5">
              <w:rPr>
                <w:noProof/>
                <w:webHidden/>
              </w:rPr>
              <w:fldChar w:fldCharType="begin"/>
            </w:r>
            <w:r w:rsidR="00E250E5">
              <w:rPr>
                <w:noProof/>
                <w:webHidden/>
              </w:rPr>
              <w:instrText xml:space="preserve"> PAGEREF _Toc101894166 \h </w:instrText>
            </w:r>
            <w:r w:rsidR="00E250E5">
              <w:rPr>
                <w:noProof/>
                <w:webHidden/>
              </w:rPr>
            </w:r>
            <w:r w:rsidR="00E250E5">
              <w:rPr>
                <w:noProof/>
                <w:webHidden/>
              </w:rPr>
              <w:fldChar w:fldCharType="separate"/>
            </w:r>
            <w:r w:rsidR="00E250E5">
              <w:rPr>
                <w:noProof/>
                <w:webHidden/>
              </w:rPr>
              <w:t>9</w:t>
            </w:r>
            <w:r w:rsidR="00E250E5">
              <w:rPr>
                <w:noProof/>
                <w:webHidden/>
              </w:rPr>
              <w:fldChar w:fldCharType="end"/>
            </w:r>
          </w:hyperlink>
        </w:p>
        <w:p w14:paraId="3D6021B0" w14:textId="03992339" w:rsidR="00E250E5" w:rsidRDefault="00E250E5">
          <w:r>
            <w:rPr>
              <w:b/>
              <w:bCs/>
              <w:noProof/>
            </w:rPr>
            <w:fldChar w:fldCharType="end"/>
          </w:r>
        </w:p>
      </w:sdtContent>
    </w:sdt>
    <w:p w14:paraId="7F4E4751" w14:textId="77777777" w:rsidR="00E250E5" w:rsidRDefault="00E250E5">
      <w:pPr>
        <w:rPr>
          <w:b/>
          <w:sz w:val="28"/>
          <w:szCs w:val="28"/>
        </w:rPr>
      </w:pPr>
      <w:r>
        <w:br w:type="page"/>
      </w:r>
    </w:p>
    <w:p w14:paraId="00000003" w14:textId="5C929AEC" w:rsidR="00CA085E" w:rsidRDefault="00DE48F5" w:rsidP="00E250E5">
      <w:pPr>
        <w:pStyle w:val="Heading1"/>
        <w:spacing w:line="360" w:lineRule="auto"/>
        <w:jc w:val="both"/>
      </w:pPr>
      <w:bookmarkStart w:id="2" w:name="_Toc101894155"/>
      <w:r>
        <w:lastRenderedPageBreak/>
        <w:t>Introduction</w:t>
      </w:r>
      <w:bookmarkEnd w:id="2"/>
    </w:p>
    <w:p w14:paraId="00000004" w14:textId="77777777" w:rsidR="00CA085E" w:rsidRDefault="00DE48F5" w:rsidP="00E250E5">
      <w:pPr>
        <w:spacing w:line="360" w:lineRule="auto"/>
        <w:jc w:val="both"/>
      </w:pPr>
      <w:r>
        <w:t xml:space="preserve">Coordination in an intensive program like community engagement with the appropriate authorities is the most important for the project's success. According to </w:t>
      </w:r>
      <w:proofErr w:type="spellStart"/>
      <w:r>
        <w:t>Benneworth</w:t>
      </w:r>
      <w:proofErr w:type="spellEnd"/>
      <w:r>
        <w:t xml:space="preserve"> (2018), community engagement is the process in which the local community collectively and voluntarily works with different government authorities for the overall upliftment of the whole community. This can be done in various fields, like social upliftment, financial upliftment, and others. Proper planning and its specific execution are crucial for this type of project, with everyone involved in the project having an equal role to complete. Watson (2018), stated that the active participation of the members of the community for the fastest positive result is the main concept of Community Engagement. Citizens of Guildford and Wolverhampton Town participated in a community engagement program to the reduction of increasing unemployment to create a sustainable society with the help of different authorities. The whole process is going to be discussed in this assessment compared with the community engagement program for the reduction of unemployment in the Wolverhampton area of the United Kingdom. </w:t>
      </w:r>
    </w:p>
    <w:p w14:paraId="00000005" w14:textId="77777777" w:rsidR="00CA085E" w:rsidRDefault="00DE48F5" w:rsidP="00E250E5">
      <w:pPr>
        <w:pStyle w:val="Heading1"/>
        <w:spacing w:line="360" w:lineRule="auto"/>
        <w:jc w:val="both"/>
      </w:pPr>
      <w:bookmarkStart w:id="3" w:name="_y342gjdnufbb" w:colFirst="0" w:colLast="0"/>
      <w:bookmarkStart w:id="4" w:name="_Toc101894156"/>
      <w:bookmarkEnd w:id="3"/>
      <w:r>
        <w:t>Community Engagement Project in Brief</w:t>
      </w:r>
      <w:bookmarkEnd w:id="4"/>
    </w:p>
    <w:p w14:paraId="00000006" w14:textId="77777777" w:rsidR="00CA085E" w:rsidRDefault="00DE48F5" w:rsidP="00E250E5">
      <w:pPr>
        <w:spacing w:line="360" w:lineRule="auto"/>
        <w:jc w:val="both"/>
      </w:pPr>
      <w:r>
        <w:t xml:space="preserve">The local townships of Guildford and Wolverhampton were plagued with the unemployment problem for a very long time. The problem was getting worse day by day and became the cause of headache for local people as well as for different government authorities. Social injustice and crime rates were also increasing in comparison with this main specific issue. Unemployment was creating a crime trend among a class of people, crimes like theft and robbery were increasing. As a result, various personal losses of the people of the area, as well as the overall peaceful atmosphere of the area, were getting ruined, destroying the healthy social progress of the locality. Therefore, based on the requests of the various authorities in the area and course, in the overall interest of the area, the community of the Guildford and Wolverhampton areas comes forward to eradicate such social problems. Being responsible citizens the local communities actively participated in this program and got the opportunity to contribute to such a noble social cause. as the engagement of the local community is always an effective way to eradicate local problems, </w:t>
      </w:r>
      <w:proofErr w:type="spellStart"/>
      <w:r>
        <w:t>Talo</w:t>
      </w:r>
      <w:proofErr w:type="spellEnd"/>
      <w:r>
        <w:t xml:space="preserve"> (2018).</w:t>
      </w:r>
    </w:p>
    <w:p w14:paraId="00000007" w14:textId="77777777" w:rsidR="00CA085E" w:rsidRDefault="00DE48F5" w:rsidP="00E250E5">
      <w:pPr>
        <w:pStyle w:val="Heading2"/>
        <w:spacing w:line="360" w:lineRule="auto"/>
        <w:jc w:val="both"/>
      </w:pPr>
      <w:bookmarkStart w:id="5" w:name="_n8zpyo7ykzmw" w:colFirst="0" w:colLast="0"/>
      <w:bookmarkStart w:id="6" w:name="_Toc101894157"/>
      <w:bookmarkEnd w:id="5"/>
      <w:r>
        <w:lastRenderedPageBreak/>
        <w:t>Difference between Projects</w:t>
      </w:r>
      <w:bookmarkEnd w:id="6"/>
    </w:p>
    <w:p w14:paraId="00000008" w14:textId="77777777" w:rsidR="00CA085E" w:rsidRDefault="00DE48F5" w:rsidP="00E250E5">
      <w:pPr>
        <w:spacing w:line="360" w:lineRule="auto"/>
        <w:jc w:val="both"/>
      </w:pPr>
      <w:r>
        <w:t>There were two projects in which the local communities actively participated.  One was a program for reducing unemployment in the Guildford area and another one is the same in the Wolverhampton area. Although the two projects had the same aim, they had differences also. As the active participation of the Community was desperately needed to eradicate that social issue. There were two main reasons for that problem. One was the increasing rate of illiteracy and the second was the lack of opportunity in financial establishments. The local authorities launched a lot of schemes to the reduction of illiteracy and create job opportunities. But the authorities faced several issues during the implementation of those schemes. As those schemes were for the local people of Guildford and Wolverhampton, the schemes were beneficial for the local community. Hence, awareness in the local community was needed according to the point of view of several government authorities. According to Harris and Crone (2020), local authorities such as Police Department, Education Department, Finance Department, and Local Council had the intentions to reduce crime rates, increase the Gross Domestic Product by improving overall financial conditions, providing basic education and other basic civic facilities which were the responsibilities of those authorities. Whereas local community engagement is intended to maintain peace, and achieve sustainable growth. So, the community actively participated to help authorities to implement those schemes. The basic difference between the two projects was, that the main goal in Guildford's case was to increase job opportunities by giving the depressed classes proper job-oriented education, and in Wolverhampton's case, creating job opportunities by increasing literacy drive.</w:t>
      </w:r>
    </w:p>
    <w:p w14:paraId="00000009" w14:textId="77777777" w:rsidR="00CA085E" w:rsidRDefault="00DE48F5" w:rsidP="00E250E5">
      <w:pPr>
        <w:pStyle w:val="Heading2"/>
        <w:spacing w:line="360" w:lineRule="auto"/>
        <w:jc w:val="both"/>
      </w:pPr>
      <w:bookmarkStart w:id="7" w:name="_q4loy4ju83tr" w:colFirst="0" w:colLast="0"/>
      <w:bookmarkStart w:id="8" w:name="_Toc101894158"/>
      <w:bookmarkEnd w:id="7"/>
      <w:r>
        <w:t>Comparison of the Projects</w:t>
      </w:r>
      <w:bookmarkEnd w:id="8"/>
    </w:p>
    <w:p w14:paraId="0000000A" w14:textId="77777777" w:rsidR="00CA085E" w:rsidRDefault="00DE48F5" w:rsidP="00E250E5">
      <w:pPr>
        <w:spacing w:line="360" w:lineRule="auto"/>
        <w:jc w:val="both"/>
      </w:pPr>
      <w:r>
        <w:t xml:space="preserve">The basic differences between the two cases were described above, but the two projects were held based on the same social cause. According to Best </w:t>
      </w:r>
      <w:r>
        <w:rPr>
          <w:i/>
        </w:rPr>
        <w:t>et al.</w:t>
      </w:r>
      <w:r>
        <w:t xml:space="preserve"> (2021), community engagement was necessary for the implementation of different strategies, authorities took prior. Maintaining synchronization between stakeholders associated with the projects, creating awareness among the community, establishing trust, and helping them to enhance their productivity were some of the common tasks in the two projects. Reducing the communication gap between the two groups, and monitoring the progress of the program were also important things considering the two projects. As the Reduction of Unemployment project was totally based on community engagement programs, hence the two projects had equal value to achieve sustainability.</w:t>
      </w:r>
    </w:p>
    <w:p w14:paraId="0000000B" w14:textId="77777777" w:rsidR="00CA085E" w:rsidRDefault="00DE48F5" w:rsidP="00E250E5">
      <w:pPr>
        <w:pStyle w:val="Heading2"/>
        <w:spacing w:line="360" w:lineRule="auto"/>
        <w:jc w:val="both"/>
      </w:pPr>
      <w:bookmarkStart w:id="9" w:name="_1a8k8n6tjc5u" w:colFirst="0" w:colLast="0"/>
      <w:bookmarkStart w:id="10" w:name="_Toc101894159"/>
      <w:bookmarkEnd w:id="9"/>
      <w:r>
        <w:lastRenderedPageBreak/>
        <w:t>Analysis of Projects</w:t>
      </w:r>
      <w:bookmarkEnd w:id="10"/>
    </w:p>
    <w:p w14:paraId="0000000C" w14:textId="77777777" w:rsidR="00CA085E" w:rsidRDefault="00DE48F5" w:rsidP="00E250E5">
      <w:pPr>
        <w:spacing w:line="360" w:lineRule="auto"/>
        <w:jc w:val="both"/>
      </w:pPr>
      <w:r>
        <w:t>As there were two projects, those had different operational aspects. In the socio-financial development of a locality, certain projects provided by the authority are universally accepted. But those can only be executed with proper engagement of the local community or residents. It is the only way to achieve those goals in a sustainable manner in a quick process. The main foundation of community engagement lies in the concept of plurality and selflessness, Albrecht (2019). It is a comprehensive task that requires the dedication and hard work of the engaged community. Creating a group of major stakeholders having the same mentality of openness of mind, and moral values for the service of the society through labor-intensive practices is very important in community engagement. It also increases the chance of building a trustworthy long-term relationship inside the community. The community engaged in the removal of illiteracy, creating social awareness, and helping the government to create more job opportunities by giving the Government several thoughtful constructive opinions. In a nutshell, engaged local communities of both Guildford and Wolverhampton help to thrive the adopted strategies of the local authorities through hard work and respective local-level strategies.</w:t>
      </w:r>
    </w:p>
    <w:p w14:paraId="0000000D" w14:textId="77777777" w:rsidR="00CA085E" w:rsidRDefault="00DE48F5" w:rsidP="00E250E5">
      <w:pPr>
        <w:pStyle w:val="Heading2"/>
        <w:spacing w:line="360" w:lineRule="auto"/>
        <w:jc w:val="both"/>
      </w:pPr>
      <w:bookmarkStart w:id="11" w:name="_tj76vthj5qgz" w:colFirst="0" w:colLast="0"/>
      <w:bookmarkStart w:id="12" w:name="_Toc101894160"/>
      <w:bookmarkEnd w:id="11"/>
      <w:r>
        <w:t>Analysis of Best Practices</w:t>
      </w:r>
      <w:bookmarkEnd w:id="12"/>
    </w:p>
    <w:p w14:paraId="0000000E" w14:textId="77777777" w:rsidR="00CA085E" w:rsidRDefault="00DE48F5" w:rsidP="00E250E5">
      <w:pPr>
        <w:spacing w:line="360" w:lineRule="auto"/>
        <w:jc w:val="both"/>
      </w:pPr>
      <w:r>
        <w:t xml:space="preserve">The concept of community engagement lies in several practices. Voluntary engagement of society for the sake of the whole community can be done by creating a group of people of the same mentality. Active participation of all the stakeholders with a positive approach is also necessary. According to </w:t>
      </w:r>
      <w:r>
        <w:rPr>
          <w:color w:val="222222"/>
          <w:highlight w:val="white"/>
        </w:rPr>
        <w:t xml:space="preserve">Abou-Al-Ross and </w:t>
      </w:r>
      <w:proofErr w:type="spellStart"/>
      <w:r>
        <w:rPr>
          <w:color w:val="222222"/>
          <w:highlight w:val="white"/>
        </w:rPr>
        <w:t>Alqrenawi</w:t>
      </w:r>
      <w:proofErr w:type="spellEnd"/>
      <w:r>
        <w:rPr>
          <w:color w:val="222222"/>
          <w:highlight w:val="white"/>
        </w:rPr>
        <w:t xml:space="preserve"> (2022),</w:t>
      </w:r>
      <w:r>
        <w:t xml:space="preserve"> identification of issues, understanding those, and responding by taking appropriate steps are crucial in this type of practice. Recognition of existing resources and enhancing opportunities using those resources with the help of community members and organizations is another key practice in this regard. Building a trustworthy team by inviting all citizens within the community, proper planning with them, and giving equal importance to everyone who wants to be a part of the project for their contribution to the society is also necessary for the proper execution of the plan. In collective works credibility of people is also necessary by accepting and evaluating all the fruitful suggestions. In this regard, an open mentality to learning and adopting innovative ideas from other people also enhances the chance of success. </w:t>
      </w:r>
    </w:p>
    <w:p w14:paraId="0000000F" w14:textId="77777777" w:rsidR="00CA085E" w:rsidRDefault="00DE48F5" w:rsidP="00E250E5">
      <w:pPr>
        <w:pStyle w:val="Heading2"/>
        <w:spacing w:line="360" w:lineRule="auto"/>
        <w:jc w:val="both"/>
      </w:pPr>
      <w:bookmarkStart w:id="13" w:name="_6a16lwkqvgxe" w:colFirst="0" w:colLast="0"/>
      <w:bookmarkStart w:id="14" w:name="_Toc101894161"/>
      <w:bookmarkEnd w:id="13"/>
      <w:r>
        <w:lastRenderedPageBreak/>
        <w:t>Different Perspectives of Projects</w:t>
      </w:r>
      <w:bookmarkEnd w:id="14"/>
    </w:p>
    <w:p w14:paraId="00000010" w14:textId="77777777" w:rsidR="00CA085E" w:rsidRDefault="00DE48F5" w:rsidP="00E250E5">
      <w:pPr>
        <w:spacing w:line="360" w:lineRule="auto"/>
        <w:jc w:val="both"/>
      </w:pPr>
      <w:r>
        <w:t xml:space="preserve">There were two different projects of the localities Guildford and Wolverhampton in which the communities participated. The perspective of Guildford's project was to create a sustainable neighborhood by enhancing the civil facilities which had the core aim to reduce unemployment and maintain social and financial prosperity in the region, Geels </w:t>
      </w:r>
      <w:r>
        <w:rPr>
          <w:i/>
        </w:rPr>
        <w:t>et al.</w:t>
      </w:r>
      <w:r>
        <w:t xml:space="preserve"> (2020). The authorities along with the community take different steps such as creating awareness, bringing those involved in anti-social activities back into the mainstream of society by creating the necessary employment opportunities and educating them in job-oriented courses. In the case of Wolverhampton, the area consists mainly of the Sikh community. As the area was mostly peaceful, there were very few antisocial activities there, hence that was not the problem of that locality. They take active participation in reducing illiteracy to enhance the chance of employment and financial stability of many depressed class peoples in their region.</w:t>
      </w:r>
    </w:p>
    <w:p w14:paraId="00000011" w14:textId="77777777" w:rsidR="00CA085E" w:rsidRDefault="00DE48F5" w:rsidP="00E250E5">
      <w:pPr>
        <w:pStyle w:val="Heading2"/>
        <w:spacing w:line="360" w:lineRule="auto"/>
        <w:jc w:val="both"/>
      </w:pPr>
      <w:bookmarkStart w:id="15" w:name="_pwqw7i1zk5s3" w:colFirst="0" w:colLast="0"/>
      <w:bookmarkStart w:id="16" w:name="_Toc101894162"/>
      <w:bookmarkEnd w:id="15"/>
      <w:r>
        <w:t>Active Consultations</w:t>
      </w:r>
      <w:bookmarkEnd w:id="16"/>
    </w:p>
    <w:p w14:paraId="00000012" w14:textId="77777777" w:rsidR="00CA085E" w:rsidRDefault="00DE48F5" w:rsidP="00E250E5">
      <w:pPr>
        <w:spacing w:line="360" w:lineRule="auto"/>
        <w:jc w:val="both"/>
      </w:pPr>
      <w:r>
        <w:t xml:space="preserve">In the case of genuine community development programs, effective community consultations are very necessary. It enables communities to identify the concerns and the effective ways to eradicate those concerns accordingly. Effective consultations help the community members to strengthen their personal as well as professional capabilities which can be further beneficial in empowerment also. De </w:t>
      </w:r>
      <w:proofErr w:type="spellStart"/>
      <w:r>
        <w:t>Weger</w:t>
      </w:r>
      <w:proofErr w:type="spellEnd"/>
      <w:r>
        <w:t xml:space="preserve"> </w:t>
      </w:r>
      <w:r>
        <w:rPr>
          <w:i/>
        </w:rPr>
        <w:t xml:space="preserve">et al. </w:t>
      </w:r>
      <w:r>
        <w:t xml:space="preserve">(2018) stated that it gives the power to communities to take the decision for a better livelihood by implementing different programs and services, which will affect the whole community in a positive way. As it is a reciprocal process, the proper partnership between the community and the service providers can also preserve basic human rights in a tangible way. There are different consultation qualities also in both community and authorities which are required for better participation, such as tolerance in front of challenges, determination against hard work, knowledge of the work, respectful behavior towards existing beliefs and cultures, loyalty, supportive and friendly attitude, situation-specific planning and acclimatization power and many others.   </w:t>
      </w:r>
    </w:p>
    <w:p w14:paraId="00000013" w14:textId="77777777" w:rsidR="00CA085E" w:rsidRDefault="00DE48F5" w:rsidP="00E250E5">
      <w:pPr>
        <w:pStyle w:val="Heading2"/>
        <w:spacing w:line="360" w:lineRule="auto"/>
        <w:jc w:val="both"/>
      </w:pPr>
      <w:bookmarkStart w:id="17" w:name="_vfhz8qcppfyj" w:colFirst="0" w:colLast="0"/>
      <w:bookmarkStart w:id="18" w:name="_Toc101894163"/>
      <w:bookmarkEnd w:id="17"/>
      <w:r>
        <w:t>Effective Communication</w:t>
      </w:r>
      <w:bookmarkEnd w:id="18"/>
    </w:p>
    <w:p w14:paraId="00000014" w14:textId="77777777" w:rsidR="00CA085E" w:rsidRDefault="00DE48F5" w:rsidP="00E250E5">
      <w:pPr>
        <w:spacing w:line="360" w:lineRule="auto"/>
        <w:jc w:val="both"/>
      </w:pPr>
      <w:r>
        <w:t xml:space="preserve">In any sustainable work culture, effective communication is one of the most necessary steps. In complex programs like community engagement programs, the value of effective communication </w:t>
      </w:r>
      <w:r>
        <w:lastRenderedPageBreak/>
        <w:t xml:space="preserve">is immense. According to Demetrious (2020), communication in the engagement of the community is an umbrella term that shows the sharing of information among participant stakeholders, and all level-based consultations. It is a highly critical method for the successful implementation of ongoing projects. There are six factors on which the effective communication process depends. These are the capability of dialogue making, commitment, equal share in contribution, continuity in the process, reliable and trustworthy collaborations, and the conscience of the community. Effective communication can boost the speed of the program also. Hence, effective communication strategies and skills among the stakeholders and the community members are very necessary for the success of the community engagement practices. </w:t>
      </w:r>
    </w:p>
    <w:p w14:paraId="00000015" w14:textId="77777777" w:rsidR="00CA085E" w:rsidRDefault="00DE48F5" w:rsidP="00E250E5">
      <w:pPr>
        <w:pStyle w:val="Heading2"/>
        <w:spacing w:line="360" w:lineRule="auto"/>
        <w:jc w:val="both"/>
      </w:pPr>
      <w:bookmarkStart w:id="19" w:name="_5bj5cv2ivxy" w:colFirst="0" w:colLast="0"/>
      <w:bookmarkStart w:id="20" w:name="_Toc101894164"/>
      <w:bookmarkEnd w:id="19"/>
      <w:r>
        <w:t>Stakeholders Participation</w:t>
      </w:r>
      <w:bookmarkEnd w:id="20"/>
    </w:p>
    <w:p w14:paraId="00000016" w14:textId="77777777" w:rsidR="00CA085E" w:rsidRDefault="00DE48F5" w:rsidP="00E250E5">
      <w:pPr>
        <w:spacing w:line="360" w:lineRule="auto"/>
        <w:jc w:val="both"/>
      </w:pPr>
      <w:r>
        <w:t>Active participation of different types of stakeholders was very necessary for the success of the two projects. There were mainly six types of stakeholders in the whole process. Their participation was immense and was correlated. The stakeholders were County Council, Analysts, Team Members, Government Authorities, Engaged Community, Beneficiary Community. They all had different roles, as the County Council and the authorities were the planning authorities, their main aim was to build a greater nation by providing basic opportunities to the people of Guildford locality. The analysts, management team, coordinator, and the working team was the internal stakeholder; their strategies and efficiency were the main key factors on the path of both projects' success. They aimed to implement the schemes accordingly to create goodwill and get more opportunities in the future. The projects became beneficial for them as their workability, skill, and efficiency got increased. The challenges from the ground level made them more experienced. The external stakeholders like the engaged community and the beneficial communities had also different roles and benefits regarding awareness spread, maintaining peace and prosperity in the locality, and others. Hendricks et al. (2018), stated that stakeholders are the main pillars of a community engagement program.</w:t>
      </w:r>
    </w:p>
    <w:p w14:paraId="00000017" w14:textId="77777777" w:rsidR="00CA085E" w:rsidRDefault="00DE48F5" w:rsidP="00E250E5">
      <w:pPr>
        <w:pStyle w:val="Heading1"/>
        <w:spacing w:line="360" w:lineRule="auto"/>
        <w:jc w:val="both"/>
      </w:pPr>
      <w:bookmarkStart w:id="21" w:name="_w3d6wvn3gi7" w:colFirst="0" w:colLast="0"/>
      <w:bookmarkStart w:id="22" w:name="_Toc101894165"/>
      <w:bookmarkEnd w:id="21"/>
      <w:r>
        <w:t>Conclusion</w:t>
      </w:r>
      <w:bookmarkEnd w:id="22"/>
    </w:p>
    <w:p w14:paraId="00000018" w14:textId="77777777" w:rsidR="00CA085E" w:rsidRDefault="00DE48F5" w:rsidP="00E250E5">
      <w:pPr>
        <w:spacing w:line="360" w:lineRule="auto"/>
        <w:jc w:val="both"/>
      </w:pPr>
      <w:r>
        <w:t xml:space="preserve">The above study of two projects shows the necessity of intentional and voluntary participation of communities to implement certain strategies by policymakers in an organized way. The active interaction between authorities and communities enhances the chance of success of the strategies. </w:t>
      </w:r>
      <w:r>
        <w:lastRenderedPageBreak/>
        <w:t xml:space="preserve">Sometimes it is also necessary for the community members to take active parts in social welfare and fulfill social responsibilities. The thoughtful suggestions of the elite class always result positively in the case of social welfare. For the overall improvement of a locality, the local knowledge is most necessary, which can only persist in local people. Moreover, decisions made inside the local community help to reduce challenges in many ways. Community engagement also helps the engaged community in various ways, it strengthens the local network lies on the community people. It further enhances the integrity power, problem-solving skills, workability, mental stability, and solution-making abilities. In a broader aspect, it creates long-time relationships, and it also helps to empower people associated with it. According to </w:t>
      </w:r>
      <w:proofErr w:type="spellStart"/>
      <w:r>
        <w:t>Mtawa</w:t>
      </w:r>
      <w:proofErr w:type="spellEnd"/>
      <w:r>
        <w:t xml:space="preserve"> (2019), for noble causes like human development, the engagement of the local community is very important for reducing social injustices and barriers and creating a better society. To achieve the goal of creating a sustainable society citizens have the duty to engage themselves in different social upliftment activities along with the planning authorities.</w:t>
      </w:r>
      <w:r>
        <w:br w:type="page"/>
      </w:r>
    </w:p>
    <w:p w14:paraId="00000019" w14:textId="77777777" w:rsidR="00CA085E" w:rsidRDefault="00DE48F5" w:rsidP="00E250E5">
      <w:pPr>
        <w:pStyle w:val="Heading1"/>
        <w:spacing w:line="360" w:lineRule="auto"/>
        <w:jc w:val="both"/>
      </w:pPr>
      <w:bookmarkStart w:id="23" w:name="_e5o0gt2pkbx8" w:colFirst="0" w:colLast="0"/>
      <w:bookmarkStart w:id="24" w:name="_Toc101894166"/>
      <w:bookmarkEnd w:id="23"/>
      <w:r>
        <w:lastRenderedPageBreak/>
        <w:t>References</w:t>
      </w:r>
      <w:bookmarkEnd w:id="24"/>
    </w:p>
    <w:p w14:paraId="56298807" w14:textId="77777777" w:rsidR="00E250E5" w:rsidRPr="00E250E5" w:rsidRDefault="00E250E5" w:rsidP="00E250E5">
      <w:pPr>
        <w:spacing w:line="360" w:lineRule="auto"/>
        <w:jc w:val="both"/>
        <w:rPr>
          <w:color w:val="222222"/>
          <w:sz w:val="22"/>
          <w:szCs w:val="22"/>
          <w:highlight w:val="white"/>
        </w:rPr>
      </w:pPr>
      <w:r w:rsidRPr="00E250E5">
        <w:rPr>
          <w:color w:val="222222"/>
          <w:sz w:val="22"/>
          <w:szCs w:val="22"/>
          <w:highlight w:val="white"/>
        </w:rPr>
        <w:t xml:space="preserve">Abou-Al-Ross, S.A. and </w:t>
      </w:r>
      <w:proofErr w:type="spellStart"/>
      <w:r w:rsidRPr="00E250E5">
        <w:rPr>
          <w:color w:val="222222"/>
          <w:sz w:val="22"/>
          <w:szCs w:val="22"/>
          <w:highlight w:val="white"/>
        </w:rPr>
        <w:t>Alqrenawi</w:t>
      </w:r>
      <w:proofErr w:type="spellEnd"/>
      <w:r w:rsidRPr="00E250E5">
        <w:rPr>
          <w:color w:val="222222"/>
          <w:sz w:val="22"/>
          <w:szCs w:val="22"/>
          <w:highlight w:val="white"/>
        </w:rPr>
        <w:t xml:space="preserve">, R.A., 2022. THE IMPACT OF MUSLIM WOMEN’S AWARENESS OF THE CULTURAL RESPONSIBILITIES AND COMMUNITY ENGAGEMENT ON THE EMPLOYMENT OPPORTUNITIES AND EMPLOYERS’PRACTICES IN BRITAIN. </w:t>
      </w:r>
      <w:r w:rsidRPr="00E250E5">
        <w:rPr>
          <w:i/>
          <w:color w:val="222222"/>
          <w:sz w:val="22"/>
          <w:szCs w:val="22"/>
          <w:highlight w:val="white"/>
        </w:rPr>
        <w:t>European Journal of Human Resource Management Studies</w:t>
      </w:r>
      <w:r w:rsidRPr="00E250E5">
        <w:rPr>
          <w:color w:val="222222"/>
          <w:sz w:val="22"/>
          <w:szCs w:val="22"/>
          <w:highlight w:val="white"/>
        </w:rPr>
        <w:t xml:space="preserve">, </w:t>
      </w:r>
      <w:r w:rsidRPr="00E250E5">
        <w:rPr>
          <w:i/>
          <w:color w:val="222222"/>
          <w:sz w:val="22"/>
          <w:szCs w:val="22"/>
          <w:highlight w:val="white"/>
        </w:rPr>
        <w:t>5</w:t>
      </w:r>
      <w:r w:rsidRPr="00E250E5">
        <w:rPr>
          <w:color w:val="222222"/>
          <w:sz w:val="22"/>
          <w:szCs w:val="22"/>
          <w:highlight w:val="white"/>
        </w:rPr>
        <w:t>(4).</w:t>
      </w:r>
    </w:p>
    <w:p w14:paraId="12544911" w14:textId="77777777" w:rsidR="00E250E5" w:rsidRPr="00E250E5" w:rsidRDefault="00E250E5" w:rsidP="00E250E5">
      <w:pPr>
        <w:spacing w:line="360" w:lineRule="auto"/>
        <w:jc w:val="both"/>
        <w:rPr>
          <w:color w:val="222222"/>
          <w:sz w:val="22"/>
          <w:szCs w:val="22"/>
          <w:highlight w:val="white"/>
        </w:rPr>
      </w:pPr>
      <w:r w:rsidRPr="00E250E5">
        <w:rPr>
          <w:color w:val="222222"/>
          <w:sz w:val="22"/>
          <w:szCs w:val="22"/>
          <w:highlight w:val="white"/>
        </w:rPr>
        <w:t xml:space="preserve">Albrecht, J.F., 2019. Promoting enhanced public participation and community engagement in policing. </w:t>
      </w:r>
      <w:r w:rsidRPr="00F7327E">
        <w:rPr>
          <w:i/>
          <w:iCs/>
          <w:color w:val="222222"/>
          <w:sz w:val="22"/>
          <w:szCs w:val="22"/>
          <w:highlight w:val="white"/>
        </w:rPr>
        <w:t xml:space="preserve">In Policing and minority communities </w:t>
      </w:r>
      <w:r w:rsidRPr="00E250E5">
        <w:rPr>
          <w:color w:val="222222"/>
          <w:sz w:val="22"/>
          <w:szCs w:val="22"/>
          <w:highlight w:val="white"/>
        </w:rPr>
        <w:t>(pp. 55-71). Springer, Cham.</w:t>
      </w:r>
    </w:p>
    <w:p w14:paraId="4683C075" w14:textId="77777777" w:rsidR="00E250E5" w:rsidRPr="00E250E5" w:rsidRDefault="00E250E5" w:rsidP="00E250E5">
      <w:pPr>
        <w:spacing w:line="360" w:lineRule="auto"/>
        <w:jc w:val="both"/>
        <w:rPr>
          <w:color w:val="222222"/>
          <w:sz w:val="22"/>
          <w:szCs w:val="22"/>
          <w:highlight w:val="white"/>
        </w:rPr>
      </w:pPr>
      <w:proofErr w:type="spellStart"/>
      <w:r w:rsidRPr="00E250E5">
        <w:rPr>
          <w:color w:val="222222"/>
          <w:sz w:val="22"/>
          <w:szCs w:val="22"/>
          <w:highlight w:val="white"/>
        </w:rPr>
        <w:t>Benneworth</w:t>
      </w:r>
      <w:proofErr w:type="spellEnd"/>
      <w:r w:rsidRPr="00E250E5">
        <w:rPr>
          <w:color w:val="222222"/>
          <w:sz w:val="22"/>
          <w:szCs w:val="22"/>
          <w:highlight w:val="white"/>
        </w:rPr>
        <w:t xml:space="preserve">, P., 2018. Definitions, approaches, and challenges to community engagement. </w:t>
      </w:r>
      <w:r w:rsidRPr="00E250E5">
        <w:rPr>
          <w:i/>
          <w:color w:val="222222"/>
          <w:sz w:val="22"/>
          <w:szCs w:val="22"/>
          <w:highlight w:val="white"/>
        </w:rPr>
        <w:t>Mapping and Critical Synthesis of Current State-of-the-Art on</w:t>
      </w:r>
      <w:r w:rsidRPr="00E250E5">
        <w:rPr>
          <w:color w:val="222222"/>
          <w:sz w:val="22"/>
          <w:szCs w:val="22"/>
          <w:highlight w:val="white"/>
        </w:rPr>
        <w:t>, p.16.</w:t>
      </w:r>
    </w:p>
    <w:p w14:paraId="477B1395" w14:textId="77777777" w:rsidR="00E250E5" w:rsidRPr="00E250E5" w:rsidRDefault="00E250E5" w:rsidP="00E250E5">
      <w:pPr>
        <w:spacing w:line="360" w:lineRule="auto"/>
        <w:jc w:val="both"/>
        <w:rPr>
          <w:color w:val="222222"/>
          <w:sz w:val="22"/>
          <w:szCs w:val="22"/>
          <w:highlight w:val="white"/>
        </w:rPr>
      </w:pPr>
      <w:r w:rsidRPr="00E250E5">
        <w:rPr>
          <w:color w:val="222222"/>
          <w:sz w:val="22"/>
          <w:szCs w:val="22"/>
          <w:highlight w:val="white"/>
        </w:rPr>
        <w:t xml:space="preserve">Best, D., </w:t>
      </w:r>
      <w:proofErr w:type="spellStart"/>
      <w:r w:rsidRPr="00E250E5">
        <w:rPr>
          <w:color w:val="222222"/>
          <w:sz w:val="22"/>
          <w:szCs w:val="22"/>
          <w:highlight w:val="white"/>
        </w:rPr>
        <w:t>Higham</w:t>
      </w:r>
      <w:proofErr w:type="spellEnd"/>
      <w:r w:rsidRPr="00E250E5">
        <w:rPr>
          <w:color w:val="222222"/>
          <w:sz w:val="22"/>
          <w:szCs w:val="22"/>
          <w:highlight w:val="white"/>
        </w:rPr>
        <w:t xml:space="preserve">, D., </w:t>
      </w:r>
      <w:proofErr w:type="spellStart"/>
      <w:r w:rsidRPr="00E250E5">
        <w:rPr>
          <w:color w:val="222222"/>
          <w:sz w:val="22"/>
          <w:szCs w:val="22"/>
          <w:highlight w:val="white"/>
        </w:rPr>
        <w:t>Pickersgill</w:t>
      </w:r>
      <w:proofErr w:type="spellEnd"/>
      <w:r w:rsidRPr="00E250E5">
        <w:rPr>
          <w:color w:val="222222"/>
          <w:sz w:val="22"/>
          <w:szCs w:val="22"/>
          <w:highlight w:val="white"/>
        </w:rPr>
        <w:t xml:space="preserve">, G., </w:t>
      </w:r>
      <w:proofErr w:type="spellStart"/>
      <w:r w:rsidRPr="00E250E5">
        <w:rPr>
          <w:color w:val="222222"/>
          <w:sz w:val="22"/>
          <w:szCs w:val="22"/>
          <w:highlight w:val="white"/>
        </w:rPr>
        <w:t>Higham</w:t>
      </w:r>
      <w:proofErr w:type="spellEnd"/>
      <w:r w:rsidRPr="00E250E5">
        <w:rPr>
          <w:color w:val="222222"/>
          <w:sz w:val="22"/>
          <w:szCs w:val="22"/>
          <w:highlight w:val="white"/>
        </w:rPr>
        <w:t xml:space="preserve">, K., Hancock, R. and Critchlow, T., 2021. Building recovery capital through community engagement: A hub and spoke model for peer-based recovery support services in England. </w:t>
      </w:r>
      <w:r w:rsidRPr="00E250E5">
        <w:rPr>
          <w:i/>
          <w:color w:val="222222"/>
          <w:sz w:val="22"/>
          <w:szCs w:val="22"/>
          <w:highlight w:val="white"/>
        </w:rPr>
        <w:t>Alcoholism treatment quarterly</w:t>
      </w:r>
      <w:r w:rsidRPr="00E250E5">
        <w:rPr>
          <w:color w:val="222222"/>
          <w:sz w:val="22"/>
          <w:szCs w:val="22"/>
          <w:highlight w:val="white"/>
        </w:rPr>
        <w:t xml:space="preserve">, </w:t>
      </w:r>
      <w:r w:rsidRPr="00E250E5">
        <w:rPr>
          <w:i/>
          <w:color w:val="222222"/>
          <w:sz w:val="22"/>
          <w:szCs w:val="22"/>
          <w:highlight w:val="white"/>
        </w:rPr>
        <w:t>39</w:t>
      </w:r>
      <w:r w:rsidRPr="00E250E5">
        <w:rPr>
          <w:color w:val="222222"/>
          <w:sz w:val="22"/>
          <w:szCs w:val="22"/>
          <w:highlight w:val="white"/>
        </w:rPr>
        <w:t>(1), pp.3-15.</w:t>
      </w:r>
    </w:p>
    <w:p w14:paraId="57AB151E" w14:textId="77777777" w:rsidR="00E250E5" w:rsidRPr="00E250E5" w:rsidRDefault="00E250E5" w:rsidP="00E250E5">
      <w:pPr>
        <w:spacing w:line="360" w:lineRule="auto"/>
        <w:jc w:val="both"/>
        <w:rPr>
          <w:color w:val="222222"/>
          <w:sz w:val="22"/>
          <w:szCs w:val="22"/>
          <w:highlight w:val="white"/>
        </w:rPr>
      </w:pPr>
      <w:r w:rsidRPr="00E250E5">
        <w:rPr>
          <w:color w:val="222222"/>
          <w:sz w:val="22"/>
          <w:szCs w:val="22"/>
          <w:highlight w:val="white"/>
        </w:rPr>
        <w:t xml:space="preserve">De </w:t>
      </w:r>
      <w:proofErr w:type="spellStart"/>
      <w:r w:rsidRPr="00E250E5">
        <w:rPr>
          <w:color w:val="222222"/>
          <w:sz w:val="22"/>
          <w:szCs w:val="22"/>
          <w:highlight w:val="white"/>
        </w:rPr>
        <w:t>Weger</w:t>
      </w:r>
      <w:proofErr w:type="spellEnd"/>
      <w:r w:rsidRPr="00E250E5">
        <w:rPr>
          <w:color w:val="222222"/>
          <w:sz w:val="22"/>
          <w:szCs w:val="22"/>
          <w:highlight w:val="white"/>
        </w:rPr>
        <w:t xml:space="preserve">, E., Van </w:t>
      </w:r>
      <w:proofErr w:type="spellStart"/>
      <w:r w:rsidRPr="00E250E5">
        <w:rPr>
          <w:color w:val="222222"/>
          <w:sz w:val="22"/>
          <w:szCs w:val="22"/>
          <w:highlight w:val="white"/>
        </w:rPr>
        <w:t>Vooren</w:t>
      </w:r>
      <w:proofErr w:type="spellEnd"/>
      <w:r w:rsidRPr="00E250E5">
        <w:rPr>
          <w:color w:val="222222"/>
          <w:sz w:val="22"/>
          <w:szCs w:val="22"/>
          <w:highlight w:val="white"/>
        </w:rPr>
        <w:t xml:space="preserve">, N., </w:t>
      </w:r>
      <w:proofErr w:type="spellStart"/>
      <w:r w:rsidRPr="00E250E5">
        <w:rPr>
          <w:color w:val="222222"/>
          <w:sz w:val="22"/>
          <w:szCs w:val="22"/>
          <w:highlight w:val="white"/>
        </w:rPr>
        <w:t>Luijkx</w:t>
      </w:r>
      <w:proofErr w:type="spellEnd"/>
      <w:r w:rsidRPr="00E250E5">
        <w:rPr>
          <w:color w:val="222222"/>
          <w:sz w:val="22"/>
          <w:szCs w:val="22"/>
          <w:highlight w:val="white"/>
        </w:rPr>
        <w:t xml:space="preserve">, K.G., Baan, C.A. and Drewes, H.W., 2018. Achieving successful community engagement: a rapid realist review. </w:t>
      </w:r>
      <w:r w:rsidRPr="00E250E5">
        <w:rPr>
          <w:i/>
          <w:color w:val="222222"/>
          <w:sz w:val="22"/>
          <w:szCs w:val="22"/>
          <w:highlight w:val="white"/>
        </w:rPr>
        <w:t>BMC health services research</w:t>
      </w:r>
      <w:r w:rsidRPr="00E250E5">
        <w:rPr>
          <w:color w:val="222222"/>
          <w:sz w:val="22"/>
          <w:szCs w:val="22"/>
          <w:highlight w:val="white"/>
        </w:rPr>
        <w:t xml:space="preserve">, </w:t>
      </w:r>
      <w:r w:rsidRPr="00E250E5">
        <w:rPr>
          <w:i/>
          <w:color w:val="222222"/>
          <w:sz w:val="22"/>
          <w:szCs w:val="22"/>
          <w:highlight w:val="white"/>
        </w:rPr>
        <w:t>18</w:t>
      </w:r>
      <w:r w:rsidRPr="00E250E5">
        <w:rPr>
          <w:color w:val="222222"/>
          <w:sz w:val="22"/>
          <w:szCs w:val="22"/>
          <w:highlight w:val="white"/>
        </w:rPr>
        <w:t>(1), pp.1-18.</w:t>
      </w:r>
    </w:p>
    <w:p w14:paraId="5955FF81" w14:textId="77777777" w:rsidR="00E250E5" w:rsidRPr="00E250E5" w:rsidRDefault="00E250E5" w:rsidP="00E250E5">
      <w:pPr>
        <w:spacing w:line="360" w:lineRule="auto"/>
        <w:jc w:val="both"/>
        <w:rPr>
          <w:color w:val="222222"/>
          <w:sz w:val="22"/>
          <w:szCs w:val="22"/>
          <w:highlight w:val="white"/>
        </w:rPr>
      </w:pPr>
      <w:r w:rsidRPr="00E250E5">
        <w:rPr>
          <w:color w:val="222222"/>
          <w:sz w:val="22"/>
          <w:szCs w:val="22"/>
          <w:highlight w:val="white"/>
        </w:rPr>
        <w:t xml:space="preserve">Demetrious, K., 2020. Community engagement and the third sector. In </w:t>
      </w:r>
      <w:r w:rsidRPr="00E250E5">
        <w:rPr>
          <w:i/>
          <w:color w:val="222222"/>
          <w:sz w:val="22"/>
          <w:szCs w:val="22"/>
          <w:highlight w:val="white"/>
        </w:rPr>
        <w:t>Theory and Practice Public Relations</w:t>
      </w:r>
      <w:r w:rsidRPr="00E250E5">
        <w:rPr>
          <w:color w:val="222222"/>
          <w:sz w:val="22"/>
          <w:szCs w:val="22"/>
          <w:highlight w:val="white"/>
        </w:rPr>
        <w:t xml:space="preserve"> (pp. 259-285). Routledge.</w:t>
      </w:r>
    </w:p>
    <w:p w14:paraId="5337EF60" w14:textId="77777777" w:rsidR="00E250E5" w:rsidRPr="00E250E5" w:rsidRDefault="00E250E5" w:rsidP="00E250E5">
      <w:pPr>
        <w:spacing w:line="360" w:lineRule="auto"/>
        <w:jc w:val="both"/>
        <w:rPr>
          <w:color w:val="222222"/>
          <w:sz w:val="22"/>
          <w:szCs w:val="22"/>
          <w:highlight w:val="white"/>
        </w:rPr>
      </w:pPr>
      <w:r w:rsidRPr="00E250E5">
        <w:rPr>
          <w:color w:val="222222"/>
          <w:sz w:val="22"/>
          <w:szCs w:val="22"/>
          <w:highlight w:val="white"/>
        </w:rPr>
        <w:t xml:space="preserve">Geels, F.W., McMeekin, A. and </w:t>
      </w:r>
      <w:proofErr w:type="spellStart"/>
      <w:r w:rsidRPr="00E250E5">
        <w:rPr>
          <w:color w:val="222222"/>
          <w:sz w:val="22"/>
          <w:szCs w:val="22"/>
          <w:highlight w:val="white"/>
        </w:rPr>
        <w:t>Pfluger</w:t>
      </w:r>
      <w:proofErr w:type="spellEnd"/>
      <w:r w:rsidRPr="00E250E5">
        <w:rPr>
          <w:color w:val="222222"/>
          <w:sz w:val="22"/>
          <w:szCs w:val="22"/>
          <w:highlight w:val="white"/>
        </w:rPr>
        <w:t xml:space="preserve">, B., 2020. Socio-technical scenarios as a methodological tool to explore social and political feasibility in low-carbon transitions: Bridging computer models and the multi-level perspective in UK electricity generation (2010–2050). </w:t>
      </w:r>
      <w:r w:rsidRPr="00F7327E">
        <w:rPr>
          <w:i/>
          <w:iCs/>
          <w:color w:val="222222"/>
          <w:sz w:val="22"/>
          <w:szCs w:val="22"/>
          <w:highlight w:val="white"/>
        </w:rPr>
        <w:t>Technological Forecasting and Social Change</w:t>
      </w:r>
      <w:r w:rsidRPr="00E250E5">
        <w:rPr>
          <w:color w:val="222222"/>
          <w:sz w:val="22"/>
          <w:szCs w:val="22"/>
          <w:highlight w:val="white"/>
        </w:rPr>
        <w:t>, 151, p.119258.</w:t>
      </w:r>
    </w:p>
    <w:p w14:paraId="23E704DA" w14:textId="77777777" w:rsidR="00E250E5" w:rsidRPr="00E250E5" w:rsidRDefault="00E250E5" w:rsidP="00E250E5">
      <w:pPr>
        <w:spacing w:line="360" w:lineRule="auto"/>
        <w:jc w:val="both"/>
        <w:rPr>
          <w:color w:val="222222"/>
          <w:sz w:val="22"/>
          <w:szCs w:val="22"/>
          <w:highlight w:val="white"/>
        </w:rPr>
      </w:pPr>
      <w:r w:rsidRPr="00E250E5">
        <w:rPr>
          <w:color w:val="222222"/>
          <w:sz w:val="22"/>
          <w:szCs w:val="22"/>
          <w:highlight w:val="white"/>
        </w:rPr>
        <w:t xml:space="preserve">Harris, M.A. and Crone, D., 2020. Motivations and barriers to engagement with a technology-enabled community wide physical activity intervention. </w:t>
      </w:r>
      <w:proofErr w:type="spellStart"/>
      <w:r w:rsidRPr="00F7327E">
        <w:rPr>
          <w:i/>
          <w:color w:val="222222"/>
          <w:sz w:val="22"/>
          <w:szCs w:val="22"/>
          <w:highlight w:val="white"/>
        </w:rPr>
        <w:t>Plos</w:t>
      </w:r>
      <w:proofErr w:type="spellEnd"/>
      <w:r w:rsidRPr="00F7327E">
        <w:rPr>
          <w:i/>
          <w:color w:val="222222"/>
          <w:sz w:val="22"/>
          <w:szCs w:val="22"/>
          <w:highlight w:val="white"/>
        </w:rPr>
        <w:t xml:space="preserve"> one,</w:t>
      </w:r>
      <w:r w:rsidRPr="00E250E5">
        <w:rPr>
          <w:color w:val="222222"/>
          <w:sz w:val="22"/>
          <w:szCs w:val="22"/>
          <w:highlight w:val="white"/>
        </w:rPr>
        <w:t xml:space="preserve"> </w:t>
      </w:r>
      <w:r w:rsidRPr="00E250E5">
        <w:rPr>
          <w:i/>
          <w:color w:val="222222"/>
          <w:sz w:val="22"/>
          <w:szCs w:val="22"/>
          <w:highlight w:val="white"/>
        </w:rPr>
        <w:t>15</w:t>
      </w:r>
      <w:r w:rsidRPr="00E250E5">
        <w:rPr>
          <w:color w:val="222222"/>
          <w:sz w:val="22"/>
          <w:szCs w:val="22"/>
          <w:highlight w:val="white"/>
        </w:rPr>
        <w:t>(6), p.e0232317.</w:t>
      </w:r>
    </w:p>
    <w:p w14:paraId="70B1E3E7" w14:textId="77777777" w:rsidR="00E250E5" w:rsidRPr="00E250E5" w:rsidRDefault="00E250E5" w:rsidP="00E250E5">
      <w:pPr>
        <w:spacing w:line="360" w:lineRule="auto"/>
        <w:jc w:val="both"/>
        <w:rPr>
          <w:color w:val="222222"/>
          <w:sz w:val="22"/>
          <w:szCs w:val="22"/>
          <w:highlight w:val="white"/>
        </w:rPr>
      </w:pPr>
      <w:r w:rsidRPr="00E250E5">
        <w:rPr>
          <w:color w:val="222222"/>
          <w:sz w:val="22"/>
          <w:szCs w:val="22"/>
          <w:highlight w:val="white"/>
        </w:rPr>
        <w:t xml:space="preserve">Hendricks, S., Conrad, N., Douglas, T.S. and </w:t>
      </w:r>
      <w:proofErr w:type="spellStart"/>
      <w:r w:rsidRPr="00E250E5">
        <w:rPr>
          <w:color w:val="222222"/>
          <w:sz w:val="22"/>
          <w:szCs w:val="22"/>
          <w:highlight w:val="white"/>
        </w:rPr>
        <w:t>Mutsvangwa</w:t>
      </w:r>
      <w:proofErr w:type="spellEnd"/>
      <w:r w:rsidRPr="00E250E5">
        <w:rPr>
          <w:color w:val="222222"/>
          <w:sz w:val="22"/>
          <w:szCs w:val="22"/>
          <w:highlight w:val="white"/>
        </w:rPr>
        <w:t xml:space="preserve">, T., 2018, September. A modified stakeholder participation assessment framework for design thinking in health innovation. In </w:t>
      </w:r>
      <w:r w:rsidRPr="00E250E5">
        <w:rPr>
          <w:i/>
          <w:color w:val="222222"/>
          <w:sz w:val="22"/>
          <w:szCs w:val="22"/>
          <w:highlight w:val="white"/>
        </w:rPr>
        <w:t>Healthcare</w:t>
      </w:r>
      <w:r w:rsidRPr="00E250E5">
        <w:rPr>
          <w:color w:val="222222"/>
          <w:sz w:val="22"/>
          <w:szCs w:val="22"/>
          <w:highlight w:val="white"/>
        </w:rPr>
        <w:t xml:space="preserve"> (Vol. 6, No. 3, pp. 191-196). Elsevier.</w:t>
      </w:r>
    </w:p>
    <w:p w14:paraId="73810469" w14:textId="77777777" w:rsidR="00E250E5" w:rsidRPr="00E250E5" w:rsidRDefault="00E250E5" w:rsidP="00E250E5">
      <w:pPr>
        <w:spacing w:line="360" w:lineRule="auto"/>
        <w:jc w:val="both"/>
        <w:rPr>
          <w:color w:val="222222"/>
          <w:sz w:val="22"/>
          <w:szCs w:val="22"/>
          <w:highlight w:val="white"/>
        </w:rPr>
      </w:pPr>
      <w:proofErr w:type="spellStart"/>
      <w:r w:rsidRPr="00E250E5">
        <w:rPr>
          <w:color w:val="222222"/>
          <w:sz w:val="22"/>
          <w:szCs w:val="22"/>
          <w:highlight w:val="white"/>
        </w:rPr>
        <w:t>Mtawa</w:t>
      </w:r>
      <w:proofErr w:type="spellEnd"/>
      <w:r w:rsidRPr="00E250E5">
        <w:rPr>
          <w:color w:val="222222"/>
          <w:sz w:val="22"/>
          <w:szCs w:val="22"/>
          <w:highlight w:val="white"/>
        </w:rPr>
        <w:t xml:space="preserve">, N.N., 2019. </w:t>
      </w:r>
      <w:r w:rsidRPr="00E250E5">
        <w:rPr>
          <w:i/>
          <w:color w:val="222222"/>
          <w:sz w:val="22"/>
          <w:szCs w:val="22"/>
          <w:highlight w:val="white"/>
        </w:rPr>
        <w:t>Human Development and Community Engagement through Service-Learning</w:t>
      </w:r>
      <w:r w:rsidRPr="00E250E5">
        <w:rPr>
          <w:color w:val="222222"/>
          <w:sz w:val="22"/>
          <w:szCs w:val="22"/>
          <w:highlight w:val="white"/>
        </w:rPr>
        <w:t>. Cham, Switzerland Palgrave Macmillan.</w:t>
      </w:r>
    </w:p>
    <w:p w14:paraId="379314C6" w14:textId="77777777" w:rsidR="00E250E5" w:rsidRPr="00E250E5" w:rsidRDefault="00E250E5" w:rsidP="00E250E5">
      <w:pPr>
        <w:spacing w:line="360" w:lineRule="auto"/>
        <w:jc w:val="both"/>
        <w:rPr>
          <w:color w:val="222222"/>
          <w:sz w:val="22"/>
          <w:szCs w:val="22"/>
          <w:highlight w:val="white"/>
        </w:rPr>
      </w:pPr>
      <w:proofErr w:type="spellStart"/>
      <w:r w:rsidRPr="00E250E5">
        <w:rPr>
          <w:color w:val="222222"/>
          <w:sz w:val="22"/>
          <w:szCs w:val="22"/>
          <w:highlight w:val="white"/>
        </w:rPr>
        <w:t>Talò</w:t>
      </w:r>
      <w:proofErr w:type="spellEnd"/>
      <w:r w:rsidRPr="00E250E5">
        <w:rPr>
          <w:color w:val="222222"/>
          <w:sz w:val="22"/>
          <w:szCs w:val="22"/>
          <w:highlight w:val="white"/>
        </w:rPr>
        <w:t xml:space="preserve">, C., 2018. Community-based determinants of community engagement: a meta-analysis research. </w:t>
      </w:r>
      <w:r w:rsidRPr="00E250E5">
        <w:rPr>
          <w:i/>
          <w:color w:val="222222"/>
          <w:sz w:val="22"/>
          <w:szCs w:val="22"/>
          <w:highlight w:val="white"/>
        </w:rPr>
        <w:t>Social Indicators Research</w:t>
      </w:r>
      <w:r w:rsidRPr="00E250E5">
        <w:rPr>
          <w:color w:val="222222"/>
          <w:sz w:val="22"/>
          <w:szCs w:val="22"/>
          <w:highlight w:val="white"/>
        </w:rPr>
        <w:t xml:space="preserve">, </w:t>
      </w:r>
      <w:r w:rsidRPr="00E250E5">
        <w:rPr>
          <w:i/>
          <w:color w:val="222222"/>
          <w:sz w:val="22"/>
          <w:szCs w:val="22"/>
          <w:highlight w:val="white"/>
        </w:rPr>
        <w:t>140</w:t>
      </w:r>
      <w:r w:rsidRPr="00E250E5">
        <w:rPr>
          <w:color w:val="222222"/>
          <w:sz w:val="22"/>
          <w:szCs w:val="22"/>
          <w:highlight w:val="white"/>
        </w:rPr>
        <w:t>(2), pp.571-596.</w:t>
      </w:r>
    </w:p>
    <w:p w14:paraId="2090C7AC" w14:textId="77777777" w:rsidR="00E250E5" w:rsidRPr="00E250E5" w:rsidRDefault="00E250E5" w:rsidP="00E250E5">
      <w:pPr>
        <w:spacing w:line="360" w:lineRule="auto"/>
        <w:jc w:val="both"/>
        <w:rPr>
          <w:color w:val="222222"/>
          <w:sz w:val="22"/>
          <w:szCs w:val="22"/>
          <w:highlight w:val="white"/>
        </w:rPr>
      </w:pPr>
      <w:r w:rsidRPr="00E250E5">
        <w:rPr>
          <w:color w:val="222222"/>
          <w:sz w:val="22"/>
          <w:szCs w:val="22"/>
          <w:highlight w:val="white"/>
        </w:rPr>
        <w:t>Watson, R., 2018. Community Media Association UK Government Consultation on Civic Engagement.</w:t>
      </w:r>
    </w:p>
    <w:sectPr w:rsidR="00E250E5" w:rsidRPr="00E250E5" w:rsidSect="00E250E5">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A5D7CB" w14:textId="77777777" w:rsidR="00802C75" w:rsidRDefault="00802C75" w:rsidP="00E250E5">
      <w:pPr>
        <w:spacing w:line="240" w:lineRule="auto"/>
      </w:pPr>
      <w:r>
        <w:separator/>
      </w:r>
    </w:p>
  </w:endnote>
  <w:endnote w:type="continuationSeparator" w:id="0">
    <w:p w14:paraId="48D8494D" w14:textId="77777777" w:rsidR="00802C75" w:rsidRDefault="00802C75" w:rsidP="00E250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6032912"/>
      <w:docPartObj>
        <w:docPartGallery w:val="Page Numbers (Bottom of Page)"/>
        <w:docPartUnique/>
      </w:docPartObj>
    </w:sdtPr>
    <w:sdtEndPr>
      <w:rPr>
        <w:noProof/>
        <w:sz w:val="20"/>
        <w:szCs w:val="20"/>
      </w:rPr>
    </w:sdtEndPr>
    <w:sdtContent>
      <w:p w14:paraId="26800C60" w14:textId="3107F374" w:rsidR="00E250E5" w:rsidRPr="00E250E5" w:rsidRDefault="00E250E5">
        <w:pPr>
          <w:pStyle w:val="Footer"/>
          <w:jc w:val="right"/>
          <w:rPr>
            <w:sz w:val="20"/>
            <w:szCs w:val="20"/>
          </w:rPr>
        </w:pPr>
        <w:r w:rsidRPr="00E250E5">
          <w:rPr>
            <w:sz w:val="20"/>
            <w:szCs w:val="20"/>
          </w:rPr>
          <w:fldChar w:fldCharType="begin"/>
        </w:r>
        <w:r w:rsidRPr="00E250E5">
          <w:rPr>
            <w:sz w:val="20"/>
            <w:szCs w:val="20"/>
          </w:rPr>
          <w:instrText xml:space="preserve"> PAGE   \* MERGEFORMAT </w:instrText>
        </w:r>
        <w:r w:rsidRPr="00E250E5">
          <w:rPr>
            <w:sz w:val="20"/>
            <w:szCs w:val="20"/>
          </w:rPr>
          <w:fldChar w:fldCharType="separate"/>
        </w:r>
        <w:r>
          <w:rPr>
            <w:noProof/>
            <w:sz w:val="20"/>
            <w:szCs w:val="20"/>
          </w:rPr>
          <w:t>2</w:t>
        </w:r>
        <w:r w:rsidRPr="00E250E5">
          <w:rPr>
            <w:noProof/>
            <w:sz w:val="20"/>
            <w:szCs w:val="20"/>
          </w:rPr>
          <w:fldChar w:fldCharType="end"/>
        </w:r>
      </w:p>
    </w:sdtContent>
  </w:sdt>
  <w:p w14:paraId="78AA6FD1" w14:textId="77777777" w:rsidR="00E250E5" w:rsidRDefault="00E250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761EA" w14:textId="77777777" w:rsidR="00802C75" w:rsidRDefault="00802C75" w:rsidP="00E250E5">
      <w:pPr>
        <w:spacing w:line="240" w:lineRule="auto"/>
      </w:pPr>
      <w:r>
        <w:separator/>
      </w:r>
    </w:p>
  </w:footnote>
  <w:footnote w:type="continuationSeparator" w:id="0">
    <w:p w14:paraId="5E2E6371" w14:textId="77777777" w:rsidR="00802C75" w:rsidRDefault="00802C75" w:rsidP="00E250E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085E"/>
    <w:rsid w:val="00802C75"/>
    <w:rsid w:val="009A5FC1"/>
    <w:rsid w:val="00CA085E"/>
    <w:rsid w:val="00DE48F5"/>
    <w:rsid w:val="00E250E5"/>
    <w:rsid w:val="00F7327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DCA7A"/>
  <w15:docId w15:val="{4D5680B1-648C-4B92-AFB1-1A2D64E321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b/>
      <w:sz w:val="28"/>
      <w:szCs w:val="28"/>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E250E5"/>
    <w:pPr>
      <w:tabs>
        <w:tab w:val="center" w:pos="4513"/>
        <w:tab w:val="right" w:pos="9026"/>
      </w:tabs>
      <w:spacing w:line="240" w:lineRule="auto"/>
    </w:pPr>
  </w:style>
  <w:style w:type="character" w:customStyle="1" w:styleId="HeaderChar">
    <w:name w:val="Header Char"/>
    <w:basedOn w:val="DefaultParagraphFont"/>
    <w:link w:val="Header"/>
    <w:uiPriority w:val="99"/>
    <w:rsid w:val="00E250E5"/>
  </w:style>
  <w:style w:type="paragraph" w:styleId="Footer">
    <w:name w:val="footer"/>
    <w:basedOn w:val="Normal"/>
    <w:link w:val="FooterChar"/>
    <w:uiPriority w:val="99"/>
    <w:unhideWhenUsed/>
    <w:rsid w:val="00E250E5"/>
    <w:pPr>
      <w:tabs>
        <w:tab w:val="center" w:pos="4513"/>
        <w:tab w:val="right" w:pos="9026"/>
      </w:tabs>
      <w:spacing w:line="240" w:lineRule="auto"/>
    </w:pPr>
  </w:style>
  <w:style w:type="character" w:customStyle="1" w:styleId="FooterChar">
    <w:name w:val="Footer Char"/>
    <w:basedOn w:val="DefaultParagraphFont"/>
    <w:link w:val="Footer"/>
    <w:uiPriority w:val="99"/>
    <w:rsid w:val="00E250E5"/>
  </w:style>
  <w:style w:type="paragraph" w:styleId="TOCHeading">
    <w:name w:val="TOC Heading"/>
    <w:basedOn w:val="Heading1"/>
    <w:next w:val="Normal"/>
    <w:uiPriority w:val="39"/>
    <w:unhideWhenUsed/>
    <w:qFormat/>
    <w:rsid w:val="00E250E5"/>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250E5"/>
    <w:pPr>
      <w:spacing w:after="100"/>
    </w:pPr>
  </w:style>
  <w:style w:type="paragraph" w:styleId="TOC2">
    <w:name w:val="toc 2"/>
    <w:basedOn w:val="Normal"/>
    <w:next w:val="Normal"/>
    <w:autoRedefine/>
    <w:uiPriority w:val="39"/>
    <w:unhideWhenUsed/>
    <w:rsid w:val="00E250E5"/>
    <w:pPr>
      <w:spacing w:after="100"/>
      <w:ind w:left="240"/>
    </w:pPr>
  </w:style>
  <w:style w:type="character" w:styleId="Hyperlink">
    <w:name w:val="Hyperlink"/>
    <w:basedOn w:val="DefaultParagraphFont"/>
    <w:uiPriority w:val="99"/>
    <w:unhideWhenUsed/>
    <w:rsid w:val="00E250E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F9622D-0FD9-44AA-8277-52882FBBD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Pages>
  <Words>2584</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ionut</cp:lastModifiedBy>
  <cp:revision>3</cp:revision>
  <dcterms:created xsi:type="dcterms:W3CDTF">2022-04-26T14:04:00Z</dcterms:created>
  <dcterms:modified xsi:type="dcterms:W3CDTF">2022-05-05T09:44:00Z</dcterms:modified>
</cp:coreProperties>
</file>