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F6993A"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Section 4 – Target Market and Marketing Strategies</w:t>
      </w:r>
    </w:p>
    <w:p w14:paraId="2E610696"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5B466B07"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Market Segmentation</w:t>
      </w:r>
    </w:p>
    <w:p w14:paraId="3784D0C6"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7D49FE9D"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 xml:space="preserve">Market segmentation refers to the process of dividing a broad market into smaller, more manageable groups of consumers with shared characteristics, needs, or </w:t>
      </w:r>
      <w:proofErr w:type="spellStart"/>
      <w:r w:rsidRPr="00862F20">
        <w:rPr>
          <w:rFonts w:ascii="Times New Roman" w:eastAsia="Times New Roman" w:hAnsi="Times New Roman" w:cs="Times New Roman"/>
          <w:sz w:val="24"/>
          <w:szCs w:val="24"/>
          <w:lang w:eastAsia="en-GB"/>
        </w:rPr>
        <w:t>behaviors</w:t>
      </w:r>
      <w:proofErr w:type="spellEnd"/>
      <w:r w:rsidRPr="00862F20">
        <w:rPr>
          <w:rFonts w:ascii="Times New Roman" w:eastAsia="Times New Roman" w:hAnsi="Times New Roman" w:cs="Times New Roman"/>
          <w:sz w:val="24"/>
          <w:szCs w:val="24"/>
          <w:lang w:eastAsia="en-GB"/>
        </w:rPr>
        <w:t xml:space="preserve"> (Kotler &amp; Keller, 2016). It enables a company to tailor its strategies and marketing messages to suit each group’s preferences, improving communication efficiency and overall market reach.</w:t>
      </w:r>
    </w:p>
    <w:p w14:paraId="1AB9C034"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630F4568"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 xml:space="preserve">CICL-UK applies a three-dimensional segmentation approach, focusing on demographic, geographic, and </w:t>
      </w:r>
      <w:proofErr w:type="spellStart"/>
      <w:r w:rsidRPr="00862F20">
        <w:rPr>
          <w:rFonts w:ascii="Times New Roman" w:eastAsia="Times New Roman" w:hAnsi="Times New Roman" w:cs="Times New Roman"/>
          <w:sz w:val="24"/>
          <w:szCs w:val="24"/>
          <w:lang w:eastAsia="en-GB"/>
        </w:rPr>
        <w:t>behavioral</w:t>
      </w:r>
      <w:proofErr w:type="spellEnd"/>
      <w:r w:rsidRPr="00862F20">
        <w:rPr>
          <w:rFonts w:ascii="Times New Roman" w:eastAsia="Times New Roman" w:hAnsi="Times New Roman" w:cs="Times New Roman"/>
          <w:sz w:val="24"/>
          <w:szCs w:val="24"/>
          <w:lang w:eastAsia="en-GB"/>
        </w:rPr>
        <w:t xml:space="preserve"> factors:</w:t>
      </w:r>
    </w:p>
    <w:p w14:paraId="5BE6A1AA"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39D4CC67"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1. Demographic Segmentation:</w:t>
      </w:r>
    </w:p>
    <w:p w14:paraId="33B2567F"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5BAD2020"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Investors: High-net-worth individuals (HNWIs), institutional investors, and venture capitalists based in the UK who are seeking emerging market opportunities.</w:t>
      </w:r>
    </w:p>
    <w:p w14:paraId="1BB64B3C"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3B710DF2"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Businesses: Small and medium-sized enterprises (SMEs) and established companies in Kenya aiming to attract UK investment or develop partnerships.</w:t>
      </w:r>
    </w:p>
    <w:p w14:paraId="7B30CBE3"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1A0AAE8A"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Diaspora Professionals: Kenyan professionals residing in the UK who are financially stable and have an emotional and cultural connection to their home country.</w:t>
      </w:r>
    </w:p>
    <w:p w14:paraId="26D6AD57"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14C4A7D8"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5767B6A6"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40D6EC73"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2. Geographic Segmentation:</w:t>
      </w:r>
    </w:p>
    <w:p w14:paraId="1039D212"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153CAB4C"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Primary Focus Areas: United Kingdom (notably London, Birmingham, and Manchester) and Kenya (specifically Nairobi, Mombasa, and Kisumu).</w:t>
      </w:r>
    </w:p>
    <w:p w14:paraId="53844346"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1415A4E8"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Expansion Regions: Other East African Community (EAC) countries such as Uganda, Tanzania, and Rwanda to support regional economic integration.</w:t>
      </w:r>
    </w:p>
    <w:p w14:paraId="1D640EE8"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229C9DB8"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6D5B6199"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65BC2EE7"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 xml:space="preserve">3. </w:t>
      </w:r>
      <w:proofErr w:type="spellStart"/>
      <w:r w:rsidRPr="00862F20">
        <w:rPr>
          <w:rFonts w:ascii="Times New Roman" w:eastAsia="Times New Roman" w:hAnsi="Times New Roman" w:cs="Times New Roman"/>
          <w:sz w:val="24"/>
          <w:szCs w:val="24"/>
          <w:lang w:eastAsia="en-GB"/>
        </w:rPr>
        <w:t>Behavioral</w:t>
      </w:r>
      <w:proofErr w:type="spellEnd"/>
      <w:r w:rsidRPr="00862F20">
        <w:rPr>
          <w:rFonts w:ascii="Times New Roman" w:eastAsia="Times New Roman" w:hAnsi="Times New Roman" w:cs="Times New Roman"/>
          <w:sz w:val="24"/>
          <w:szCs w:val="24"/>
          <w:lang w:eastAsia="en-GB"/>
        </w:rPr>
        <w:t xml:space="preserve"> Segmentation:</w:t>
      </w:r>
    </w:p>
    <w:p w14:paraId="7F604BBA"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2C46096B"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 xml:space="preserve">Investor </w:t>
      </w:r>
      <w:proofErr w:type="spellStart"/>
      <w:r w:rsidRPr="00862F20">
        <w:rPr>
          <w:rFonts w:ascii="Times New Roman" w:eastAsia="Times New Roman" w:hAnsi="Times New Roman" w:cs="Times New Roman"/>
          <w:sz w:val="24"/>
          <w:szCs w:val="24"/>
          <w:lang w:eastAsia="en-GB"/>
        </w:rPr>
        <w:t>Behavior</w:t>
      </w:r>
      <w:proofErr w:type="spellEnd"/>
      <w:r w:rsidRPr="00862F20">
        <w:rPr>
          <w:rFonts w:ascii="Times New Roman" w:eastAsia="Times New Roman" w:hAnsi="Times New Roman" w:cs="Times New Roman"/>
          <w:sz w:val="24"/>
          <w:szCs w:val="24"/>
          <w:lang w:eastAsia="en-GB"/>
        </w:rPr>
        <w:t>: Individuals and firms interested in sustainable, transparent, and ethical investments within Africa’s high-growth sectors.</w:t>
      </w:r>
    </w:p>
    <w:p w14:paraId="15E4289D"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6CF6C13C"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Engagement Preferences: Clients who prefer structured consultancy, data-driven decision-making, and vetted local partnerships that minimize investment risk.</w:t>
      </w:r>
    </w:p>
    <w:p w14:paraId="51600F76"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6D3DF4A9"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7CDFEC94"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3583ED44"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21321B27"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This segmentation enables CICL-UK to craft specialized marketing messages for each audience, ensuring higher engagement and conversion rates (Kotler &amp; Keller, 2016).</w:t>
      </w:r>
    </w:p>
    <w:p w14:paraId="1A486BA8"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6756C041"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061A6E9C"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lastRenderedPageBreak/>
        <w:t>---</w:t>
      </w:r>
    </w:p>
    <w:p w14:paraId="3F1206DA"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319DAB2B"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Targeting</w:t>
      </w:r>
    </w:p>
    <w:p w14:paraId="08BC5F86"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3DA9556C"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From the segmented market, CICL-UK primarily targets UK-based investors and Kenyan diaspora professionals. These groups are strategically selected because they offer both the financial capacity and strong motivation to invest in Kenya’s growth sectors. UK investors are often looking for diversification and high-return opportunities in emerging markets, while the Kenyan diaspora has both a financial and emotional incentive to contribute to sustainable economic development in their home country.</w:t>
      </w:r>
    </w:p>
    <w:p w14:paraId="243EDD7D"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1AC3C24E"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This dual-targeting approach ensures a balance between financial capability and social impact orientation, creating a more stable and purpose-driven investor base (Johnson &amp; Scholes, 2017). The secondary target market includes Kenyan SMEs seeking international partnerships, who benefit from access to UK capital and expertise facilitated by CICL-UK.</w:t>
      </w:r>
    </w:p>
    <w:p w14:paraId="6301DF29"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59DB03E8"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4231B738"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w:t>
      </w:r>
    </w:p>
    <w:p w14:paraId="084EB451"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4E683A27"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Positioning</w:t>
      </w:r>
    </w:p>
    <w:p w14:paraId="0F8BC2E3"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7FC03456"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CICL-UK positions itself as a trusted bridge for ethical, sustainable, and transparent cross-border investments between the UK and Kenya. Its unique value proposition (UVP) lies in combining local market expertise with global investment standards, thereby reducing information asymmetry and fostering investor confidence.</w:t>
      </w:r>
    </w:p>
    <w:p w14:paraId="0BA4B816"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4936ECBF"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While other consultancies may provide general advisory services, CICL-UK’s niche lies in its dual-market intelligence — a deep understanding of both the UK’s financial environment and Kenya’s investment ecosystem. This unique positioning allows the firm to offer bespoke investment solutions that are both socially responsible and financially rewarding (Johnson &amp; Scholes, 2017).</w:t>
      </w:r>
    </w:p>
    <w:p w14:paraId="5B254389"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3F9CCB0B"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7D262A87"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w:t>
      </w:r>
    </w:p>
    <w:p w14:paraId="3C3A6C76"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285FC89B"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Reaching the Audience – Channels and Tactics</w:t>
      </w:r>
    </w:p>
    <w:p w14:paraId="7D9F9EB3"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6F98224D"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To effectively reach its target audience, CICL-UK employs a multi-channel marketing approach combining both digital and traditional methods:</w:t>
      </w:r>
    </w:p>
    <w:p w14:paraId="3A68C5C1"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60775899"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Digital Channels:</w:t>
      </w:r>
    </w:p>
    <w:p w14:paraId="5D8EDD77"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4CD3100C"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LinkedIn and Twitter (X): Used for professional networking, sharing investment insights, and engaging with potential investors.</w:t>
      </w:r>
    </w:p>
    <w:p w14:paraId="581B72D3"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3010FA05"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Company Website and SEO: Enhances visibility for individuals searching for UK–Kenya investment opportunities.</w:t>
      </w:r>
    </w:p>
    <w:p w14:paraId="165464D7"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3EAD4979"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Email Campaigns and Webinars: Provide updates on trade forums, investment opportunities, and market reports to nurture potential leads.</w:t>
      </w:r>
    </w:p>
    <w:p w14:paraId="18E877BC"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2946136E"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00643C48"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Traditional Channels:</w:t>
      </w:r>
    </w:p>
    <w:p w14:paraId="2069370D"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7F71BD98"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Trade Forums and Summits: CICL-UK hosts the UK–Kenya Investment Summit and business networking events to facilitate direct investor–business interactions.</w:t>
      </w:r>
    </w:p>
    <w:p w14:paraId="49837092"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528270B9"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 xml:space="preserve">Partnerships: Collaborations with institutions such as </w:t>
      </w:r>
      <w:proofErr w:type="spellStart"/>
      <w:r w:rsidRPr="00862F20">
        <w:rPr>
          <w:rFonts w:ascii="Times New Roman" w:eastAsia="Times New Roman" w:hAnsi="Times New Roman" w:cs="Times New Roman"/>
          <w:sz w:val="24"/>
          <w:szCs w:val="24"/>
          <w:lang w:eastAsia="en-GB"/>
        </w:rPr>
        <w:t>KenInvest</w:t>
      </w:r>
      <w:proofErr w:type="spellEnd"/>
      <w:r w:rsidRPr="00862F20">
        <w:rPr>
          <w:rFonts w:ascii="Times New Roman" w:eastAsia="Times New Roman" w:hAnsi="Times New Roman" w:cs="Times New Roman"/>
          <w:sz w:val="24"/>
          <w:szCs w:val="24"/>
          <w:lang w:eastAsia="en-GB"/>
        </w:rPr>
        <w:t>, UK–Kenya Chamber of Commerce, and various business councils to expand visibility and build credibility.</w:t>
      </w:r>
    </w:p>
    <w:p w14:paraId="712B4152"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2375D802"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7AEC89E2"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5F72960A"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This combination of channels ensures that both professional investors and diaspora groups are reached through platforms they trust and engage with most frequently.</w:t>
      </w:r>
    </w:p>
    <w:p w14:paraId="49F2F00C"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07EFE437"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1912BC05"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w:t>
      </w:r>
    </w:p>
    <w:p w14:paraId="7EC3BB78"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35FBD884"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Promotion Strategy</w:t>
      </w:r>
    </w:p>
    <w:p w14:paraId="19AE056A"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44127598"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CICL-UK’s promotional strategy emphasizes credibility, expertise, and long-term relationship building. The promotion mix includes:</w:t>
      </w:r>
    </w:p>
    <w:p w14:paraId="13362A01"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1FF61D6A"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Content Marketing: Publishing white papers, blogs, and case studies on investment trends to establish thought leadership and enhance brand authority.</w:t>
      </w:r>
    </w:p>
    <w:p w14:paraId="3FD33610"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24CDD363"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Event Marketing: Hosting summits, trade missions, and panel discussions to showcase successful investment collaborations and emerging opportunities.</w:t>
      </w:r>
    </w:p>
    <w:p w14:paraId="07335310"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570634F9"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Public Relations (PR): Utilizing press releases, media interviews, and strategic partnerships to boost brand reputation and visibility.</w:t>
      </w:r>
    </w:p>
    <w:p w14:paraId="242B1C16"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24E1337D"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Referral and Partnership Programs: Encouraging satisfied investors to refer new clients through incentive-based programs and exclusive access opportunities.</w:t>
      </w:r>
    </w:p>
    <w:p w14:paraId="6E80FE6D"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65AD8864"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4D565AA4"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These strategies align with CICL-UK’s broader mission to build sustainable investment relationships based on trust and mutual growth. The company’s promotional activities are designed not only to attract investors but also to educate and inspire confidence in cross-border partnerships (Kotler &amp; Keller, 2016).</w:t>
      </w:r>
    </w:p>
    <w:p w14:paraId="04E01827"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240B4A17"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p>
    <w:p w14:paraId="6026177D" w14:textId="77777777" w:rsidR="00862F20" w:rsidRPr="00862F20" w:rsidRDefault="00862F20" w:rsidP="00862F20">
      <w:pPr>
        <w:spacing w:after="0" w:line="240" w:lineRule="auto"/>
        <w:rPr>
          <w:rFonts w:ascii="Times New Roman" w:eastAsia="Times New Roman" w:hAnsi="Times New Roman" w:cs="Times New Roman"/>
          <w:sz w:val="24"/>
          <w:szCs w:val="24"/>
          <w:lang w:eastAsia="en-GB"/>
        </w:rPr>
      </w:pPr>
      <w:r w:rsidRPr="00862F20">
        <w:rPr>
          <w:rFonts w:ascii="Times New Roman" w:eastAsia="Times New Roman" w:hAnsi="Times New Roman" w:cs="Times New Roman"/>
          <w:sz w:val="24"/>
          <w:szCs w:val="24"/>
          <w:lang w:eastAsia="en-GB"/>
        </w:rPr>
        <w:t>---</w:t>
      </w:r>
    </w:p>
    <w:p w14:paraId="1D3FA909" w14:textId="77777777" w:rsidR="002D25B9" w:rsidRDefault="002D25B9"/>
    <w:sectPr w:rsidR="002D25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F20"/>
    <w:rsid w:val="002D25B9"/>
    <w:rsid w:val="002D4536"/>
    <w:rsid w:val="0033387F"/>
    <w:rsid w:val="003F045E"/>
    <w:rsid w:val="00862F20"/>
    <w:rsid w:val="008B5EED"/>
    <w:rsid w:val="00CB2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D6C6D"/>
  <w15:chartTrackingRefBased/>
  <w15:docId w15:val="{88B3CC55-084A-4157-8EFE-C9FE036D5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2F2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62F2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62F2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62F2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62F2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62F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2F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2F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2F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2F2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62F2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62F2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62F2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62F2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62F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2F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2F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2F20"/>
    <w:rPr>
      <w:rFonts w:eastAsiaTheme="majorEastAsia" w:cstheme="majorBidi"/>
      <w:color w:val="272727" w:themeColor="text1" w:themeTint="D8"/>
    </w:rPr>
  </w:style>
  <w:style w:type="paragraph" w:styleId="Title">
    <w:name w:val="Title"/>
    <w:basedOn w:val="Normal"/>
    <w:next w:val="Normal"/>
    <w:link w:val="TitleChar"/>
    <w:uiPriority w:val="10"/>
    <w:qFormat/>
    <w:rsid w:val="00862F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2F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2F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2F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2F20"/>
    <w:pPr>
      <w:spacing w:before="160"/>
      <w:jc w:val="center"/>
    </w:pPr>
    <w:rPr>
      <w:i/>
      <w:iCs/>
      <w:color w:val="404040" w:themeColor="text1" w:themeTint="BF"/>
    </w:rPr>
  </w:style>
  <w:style w:type="character" w:customStyle="1" w:styleId="QuoteChar">
    <w:name w:val="Quote Char"/>
    <w:basedOn w:val="DefaultParagraphFont"/>
    <w:link w:val="Quote"/>
    <w:uiPriority w:val="29"/>
    <w:rsid w:val="00862F20"/>
    <w:rPr>
      <w:i/>
      <w:iCs/>
      <w:color w:val="404040" w:themeColor="text1" w:themeTint="BF"/>
    </w:rPr>
  </w:style>
  <w:style w:type="paragraph" w:styleId="ListParagraph">
    <w:name w:val="List Paragraph"/>
    <w:basedOn w:val="Normal"/>
    <w:uiPriority w:val="34"/>
    <w:qFormat/>
    <w:rsid w:val="00862F20"/>
    <w:pPr>
      <w:ind w:left="720"/>
      <w:contextualSpacing/>
    </w:pPr>
  </w:style>
  <w:style w:type="character" w:styleId="IntenseEmphasis">
    <w:name w:val="Intense Emphasis"/>
    <w:basedOn w:val="DefaultParagraphFont"/>
    <w:uiPriority w:val="21"/>
    <w:qFormat/>
    <w:rsid w:val="00862F20"/>
    <w:rPr>
      <w:i/>
      <w:iCs/>
      <w:color w:val="2F5496" w:themeColor="accent1" w:themeShade="BF"/>
    </w:rPr>
  </w:style>
  <w:style w:type="paragraph" w:styleId="IntenseQuote">
    <w:name w:val="Intense Quote"/>
    <w:basedOn w:val="Normal"/>
    <w:next w:val="Normal"/>
    <w:link w:val="IntenseQuoteChar"/>
    <w:uiPriority w:val="30"/>
    <w:qFormat/>
    <w:rsid w:val="00862F2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62F20"/>
    <w:rPr>
      <w:i/>
      <w:iCs/>
      <w:color w:val="2F5496" w:themeColor="accent1" w:themeShade="BF"/>
    </w:rPr>
  </w:style>
  <w:style w:type="character" w:styleId="IntenseReference">
    <w:name w:val="Intense Reference"/>
    <w:basedOn w:val="DefaultParagraphFont"/>
    <w:uiPriority w:val="32"/>
    <w:qFormat/>
    <w:rsid w:val="00862F2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841</Words>
  <Characters>4796</Characters>
  <Application>Microsoft Office Word</Application>
  <DocSecurity>0</DocSecurity>
  <Lines>39</Lines>
  <Paragraphs>11</Paragraphs>
  <ScaleCrop>false</ScaleCrop>
  <Company/>
  <LinksUpToDate>false</LinksUpToDate>
  <CharactersWithSpaces>5626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N</dc:creator>
  <cp:keywords/>
  <dc:description/>
  <cp:lastModifiedBy>Maria N</cp:lastModifiedBy>
  <cp:revision>1</cp:revision>
  <dcterms:created xsi:type="dcterms:W3CDTF">2025-11-08T12:44:00Z</dcterms:created>
  <dcterms:modified xsi:type="dcterms:W3CDTF">2025-11-08T12:45:00Z</dcterms:modified>
</cp:coreProperties>
</file>