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52"/>
      </w:tblGrid>
      <w:tr w:rsidR="00F927A1" w:rsidRPr="005D3F07" w14:paraId="68CAA39D" w14:textId="77777777" w:rsidTr="00F2666D">
        <w:trPr>
          <w:trHeight w:val="4437"/>
        </w:trPr>
        <w:tc>
          <w:tcPr>
            <w:tcW w:w="10952" w:type="dxa"/>
          </w:tcPr>
          <w:p w14:paraId="02F8EE88" w14:textId="7B0671A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61C9D">
              <w:rPr>
                <w:rFonts w:ascii="Times New Roman" w:hAnsi="Times New Roman" w:cs="Times New Roman"/>
                <w:b/>
                <w:color w:val="auto"/>
                <w:sz w:val="48"/>
              </w:rPr>
              <w:t xml:space="preserve">Aaron Steven Fowler-Parkes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68BEC39E" w:rsidR="00986B43"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61C9D">
              <w:rPr>
                <w:rFonts w:ascii="Times New Roman" w:hAnsi="Times New Roman" w:cs="Times New Roman"/>
                <w:b/>
                <w:color w:val="auto"/>
                <w:sz w:val="48"/>
              </w:rPr>
              <w:t xml:space="preserve"> </w:t>
            </w:r>
            <w:r w:rsidR="00DF10EA">
              <w:rPr>
                <w:rFonts w:ascii="Times New Roman" w:hAnsi="Times New Roman" w:cs="Times New Roman"/>
                <w:b/>
                <w:color w:val="auto"/>
                <w:sz w:val="48"/>
              </w:rPr>
              <w:t>aaron.fowler-parkes@powys.gov.uk</w:t>
            </w:r>
          </w:p>
          <w:p w14:paraId="1C37018E" w14:textId="77777777" w:rsidR="00061C9D" w:rsidRDefault="00061C9D" w:rsidP="005D3F07">
            <w:pPr>
              <w:overflowPunct/>
              <w:autoSpaceDE/>
              <w:autoSpaceDN/>
              <w:adjustRightInd/>
              <w:ind w:right="-957"/>
              <w:textAlignment w:val="auto"/>
              <w:rPr>
                <w:rFonts w:ascii="Times New Roman" w:hAnsi="Times New Roman" w:cs="Times New Roman"/>
                <w:b/>
                <w:color w:val="auto"/>
                <w:sz w:val="48"/>
              </w:rPr>
            </w:pPr>
          </w:p>
          <w:p w14:paraId="0DE696B2" w14:textId="32E55AC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2666D">
              <w:rPr>
                <w:rFonts w:ascii="Times New Roman" w:hAnsi="Times New Roman" w:cs="Times New Roman"/>
                <w:b/>
                <w:color w:val="auto"/>
                <w:sz w:val="48"/>
              </w:rPr>
              <w:t xml:space="preserve"> 2421191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7D7676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w:t>
            </w:r>
            <w:r w:rsidR="00F2666D">
              <w:rPr>
                <w:rFonts w:ascii="Times New Roman" w:hAnsi="Times New Roman" w:cs="Times New Roman"/>
                <w:b/>
                <w:color w:val="auto"/>
                <w:sz w:val="48"/>
              </w:rPr>
              <w:t xml:space="preserve">4 </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E4B6A51" w14:textId="3649783E" w:rsidR="00A070C1" w:rsidRDefault="00A070C1" w:rsidP="00A070C1">
            <w:pPr>
              <w:spacing w:line="276" w:lineRule="auto"/>
              <w:jc w:val="both"/>
            </w:pPr>
          </w:p>
          <w:p w14:paraId="1AFA663F" w14:textId="77777777" w:rsidR="00FC15FC" w:rsidRDefault="00FC15FC" w:rsidP="00A070C1">
            <w:pPr>
              <w:spacing w:line="276" w:lineRule="auto"/>
              <w:jc w:val="both"/>
            </w:pPr>
          </w:p>
          <w:p w14:paraId="5E5CF7EA" w14:textId="20E93485" w:rsidR="00446FFB" w:rsidRDefault="004D4D7D" w:rsidP="00A31CFC">
            <w:pPr>
              <w:spacing w:line="360" w:lineRule="auto"/>
              <w:jc w:val="both"/>
              <w:rPr>
                <w:iCs/>
                <w:sz w:val="24"/>
                <w:szCs w:val="24"/>
              </w:rPr>
            </w:pPr>
            <w:r>
              <w:rPr>
                <w:iCs/>
                <w:sz w:val="24"/>
                <w:szCs w:val="24"/>
              </w:rPr>
              <w:t>Child 2</w:t>
            </w:r>
            <w:r w:rsidR="00446FFB" w:rsidRPr="00446FFB">
              <w:rPr>
                <w:iCs/>
                <w:sz w:val="24"/>
                <w:szCs w:val="24"/>
              </w:rPr>
              <w:t xml:space="preserve"> is a </w:t>
            </w:r>
            <w:r w:rsidR="00446FFB" w:rsidRPr="00446FFB">
              <w:rPr>
                <w:iCs/>
                <w:sz w:val="24"/>
                <w:szCs w:val="24"/>
              </w:rPr>
              <w:t>15-year-old</w:t>
            </w:r>
            <w:r w:rsidR="00446FFB" w:rsidRPr="00446FFB">
              <w:rPr>
                <w:iCs/>
                <w:sz w:val="24"/>
                <w:szCs w:val="24"/>
              </w:rPr>
              <w:t xml:space="preserve"> living in rural North Wales. She is currently on the Child Protection Register under the category of sexual harm. She resides with her father and younger sister. Her mother lives out of the area and provides limited parental support. The family rely on benefits, and as the father does not drive, they are dependent on public transport. Significant concerns relate to 2’s ongoing missing-from-home episodes. She has been reported missing more than 30 times over an </w:t>
            </w:r>
            <w:r w:rsidR="00446FFB" w:rsidRPr="00446FFB">
              <w:rPr>
                <w:iCs/>
                <w:sz w:val="24"/>
                <w:szCs w:val="24"/>
              </w:rPr>
              <w:t>18-month</w:t>
            </w:r>
            <w:r w:rsidR="00446FFB" w:rsidRPr="00446FFB">
              <w:rPr>
                <w:iCs/>
                <w:sz w:val="24"/>
                <w:szCs w:val="24"/>
              </w:rPr>
              <w:t xml:space="preserve"> period, with episodes ranging from a few hours to four days. During some of these episodes, 2 has been subjected to sexual harm from adult males. 2 and her father have engaged with agencies to develop a safety plan, which her father implements to the best of his ability. However, 2 has a diagnosis of ADHD and can act impulsively, which means she does not always follow the agreed strategies. As a result, concerns remain regarding the continued risk of sexual harm when she is missing. The family identify as Welsh and take pride in their nationality. Although they use English as their first language, services were offered in Welsh in line with the Welsh Government’s Active Offer (2015). </w:t>
            </w:r>
          </w:p>
          <w:p w14:paraId="051D12AC" w14:textId="6898C7C3" w:rsidR="00D3152C" w:rsidRDefault="00446FFB" w:rsidP="00A31CFC">
            <w:pPr>
              <w:spacing w:line="360" w:lineRule="auto"/>
              <w:jc w:val="both"/>
              <w:rPr>
                <w:iCs/>
                <w:sz w:val="24"/>
                <w:szCs w:val="24"/>
              </w:rPr>
            </w:pPr>
            <w:r w:rsidRPr="00446FFB">
              <w:rPr>
                <w:iCs/>
                <w:sz w:val="24"/>
                <w:szCs w:val="24"/>
              </w:rPr>
              <w:lastRenderedPageBreak/>
              <w:t xml:space="preserve">In this essay, I will critically reflect on the assessment I completed for 2, examining the quality of my analysis, the effectiveness of collaborative working, and the rationale underpinning my professional judgement. I will also explore how my practice was shaped by relevant Welsh and UK legislation, supported throughout by theory-informed approaches to social work. </w:t>
            </w:r>
          </w:p>
          <w:p w14:paraId="653A8979" w14:textId="7B1F917B" w:rsidR="00446FFB" w:rsidRPr="00446FFB" w:rsidRDefault="00446FFB" w:rsidP="00A31CFC">
            <w:pPr>
              <w:spacing w:line="360" w:lineRule="auto"/>
              <w:jc w:val="both"/>
              <w:rPr>
                <w:iCs/>
                <w:sz w:val="24"/>
                <w:szCs w:val="24"/>
              </w:rPr>
            </w:pPr>
            <w:r w:rsidRPr="00446FFB">
              <w:rPr>
                <w:iCs/>
                <w:sz w:val="24"/>
                <w:szCs w:val="24"/>
              </w:rPr>
              <w:t>This essay will examine safeguarding legislation and policy in Wales and within my local area before outlining my case study. I will reflect on how I assessed and analysed the information gathered, and consider the impact that national and local legislation, policies, strategies, and procedures had on my practice. The essay will then explore how I utilised collaborative working and professional judgement, followed by a discussion of my application of relevant social work theories and models. I will also consider safeguarding in Wales, including its distinct dimensions and the implications for practice, alongside key ethical considerations, rights-based approaches, and information governance. The outcomes, review process, and the learning I gained from this case study will also be examined, before drawing the essay to a conclusion. Throughout, I will frame my critical reflection using Rolfe’s ‘What? So What? Now What?’ model (Simply Psychology, 2024).</w:t>
            </w:r>
          </w:p>
          <w:p w14:paraId="11B8C1A0" w14:textId="782B1D71" w:rsidR="00446FFB" w:rsidRPr="00446FFB" w:rsidRDefault="00446FFB" w:rsidP="00A31CFC">
            <w:pPr>
              <w:spacing w:line="360" w:lineRule="auto"/>
              <w:jc w:val="both"/>
              <w:rPr>
                <w:iCs/>
                <w:sz w:val="24"/>
                <w:szCs w:val="24"/>
              </w:rPr>
            </w:pPr>
            <w:r w:rsidRPr="00446FFB">
              <w:rPr>
                <w:iCs/>
                <w:sz w:val="24"/>
                <w:szCs w:val="24"/>
              </w:rPr>
              <w:t xml:space="preserve">Although Wales has its own distinct legislative framework, safeguarding practice is also shaped by wider UK and European legislation. Core child protection duties remain grounded in the Children Act 2004, which continues to provide the statutory basis for undertaking Section 47 enquiries (legislation.gov.uk, 2026b). In addition, wider legal frameworks such as the Human Rights Act 1998 (legislation.gov.uk, 2026d), the Equality Act 2010 (legislation.gov.uk, 2026e), and the European Convention on Human Rights underpin essential principles of </w:t>
            </w:r>
            <w:r w:rsidR="00D3152C" w:rsidRPr="00446FFB">
              <w:rPr>
                <w:iCs/>
                <w:sz w:val="24"/>
                <w:szCs w:val="24"/>
              </w:rPr>
              <w:t>non-discrimination</w:t>
            </w:r>
            <w:r w:rsidRPr="00446FFB">
              <w:rPr>
                <w:iCs/>
                <w:sz w:val="24"/>
                <w:szCs w:val="24"/>
              </w:rPr>
              <w:t xml:space="preserve">, protection from harm, and respect for private and family life, all of which must be upheld within social work practice. Within Wales, the primary legislation guiding practice is the Social Services and </w:t>
            </w:r>
            <w:r w:rsidR="00D3152C" w:rsidRPr="00446FFB">
              <w:rPr>
                <w:iCs/>
                <w:sz w:val="24"/>
                <w:szCs w:val="24"/>
              </w:rPr>
              <w:t>Well-being</w:t>
            </w:r>
            <w:r w:rsidRPr="00446FFB">
              <w:rPr>
                <w:iCs/>
                <w:sz w:val="24"/>
                <w:szCs w:val="24"/>
              </w:rPr>
              <w:t xml:space="preserve"> (Wales) Act 2014 (SSWBA, 2014). This Act brings together key duties from earlier UK and European legislation and incorporates them into a unified Welsh approach to safeguarding, assessment, </w:t>
            </w:r>
            <w:r w:rsidR="00D3152C" w:rsidRPr="00446FFB">
              <w:rPr>
                <w:iCs/>
                <w:sz w:val="24"/>
                <w:szCs w:val="24"/>
              </w:rPr>
              <w:t>well-being</w:t>
            </w:r>
            <w:r w:rsidRPr="00446FFB">
              <w:rPr>
                <w:iCs/>
                <w:sz w:val="24"/>
                <w:szCs w:val="24"/>
              </w:rPr>
              <w:t xml:space="preserve"> and </w:t>
            </w:r>
            <w:r w:rsidR="00D3152C" w:rsidRPr="00446FFB">
              <w:rPr>
                <w:iCs/>
                <w:sz w:val="24"/>
                <w:szCs w:val="24"/>
              </w:rPr>
              <w:t>multi-agency</w:t>
            </w:r>
            <w:r w:rsidRPr="00446FFB">
              <w:rPr>
                <w:iCs/>
                <w:sz w:val="24"/>
                <w:szCs w:val="24"/>
              </w:rPr>
              <w:t xml:space="preserve"> working. It establishes a rights based, strengths focused, and outcomes driven framework that places the individual at the centre of care and support planning. Complementing the Act, the Code of Professional Practice for Social Care Workers (Social Care Wales, 2017) outlines the professional standards expected of all registered social care workers in Wales. These include respecting individuals’ rights, views and wishes; promoting </w:t>
            </w:r>
            <w:r w:rsidR="00D3152C" w:rsidRPr="00446FFB">
              <w:rPr>
                <w:iCs/>
                <w:sz w:val="24"/>
                <w:szCs w:val="24"/>
              </w:rPr>
              <w:lastRenderedPageBreak/>
              <w:t>well-being</w:t>
            </w:r>
            <w:r w:rsidRPr="00446FFB">
              <w:rPr>
                <w:iCs/>
                <w:sz w:val="24"/>
                <w:szCs w:val="24"/>
              </w:rPr>
              <w:t xml:space="preserve"> and safety; maintaining honesty and professional integrity; ensuring up to date competence; and practising in an </w:t>
            </w:r>
            <w:r w:rsidR="00D3152C" w:rsidRPr="00446FFB">
              <w:rPr>
                <w:iCs/>
                <w:sz w:val="24"/>
                <w:szCs w:val="24"/>
              </w:rPr>
              <w:t>anti-discriminatory</w:t>
            </w:r>
            <w:r w:rsidRPr="00446FFB">
              <w:rPr>
                <w:iCs/>
                <w:sz w:val="24"/>
                <w:szCs w:val="24"/>
              </w:rPr>
              <w:t xml:space="preserve">, </w:t>
            </w:r>
            <w:r w:rsidR="00D3152C" w:rsidRPr="00446FFB">
              <w:rPr>
                <w:iCs/>
                <w:sz w:val="24"/>
                <w:szCs w:val="24"/>
              </w:rPr>
              <w:t>person-centred</w:t>
            </w:r>
            <w:r w:rsidRPr="00446FFB">
              <w:rPr>
                <w:iCs/>
                <w:sz w:val="24"/>
                <w:szCs w:val="24"/>
              </w:rPr>
              <w:t xml:space="preserve"> manner. The Wales Safeguarding Procedures (2019) provide further detailed, national guidance to ensure practitioners recognise, report and respond to safeguarding concerns consistently across Wales. The Procedures clarify the legal responsibilities of different agencies, outline required safeguarding processes for both children and adults, and are overseen regionally by Safeguarding Boards, which monitor and coordinate safeguarding activity within their local areas. A further key piece of Welsh legislation is the </w:t>
            </w:r>
            <w:r w:rsidR="00D3152C" w:rsidRPr="00446FFB">
              <w:rPr>
                <w:iCs/>
                <w:sz w:val="24"/>
                <w:szCs w:val="24"/>
              </w:rPr>
              <w:t>Well-being</w:t>
            </w:r>
            <w:r w:rsidRPr="00446FFB">
              <w:rPr>
                <w:iCs/>
                <w:sz w:val="24"/>
                <w:szCs w:val="24"/>
              </w:rPr>
              <w:t xml:space="preserve"> of Future Generations (Wales) Act 2015, which places a statutory duty on public bodies to work in ways that promote long term </w:t>
            </w:r>
            <w:r w:rsidR="00D3152C" w:rsidRPr="00446FFB">
              <w:rPr>
                <w:iCs/>
                <w:sz w:val="24"/>
                <w:szCs w:val="24"/>
              </w:rPr>
              <w:t>well-being</w:t>
            </w:r>
            <w:r w:rsidRPr="00446FFB">
              <w:rPr>
                <w:iCs/>
                <w:sz w:val="24"/>
                <w:szCs w:val="24"/>
              </w:rPr>
              <w:t xml:space="preserve"> for both current and future generations. It introduces seven national </w:t>
            </w:r>
            <w:r w:rsidR="00D3152C" w:rsidRPr="00446FFB">
              <w:rPr>
                <w:iCs/>
                <w:sz w:val="24"/>
                <w:szCs w:val="24"/>
              </w:rPr>
              <w:t>well-being</w:t>
            </w:r>
            <w:r w:rsidRPr="00446FFB">
              <w:rPr>
                <w:iCs/>
                <w:sz w:val="24"/>
                <w:szCs w:val="24"/>
              </w:rPr>
              <w:t xml:space="preserve"> goals (including a healthier, more equal, and resilient Wales) and five ways of working—long term, prevention, involvement, collaboration, and integration. For social work practice, particularly safeguarding, this legislation reinforces the need to think beyond immediate risks and to consider long term outcomes, structural inequalities, and preventative approaches. In cases such as ’s, the Act supports a practice approach that is not only risk focused but also centred on strengthening protective factors, enhancing opportunities, and promoting sustainable </w:t>
            </w:r>
            <w:r w:rsidR="00D3152C" w:rsidRPr="00446FFB">
              <w:rPr>
                <w:iCs/>
                <w:sz w:val="24"/>
                <w:szCs w:val="24"/>
              </w:rPr>
              <w:t>well-being</w:t>
            </w:r>
            <w:r w:rsidRPr="00446FFB">
              <w:rPr>
                <w:iCs/>
                <w:sz w:val="24"/>
                <w:szCs w:val="24"/>
              </w:rPr>
              <w:t xml:space="preserve"> for the young person. Together, these legislative and policy frameworks shape safeguarding practice in Wales, ensuring that interventions are rights based, legally compliant, consistent across agencies, and focused on both immediate protection and </w:t>
            </w:r>
            <w:r w:rsidR="00D3152C" w:rsidRPr="00446FFB">
              <w:rPr>
                <w:iCs/>
                <w:sz w:val="24"/>
                <w:szCs w:val="24"/>
              </w:rPr>
              <w:t>long-term</w:t>
            </w:r>
            <w:r w:rsidRPr="00446FFB">
              <w:rPr>
                <w:iCs/>
                <w:sz w:val="24"/>
                <w:szCs w:val="24"/>
              </w:rPr>
              <w:t xml:space="preserve"> </w:t>
            </w:r>
            <w:r w:rsidR="00D3152C" w:rsidRPr="00446FFB">
              <w:rPr>
                <w:iCs/>
                <w:sz w:val="24"/>
                <w:szCs w:val="24"/>
              </w:rPr>
              <w:t>well-being</w:t>
            </w:r>
            <w:r w:rsidRPr="00446FFB">
              <w:rPr>
                <w:iCs/>
                <w:sz w:val="24"/>
                <w:szCs w:val="24"/>
              </w:rPr>
              <w:t xml:space="preserve">. Practising in rural Wales presents a range of unique challenges for both individuals and professionals. Many communities experience limited access to public transport, which often runs infrequently, at restricted times, and can be unreliable. Digital connectivity is also poor in several rural areas, restricting families’ ability to access online services, resources, or communication tools that may otherwise support engagement. Additionally, higher levels of poverty in some rural communities can further impact families’ capacity to participate fully in assessments, interventions, and support services. As a social worker, I have a responsibility to recognise and respond to these contextual barriers. This includes supporting individuals and families to overcome practical obstacles wherever reasonably possible, such as assisting them to access services, arranging alternative modes of communication, and offering reasonable adjustments to ensure meaningful participation. By adopting a flexible, collaborative, and </w:t>
            </w:r>
            <w:r w:rsidR="00D3152C" w:rsidRPr="00446FFB">
              <w:rPr>
                <w:iCs/>
                <w:sz w:val="24"/>
                <w:szCs w:val="24"/>
              </w:rPr>
              <w:t>person-centred</w:t>
            </w:r>
            <w:r w:rsidRPr="00446FFB">
              <w:rPr>
                <w:iCs/>
                <w:sz w:val="24"/>
                <w:szCs w:val="24"/>
              </w:rPr>
              <w:t xml:space="preserve"> approach, </w:t>
            </w:r>
            <w:r w:rsidRPr="00446FFB">
              <w:rPr>
                <w:iCs/>
                <w:sz w:val="24"/>
                <w:szCs w:val="24"/>
              </w:rPr>
              <w:lastRenderedPageBreak/>
              <w:t xml:space="preserve">I aim to engage individuals effectively in both assessment and planning, despite the structural challenges associated with rural practice. As child was already on the Child Protection register, I had a number of responsibilities to fulfil as her Social Worker. These responsibilities are laid out in Wales Safeguarding Procedures and included visiting her every 10 working days, visiting her at home at least every 4 weeks, and having core group meetings every 4-6 weeks. </w:t>
            </w:r>
          </w:p>
          <w:p w14:paraId="77E8C25B" w14:textId="734ACE59" w:rsidR="00446FFB" w:rsidRPr="00446FFB" w:rsidRDefault="00446FFB" w:rsidP="00A31CFC">
            <w:pPr>
              <w:spacing w:line="360" w:lineRule="auto"/>
              <w:jc w:val="both"/>
              <w:rPr>
                <w:iCs/>
                <w:sz w:val="24"/>
                <w:szCs w:val="24"/>
              </w:rPr>
            </w:pPr>
            <w:r w:rsidRPr="00446FFB">
              <w:rPr>
                <w:iCs/>
                <w:sz w:val="24"/>
                <w:szCs w:val="24"/>
              </w:rPr>
              <w:t xml:space="preserve">The case study I will use for this essay was a referral received from the police following a missing episode in which 2 had been absent for over 24 hours. She was located in a town approximately an hour from her home address, at the property of an adult male. Police traced her location through mobile phone data. Upon attending the address, the adult answered the door wearing a dressing gown, and officers entered the property where they found 2 unclothed in his bedroom. She was immediately removed from the address. Both 2 and the adult denied any sexual activity had taken place. The adult also claimed he was unaware that 2 was a minor; however, 2 stated that he knew she was 15 years old. In line with Section 3 of the Wales Safeguarding Procedures (Social Care Wales, 2026d), a strategy meeting was convened on the same day between Social Services and the police. It was agreed that a joint Section 47 inquiry (legislation.gov.uk, 2026b) should be undertaken. Within 24 hours, I attended ’s home address alongside a police officer to speak with her. This visit was organised through her father, who was fully cooperative. It is important to note that under a Section 47 investigation, police and social workers may speak with a child without parental consent if necessary to safeguard them. After meeting with </w:t>
            </w:r>
            <w:r w:rsidR="00692E1F">
              <w:rPr>
                <w:iCs/>
                <w:sz w:val="24"/>
                <w:szCs w:val="24"/>
              </w:rPr>
              <w:t>2</w:t>
            </w:r>
            <w:r w:rsidRPr="00446FFB">
              <w:rPr>
                <w:iCs/>
                <w:sz w:val="24"/>
                <w:szCs w:val="24"/>
              </w:rPr>
              <w:t xml:space="preserve">, I completed the Section 47 assessment within the required 15 working days of the original strategy discussion. During this period, we reviewed and updated her safety plan with both 2 and her father to strengthen protective measures and reduce the risk of further incidents. The police also issued a Child Abduction Warning Notice (CAWN) (HMICFRS, 2021) to the adult of concern, prohibiting further contact with </w:t>
            </w:r>
            <w:r w:rsidR="00692E1F">
              <w:rPr>
                <w:iCs/>
                <w:sz w:val="24"/>
                <w:szCs w:val="24"/>
              </w:rPr>
              <w:t>2</w:t>
            </w:r>
            <w:r w:rsidRPr="00446FFB">
              <w:rPr>
                <w:iCs/>
                <w:sz w:val="24"/>
                <w:szCs w:val="24"/>
              </w:rPr>
              <w:t xml:space="preserve">. As 2 was already subject to a Child Protection Plan, an Initial Child Protection Conference was not required at this stage. Had she not been on the Child Protection Register, such a conference would have needed to occur within the same </w:t>
            </w:r>
            <w:r w:rsidR="00D3152C" w:rsidRPr="00446FFB">
              <w:rPr>
                <w:iCs/>
                <w:sz w:val="24"/>
                <w:szCs w:val="24"/>
              </w:rPr>
              <w:t>15-day</w:t>
            </w:r>
            <w:r w:rsidRPr="00446FFB">
              <w:rPr>
                <w:iCs/>
                <w:sz w:val="24"/>
                <w:szCs w:val="24"/>
              </w:rPr>
              <w:t xml:space="preserve"> timescale. During the joint visit, police led the questioning and completed a Witness Interview Booklet, which was later shared with me to inform my assessment. Throughout the interview, 2 continued to deny that any sexual activity had taken place and offered limited responses to both the police and </w:t>
            </w:r>
            <w:r w:rsidR="00D3152C" w:rsidRPr="00446FFB">
              <w:rPr>
                <w:iCs/>
                <w:sz w:val="24"/>
                <w:szCs w:val="24"/>
              </w:rPr>
              <w:lastRenderedPageBreak/>
              <w:t>me</w:t>
            </w:r>
            <w:r w:rsidRPr="00446FFB">
              <w:rPr>
                <w:iCs/>
                <w:sz w:val="24"/>
                <w:szCs w:val="24"/>
              </w:rPr>
              <w:t>. She explained that she had met the adult through friends on social media and reiterated that he was aware of her age, stating that this was why he had not engaged in sexual activity with her. However, she declined to explain why she was unclothed when officers arrived at the property.</w:t>
            </w:r>
          </w:p>
          <w:p w14:paraId="5C07480A" w14:textId="77777777" w:rsidR="00D3152C" w:rsidRDefault="00446FFB" w:rsidP="00A31CFC">
            <w:pPr>
              <w:spacing w:line="360" w:lineRule="auto"/>
              <w:jc w:val="both"/>
              <w:rPr>
                <w:iCs/>
                <w:sz w:val="24"/>
                <w:szCs w:val="24"/>
              </w:rPr>
            </w:pPr>
            <w:r w:rsidRPr="00446FFB">
              <w:rPr>
                <w:iCs/>
                <w:sz w:val="24"/>
                <w:szCs w:val="24"/>
              </w:rPr>
              <w:t xml:space="preserve">I completed the Section 47 enquiry using the Signs of Safety approach (Signs of Safety, 2024), considering what was working well, what we were worried about, and what the next steps should be. This involved formulating clear harm and danger statements, alongside safety goals based on the information gathered. The Section 47 assessment format also incorporates the Assessment Framework Triangle (Howarth, 2019), a model used to support holistic assessment of a child’s needs by exploring three interconnected domains. These are: the child’s developmental needs, including health, emotional and behavioural development, education, identity and social presentation; parenting capacity, including the ability to meet basic care needs, provide emotional warmth, ensure stability, offer stimulation and support learning, set boundaries and guidance, and maintain safety; and family and environmental factors, such as housing, financial circumstances, family history, social integration, community resources, and wider family relationships. </w:t>
            </w:r>
          </w:p>
          <w:p w14:paraId="6E53239F" w14:textId="43E012B5" w:rsidR="00D3152C" w:rsidRDefault="00446FFB" w:rsidP="00A31CFC">
            <w:pPr>
              <w:spacing w:line="360" w:lineRule="auto"/>
              <w:jc w:val="both"/>
              <w:rPr>
                <w:iCs/>
                <w:sz w:val="24"/>
                <w:szCs w:val="24"/>
              </w:rPr>
            </w:pPr>
            <w:r w:rsidRPr="00446FFB">
              <w:rPr>
                <w:iCs/>
                <w:sz w:val="24"/>
                <w:szCs w:val="24"/>
              </w:rPr>
              <w:t xml:space="preserve">As this was not a new case to me—given that I was already the allocated social worker under Child Protection registration—I already held an understanding of many of these domains. However, several areas required further exploration in light of the new safeguarding concerns. These included ’s emotional and behavioural development, her social relationships, her parents’ ability to set and maintain boundaries and ensure her safety, and the wider family dynamics. Deepening my understanding of these factors was essential for assessing current risk, analysing the impact of the recent incident, and determining what support and safeguarding actions were required going forward. </w:t>
            </w:r>
          </w:p>
          <w:p w14:paraId="377515D8" w14:textId="063A9428" w:rsidR="00446FFB" w:rsidRPr="00446FFB" w:rsidRDefault="00446FFB" w:rsidP="00A31CFC">
            <w:pPr>
              <w:spacing w:line="360" w:lineRule="auto"/>
              <w:jc w:val="both"/>
              <w:rPr>
                <w:iCs/>
                <w:sz w:val="24"/>
                <w:szCs w:val="24"/>
              </w:rPr>
            </w:pPr>
            <w:r w:rsidRPr="00446FFB">
              <w:rPr>
                <w:iCs/>
                <w:sz w:val="24"/>
                <w:szCs w:val="24"/>
              </w:rPr>
              <w:t xml:space="preserve">To gather the information for the assessment, I used a range of methods to ensure a comprehensive and balanced understanding of the situation. This included a joint visit with the police, followed by additional visits from myself to speak directly with 2 and her father. I also contacted the professionals involved with the family via email to obtain their views, applying the Signs of Safety approach by asking what they felt was working well, what worries they had, and what next steps they believed might be beneficial. In addition, I reviewed the chronology, which was essential in understanding patterns of behaviour, particularly in relation </w:t>
            </w:r>
            <w:r w:rsidRPr="00446FFB">
              <w:rPr>
                <w:iCs/>
                <w:sz w:val="24"/>
                <w:szCs w:val="24"/>
              </w:rPr>
              <w:lastRenderedPageBreak/>
              <w:t>to ’s missing episodes and previous safeguarding concerns. Had this been a new assessment, I would have completed tools such as genograms and eco maps; however, these were already available within the existing case file, allowing me to build upon the information previously gathered rather than duplicating work.</w:t>
            </w:r>
          </w:p>
          <w:p w14:paraId="5705D912" w14:textId="77777777" w:rsidR="00E6774D" w:rsidRDefault="00446FFB" w:rsidP="00A31CFC">
            <w:pPr>
              <w:spacing w:line="360" w:lineRule="auto"/>
              <w:jc w:val="both"/>
              <w:rPr>
                <w:iCs/>
                <w:sz w:val="24"/>
                <w:szCs w:val="24"/>
              </w:rPr>
            </w:pPr>
            <w:r w:rsidRPr="00446FFB">
              <w:rPr>
                <w:iCs/>
                <w:sz w:val="24"/>
                <w:szCs w:val="24"/>
              </w:rPr>
              <w:t xml:space="preserve">During this assessment, it was challenging to engage 2 in discussions about the incident itself. She continued to deny any sexual activity between herself and the adult of concern and was unwilling to participate in further exploration of the circumstances surrounding the missing episode. However, 2 did engage openly in other areas of the assessment. She spoke about her mental health, her relationship with her mother, frustrations with education, and the types of activities and support she felt would be beneficial for her going forward. This engagement demonstrated that, although she was guarded about the incident, she was still able to build rapport and express her feelings about other aspects of her life. </w:t>
            </w:r>
          </w:p>
          <w:p w14:paraId="5C68CB10" w14:textId="461E810E" w:rsidR="005D2A8B" w:rsidRDefault="00446FFB" w:rsidP="00A31CFC">
            <w:pPr>
              <w:spacing w:line="360" w:lineRule="auto"/>
              <w:jc w:val="both"/>
              <w:rPr>
                <w:iCs/>
                <w:sz w:val="24"/>
                <w:szCs w:val="24"/>
              </w:rPr>
            </w:pPr>
            <w:r w:rsidRPr="00446FFB">
              <w:rPr>
                <w:iCs/>
                <w:sz w:val="24"/>
                <w:szCs w:val="24"/>
              </w:rPr>
              <w:t xml:space="preserve">When completing assessments, there is often a need to balance different pieces of legislation and </w:t>
            </w:r>
            <w:r w:rsidR="00E6774D" w:rsidRPr="00446FFB">
              <w:rPr>
                <w:iCs/>
                <w:sz w:val="24"/>
                <w:szCs w:val="24"/>
              </w:rPr>
              <w:t>rights-based</w:t>
            </w:r>
            <w:r w:rsidRPr="00446FFB">
              <w:rPr>
                <w:iCs/>
                <w:sz w:val="24"/>
                <w:szCs w:val="24"/>
              </w:rPr>
              <w:t xml:space="preserve"> frameworks. In ’s case, I had to consider the European Convention on Human Rights (ECHR), particularly Article 8, which protects an individual’s right to respect for their private and family life. This right is fundamental, but it is not absolute and can be lawfully interfered with when necessary to protect the rights and safety of others—particularly children. Alongside this, I had to consider Article 19 of the United Nations Convention on the Rights of the Child (UNCRC) (</w:t>
            </w:r>
            <w:proofErr w:type="spellStart"/>
            <w:r w:rsidRPr="00446FFB">
              <w:rPr>
                <w:iCs/>
                <w:sz w:val="24"/>
                <w:szCs w:val="24"/>
              </w:rPr>
              <w:t>Unicef</w:t>
            </w:r>
            <w:proofErr w:type="spellEnd"/>
            <w:r w:rsidRPr="00446FFB">
              <w:rPr>
                <w:iCs/>
                <w:sz w:val="24"/>
                <w:szCs w:val="24"/>
              </w:rPr>
              <w:t xml:space="preserve">, 1989), which states that all children have the right to be protected from “all forms of physical or mental violence, injury or abuse, neglect or negligent treatment, maltreatment or exploitation, including sexual abuse.” This international obligation places a clear safeguarding duty on professionals. In addition, the Children Act 1989, Section 47 imposes a statutory duty on local authorities—and therefore on me as the allocated social worker—to investigate and act where a child is suspected to be suffering, or likely to suffer, significant harm. In practice, this meant that while respecting ’s Article 8 rights, I was legally and ethically required to prioritise her protection from harm in accordance with the UNCRC and the Children Act. Balancing these frameworks ensured that my assessment and decision making remained both rights based and legally compliant. </w:t>
            </w:r>
          </w:p>
          <w:p w14:paraId="118401D0" w14:textId="1689A336" w:rsidR="006A411B" w:rsidRDefault="00446FFB" w:rsidP="00A31CFC">
            <w:pPr>
              <w:spacing w:line="360" w:lineRule="auto"/>
              <w:jc w:val="both"/>
              <w:rPr>
                <w:iCs/>
                <w:sz w:val="24"/>
                <w:szCs w:val="24"/>
              </w:rPr>
            </w:pPr>
            <w:r w:rsidRPr="00446FFB">
              <w:rPr>
                <w:iCs/>
                <w:sz w:val="24"/>
                <w:szCs w:val="24"/>
              </w:rPr>
              <w:t xml:space="preserve">Although I felt some frustration at ’s reluctance to discuss the missing episode—given the safeguarding concerns—it was important to respect her boundaries and recognise the developmental factors influencing her behaviour. Based on my understanding of child and </w:t>
            </w:r>
            <w:r w:rsidRPr="00446FFB">
              <w:rPr>
                <w:iCs/>
                <w:sz w:val="24"/>
                <w:szCs w:val="24"/>
              </w:rPr>
              <w:lastRenderedPageBreak/>
              <w:t xml:space="preserve">adolescent development, I am aware that the teenage brain is not yet fully developed, particularly in areas linked to planning, emotional regulation and understanding consequences. This can make it more difficult for young people to accurately assess risk and can lead to typical adolescent </w:t>
            </w:r>
            <w:r w:rsidR="005D2A8B" w:rsidRPr="00446FFB">
              <w:rPr>
                <w:iCs/>
                <w:sz w:val="24"/>
                <w:szCs w:val="24"/>
              </w:rPr>
              <w:t>risk-taking</w:t>
            </w:r>
            <w:r w:rsidRPr="00446FFB">
              <w:rPr>
                <w:iCs/>
                <w:sz w:val="24"/>
                <w:szCs w:val="24"/>
              </w:rPr>
              <w:t xml:space="preserve"> behaviours, such as experimenting with substances, becoming sexually active, or, in this case, meeting with individuals who may pose a danger to them. For </w:t>
            </w:r>
            <w:r w:rsidR="00692E1F">
              <w:rPr>
                <w:iCs/>
                <w:sz w:val="24"/>
                <w:szCs w:val="24"/>
              </w:rPr>
              <w:t>2</w:t>
            </w:r>
            <w:r w:rsidRPr="00446FFB">
              <w:rPr>
                <w:iCs/>
                <w:sz w:val="24"/>
                <w:szCs w:val="24"/>
              </w:rPr>
              <w:t xml:space="preserve">, these vulnerabilities appear to be compounded by her ADHD, which can increase impulsivity, reduce insight, and heighten emotional responses. Bowlby’s attachment theory (Simply Psychology, 2025) emphasises that a secure bond between a baby and their primary caregiver is fundamental to healthy emotional and social development. The theory has been widely developed and is considered well established within psychological and social work practice (Maclean &amp; Harrison, 2015, p.103). Unfortunately for </w:t>
            </w:r>
            <w:r w:rsidR="00692E1F">
              <w:rPr>
                <w:iCs/>
                <w:sz w:val="24"/>
                <w:szCs w:val="24"/>
              </w:rPr>
              <w:t>2</w:t>
            </w:r>
            <w:r w:rsidRPr="00446FFB">
              <w:rPr>
                <w:iCs/>
                <w:sz w:val="24"/>
                <w:szCs w:val="24"/>
              </w:rPr>
              <w:t xml:space="preserve">, her mother left when she was very young, and she appears to have developed insecure attachment patterns as a result. This may contribute to her internalising negative beliefs such as “I am not worthy of care” or seeking emotional connection and validation through unsafe or unhealthy relationships. Her longing for a maternal figure, combined with feelings of being misunderstood, unsupported, or disconnected from protective adults, may increase her susceptibility to forming relationships with individuals who present significant risk. These attachment related vulnerabilities provide an important lens through which to understand both her reluctance to disclose information about the missing episode and the broader risks associated with her behaviour. </w:t>
            </w:r>
          </w:p>
          <w:p w14:paraId="21D3D1D1" w14:textId="5E0218F3" w:rsidR="00446FFB" w:rsidRPr="00446FFB" w:rsidRDefault="00446FFB" w:rsidP="00A31CFC">
            <w:pPr>
              <w:spacing w:line="360" w:lineRule="auto"/>
              <w:jc w:val="both"/>
              <w:rPr>
                <w:iCs/>
                <w:sz w:val="24"/>
                <w:szCs w:val="24"/>
              </w:rPr>
            </w:pPr>
            <w:r w:rsidRPr="00446FFB">
              <w:rPr>
                <w:iCs/>
                <w:sz w:val="24"/>
                <w:szCs w:val="24"/>
              </w:rPr>
              <w:t>When trying to gather information all partner organisations were forthcoming with information, however when working on other assessments I have at times had issue getting information from others with them being worried about breaking GDPR. In these circumstances I will explain that the Wales Safeguarding Procedures (Social Care Wales, 2026d) stipulate that data protection legislation allows for the sharing of such information for safeguarding purposes. The Welsh Government Code of Safeguarding Practice also stipulates that when information is not shared in a timely way, decisions about how to respond may miss vital information leading to poor safeguarding consequences (Welsh Government, 2022b).</w:t>
            </w:r>
          </w:p>
          <w:p w14:paraId="6205253B" w14:textId="77777777" w:rsidR="006A411B" w:rsidRDefault="00446FFB" w:rsidP="00A31CFC">
            <w:pPr>
              <w:spacing w:line="360" w:lineRule="auto"/>
              <w:jc w:val="both"/>
              <w:rPr>
                <w:iCs/>
                <w:sz w:val="24"/>
                <w:szCs w:val="24"/>
              </w:rPr>
            </w:pPr>
            <w:r w:rsidRPr="00446FFB">
              <w:rPr>
                <w:iCs/>
                <w:sz w:val="24"/>
                <w:szCs w:val="24"/>
              </w:rPr>
              <w:t xml:space="preserve">Before completing the assessment, I made use of supervision to think through the possible outcomes. Supervision is defined as “an accountable, </w:t>
            </w:r>
            <w:r w:rsidR="006A411B" w:rsidRPr="00446FFB">
              <w:rPr>
                <w:iCs/>
                <w:sz w:val="24"/>
                <w:szCs w:val="24"/>
              </w:rPr>
              <w:t>two-way</w:t>
            </w:r>
            <w:r w:rsidRPr="00446FFB">
              <w:rPr>
                <w:iCs/>
                <w:sz w:val="24"/>
                <w:szCs w:val="24"/>
              </w:rPr>
              <w:t xml:space="preserve"> process, which supports, motivates and enables the development of good practice for individual social care workers” </w:t>
            </w:r>
            <w:r w:rsidRPr="00446FFB">
              <w:rPr>
                <w:iCs/>
                <w:sz w:val="24"/>
                <w:szCs w:val="24"/>
              </w:rPr>
              <w:lastRenderedPageBreak/>
              <w:t xml:space="preserve">(Care Council for Wales, 2012). During my supervisory session, I discussed the outcomes I was considering and the rationale underpinning them. My manager supported me to reflect critically on my reasoning, explore alternative perspectives, and ensure my decisions aligned with safeguarding procedures and best practice. Following this reflective discussion, my manager agreed with the proposed outcomes, enabling me to proceed with increased confidence and clarity. </w:t>
            </w:r>
          </w:p>
          <w:p w14:paraId="329BB582" w14:textId="4C250433" w:rsidR="00AA6795" w:rsidRDefault="00446FFB" w:rsidP="00A31CFC">
            <w:pPr>
              <w:spacing w:line="360" w:lineRule="auto"/>
              <w:jc w:val="both"/>
              <w:rPr>
                <w:iCs/>
                <w:sz w:val="24"/>
                <w:szCs w:val="24"/>
              </w:rPr>
            </w:pPr>
            <w:r w:rsidRPr="00446FFB">
              <w:rPr>
                <w:iCs/>
                <w:sz w:val="24"/>
                <w:szCs w:val="24"/>
              </w:rPr>
              <w:t xml:space="preserve">The outcomes of the Section 47 inquiry included a review and strengthening of ’s safety plan. This was completed collaboratively by myself with both 2 and her father, encouraging their input to ensure the plan was realistic, understood, and more robust in reducing the likelihood of further missing episodes or contact with the adult of concern. Given ’s frequent missing episodes, I sought further guidance through a Legal Planning Meeting (LPM) to consider whether she might need to become looked after in order to enhance her safety. I approached this option cautiously, as research consistently shows that children who become looked after often experience poorer </w:t>
            </w:r>
            <w:r w:rsidR="00AA6795" w:rsidRPr="00446FFB">
              <w:rPr>
                <w:iCs/>
                <w:sz w:val="24"/>
                <w:szCs w:val="24"/>
              </w:rPr>
              <w:t>long-term</w:t>
            </w:r>
            <w:r w:rsidRPr="00446FFB">
              <w:rPr>
                <w:iCs/>
                <w:sz w:val="24"/>
                <w:szCs w:val="24"/>
              </w:rPr>
              <w:t xml:space="preserve"> outcomes. For example, research by Swansea University (Lowthian, 2025) indicates that children who enter care later in childhood generally have the lowest educational attainment. Similarly, a </w:t>
            </w:r>
            <w:r w:rsidR="00AA6795" w:rsidRPr="00446FFB">
              <w:rPr>
                <w:iCs/>
                <w:sz w:val="24"/>
                <w:szCs w:val="24"/>
              </w:rPr>
              <w:t>long-term</w:t>
            </w:r>
            <w:r w:rsidRPr="00446FFB">
              <w:rPr>
                <w:iCs/>
                <w:sz w:val="24"/>
                <w:szCs w:val="24"/>
              </w:rPr>
              <w:t xml:space="preserve"> study by the National Centre for Social Research (</w:t>
            </w:r>
            <w:proofErr w:type="spellStart"/>
            <w:r w:rsidRPr="00446FFB">
              <w:rPr>
                <w:iCs/>
                <w:sz w:val="24"/>
                <w:szCs w:val="24"/>
              </w:rPr>
              <w:t>NatCen</w:t>
            </w:r>
            <w:proofErr w:type="spellEnd"/>
            <w:r w:rsidRPr="00446FFB">
              <w:rPr>
                <w:iCs/>
                <w:sz w:val="24"/>
                <w:szCs w:val="24"/>
              </w:rPr>
              <w:t xml:space="preserve">, 2025) found that care leavers are more likely to experience unstable employment, poorer educational outcomes, higher mental health needs, increased mortality and suicide risk, greater involvement with the criminal justice system, and a higher likelihood of </w:t>
            </w:r>
            <w:r w:rsidR="00692E1F" w:rsidRPr="00446FFB">
              <w:rPr>
                <w:iCs/>
                <w:sz w:val="24"/>
                <w:szCs w:val="24"/>
              </w:rPr>
              <w:t>long-term</w:t>
            </w:r>
            <w:r w:rsidRPr="00446FFB">
              <w:rPr>
                <w:iCs/>
                <w:sz w:val="24"/>
                <w:szCs w:val="24"/>
              </w:rPr>
              <w:t xml:space="preserve"> disadvantage. During the LPM, the </w:t>
            </w:r>
            <w:r w:rsidR="00AA6795" w:rsidRPr="00446FFB">
              <w:rPr>
                <w:iCs/>
                <w:sz w:val="24"/>
                <w:szCs w:val="24"/>
              </w:rPr>
              <w:t>multi-agency</w:t>
            </w:r>
            <w:r w:rsidRPr="00446FFB">
              <w:rPr>
                <w:iCs/>
                <w:sz w:val="24"/>
                <w:szCs w:val="24"/>
              </w:rPr>
              <w:t xml:space="preserve"> discussion considered these findings alongside the current risks and assessed whether issuing care proceedings was necessary at that stage. It was agreed that alternative measures should be attempted before pursuing this route. As a result, Social Services funded additional supportive activities for </w:t>
            </w:r>
            <w:r w:rsidR="00692E1F">
              <w:rPr>
                <w:iCs/>
                <w:sz w:val="24"/>
                <w:szCs w:val="24"/>
              </w:rPr>
              <w:t>2</w:t>
            </w:r>
            <w:r w:rsidRPr="00446FFB">
              <w:rPr>
                <w:iCs/>
                <w:sz w:val="24"/>
                <w:szCs w:val="24"/>
              </w:rPr>
              <w:t xml:space="preserve">, including equine therapy, which aimed to promote emotional regulation and engagement. I was also asked to explore a step up/step down foster care provision that could offer out of hours support to the family and provide regular respite for </w:t>
            </w:r>
            <w:r w:rsidR="00692E1F">
              <w:rPr>
                <w:iCs/>
                <w:sz w:val="24"/>
                <w:szCs w:val="24"/>
              </w:rPr>
              <w:t>2</w:t>
            </w:r>
            <w:r w:rsidRPr="00446FFB">
              <w:rPr>
                <w:iCs/>
                <w:sz w:val="24"/>
                <w:szCs w:val="24"/>
              </w:rPr>
              <w:t xml:space="preserve">. A consultation was completed with the service; however, after considering the offer, the family chose not to proceed with this provision. The Social Services and Well-being (Wales) Act 2014 also requires professionals to consider the least restrictive intervention necessary to promote a person’s safety and well-being. This principle ensures that any action taken interferes as little as possible with a person’s rights and long-term outcomes, while still offering appropriate protection. In the </w:t>
            </w:r>
            <w:r w:rsidRPr="00446FFB">
              <w:rPr>
                <w:iCs/>
                <w:sz w:val="24"/>
                <w:szCs w:val="24"/>
              </w:rPr>
              <w:lastRenderedPageBreak/>
              <w:t xml:space="preserve">context of </w:t>
            </w:r>
            <w:r w:rsidR="00692E1F">
              <w:rPr>
                <w:iCs/>
                <w:sz w:val="24"/>
                <w:szCs w:val="24"/>
              </w:rPr>
              <w:t>2</w:t>
            </w:r>
            <w:r w:rsidRPr="00446FFB">
              <w:rPr>
                <w:iCs/>
                <w:sz w:val="24"/>
                <w:szCs w:val="24"/>
              </w:rPr>
              <w:t xml:space="preserve">, this meant carefully weighing up different safeguarding options and considering which interventions would be effective while minimising unnecessary disruption or </w:t>
            </w:r>
            <w:r w:rsidR="00692E1F" w:rsidRPr="00446FFB">
              <w:rPr>
                <w:iCs/>
                <w:sz w:val="24"/>
                <w:szCs w:val="24"/>
              </w:rPr>
              <w:t>long-term</w:t>
            </w:r>
            <w:r w:rsidRPr="00446FFB">
              <w:rPr>
                <w:iCs/>
                <w:sz w:val="24"/>
                <w:szCs w:val="24"/>
              </w:rPr>
              <w:t xml:space="preserve"> impact. Therefore, when the Legal Planning Meeting (LPM) suggested alternative supports—rather than immediately initiating care proceedings—this aligned with the least restrictive approach. Exploring these options first, such as funded activities, therapeutic interventions, and step up/step down foster care support, ensured that 2 received targeted safeguarding while avoiding a decision that could have significant and long-lasting consequences unless </w:t>
            </w:r>
            <w:r w:rsidR="00692E1F" w:rsidRPr="00446FFB">
              <w:rPr>
                <w:iCs/>
                <w:sz w:val="24"/>
                <w:szCs w:val="24"/>
              </w:rPr>
              <w:t>necessary</w:t>
            </w:r>
            <w:r w:rsidRPr="00446FFB">
              <w:rPr>
                <w:iCs/>
                <w:sz w:val="24"/>
                <w:szCs w:val="24"/>
              </w:rPr>
              <w:t xml:space="preserve">. </w:t>
            </w:r>
          </w:p>
          <w:p w14:paraId="3513CD8E" w14:textId="1EE475C0" w:rsidR="00AA6795" w:rsidRDefault="00446FFB" w:rsidP="00A31CFC">
            <w:pPr>
              <w:spacing w:line="360" w:lineRule="auto"/>
              <w:jc w:val="both"/>
              <w:rPr>
                <w:iCs/>
                <w:sz w:val="24"/>
                <w:szCs w:val="24"/>
              </w:rPr>
            </w:pPr>
            <w:r w:rsidRPr="00446FFB">
              <w:rPr>
                <w:iCs/>
                <w:sz w:val="24"/>
                <w:szCs w:val="24"/>
              </w:rPr>
              <w:t xml:space="preserve">In this case, I found that inter-agency coordination was strong. A range of professionals were actively involved in supporting and safeguarding </w:t>
            </w:r>
            <w:r w:rsidR="008D23F3">
              <w:rPr>
                <w:iCs/>
                <w:sz w:val="24"/>
                <w:szCs w:val="24"/>
              </w:rPr>
              <w:t>2</w:t>
            </w:r>
            <w:r w:rsidRPr="00446FFB">
              <w:rPr>
                <w:iCs/>
                <w:sz w:val="24"/>
                <w:szCs w:val="24"/>
              </w:rPr>
              <w:t xml:space="preserve">, including the police, the Child Exploitation (CE) Worker, CAMHS, school nursing services, and education staff. These agencies contributed meaningfully to </w:t>
            </w:r>
            <w:r w:rsidR="00AA6795" w:rsidRPr="00446FFB">
              <w:rPr>
                <w:iCs/>
                <w:sz w:val="24"/>
                <w:szCs w:val="24"/>
              </w:rPr>
              <w:t>multi-disciplinary</w:t>
            </w:r>
            <w:r w:rsidRPr="00446FFB">
              <w:rPr>
                <w:iCs/>
                <w:sz w:val="24"/>
                <w:szCs w:val="24"/>
              </w:rPr>
              <w:t xml:space="preserve"> decision making, with regular discussions taking place within the Core Group and at a Child Exploitation Review Strategy Meeting. This collaborative approach ensured that information was shared appropriately and that the interventions implemented were well-informed and aligned with collective safeguarding responsibilities. </w:t>
            </w:r>
          </w:p>
          <w:p w14:paraId="4428E676" w14:textId="18183860" w:rsidR="00AA6795" w:rsidRDefault="00446FFB" w:rsidP="00A31CFC">
            <w:pPr>
              <w:spacing w:line="360" w:lineRule="auto"/>
              <w:jc w:val="both"/>
              <w:rPr>
                <w:iCs/>
                <w:sz w:val="24"/>
                <w:szCs w:val="24"/>
              </w:rPr>
            </w:pPr>
            <w:r w:rsidRPr="00446FFB">
              <w:rPr>
                <w:iCs/>
                <w:sz w:val="24"/>
                <w:szCs w:val="24"/>
              </w:rPr>
              <w:t xml:space="preserve">One outcome of this </w:t>
            </w:r>
            <w:r w:rsidR="00AA6795" w:rsidRPr="00446FFB">
              <w:rPr>
                <w:iCs/>
                <w:sz w:val="24"/>
                <w:szCs w:val="24"/>
              </w:rPr>
              <w:t>multi-agency</w:t>
            </w:r>
            <w:r w:rsidRPr="00446FFB">
              <w:rPr>
                <w:iCs/>
                <w:sz w:val="24"/>
                <w:szCs w:val="24"/>
              </w:rPr>
              <w:t xml:space="preserve"> work was the decision to issue a Child Abduction Warning Notice (CAWN) to the adult of concern. The CAWN prohibits any further contact with 2 and makes clear that any attempt to communicate with or meet her may result in criminal proceedings. To support this process, I accompanied the police on a visit to ’s father to explain the purpose and implications of the CAWN, and to obtain his consent for it to be issued. This joint visit modelled effective partnership working and helped ensure that the family understood both the protective intent of the notice and the legal boundaries it sets. Alongside this, the police initiated a criminal investigation into potential offences, including statutory rape and grooming. This investigation remains ongoing. However, it is recognised that evidencing such offences may be challenging, as 2 refused to provide clothing for forensic examination and continued to deny that any sexual activity had occurred. These factors may significantly limit the availability of corroborative evidence required for a statutory rape conviction.</w:t>
            </w:r>
          </w:p>
          <w:p w14:paraId="00E20480" w14:textId="666F9CB7" w:rsidR="003346BB" w:rsidRDefault="00446FFB" w:rsidP="00A31CFC">
            <w:pPr>
              <w:spacing w:line="360" w:lineRule="auto"/>
              <w:jc w:val="both"/>
              <w:rPr>
                <w:iCs/>
                <w:sz w:val="24"/>
                <w:szCs w:val="24"/>
              </w:rPr>
            </w:pPr>
            <w:r w:rsidRPr="00446FFB">
              <w:rPr>
                <w:iCs/>
                <w:sz w:val="24"/>
                <w:szCs w:val="24"/>
              </w:rPr>
              <w:t xml:space="preserve">A National Referral Mechanism (NRM) referral was also completed for </w:t>
            </w:r>
            <w:r w:rsidR="00A36830">
              <w:rPr>
                <w:iCs/>
                <w:sz w:val="24"/>
                <w:szCs w:val="24"/>
              </w:rPr>
              <w:t>2</w:t>
            </w:r>
            <w:r w:rsidRPr="00446FFB">
              <w:rPr>
                <w:iCs/>
                <w:sz w:val="24"/>
                <w:szCs w:val="24"/>
              </w:rPr>
              <w:t xml:space="preserve">, identifying her as a potential victim of modern slavery. The NRM is the UK’s national framework for recognising and safeguarding victims of modern slavery, including child sexual exploitation and trafficking, </w:t>
            </w:r>
            <w:r w:rsidRPr="00446FFB">
              <w:rPr>
                <w:iCs/>
                <w:sz w:val="24"/>
                <w:szCs w:val="24"/>
              </w:rPr>
              <w:lastRenderedPageBreak/>
              <w:t xml:space="preserve">and ensuring they receive appropriate support. Completing an NRM referral provides an additional layer of protection for 2 in several important ways. Firstly, it ensures that the exploitation concerns are formally recognised at a national level, regardless of ’s willingness or ability to disclose the harm. Secondly, it triggers a specialist safeguarding response by the Home Office’s Single Competent Authority, which undertakes further assessment of risk and exploitation indicators. Thirdly, the NRM opens access to specialist support services, such as exploitation specific support, psychological and emotional support, and legal advice. Additionally, the NRM process helps protect 2 from criminalisation, by ensuring agencies recognise her as a potential victim rather than a young person intentionally engaging in risky behaviour—an important safeguard given the patterns seen in exploitation cases. Finally, the NRM creates a formal national record of risk, meaning that if 2 were to go missing in another area or come into contact with police or other agencies outside her locality, the exploitation concerns would be visible and immediately flagged. This ensures she can be protected consistently, even when she is away from home or crossing local authority boundaries. </w:t>
            </w:r>
          </w:p>
          <w:p w14:paraId="56250A4D" w14:textId="080E1266" w:rsidR="00446FFB" w:rsidRPr="00446FFB" w:rsidRDefault="00446FFB" w:rsidP="00A31CFC">
            <w:pPr>
              <w:spacing w:line="360" w:lineRule="auto"/>
              <w:jc w:val="both"/>
              <w:rPr>
                <w:iCs/>
                <w:sz w:val="24"/>
                <w:szCs w:val="24"/>
              </w:rPr>
            </w:pPr>
            <w:r w:rsidRPr="00446FFB">
              <w:rPr>
                <w:iCs/>
                <w:sz w:val="24"/>
                <w:szCs w:val="24"/>
              </w:rPr>
              <w:t xml:space="preserve">Under the </w:t>
            </w:r>
            <w:r w:rsidR="00355B28">
              <w:rPr>
                <w:iCs/>
                <w:sz w:val="24"/>
                <w:szCs w:val="24"/>
              </w:rPr>
              <w:t>S</w:t>
            </w:r>
            <w:r w:rsidR="008D23F3">
              <w:rPr>
                <w:iCs/>
                <w:sz w:val="24"/>
                <w:szCs w:val="24"/>
              </w:rPr>
              <w:t>S</w:t>
            </w:r>
            <w:r w:rsidR="003346BB" w:rsidRPr="00446FFB">
              <w:rPr>
                <w:iCs/>
                <w:sz w:val="24"/>
                <w:szCs w:val="24"/>
              </w:rPr>
              <w:t>W</w:t>
            </w:r>
            <w:r w:rsidR="00355B28">
              <w:rPr>
                <w:iCs/>
                <w:sz w:val="24"/>
                <w:szCs w:val="24"/>
              </w:rPr>
              <w:t>B</w:t>
            </w:r>
            <w:r w:rsidRPr="00446FFB">
              <w:rPr>
                <w:iCs/>
                <w:sz w:val="24"/>
                <w:szCs w:val="24"/>
              </w:rPr>
              <w:t>WA 2014, both children and adults must be offered access to advocacy where it may support them to participate fully in assessment, planning and decision making. In line with this duty, both 2 and her father had previously been offered referrals for advocacy on several occasions, and I revisited this offer at the outset of the assessment to ensure they were aware of their rights and had the opportunity to make an informed choice. On this occasion, both declined. 2 stated that she already had professionals she trusted and felt able to speak with if she wished to share her views, and that she believed these professionals acted in her best interests. Her father also declined, explaining that he felt comfortable expressing his thoughts and feelings independently. Their decisions were respected, and I ensured that both remained aware that advocacy could be requested at any time should their needs or preferences change.</w:t>
            </w:r>
          </w:p>
          <w:p w14:paraId="6D6795D3" w14:textId="70D8B5FD" w:rsidR="00A12C4F" w:rsidRDefault="00446FFB" w:rsidP="00A31CFC">
            <w:pPr>
              <w:spacing w:line="360" w:lineRule="auto"/>
              <w:jc w:val="both"/>
              <w:rPr>
                <w:iCs/>
                <w:sz w:val="24"/>
                <w:szCs w:val="24"/>
              </w:rPr>
            </w:pPr>
            <w:r w:rsidRPr="00446FFB">
              <w:rPr>
                <w:iCs/>
                <w:sz w:val="24"/>
                <w:szCs w:val="24"/>
              </w:rPr>
              <w:t xml:space="preserve">Looking forward, the learning I have gained from working with 2 will influence my practice in several important ways. Firstly, the case has reinforced the need for ongoing professional curiosity, particularly when working with young people who minimise or deny experiences of harm. I plan to continue strengthening my skills in relational engagement and trauma informed practice to better support children </w:t>
            </w:r>
            <w:r w:rsidR="00355B28" w:rsidRPr="00446FFB">
              <w:rPr>
                <w:iCs/>
                <w:sz w:val="24"/>
                <w:szCs w:val="24"/>
              </w:rPr>
              <w:t>like</w:t>
            </w:r>
            <w:r w:rsidR="00355B28">
              <w:rPr>
                <w:iCs/>
                <w:sz w:val="24"/>
                <w:szCs w:val="24"/>
              </w:rPr>
              <w:t xml:space="preserve"> 2 </w:t>
            </w:r>
            <w:r w:rsidRPr="00446FFB">
              <w:rPr>
                <w:iCs/>
                <w:sz w:val="24"/>
                <w:szCs w:val="24"/>
              </w:rPr>
              <w:t xml:space="preserve">who may struggle to disclose due to fear, loyalty, grooming or shame. Building trusting, consistent relationships will be central to this. The case </w:t>
            </w:r>
            <w:r w:rsidRPr="00446FFB">
              <w:rPr>
                <w:iCs/>
                <w:sz w:val="24"/>
                <w:szCs w:val="24"/>
              </w:rPr>
              <w:lastRenderedPageBreak/>
              <w:t xml:space="preserve">also highlighted the value of using theoretical frameworks, such as attachment theory and adolescent brain development, to deepen my understanding of behaviour. Moving forward, I intend to embed these frameworks more explicitly into my assessment formulations, ensuring they inform both analysis and intervention planning. This will help me view risk taking behaviour not simply as defiance, but as communication of unmet needs. </w:t>
            </w:r>
          </w:p>
          <w:p w14:paraId="53C041BC" w14:textId="0500C98E" w:rsidR="003346BB" w:rsidRDefault="00446FFB" w:rsidP="00A31CFC">
            <w:pPr>
              <w:spacing w:line="360" w:lineRule="auto"/>
              <w:jc w:val="both"/>
              <w:rPr>
                <w:iCs/>
                <w:sz w:val="24"/>
                <w:szCs w:val="24"/>
              </w:rPr>
            </w:pPr>
            <w:r w:rsidRPr="00446FFB">
              <w:rPr>
                <w:iCs/>
                <w:sz w:val="24"/>
                <w:szCs w:val="24"/>
              </w:rPr>
              <w:t xml:space="preserve">Additionally, I recognise the importance of </w:t>
            </w:r>
            <w:r w:rsidRPr="00446FFB">
              <w:rPr>
                <w:iCs/>
                <w:sz w:val="24"/>
                <w:szCs w:val="24"/>
              </w:rPr>
              <w:t>multi-agency</w:t>
            </w:r>
            <w:r w:rsidRPr="00446FFB">
              <w:rPr>
                <w:iCs/>
                <w:sz w:val="24"/>
                <w:szCs w:val="24"/>
              </w:rPr>
              <w:t xml:space="preserve"> collaboration and will continue to prioritise strong partnership working. Effective information sharing, joint visits and coordinated safeguarding responses—such as the CAWN and NRM—were crucial in ’s case. In future work, I plan to maintain proactive communication with partner agencies and use strategy discussions, core groups and consultations to ensure decisions are holistic and well informed. The case also strengthened my appreciation for the least restrictive practice principle under the SSWBA (2014). I will continue to balance protective action with the child’s rights, </w:t>
            </w:r>
            <w:r w:rsidRPr="00446FFB">
              <w:rPr>
                <w:iCs/>
                <w:sz w:val="24"/>
                <w:szCs w:val="24"/>
              </w:rPr>
              <w:t>well-being</w:t>
            </w:r>
            <w:r w:rsidRPr="00446FFB">
              <w:rPr>
                <w:iCs/>
                <w:sz w:val="24"/>
                <w:szCs w:val="24"/>
              </w:rPr>
              <w:t xml:space="preserve"> and </w:t>
            </w:r>
            <w:r w:rsidRPr="00446FFB">
              <w:rPr>
                <w:iCs/>
                <w:sz w:val="24"/>
                <w:szCs w:val="24"/>
              </w:rPr>
              <w:t>long-term</w:t>
            </w:r>
            <w:r w:rsidRPr="00446FFB">
              <w:rPr>
                <w:iCs/>
                <w:sz w:val="24"/>
                <w:szCs w:val="24"/>
              </w:rPr>
              <w:t xml:space="preserve"> outcomes, ensuring that any escalation to statutory intervention is both proportionate and necessary. </w:t>
            </w:r>
          </w:p>
          <w:p w14:paraId="660921D5" w14:textId="758D95FF" w:rsidR="00446FFB" w:rsidRPr="00446FFB" w:rsidRDefault="00446FFB" w:rsidP="00A31CFC">
            <w:pPr>
              <w:spacing w:line="360" w:lineRule="auto"/>
              <w:jc w:val="both"/>
              <w:rPr>
                <w:iCs/>
                <w:sz w:val="24"/>
                <w:szCs w:val="24"/>
              </w:rPr>
            </w:pPr>
            <w:r w:rsidRPr="00446FFB">
              <w:rPr>
                <w:iCs/>
                <w:sz w:val="24"/>
                <w:szCs w:val="24"/>
              </w:rPr>
              <w:t>Finally, I will continue making reflective supervision a priority. Supervision supported me to challenge assumptions, consider alternatives, and make confident decisions. Embedding reflection into my ongoing practice will help me develop professionally and maintain safe, ethical and child centred work. Overall, this case has sharpened my understanding of complex adolescent safeguarding and will continue to shape my practice moving forward.</w:t>
            </w:r>
          </w:p>
          <w:p w14:paraId="213DC823" w14:textId="0C5CFD57" w:rsidR="00A12C4F" w:rsidRDefault="00446FFB" w:rsidP="00A31CFC">
            <w:pPr>
              <w:spacing w:line="360" w:lineRule="auto"/>
              <w:jc w:val="both"/>
              <w:rPr>
                <w:iCs/>
                <w:sz w:val="24"/>
                <w:szCs w:val="24"/>
              </w:rPr>
            </w:pPr>
            <w:r w:rsidRPr="00446FFB">
              <w:rPr>
                <w:iCs/>
                <w:sz w:val="24"/>
                <w:szCs w:val="24"/>
              </w:rPr>
              <w:t xml:space="preserve">This case study of 2 highlights the complexity of safeguarding practice in Wales and the importance of a holistic, rights based and </w:t>
            </w:r>
            <w:r w:rsidRPr="00446FFB">
              <w:rPr>
                <w:iCs/>
                <w:sz w:val="24"/>
                <w:szCs w:val="24"/>
              </w:rPr>
              <w:t>multi-agency</w:t>
            </w:r>
            <w:r w:rsidRPr="00446FFB">
              <w:rPr>
                <w:iCs/>
                <w:sz w:val="24"/>
                <w:szCs w:val="24"/>
              </w:rPr>
              <w:t xml:space="preserve"> approach when responding to significant risk of harm. Through completing the Section 47 assessment, I was able to draw together information from multiple sources, apply relevant legislation and guidance, and use theory informed analysis to gain a deeper understanding of ’s needs, vulnerabilities and the contextual factors shaping her behaviour. The assessment demonstrated how developmental factors, such as adolescence and ADHD, combined with insecure attachment patterns and environmental pressures, contributed to </w:t>
            </w:r>
            <w:r w:rsidR="00A36830">
              <w:rPr>
                <w:iCs/>
                <w:sz w:val="24"/>
                <w:szCs w:val="24"/>
              </w:rPr>
              <w:t>2</w:t>
            </w:r>
            <w:r w:rsidRPr="00446FFB">
              <w:rPr>
                <w:iCs/>
                <w:sz w:val="24"/>
                <w:szCs w:val="24"/>
              </w:rPr>
              <w:t xml:space="preserve">’s risk taking behaviour and susceptibility to exploitation. The case also emphasised the central role of Welsh legislation—particularly the Social Services and </w:t>
            </w:r>
            <w:r w:rsidRPr="00446FFB">
              <w:rPr>
                <w:iCs/>
                <w:sz w:val="24"/>
                <w:szCs w:val="24"/>
              </w:rPr>
              <w:t>Well</w:t>
            </w:r>
            <w:r>
              <w:rPr>
                <w:iCs/>
                <w:sz w:val="24"/>
                <w:szCs w:val="24"/>
              </w:rPr>
              <w:t>-</w:t>
            </w:r>
            <w:r w:rsidRPr="00446FFB">
              <w:rPr>
                <w:iCs/>
                <w:sz w:val="24"/>
                <w:szCs w:val="24"/>
              </w:rPr>
              <w:t>being</w:t>
            </w:r>
            <w:r w:rsidRPr="00446FFB">
              <w:rPr>
                <w:iCs/>
                <w:sz w:val="24"/>
                <w:szCs w:val="24"/>
              </w:rPr>
              <w:t xml:space="preserve"> (Wales) Act 2014, the Wales Safeguarding Procedures, and the </w:t>
            </w:r>
            <w:r w:rsidRPr="00446FFB">
              <w:rPr>
                <w:iCs/>
                <w:sz w:val="24"/>
                <w:szCs w:val="24"/>
              </w:rPr>
              <w:t>Well-being</w:t>
            </w:r>
            <w:r w:rsidRPr="00446FFB">
              <w:rPr>
                <w:iCs/>
                <w:sz w:val="24"/>
                <w:szCs w:val="24"/>
              </w:rPr>
              <w:t xml:space="preserve"> of Future Generations Act—in shaping practice, promoting preventative and proportionate intervention, and ensuring decisions were made with a focus on </w:t>
            </w:r>
            <w:r w:rsidRPr="00446FFB">
              <w:rPr>
                <w:iCs/>
                <w:sz w:val="24"/>
                <w:szCs w:val="24"/>
              </w:rPr>
              <w:t>well-being</w:t>
            </w:r>
            <w:r w:rsidRPr="00446FFB">
              <w:rPr>
                <w:iCs/>
                <w:sz w:val="24"/>
                <w:szCs w:val="24"/>
              </w:rPr>
              <w:t xml:space="preserve">, long </w:t>
            </w:r>
            <w:r w:rsidRPr="00446FFB">
              <w:rPr>
                <w:iCs/>
                <w:sz w:val="24"/>
                <w:szCs w:val="24"/>
              </w:rPr>
              <w:lastRenderedPageBreak/>
              <w:t xml:space="preserve">term outcomes and the least restrictive option. Balancing these duties alongside UK wide legislation, such as the Children Act 1989, the Human Rights Act 1998 and the UNCRC, reinforced the importance of </w:t>
            </w:r>
            <w:r w:rsidRPr="00446FFB">
              <w:rPr>
                <w:iCs/>
                <w:sz w:val="24"/>
                <w:szCs w:val="24"/>
              </w:rPr>
              <w:t>rights-based</w:t>
            </w:r>
            <w:r w:rsidRPr="00446FFB">
              <w:rPr>
                <w:iCs/>
                <w:sz w:val="24"/>
                <w:szCs w:val="24"/>
              </w:rPr>
              <w:t xml:space="preserve"> practice and the ethical navigation of risk. Collaborative working emerged as a significant strength in this case, with agencies sharing information effectively and contributing to coherent safeguarding plans, including the CAWN and the NRM referral. </w:t>
            </w:r>
          </w:p>
          <w:p w14:paraId="0763DDDF" w14:textId="47971700" w:rsidR="00446FFB" w:rsidRPr="00446FFB" w:rsidRDefault="00446FFB" w:rsidP="00A31CFC">
            <w:pPr>
              <w:spacing w:line="360" w:lineRule="auto"/>
              <w:jc w:val="both"/>
              <w:rPr>
                <w:iCs/>
                <w:sz w:val="24"/>
                <w:szCs w:val="24"/>
              </w:rPr>
            </w:pPr>
            <w:r w:rsidRPr="00446FFB">
              <w:rPr>
                <w:iCs/>
                <w:sz w:val="24"/>
                <w:szCs w:val="24"/>
              </w:rPr>
              <w:t>Supervision also played</w:t>
            </w:r>
            <w:r w:rsidR="00A36830">
              <w:rPr>
                <w:iCs/>
                <w:sz w:val="24"/>
                <w:szCs w:val="24"/>
              </w:rPr>
              <w:t xml:space="preserve"> </w:t>
            </w:r>
            <w:r w:rsidRPr="00446FFB">
              <w:rPr>
                <w:iCs/>
                <w:sz w:val="24"/>
                <w:szCs w:val="24"/>
              </w:rPr>
              <w:t xml:space="preserve">a critical role in supporting reflective decision making and ensuring professional judgement remained robust and accountable. Overall, the assessment process not only strengthened the safety planning around 2 but also highlighted key areas of professional learning, including the importance of maintaining professional curiosity, understanding the impact of trauma and attachment, and working compassionately with young people who may struggle to disclose harm. This case reaffirmed the value of reflective, evidence informed and child centred practice in promoting safety, </w:t>
            </w:r>
            <w:r w:rsidR="003346BB" w:rsidRPr="00446FFB">
              <w:rPr>
                <w:iCs/>
                <w:sz w:val="24"/>
                <w:szCs w:val="24"/>
              </w:rPr>
              <w:t>well-being</w:t>
            </w:r>
            <w:r w:rsidRPr="00446FFB">
              <w:rPr>
                <w:iCs/>
                <w:sz w:val="24"/>
                <w:szCs w:val="24"/>
              </w:rPr>
              <w:t xml:space="preserve"> and </w:t>
            </w:r>
            <w:r w:rsidR="003346BB" w:rsidRPr="00446FFB">
              <w:rPr>
                <w:iCs/>
                <w:sz w:val="24"/>
                <w:szCs w:val="24"/>
              </w:rPr>
              <w:t>long-term</w:t>
            </w:r>
            <w:r w:rsidRPr="00446FFB">
              <w:rPr>
                <w:iCs/>
                <w:sz w:val="24"/>
                <w:szCs w:val="24"/>
              </w:rPr>
              <w:t xml:space="preserve"> positive outcomes.</w:t>
            </w:r>
          </w:p>
          <w:p w14:paraId="78A4BAC6" w14:textId="77777777" w:rsidR="00187C23" w:rsidRDefault="00187C23" w:rsidP="00A070C1">
            <w:pPr>
              <w:spacing w:line="276" w:lineRule="auto"/>
              <w:jc w:val="both"/>
              <w:rPr>
                <w:iCs/>
                <w:sz w:val="24"/>
                <w:szCs w:val="24"/>
              </w:rPr>
            </w:pPr>
          </w:p>
          <w:p w14:paraId="35CAC2AC" w14:textId="77777777" w:rsidR="0053052F" w:rsidRDefault="0053052F" w:rsidP="00F8708D">
            <w:pPr>
              <w:jc w:val="both"/>
              <w:rPr>
                <w:b/>
                <w:bCs/>
                <w:color w:val="EE0000"/>
                <w:sz w:val="24"/>
                <w:szCs w:val="24"/>
              </w:rPr>
            </w:pPr>
          </w:p>
          <w:p w14:paraId="49AA73D9" w14:textId="77777777" w:rsidR="00E441AA" w:rsidRDefault="00E441AA" w:rsidP="00F8708D">
            <w:pPr>
              <w:jc w:val="both"/>
              <w:rPr>
                <w:b/>
                <w:bCs/>
                <w:color w:val="EE0000"/>
                <w:sz w:val="24"/>
                <w:szCs w:val="24"/>
              </w:rPr>
            </w:pPr>
          </w:p>
          <w:p w14:paraId="2FE3F995" w14:textId="77777777" w:rsidR="00E441AA" w:rsidRDefault="00E441AA" w:rsidP="00F8708D">
            <w:pPr>
              <w:jc w:val="both"/>
              <w:rPr>
                <w:b/>
                <w:bCs/>
                <w:color w:val="EE0000"/>
                <w:sz w:val="24"/>
                <w:szCs w:val="24"/>
              </w:rPr>
            </w:pPr>
          </w:p>
          <w:p w14:paraId="5D5B8E35" w14:textId="1725B981" w:rsidR="00E441AA" w:rsidRPr="002A2B02" w:rsidRDefault="00F1064C" w:rsidP="00F8708D">
            <w:pPr>
              <w:jc w:val="both"/>
              <w:rPr>
                <w:b/>
                <w:bCs/>
                <w:color w:val="000000" w:themeColor="text1"/>
                <w:sz w:val="28"/>
                <w:szCs w:val="28"/>
              </w:rPr>
            </w:pPr>
            <w:r>
              <w:rPr>
                <w:b/>
                <w:bCs/>
                <w:color w:val="000000" w:themeColor="text1"/>
                <w:sz w:val="28"/>
                <w:szCs w:val="28"/>
              </w:rPr>
              <w:t xml:space="preserve">Total </w:t>
            </w:r>
            <w:r w:rsidR="0053052F" w:rsidRPr="002A2B02">
              <w:rPr>
                <w:b/>
                <w:bCs/>
                <w:color w:val="000000" w:themeColor="text1"/>
                <w:sz w:val="28"/>
                <w:szCs w:val="28"/>
              </w:rPr>
              <w:t>Word Count – 4</w:t>
            </w:r>
            <w:r w:rsidR="002A2B02" w:rsidRPr="002A2B02">
              <w:rPr>
                <w:b/>
                <w:bCs/>
                <w:color w:val="000000" w:themeColor="text1"/>
                <w:sz w:val="28"/>
                <w:szCs w:val="28"/>
              </w:rPr>
              <w:t>39</w:t>
            </w:r>
            <w:r w:rsidR="0029456E">
              <w:rPr>
                <w:b/>
                <w:bCs/>
                <w:color w:val="000000" w:themeColor="text1"/>
                <w:sz w:val="28"/>
                <w:szCs w:val="28"/>
              </w:rPr>
              <w:t xml:space="preserve">9 </w:t>
            </w:r>
            <w:r w:rsidR="002A2B02" w:rsidRPr="002A2B02">
              <w:rPr>
                <w:b/>
                <w:bCs/>
                <w:color w:val="000000" w:themeColor="text1"/>
                <w:sz w:val="28"/>
                <w:szCs w:val="28"/>
              </w:rPr>
              <w:t xml:space="preserve"> </w:t>
            </w:r>
          </w:p>
          <w:p w14:paraId="6024F41F" w14:textId="77777777" w:rsidR="00E441AA" w:rsidRDefault="00E441AA" w:rsidP="00F8708D">
            <w:pPr>
              <w:jc w:val="both"/>
              <w:rPr>
                <w:b/>
                <w:bCs/>
                <w:color w:val="EE0000"/>
                <w:sz w:val="24"/>
                <w:szCs w:val="24"/>
              </w:rPr>
            </w:pPr>
          </w:p>
          <w:p w14:paraId="45480E7C" w14:textId="29D11B69" w:rsidR="00A070C1" w:rsidRPr="00F8708D" w:rsidRDefault="00A070C1" w:rsidP="00FF7EBB">
            <w:pPr>
              <w:jc w:val="both"/>
            </w:pPr>
          </w:p>
          <w:p w14:paraId="3D6CEBA8" w14:textId="77777777" w:rsidR="00A070C1" w:rsidRPr="00A070C1" w:rsidRDefault="00A070C1" w:rsidP="00FF7EBB">
            <w:pPr>
              <w:jc w:val="both"/>
              <w:rPr>
                <w:b/>
                <w:bCs/>
                <w:i/>
                <w:color w:val="EE0000"/>
                <w:sz w:val="24"/>
                <w:szCs w:val="24"/>
              </w:rPr>
            </w:pPr>
          </w:p>
          <w:p w14:paraId="15843215" w14:textId="19EB8881" w:rsidR="00A070C1" w:rsidRPr="006D2961" w:rsidRDefault="00A070C1" w:rsidP="00FF7EBB">
            <w:pPr>
              <w:jc w:val="both"/>
            </w:pPr>
          </w:p>
          <w:p w14:paraId="6978DCDE" w14:textId="77777777" w:rsidR="00A070C1" w:rsidRDefault="00A070C1" w:rsidP="00FF7EBB">
            <w:pPr>
              <w:jc w:val="both"/>
              <w:rPr>
                <w:b/>
                <w:bCs/>
                <w:i/>
                <w:color w:val="EE0000"/>
                <w:sz w:val="24"/>
                <w:szCs w:val="24"/>
              </w:rPr>
            </w:pPr>
          </w:p>
          <w:p w14:paraId="647852D1" w14:textId="77777777" w:rsidR="00A070C1" w:rsidRPr="00A070C1" w:rsidRDefault="00A070C1" w:rsidP="00FF7EBB">
            <w:pPr>
              <w:jc w:val="both"/>
              <w:rPr>
                <w:b/>
                <w:bCs/>
                <w:i/>
                <w:color w:val="EE0000"/>
                <w:sz w:val="24"/>
                <w:szCs w:val="24"/>
              </w:rPr>
            </w:pPr>
          </w:p>
          <w:p w14:paraId="39606250" w14:textId="77777777" w:rsidR="00A070C1" w:rsidRDefault="00A070C1" w:rsidP="00FF7EBB">
            <w:pPr>
              <w:jc w:val="both"/>
              <w:rPr>
                <w:i/>
                <w:sz w:val="24"/>
                <w:szCs w:val="24"/>
              </w:rPr>
            </w:pPr>
          </w:p>
          <w:p w14:paraId="77255265" w14:textId="77777777" w:rsidR="00A070C1" w:rsidRDefault="00A070C1" w:rsidP="00FF7EBB">
            <w:pPr>
              <w:jc w:val="both"/>
              <w:rPr>
                <w:i/>
                <w:sz w:val="24"/>
                <w:szCs w:val="24"/>
              </w:rPr>
            </w:pPr>
          </w:p>
          <w:p w14:paraId="4546405D" w14:textId="77777777" w:rsidR="00AC5569" w:rsidRDefault="00AC5569" w:rsidP="00FF7EBB">
            <w:pPr>
              <w:jc w:val="both"/>
              <w:rPr>
                <w:i/>
                <w:sz w:val="24"/>
                <w:szCs w:val="24"/>
              </w:rPr>
            </w:pPr>
          </w:p>
          <w:p w14:paraId="6EA5563A" w14:textId="77777777" w:rsidR="00AC5569" w:rsidRDefault="00AC5569" w:rsidP="00FF7EBB">
            <w:pPr>
              <w:jc w:val="both"/>
              <w:rPr>
                <w:i/>
                <w:sz w:val="24"/>
                <w:szCs w:val="24"/>
              </w:rPr>
            </w:pPr>
          </w:p>
          <w:p w14:paraId="41AD4349" w14:textId="77777777" w:rsidR="00AC5569" w:rsidRDefault="00AC5569" w:rsidP="00FF7EBB">
            <w:pPr>
              <w:jc w:val="both"/>
              <w:rPr>
                <w:i/>
                <w:sz w:val="24"/>
                <w:szCs w:val="24"/>
              </w:rPr>
            </w:pPr>
          </w:p>
          <w:p w14:paraId="7155CDF2" w14:textId="77777777" w:rsidR="00AC5569" w:rsidRDefault="00AC5569" w:rsidP="00FF7EBB">
            <w:pPr>
              <w:jc w:val="both"/>
              <w:rPr>
                <w:i/>
                <w:sz w:val="24"/>
                <w:szCs w:val="24"/>
              </w:rPr>
            </w:pPr>
          </w:p>
          <w:p w14:paraId="1497D022" w14:textId="77777777" w:rsidR="00AC5569" w:rsidRDefault="00AC5569" w:rsidP="00FF7EBB">
            <w:pPr>
              <w:jc w:val="both"/>
              <w:rPr>
                <w:i/>
                <w:sz w:val="24"/>
                <w:szCs w:val="24"/>
              </w:rPr>
            </w:pPr>
          </w:p>
          <w:p w14:paraId="47F21B6A" w14:textId="0822086E" w:rsidR="007A628F" w:rsidRPr="008B28E7" w:rsidRDefault="007A628F" w:rsidP="00EC2F50">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F1FAB" w14:textId="77777777" w:rsidR="00937B9E" w:rsidRDefault="00937B9E">
      <w:r>
        <w:separator/>
      </w:r>
    </w:p>
  </w:endnote>
  <w:endnote w:type="continuationSeparator" w:id="0">
    <w:p w14:paraId="3CBDF4D5" w14:textId="77777777" w:rsidR="00937B9E" w:rsidRDefault="00937B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altName w:val="Verdan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E79EB" w14:textId="77777777" w:rsidR="00937B9E" w:rsidRDefault="00937B9E">
      <w:r>
        <w:separator/>
      </w:r>
    </w:p>
  </w:footnote>
  <w:footnote w:type="continuationSeparator" w:id="0">
    <w:p w14:paraId="67E1B2B4" w14:textId="77777777" w:rsidR="00937B9E" w:rsidRDefault="00937B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DE0FF2"/>
    <w:multiLevelType w:val="multilevel"/>
    <w:tmpl w:val="B5FE48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D35D2C"/>
    <w:multiLevelType w:val="multilevel"/>
    <w:tmpl w:val="B5FE48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6037A3"/>
    <w:multiLevelType w:val="hybridMultilevel"/>
    <w:tmpl w:val="6DFE094A"/>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BDA74D7"/>
    <w:multiLevelType w:val="hybridMultilevel"/>
    <w:tmpl w:val="B2BEAE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1280DB2"/>
    <w:multiLevelType w:val="hybridMultilevel"/>
    <w:tmpl w:val="B9127C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15:restartNumberingAfterBreak="0">
    <w:nsid w:val="386128B8"/>
    <w:multiLevelType w:val="multilevel"/>
    <w:tmpl w:val="9C6EA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AE16988"/>
    <w:multiLevelType w:val="hybridMultilevel"/>
    <w:tmpl w:val="36E2E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50841D54"/>
    <w:multiLevelType w:val="multilevel"/>
    <w:tmpl w:val="9AF66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E454388"/>
    <w:multiLevelType w:val="multilevel"/>
    <w:tmpl w:val="B5FE48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21D4BA2"/>
    <w:multiLevelType w:val="multilevel"/>
    <w:tmpl w:val="91947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7525D0D"/>
    <w:multiLevelType w:val="hybridMultilevel"/>
    <w:tmpl w:val="E65614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9" w15:restartNumberingAfterBreak="0">
    <w:nsid w:val="78397D4E"/>
    <w:multiLevelType w:val="hybridMultilevel"/>
    <w:tmpl w:val="72F8F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8C15AE9"/>
    <w:multiLevelType w:val="multilevel"/>
    <w:tmpl w:val="B3FAE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6"/>
  </w:num>
  <w:num w:numId="3" w16cid:durableId="1938977855">
    <w:abstractNumId w:val="55"/>
  </w:num>
  <w:num w:numId="4" w16cid:durableId="1850633156">
    <w:abstractNumId w:val="58"/>
  </w:num>
  <w:num w:numId="5" w16cid:durableId="2042589495">
    <w:abstractNumId w:val="42"/>
  </w:num>
  <w:num w:numId="6" w16cid:durableId="933980368">
    <w:abstractNumId w:val="40"/>
  </w:num>
  <w:num w:numId="7" w16cid:durableId="1060399973">
    <w:abstractNumId w:val="36"/>
  </w:num>
  <w:num w:numId="8" w16cid:durableId="1237400777">
    <w:abstractNumId w:val="37"/>
  </w:num>
  <w:num w:numId="9" w16cid:durableId="1914463563">
    <w:abstractNumId w:val="12"/>
  </w:num>
  <w:num w:numId="10" w16cid:durableId="693307142">
    <w:abstractNumId w:val="41"/>
  </w:num>
  <w:num w:numId="11" w16cid:durableId="141846751">
    <w:abstractNumId w:val="19"/>
  </w:num>
  <w:num w:numId="12" w16cid:durableId="1310867263">
    <w:abstractNumId w:val="18"/>
  </w:num>
  <w:num w:numId="13" w16cid:durableId="65736213">
    <w:abstractNumId w:val="33"/>
  </w:num>
  <w:num w:numId="14" w16cid:durableId="825441142">
    <w:abstractNumId w:val="9"/>
  </w:num>
  <w:num w:numId="15" w16cid:durableId="1016493186">
    <w:abstractNumId w:val="32"/>
  </w:num>
  <w:num w:numId="16" w16cid:durableId="1273785188">
    <w:abstractNumId w:val="17"/>
  </w:num>
  <w:num w:numId="17" w16cid:durableId="431317323">
    <w:abstractNumId w:val="15"/>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7"/>
  </w:num>
  <w:num w:numId="20" w16cid:durableId="413284070">
    <w:abstractNumId w:val="20"/>
  </w:num>
  <w:num w:numId="21" w16cid:durableId="798959287">
    <w:abstractNumId w:val="16"/>
  </w:num>
  <w:num w:numId="22" w16cid:durableId="352731724">
    <w:abstractNumId w:val="13"/>
  </w:num>
  <w:num w:numId="23" w16cid:durableId="456266206">
    <w:abstractNumId w:val="34"/>
  </w:num>
  <w:num w:numId="24" w16cid:durableId="317615789">
    <w:abstractNumId w:val="21"/>
  </w:num>
  <w:num w:numId="25" w16cid:durableId="856430468">
    <w:abstractNumId w:val="51"/>
  </w:num>
  <w:num w:numId="26" w16cid:durableId="1104690971">
    <w:abstractNumId w:val="43"/>
  </w:num>
  <w:num w:numId="27" w16cid:durableId="1201670287">
    <w:abstractNumId w:val="50"/>
  </w:num>
  <w:num w:numId="28" w16cid:durableId="598562144">
    <w:abstractNumId w:val="22"/>
  </w:num>
  <w:num w:numId="29" w16cid:durableId="871068292">
    <w:abstractNumId w:val="53"/>
  </w:num>
  <w:num w:numId="30" w16cid:durableId="482159744">
    <w:abstractNumId w:val="38"/>
  </w:num>
  <w:num w:numId="31" w16cid:durableId="1565527110">
    <w:abstractNumId w:val="14"/>
  </w:num>
  <w:num w:numId="32" w16cid:durableId="1175995731">
    <w:abstractNumId w:val="54"/>
  </w:num>
  <w:num w:numId="33" w16cid:durableId="694232600">
    <w:abstractNumId w:val="49"/>
  </w:num>
  <w:num w:numId="34" w16cid:durableId="1062095063">
    <w:abstractNumId w:val="6"/>
  </w:num>
  <w:num w:numId="35" w16cid:durableId="2051881075">
    <w:abstractNumId w:val="56"/>
  </w:num>
  <w:num w:numId="36" w16cid:durableId="2107188112">
    <w:abstractNumId w:val="52"/>
  </w:num>
  <w:num w:numId="37" w16cid:durableId="1313413796">
    <w:abstractNumId w:val="46"/>
  </w:num>
  <w:num w:numId="38" w16cid:durableId="1682197957">
    <w:abstractNumId w:val="47"/>
  </w:num>
  <w:num w:numId="39" w16cid:durableId="340203735">
    <w:abstractNumId w:val="5"/>
  </w:num>
  <w:num w:numId="40" w16cid:durableId="1266502755">
    <w:abstractNumId w:val="7"/>
  </w:num>
  <w:num w:numId="41" w16cid:durableId="2138642120">
    <w:abstractNumId w:val="31"/>
  </w:num>
  <w:num w:numId="42" w16cid:durableId="2082366208">
    <w:abstractNumId w:val="8"/>
  </w:num>
  <w:num w:numId="43" w16cid:durableId="488403910">
    <w:abstractNumId w:val="4"/>
  </w:num>
  <w:num w:numId="44" w16cid:durableId="210268195">
    <w:abstractNumId w:val="48"/>
  </w:num>
  <w:num w:numId="45" w16cid:durableId="891695978">
    <w:abstractNumId w:val="0"/>
  </w:num>
  <w:num w:numId="46" w16cid:durableId="827289017">
    <w:abstractNumId w:val="16"/>
  </w:num>
  <w:num w:numId="47" w16cid:durableId="167212813">
    <w:abstractNumId w:val="61"/>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4"/>
  </w:num>
  <w:num w:numId="51" w16cid:durableId="536360681">
    <w:abstractNumId w:val="29"/>
  </w:num>
  <w:num w:numId="52" w16cid:durableId="1666274935">
    <w:abstractNumId w:val="23"/>
  </w:num>
  <w:num w:numId="53" w16cid:durableId="435172075">
    <w:abstractNumId w:val="2"/>
  </w:num>
  <w:num w:numId="54" w16cid:durableId="549849514">
    <w:abstractNumId w:val="3"/>
  </w:num>
  <w:num w:numId="55" w16cid:durableId="1013457459">
    <w:abstractNumId w:val="59"/>
  </w:num>
  <w:num w:numId="56" w16cid:durableId="1650211110">
    <w:abstractNumId w:val="24"/>
  </w:num>
  <w:num w:numId="57" w16cid:durableId="1745377161">
    <w:abstractNumId w:val="25"/>
  </w:num>
  <w:num w:numId="58" w16cid:durableId="441801443">
    <w:abstractNumId w:val="57"/>
  </w:num>
  <w:num w:numId="59" w16cid:durableId="1757626088">
    <w:abstractNumId w:val="35"/>
  </w:num>
  <w:num w:numId="60" w16cid:durableId="2035960064">
    <w:abstractNumId w:val="44"/>
  </w:num>
  <w:num w:numId="61" w16cid:durableId="811362328">
    <w:abstractNumId w:val="11"/>
  </w:num>
  <w:num w:numId="62" w16cid:durableId="1976251966">
    <w:abstractNumId w:val="30"/>
  </w:num>
  <w:num w:numId="63" w16cid:durableId="96365341">
    <w:abstractNumId w:val="39"/>
  </w:num>
  <w:num w:numId="64" w16cid:durableId="649480977">
    <w:abstractNumId w:val="60"/>
  </w:num>
  <w:num w:numId="65" w16cid:durableId="141967436">
    <w:abstractNumId w:val="45"/>
  </w:num>
  <w:num w:numId="66" w16cid:durableId="221212968">
    <w:abstractNumId w:val="2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7B3"/>
    <w:rsid w:val="00002C7A"/>
    <w:rsid w:val="000045B8"/>
    <w:rsid w:val="00012B16"/>
    <w:rsid w:val="00016F8F"/>
    <w:rsid w:val="00020EEC"/>
    <w:rsid w:val="0002440E"/>
    <w:rsid w:val="000262B0"/>
    <w:rsid w:val="0002759A"/>
    <w:rsid w:val="00027B1F"/>
    <w:rsid w:val="0003088B"/>
    <w:rsid w:val="000325D9"/>
    <w:rsid w:val="000372B2"/>
    <w:rsid w:val="0004079F"/>
    <w:rsid w:val="00043543"/>
    <w:rsid w:val="00045B87"/>
    <w:rsid w:val="00045C07"/>
    <w:rsid w:val="00045C40"/>
    <w:rsid w:val="000467E8"/>
    <w:rsid w:val="00046861"/>
    <w:rsid w:val="00054A07"/>
    <w:rsid w:val="00055D43"/>
    <w:rsid w:val="00056FAC"/>
    <w:rsid w:val="00057751"/>
    <w:rsid w:val="00061C9D"/>
    <w:rsid w:val="00062E39"/>
    <w:rsid w:val="000631D3"/>
    <w:rsid w:val="00064063"/>
    <w:rsid w:val="0006581A"/>
    <w:rsid w:val="00067CD9"/>
    <w:rsid w:val="00071538"/>
    <w:rsid w:val="00074461"/>
    <w:rsid w:val="000766EC"/>
    <w:rsid w:val="00076DFE"/>
    <w:rsid w:val="00080E58"/>
    <w:rsid w:val="000828FA"/>
    <w:rsid w:val="00083D99"/>
    <w:rsid w:val="00084DA6"/>
    <w:rsid w:val="00085699"/>
    <w:rsid w:val="00090160"/>
    <w:rsid w:val="00091F52"/>
    <w:rsid w:val="00092970"/>
    <w:rsid w:val="00093720"/>
    <w:rsid w:val="000938E6"/>
    <w:rsid w:val="00093B3C"/>
    <w:rsid w:val="0009488C"/>
    <w:rsid w:val="00095C1B"/>
    <w:rsid w:val="00096205"/>
    <w:rsid w:val="00096DEA"/>
    <w:rsid w:val="0009794E"/>
    <w:rsid w:val="000A0B6A"/>
    <w:rsid w:val="000A4240"/>
    <w:rsid w:val="000A469A"/>
    <w:rsid w:val="000A584A"/>
    <w:rsid w:val="000A62B8"/>
    <w:rsid w:val="000A6458"/>
    <w:rsid w:val="000C061A"/>
    <w:rsid w:val="000C378F"/>
    <w:rsid w:val="000C6892"/>
    <w:rsid w:val="000C6FFE"/>
    <w:rsid w:val="000D0BB6"/>
    <w:rsid w:val="000D10D9"/>
    <w:rsid w:val="000D14D1"/>
    <w:rsid w:val="000D1DDC"/>
    <w:rsid w:val="000D2ED2"/>
    <w:rsid w:val="000D6653"/>
    <w:rsid w:val="000E0D51"/>
    <w:rsid w:val="000E26B0"/>
    <w:rsid w:val="000E37C2"/>
    <w:rsid w:val="000E38C3"/>
    <w:rsid w:val="000E3D56"/>
    <w:rsid w:val="000E45A6"/>
    <w:rsid w:val="000E507E"/>
    <w:rsid w:val="000F0979"/>
    <w:rsid w:val="000F1599"/>
    <w:rsid w:val="000F1769"/>
    <w:rsid w:val="000F1A97"/>
    <w:rsid w:val="000F42AE"/>
    <w:rsid w:val="000F6196"/>
    <w:rsid w:val="000F6BC3"/>
    <w:rsid w:val="000F72C4"/>
    <w:rsid w:val="0010312C"/>
    <w:rsid w:val="0010354A"/>
    <w:rsid w:val="00105026"/>
    <w:rsid w:val="0010651E"/>
    <w:rsid w:val="0010662B"/>
    <w:rsid w:val="00106DC7"/>
    <w:rsid w:val="00112391"/>
    <w:rsid w:val="00113C54"/>
    <w:rsid w:val="00114F52"/>
    <w:rsid w:val="00120A00"/>
    <w:rsid w:val="00120F29"/>
    <w:rsid w:val="001220E7"/>
    <w:rsid w:val="0012740F"/>
    <w:rsid w:val="00130119"/>
    <w:rsid w:val="00132812"/>
    <w:rsid w:val="001347F8"/>
    <w:rsid w:val="001359EE"/>
    <w:rsid w:val="00137BB5"/>
    <w:rsid w:val="00137E05"/>
    <w:rsid w:val="001402B6"/>
    <w:rsid w:val="001447B2"/>
    <w:rsid w:val="001447F6"/>
    <w:rsid w:val="00147DE3"/>
    <w:rsid w:val="00150794"/>
    <w:rsid w:val="00151DA6"/>
    <w:rsid w:val="00151FD4"/>
    <w:rsid w:val="001608C4"/>
    <w:rsid w:val="001638C0"/>
    <w:rsid w:val="00164832"/>
    <w:rsid w:val="00171418"/>
    <w:rsid w:val="001772BF"/>
    <w:rsid w:val="001772DE"/>
    <w:rsid w:val="00187C23"/>
    <w:rsid w:val="001907A5"/>
    <w:rsid w:val="0019496C"/>
    <w:rsid w:val="00194A86"/>
    <w:rsid w:val="001961CF"/>
    <w:rsid w:val="001A17C2"/>
    <w:rsid w:val="001A2529"/>
    <w:rsid w:val="001A350C"/>
    <w:rsid w:val="001A59BB"/>
    <w:rsid w:val="001A607E"/>
    <w:rsid w:val="001A6A51"/>
    <w:rsid w:val="001A79C4"/>
    <w:rsid w:val="001B2F59"/>
    <w:rsid w:val="001B331A"/>
    <w:rsid w:val="001B3E08"/>
    <w:rsid w:val="001C0237"/>
    <w:rsid w:val="001C0E74"/>
    <w:rsid w:val="001C2710"/>
    <w:rsid w:val="001C3E71"/>
    <w:rsid w:val="001C4DB8"/>
    <w:rsid w:val="001C50B8"/>
    <w:rsid w:val="001D1C1A"/>
    <w:rsid w:val="001D229F"/>
    <w:rsid w:val="001E2EB6"/>
    <w:rsid w:val="001F4552"/>
    <w:rsid w:val="002019EB"/>
    <w:rsid w:val="00204B58"/>
    <w:rsid w:val="00205051"/>
    <w:rsid w:val="0020741D"/>
    <w:rsid w:val="00211F65"/>
    <w:rsid w:val="00214047"/>
    <w:rsid w:val="002146D2"/>
    <w:rsid w:val="00216563"/>
    <w:rsid w:val="0021792F"/>
    <w:rsid w:val="00220D06"/>
    <w:rsid w:val="00220E85"/>
    <w:rsid w:val="002246A0"/>
    <w:rsid w:val="002257E3"/>
    <w:rsid w:val="00230439"/>
    <w:rsid w:val="00232A09"/>
    <w:rsid w:val="00235176"/>
    <w:rsid w:val="00236061"/>
    <w:rsid w:val="0024100E"/>
    <w:rsid w:val="00241C1B"/>
    <w:rsid w:val="0024288B"/>
    <w:rsid w:val="00243DB0"/>
    <w:rsid w:val="00247265"/>
    <w:rsid w:val="0025047C"/>
    <w:rsid w:val="002530F0"/>
    <w:rsid w:val="00260663"/>
    <w:rsid w:val="002657E9"/>
    <w:rsid w:val="0026665E"/>
    <w:rsid w:val="00270547"/>
    <w:rsid w:val="00271479"/>
    <w:rsid w:val="0027147E"/>
    <w:rsid w:val="002761F4"/>
    <w:rsid w:val="00276CF5"/>
    <w:rsid w:val="00276D3B"/>
    <w:rsid w:val="00276FE2"/>
    <w:rsid w:val="002775E1"/>
    <w:rsid w:val="00277979"/>
    <w:rsid w:val="002802D4"/>
    <w:rsid w:val="0028506C"/>
    <w:rsid w:val="00285462"/>
    <w:rsid w:val="00291ADD"/>
    <w:rsid w:val="002920DF"/>
    <w:rsid w:val="00292F3D"/>
    <w:rsid w:val="0029456E"/>
    <w:rsid w:val="00295CA1"/>
    <w:rsid w:val="002A0E51"/>
    <w:rsid w:val="002A1A44"/>
    <w:rsid w:val="002A291A"/>
    <w:rsid w:val="002A2B02"/>
    <w:rsid w:val="002A2C54"/>
    <w:rsid w:val="002A3579"/>
    <w:rsid w:val="002A422E"/>
    <w:rsid w:val="002A4CC8"/>
    <w:rsid w:val="002A4E2E"/>
    <w:rsid w:val="002A5604"/>
    <w:rsid w:val="002B1701"/>
    <w:rsid w:val="002B23C3"/>
    <w:rsid w:val="002B443A"/>
    <w:rsid w:val="002B5B35"/>
    <w:rsid w:val="002B5FED"/>
    <w:rsid w:val="002B7AEE"/>
    <w:rsid w:val="002C01CC"/>
    <w:rsid w:val="002C09DA"/>
    <w:rsid w:val="002C2536"/>
    <w:rsid w:val="002C256A"/>
    <w:rsid w:val="002C3031"/>
    <w:rsid w:val="002C30EF"/>
    <w:rsid w:val="002C4233"/>
    <w:rsid w:val="002C496D"/>
    <w:rsid w:val="002D05EB"/>
    <w:rsid w:val="002D11A8"/>
    <w:rsid w:val="002D16A3"/>
    <w:rsid w:val="002D2F29"/>
    <w:rsid w:val="002D46C0"/>
    <w:rsid w:val="002D5A92"/>
    <w:rsid w:val="002D65D2"/>
    <w:rsid w:val="002D6B31"/>
    <w:rsid w:val="002E2D93"/>
    <w:rsid w:val="002E34BF"/>
    <w:rsid w:val="002E6D17"/>
    <w:rsid w:val="002E7017"/>
    <w:rsid w:val="002E7F2C"/>
    <w:rsid w:val="002F1FC7"/>
    <w:rsid w:val="002F2185"/>
    <w:rsid w:val="002F4F6E"/>
    <w:rsid w:val="003015C3"/>
    <w:rsid w:val="003105E1"/>
    <w:rsid w:val="003106DB"/>
    <w:rsid w:val="0031350A"/>
    <w:rsid w:val="0031478A"/>
    <w:rsid w:val="00314C6A"/>
    <w:rsid w:val="003155C4"/>
    <w:rsid w:val="00316815"/>
    <w:rsid w:val="003168CA"/>
    <w:rsid w:val="0032122E"/>
    <w:rsid w:val="00321255"/>
    <w:rsid w:val="0032230D"/>
    <w:rsid w:val="00322A0B"/>
    <w:rsid w:val="00325998"/>
    <w:rsid w:val="003261EF"/>
    <w:rsid w:val="00327645"/>
    <w:rsid w:val="00327987"/>
    <w:rsid w:val="0033016A"/>
    <w:rsid w:val="00330881"/>
    <w:rsid w:val="00331CD2"/>
    <w:rsid w:val="00332426"/>
    <w:rsid w:val="003346BB"/>
    <w:rsid w:val="00334A7F"/>
    <w:rsid w:val="00335C41"/>
    <w:rsid w:val="00335FC5"/>
    <w:rsid w:val="0033771E"/>
    <w:rsid w:val="00337FEF"/>
    <w:rsid w:val="003512CE"/>
    <w:rsid w:val="003525FB"/>
    <w:rsid w:val="0035260D"/>
    <w:rsid w:val="00354B6D"/>
    <w:rsid w:val="00355210"/>
    <w:rsid w:val="00355B28"/>
    <w:rsid w:val="00355CFD"/>
    <w:rsid w:val="0035779F"/>
    <w:rsid w:val="00365DF9"/>
    <w:rsid w:val="00367902"/>
    <w:rsid w:val="0037066E"/>
    <w:rsid w:val="00372DB4"/>
    <w:rsid w:val="0037383D"/>
    <w:rsid w:val="00373A36"/>
    <w:rsid w:val="0037419E"/>
    <w:rsid w:val="00375AF5"/>
    <w:rsid w:val="003761BD"/>
    <w:rsid w:val="00377448"/>
    <w:rsid w:val="00377884"/>
    <w:rsid w:val="003826BD"/>
    <w:rsid w:val="003833DB"/>
    <w:rsid w:val="00385414"/>
    <w:rsid w:val="00390074"/>
    <w:rsid w:val="00392F73"/>
    <w:rsid w:val="00393600"/>
    <w:rsid w:val="0039601B"/>
    <w:rsid w:val="0039762B"/>
    <w:rsid w:val="003A0C37"/>
    <w:rsid w:val="003A1B6B"/>
    <w:rsid w:val="003A22D1"/>
    <w:rsid w:val="003A46C0"/>
    <w:rsid w:val="003A5E27"/>
    <w:rsid w:val="003A600E"/>
    <w:rsid w:val="003A6513"/>
    <w:rsid w:val="003B16C7"/>
    <w:rsid w:val="003B29BC"/>
    <w:rsid w:val="003B3115"/>
    <w:rsid w:val="003C15B1"/>
    <w:rsid w:val="003C19F1"/>
    <w:rsid w:val="003C3C67"/>
    <w:rsid w:val="003C4186"/>
    <w:rsid w:val="003C6185"/>
    <w:rsid w:val="003C6AD0"/>
    <w:rsid w:val="003D0D2D"/>
    <w:rsid w:val="003D1885"/>
    <w:rsid w:val="003D1BC0"/>
    <w:rsid w:val="003D20F1"/>
    <w:rsid w:val="003D4710"/>
    <w:rsid w:val="003E16D7"/>
    <w:rsid w:val="003E197E"/>
    <w:rsid w:val="003E2A02"/>
    <w:rsid w:val="003E3C75"/>
    <w:rsid w:val="003E4B70"/>
    <w:rsid w:val="003E4E10"/>
    <w:rsid w:val="003E4E6F"/>
    <w:rsid w:val="003E54CF"/>
    <w:rsid w:val="003E5FBA"/>
    <w:rsid w:val="003E6237"/>
    <w:rsid w:val="003F1233"/>
    <w:rsid w:val="003F1EE5"/>
    <w:rsid w:val="003F3984"/>
    <w:rsid w:val="003F5DE8"/>
    <w:rsid w:val="003F67A4"/>
    <w:rsid w:val="00400786"/>
    <w:rsid w:val="00401FDA"/>
    <w:rsid w:val="004046F0"/>
    <w:rsid w:val="0040668F"/>
    <w:rsid w:val="00411CC1"/>
    <w:rsid w:val="00411EF7"/>
    <w:rsid w:val="00412677"/>
    <w:rsid w:val="004130E5"/>
    <w:rsid w:val="0041573F"/>
    <w:rsid w:val="00420FAF"/>
    <w:rsid w:val="00425160"/>
    <w:rsid w:val="0042595C"/>
    <w:rsid w:val="004273D0"/>
    <w:rsid w:val="00430DE3"/>
    <w:rsid w:val="00432B01"/>
    <w:rsid w:val="004348AE"/>
    <w:rsid w:val="004376C0"/>
    <w:rsid w:val="0044223A"/>
    <w:rsid w:val="004454E4"/>
    <w:rsid w:val="00446D23"/>
    <w:rsid w:val="00446FFB"/>
    <w:rsid w:val="00450B67"/>
    <w:rsid w:val="00451851"/>
    <w:rsid w:val="0045189A"/>
    <w:rsid w:val="00452F42"/>
    <w:rsid w:val="00453343"/>
    <w:rsid w:val="004538C3"/>
    <w:rsid w:val="00455E7E"/>
    <w:rsid w:val="00460508"/>
    <w:rsid w:val="004608B9"/>
    <w:rsid w:val="00460E9F"/>
    <w:rsid w:val="0046112C"/>
    <w:rsid w:val="00463B55"/>
    <w:rsid w:val="00464466"/>
    <w:rsid w:val="00465947"/>
    <w:rsid w:val="004667B1"/>
    <w:rsid w:val="00467F66"/>
    <w:rsid w:val="00470461"/>
    <w:rsid w:val="00470BB1"/>
    <w:rsid w:val="0047133F"/>
    <w:rsid w:val="00473153"/>
    <w:rsid w:val="0047350F"/>
    <w:rsid w:val="0047379B"/>
    <w:rsid w:val="004743AF"/>
    <w:rsid w:val="004764F4"/>
    <w:rsid w:val="00476696"/>
    <w:rsid w:val="00482C17"/>
    <w:rsid w:val="00484CE3"/>
    <w:rsid w:val="004864AD"/>
    <w:rsid w:val="004911B4"/>
    <w:rsid w:val="0049196A"/>
    <w:rsid w:val="004923DA"/>
    <w:rsid w:val="00492EEB"/>
    <w:rsid w:val="00493434"/>
    <w:rsid w:val="004939F2"/>
    <w:rsid w:val="004968E2"/>
    <w:rsid w:val="004969F8"/>
    <w:rsid w:val="004A2A49"/>
    <w:rsid w:val="004A5A64"/>
    <w:rsid w:val="004B5553"/>
    <w:rsid w:val="004B600B"/>
    <w:rsid w:val="004B6822"/>
    <w:rsid w:val="004B69F6"/>
    <w:rsid w:val="004C1AD9"/>
    <w:rsid w:val="004C2D3A"/>
    <w:rsid w:val="004C597F"/>
    <w:rsid w:val="004D03C4"/>
    <w:rsid w:val="004D0BF1"/>
    <w:rsid w:val="004D0F4E"/>
    <w:rsid w:val="004D1809"/>
    <w:rsid w:val="004D317D"/>
    <w:rsid w:val="004D3278"/>
    <w:rsid w:val="004D35A4"/>
    <w:rsid w:val="004D445F"/>
    <w:rsid w:val="004D4D7D"/>
    <w:rsid w:val="004D5055"/>
    <w:rsid w:val="004E087B"/>
    <w:rsid w:val="004E44A4"/>
    <w:rsid w:val="004E7051"/>
    <w:rsid w:val="004E7B8B"/>
    <w:rsid w:val="004E7BDD"/>
    <w:rsid w:val="004E7CA9"/>
    <w:rsid w:val="004F1966"/>
    <w:rsid w:val="004F1E21"/>
    <w:rsid w:val="004F2542"/>
    <w:rsid w:val="004F4E33"/>
    <w:rsid w:val="004F61F5"/>
    <w:rsid w:val="004F740D"/>
    <w:rsid w:val="004F7B8F"/>
    <w:rsid w:val="004F7DF2"/>
    <w:rsid w:val="00500748"/>
    <w:rsid w:val="005011D6"/>
    <w:rsid w:val="00502A14"/>
    <w:rsid w:val="00502A5B"/>
    <w:rsid w:val="00502C25"/>
    <w:rsid w:val="00502CE3"/>
    <w:rsid w:val="005042F1"/>
    <w:rsid w:val="0050481B"/>
    <w:rsid w:val="005113D4"/>
    <w:rsid w:val="0051287D"/>
    <w:rsid w:val="00513C7D"/>
    <w:rsid w:val="005210A1"/>
    <w:rsid w:val="00521123"/>
    <w:rsid w:val="00521221"/>
    <w:rsid w:val="00521998"/>
    <w:rsid w:val="00521CFE"/>
    <w:rsid w:val="0052250B"/>
    <w:rsid w:val="0052388F"/>
    <w:rsid w:val="0052535B"/>
    <w:rsid w:val="0053052F"/>
    <w:rsid w:val="005305C6"/>
    <w:rsid w:val="0053222C"/>
    <w:rsid w:val="005349A7"/>
    <w:rsid w:val="00540EEC"/>
    <w:rsid w:val="005414F4"/>
    <w:rsid w:val="005439F7"/>
    <w:rsid w:val="00543E45"/>
    <w:rsid w:val="005440A5"/>
    <w:rsid w:val="00546187"/>
    <w:rsid w:val="00547B11"/>
    <w:rsid w:val="00551809"/>
    <w:rsid w:val="00557D77"/>
    <w:rsid w:val="00560F12"/>
    <w:rsid w:val="00562EAA"/>
    <w:rsid w:val="005636A3"/>
    <w:rsid w:val="00563B58"/>
    <w:rsid w:val="005640C4"/>
    <w:rsid w:val="0056684C"/>
    <w:rsid w:val="00571A46"/>
    <w:rsid w:val="005736DD"/>
    <w:rsid w:val="00574A0C"/>
    <w:rsid w:val="00575AE9"/>
    <w:rsid w:val="00576A28"/>
    <w:rsid w:val="0057780F"/>
    <w:rsid w:val="00581E0A"/>
    <w:rsid w:val="0058253D"/>
    <w:rsid w:val="00582A06"/>
    <w:rsid w:val="00586554"/>
    <w:rsid w:val="00586D89"/>
    <w:rsid w:val="005877C8"/>
    <w:rsid w:val="00587923"/>
    <w:rsid w:val="00594F9F"/>
    <w:rsid w:val="005A1B4C"/>
    <w:rsid w:val="005A20CE"/>
    <w:rsid w:val="005A33C2"/>
    <w:rsid w:val="005A3A17"/>
    <w:rsid w:val="005A545C"/>
    <w:rsid w:val="005B076C"/>
    <w:rsid w:val="005B0AAA"/>
    <w:rsid w:val="005B271A"/>
    <w:rsid w:val="005B3A2D"/>
    <w:rsid w:val="005C1567"/>
    <w:rsid w:val="005C28D3"/>
    <w:rsid w:val="005C3CFA"/>
    <w:rsid w:val="005C52CB"/>
    <w:rsid w:val="005C5C9B"/>
    <w:rsid w:val="005C6CE5"/>
    <w:rsid w:val="005C7D9A"/>
    <w:rsid w:val="005D2A8B"/>
    <w:rsid w:val="005D3F07"/>
    <w:rsid w:val="005D4A1E"/>
    <w:rsid w:val="005D4F72"/>
    <w:rsid w:val="005D665B"/>
    <w:rsid w:val="005E13EA"/>
    <w:rsid w:val="005E17F1"/>
    <w:rsid w:val="005E23F9"/>
    <w:rsid w:val="005F0579"/>
    <w:rsid w:val="005F64AA"/>
    <w:rsid w:val="005F73DB"/>
    <w:rsid w:val="005F7851"/>
    <w:rsid w:val="00606E27"/>
    <w:rsid w:val="006108C9"/>
    <w:rsid w:val="00611099"/>
    <w:rsid w:val="00613210"/>
    <w:rsid w:val="00614DF7"/>
    <w:rsid w:val="006179BB"/>
    <w:rsid w:val="00617C4B"/>
    <w:rsid w:val="0062158D"/>
    <w:rsid w:val="006223FD"/>
    <w:rsid w:val="00625CBC"/>
    <w:rsid w:val="00626036"/>
    <w:rsid w:val="006326D1"/>
    <w:rsid w:val="00632E0A"/>
    <w:rsid w:val="00633165"/>
    <w:rsid w:val="00635CA5"/>
    <w:rsid w:val="006447DE"/>
    <w:rsid w:val="00644889"/>
    <w:rsid w:val="00646435"/>
    <w:rsid w:val="0065276E"/>
    <w:rsid w:val="00654329"/>
    <w:rsid w:val="00654CEC"/>
    <w:rsid w:val="00655507"/>
    <w:rsid w:val="006579FD"/>
    <w:rsid w:val="006635E3"/>
    <w:rsid w:val="00664696"/>
    <w:rsid w:val="006669F3"/>
    <w:rsid w:val="006712A7"/>
    <w:rsid w:val="006719C0"/>
    <w:rsid w:val="00671FB5"/>
    <w:rsid w:val="00672CED"/>
    <w:rsid w:val="006737BF"/>
    <w:rsid w:val="0067418D"/>
    <w:rsid w:val="006748FE"/>
    <w:rsid w:val="00674FC2"/>
    <w:rsid w:val="0067546A"/>
    <w:rsid w:val="00676E35"/>
    <w:rsid w:val="00677E42"/>
    <w:rsid w:val="00681570"/>
    <w:rsid w:val="00682334"/>
    <w:rsid w:val="00684732"/>
    <w:rsid w:val="00684B16"/>
    <w:rsid w:val="00687016"/>
    <w:rsid w:val="006872A0"/>
    <w:rsid w:val="006920F6"/>
    <w:rsid w:val="00692E1F"/>
    <w:rsid w:val="00693389"/>
    <w:rsid w:val="0069625A"/>
    <w:rsid w:val="00696A88"/>
    <w:rsid w:val="00696F65"/>
    <w:rsid w:val="00697572"/>
    <w:rsid w:val="006A411B"/>
    <w:rsid w:val="006B0F23"/>
    <w:rsid w:val="006B1617"/>
    <w:rsid w:val="006B1E71"/>
    <w:rsid w:val="006B4496"/>
    <w:rsid w:val="006B5E67"/>
    <w:rsid w:val="006B6612"/>
    <w:rsid w:val="006C1CE3"/>
    <w:rsid w:val="006C2EB5"/>
    <w:rsid w:val="006D0F81"/>
    <w:rsid w:val="006D18A3"/>
    <w:rsid w:val="006D2961"/>
    <w:rsid w:val="006D5970"/>
    <w:rsid w:val="006E481E"/>
    <w:rsid w:val="006E7002"/>
    <w:rsid w:val="006E795F"/>
    <w:rsid w:val="006F0862"/>
    <w:rsid w:val="006F086F"/>
    <w:rsid w:val="006F1438"/>
    <w:rsid w:val="006F2A9E"/>
    <w:rsid w:val="006F5ED3"/>
    <w:rsid w:val="006F6E4D"/>
    <w:rsid w:val="00700249"/>
    <w:rsid w:val="00700F71"/>
    <w:rsid w:val="007069CD"/>
    <w:rsid w:val="00706BB5"/>
    <w:rsid w:val="0071231A"/>
    <w:rsid w:val="00712E90"/>
    <w:rsid w:val="00713868"/>
    <w:rsid w:val="00713B7E"/>
    <w:rsid w:val="00715085"/>
    <w:rsid w:val="00722E2F"/>
    <w:rsid w:val="0072678F"/>
    <w:rsid w:val="0072703E"/>
    <w:rsid w:val="007276E5"/>
    <w:rsid w:val="00727A81"/>
    <w:rsid w:val="00727C4C"/>
    <w:rsid w:val="007314EB"/>
    <w:rsid w:val="007318AA"/>
    <w:rsid w:val="00734809"/>
    <w:rsid w:val="00734837"/>
    <w:rsid w:val="0073714E"/>
    <w:rsid w:val="007374EF"/>
    <w:rsid w:val="007406E1"/>
    <w:rsid w:val="00743E40"/>
    <w:rsid w:val="00745016"/>
    <w:rsid w:val="0075031F"/>
    <w:rsid w:val="00751263"/>
    <w:rsid w:val="00753A57"/>
    <w:rsid w:val="007544FC"/>
    <w:rsid w:val="00755427"/>
    <w:rsid w:val="00756548"/>
    <w:rsid w:val="0075673A"/>
    <w:rsid w:val="0075704F"/>
    <w:rsid w:val="0075730C"/>
    <w:rsid w:val="00763B2D"/>
    <w:rsid w:val="00764C84"/>
    <w:rsid w:val="00765B41"/>
    <w:rsid w:val="007710AD"/>
    <w:rsid w:val="00772924"/>
    <w:rsid w:val="0077385C"/>
    <w:rsid w:val="00776DD7"/>
    <w:rsid w:val="0078112D"/>
    <w:rsid w:val="00784C2E"/>
    <w:rsid w:val="007872F2"/>
    <w:rsid w:val="007873F9"/>
    <w:rsid w:val="007908E0"/>
    <w:rsid w:val="00793EB3"/>
    <w:rsid w:val="00794205"/>
    <w:rsid w:val="0079422A"/>
    <w:rsid w:val="00796E61"/>
    <w:rsid w:val="00796F37"/>
    <w:rsid w:val="007A1C46"/>
    <w:rsid w:val="007A1F6A"/>
    <w:rsid w:val="007A44F8"/>
    <w:rsid w:val="007A628F"/>
    <w:rsid w:val="007B0DE3"/>
    <w:rsid w:val="007B1BFD"/>
    <w:rsid w:val="007B5417"/>
    <w:rsid w:val="007B7191"/>
    <w:rsid w:val="007C1D94"/>
    <w:rsid w:val="007C556F"/>
    <w:rsid w:val="007C5ABE"/>
    <w:rsid w:val="007C6A87"/>
    <w:rsid w:val="007D0A07"/>
    <w:rsid w:val="007D0F11"/>
    <w:rsid w:val="007D133D"/>
    <w:rsid w:val="007D2760"/>
    <w:rsid w:val="007D3201"/>
    <w:rsid w:val="007D3B8D"/>
    <w:rsid w:val="007D3EB4"/>
    <w:rsid w:val="007D3F16"/>
    <w:rsid w:val="007D5296"/>
    <w:rsid w:val="007E3DDE"/>
    <w:rsid w:val="007F10BD"/>
    <w:rsid w:val="007F312E"/>
    <w:rsid w:val="007F3F7E"/>
    <w:rsid w:val="007F4BA4"/>
    <w:rsid w:val="00802204"/>
    <w:rsid w:val="008042FB"/>
    <w:rsid w:val="0080683A"/>
    <w:rsid w:val="00812219"/>
    <w:rsid w:val="00813CEC"/>
    <w:rsid w:val="00813E78"/>
    <w:rsid w:val="0081534C"/>
    <w:rsid w:val="00816CE7"/>
    <w:rsid w:val="008171E4"/>
    <w:rsid w:val="008208EA"/>
    <w:rsid w:val="00822B44"/>
    <w:rsid w:val="00824E67"/>
    <w:rsid w:val="00825A64"/>
    <w:rsid w:val="00826F48"/>
    <w:rsid w:val="008308AE"/>
    <w:rsid w:val="00830DD1"/>
    <w:rsid w:val="00830EBC"/>
    <w:rsid w:val="0083166E"/>
    <w:rsid w:val="00831DC3"/>
    <w:rsid w:val="00831F5E"/>
    <w:rsid w:val="008322C7"/>
    <w:rsid w:val="008340BA"/>
    <w:rsid w:val="00834F1D"/>
    <w:rsid w:val="00836FEC"/>
    <w:rsid w:val="00841F9D"/>
    <w:rsid w:val="008420E1"/>
    <w:rsid w:val="00842333"/>
    <w:rsid w:val="00844D98"/>
    <w:rsid w:val="00846D84"/>
    <w:rsid w:val="00850233"/>
    <w:rsid w:val="0085230E"/>
    <w:rsid w:val="0085485B"/>
    <w:rsid w:val="008550A1"/>
    <w:rsid w:val="00856E6E"/>
    <w:rsid w:val="00861038"/>
    <w:rsid w:val="008655C1"/>
    <w:rsid w:val="00865B58"/>
    <w:rsid w:val="00866B50"/>
    <w:rsid w:val="0086744E"/>
    <w:rsid w:val="00867A63"/>
    <w:rsid w:val="008708F1"/>
    <w:rsid w:val="00871960"/>
    <w:rsid w:val="0087369F"/>
    <w:rsid w:val="00873B6D"/>
    <w:rsid w:val="00874AA7"/>
    <w:rsid w:val="00880539"/>
    <w:rsid w:val="008859E8"/>
    <w:rsid w:val="0088737B"/>
    <w:rsid w:val="00891078"/>
    <w:rsid w:val="00891D6C"/>
    <w:rsid w:val="00892716"/>
    <w:rsid w:val="00893067"/>
    <w:rsid w:val="008933DE"/>
    <w:rsid w:val="00895FCE"/>
    <w:rsid w:val="0089780F"/>
    <w:rsid w:val="00897F3E"/>
    <w:rsid w:val="008A21B4"/>
    <w:rsid w:val="008A2F75"/>
    <w:rsid w:val="008A5C03"/>
    <w:rsid w:val="008B07DE"/>
    <w:rsid w:val="008B0A1B"/>
    <w:rsid w:val="008B1309"/>
    <w:rsid w:val="008B28E7"/>
    <w:rsid w:val="008B6237"/>
    <w:rsid w:val="008B67F6"/>
    <w:rsid w:val="008B7E24"/>
    <w:rsid w:val="008C14C7"/>
    <w:rsid w:val="008C2FFB"/>
    <w:rsid w:val="008C633F"/>
    <w:rsid w:val="008C6583"/>
    <w:rsid w:val="008C6EEA"/>
    <w:rsid w:val="008C7770"/>
    <w:rsid w:val="008C79C7"/>
    <w:rsid w:val="008D03B0"/>
    <w:rsid w:val="008D2150"/>
    <w:rsid w:val="008D23F3"/>
    <w:rsid w:val="008D5813"/>
    <w:rsid w:val="008D5999"/>
    <w:rsid w:val="008D634E"/>
    <w:rsid w:val="008D778A"/>
    <w:rsid w:val="008D78C9"/>
    <w:rsid w:val="008E3195"/>
    <w:rsid w:val="008E5A35"/>
    <w:rsid w:val="008F127E"/>
    <w:rsid w:val="008F32D9"/>
    <w:rsid w:val="008F4BE6"/>
    <w:rsid w:val="00901250"/>
    <w:rsid w:val="00902A65"/>
    <w:rsid w:val="00903932"/>
    <w:rsid w:val="00903D59"/>
    <w:rsid w:val="00903E66"/>
    <w:rsid w:val="009048A5"/>
    <w:rsid w:val="009079BD"/>
    <w:rsid w:val="00910118"/>
    <w:rsid w:val="00911ED9"/>
    <w:rsid w:val="00912BD9"/>
    <w:rsid w:val="00914E13"/>
    <w:rsid w:val="00916FB2"/>
    <w:rsid w:val="00920E5B"/>
    <w:rsid w:val="00926436"/>
    <w:rsid w:val="00926C53"/>
    <w:rsid w:val="0093018C"/>
    <w:rsid w:val="009329D9"/>
    <w:rsid w:val="00937B9E"/>
    <w:rsid w:val="00940802"/>
    <w:rsid w:val="0094495F"/>
    <w:rsid w:val="009505CC"/>
    <w:rsid w:val="009537EB"/>
    <w:rsid w:val="009541FA"/>
    <w:rsid w:val="009544C0"/>
    <w:rsid w:val="00954FA4"/>
    <w:rsid w:val="00956AE9"/>
    <w:rsid w:val="00964095"/>
    <w:rsid w:val="00964AC6"/>
    <w:rsid w:val="00964CC6"/>
    <w:rsid w:val="00967BFA"/>
    <w:rsid w:val="00970879"/>
    <w:rsid w:val="00972376"/>
    <w:rsid w:val="009749E4"/>
    <w:rsid w:val="0097533F"/>
    <w:rsid w:val="00976DE0"/>
    <w:rsid w:val="0098262C"/>
    <w:rsid w:val="00982EB2"/>
    <w:rsid w:val="0098427C"/>
    <w:rsid w:val="009862A4"/>
    <w:rsid w:val="00986B43"/>
    <w:rsid w:val="00986C0B"/>
    <w:rsid w:val="00986D46"/>
    <w:rsid w:val="00991E60"/>
    <w:rsid w:val="00991FDA"/>
    <w:rsid w:val="00992ACA"/>
    <w:rsid w:val="009A1605"/>
    <w:rsid w:val="009A5474"/>
    <w:rsid w:val="009A5F3B"/>
    <w:rsid w:val="009A5F79"/>
    <w:rsid w:val="009A6F87"/>
    <w:rsid w:val="009B0B61"/>
    <w:rsid w:val="009B28C0"/>
    <w:rsid w:val="009B2EF0"/>
    <w:rsid w:val="009B3178"/>
    <w:rsid w:val="009B3647"/>
    <w:rsid w:val="009B3E46"/>
    <w:rsid w:val="009B7136"/>
    <w:rsid w:val="009C1D22"/>
    <w:rsid w:val="009C26FA"/>
    <w:rsid w:val="009C337F"/>
    <w:rsid w:val="009C3443"/>
    <w:rsid w:val="009C5008"/>
    <w:rsid w:val="009C53E7"/>
    <w:rsid w:val="009C6092"/>
    <w:rsid w:val="009C70DA"/>
    <w:rsid w:val="009C7342"/>
    <w:rsid w:val="009C7746"/>
    <w:rsid w:val="009D065F"/>
    <w:rsid w:val="009D129C"/>
    <w:rsid w:val="009D3955"/>
    <w:rsid w:val="009D4365"/>
    <w:rsid w:val="009D477B"/>
    <w:rsid w:val="009D4E3B"/>
    <w:rsid w:val="009D59C2"/>
    <w:rsid w:val="009D7BC9"/>
    <w:rsid w:val="009E122F"/>
    <w:rsid w:val="009E1982"/>
    <w:rsid w:val="009E3384"/>
    <w:rsid w:val="009E41E9"/>
    <w:rsid w:val="009E4D2C"/>
    <w:rsid w:val="009F0978"/>
    <w:rsid w:val="009F2237"/>
    <w:rsid w:val="009F3AEC"/>
    <w:rsid w:val="009F5CE2"/>
    <w:rsid w:val="009F6801"/>
    <w:rsid w:val="00A00081"/>
    <w:rsid w:val="00A0358B"/>
    <w:rsid w:val="00A047D9"/>
    <w:rsid w:val="00A06422"/>
    <w:rsid w:val="00A070C1"/>
    <w:rsid w:val="00A10D56"/>
    <w:rsid w:val="00A12AAE"/>
    <w:rsid w:val="00A12C4F"/>
    <w:rsid w:val="00A12F22"/>
    <w:rsid w:val="00A16DD1"/>
    <w:rsid w:val="00A22441"/>
    <w:rsid w:val="00A23F3B"/>
    <w:rsid w:val="00A24406"/>
    <w:rsid w:val="00A25F64"/>
    <w:rsid w:val="00A275F6"/>
    <w:rsid w:val="00A303B9"/>
    <w:rsid w:val="00A31CFC"/>
    <w:rsid w:val="00A31EA1"/>
    <w:rsid w:val="00A36830"/>
    <w:rsid w:val="00A37416"/>
    <w:rsid w:val="00A40ED6"/>
    <w:rsid w:val="00A45D92"/>
    <w:rsid w:val="00A47621"/>
    <w:rsid w:val="00A479CD"/>
    <w:rsid w:val="00A50CFC"/>
    <w:rsid w:val="00A51580"/>
    <w:rsid w:val="00A53484"/>
    <w:rsid w:val="00A54D67"/>
    <w:rsid w:val="00A55A3F"/>
    <w:rsid w:val="00A5656A"/>
    <w:rsid w:val="00A60103"/>
    <w:rsid w:val="00A652F6"/>
    <w:rsid w:val="00A65861"/>
    <w:rsid w:val="00A732EA"/>
    <w:rsid w:val="00A7432E"/>
    <w:rsid w:val="00A7489E"/>
    <w:rsid w:val="00A8015F"/>
    <w:rsid w:val="00A8141A"/>
    <w:rsid w:val="00A843C9"/>
    <w:rsid w:val="00A85039"/>
    <w:rsid w:val="00A906AA"/>
    <w:rsid w:val="00A94C5E"/>
    <w:rsid w:val="00AA2038"/>
    <w:rsid w:val="00AA252C"/>
    <w:rsid w:val="00AA666E"/>
    <w:rsid w:val="00AA6795"/>
    <w:rsid w:val="00AA728A"/>
    <w:rsid w:val="00AA7960"/>
    <w:rsid w:val="00AB347D"/>
    <w:rsid w:val="00AB5518"/>
    <w:rsid w:val="00AC1D4D"/>
    <w:rsid w:val="00AC277C"/>
    <w:rsid w:val="00AC3A0E"/>
    <w:rsid w:val="00AC4A04"/>
    <w:rsid w:val="00AC5569"/>
    <w:rsid w:val="00AC5679"/>
    <w:rsid w:val="00AC6F31"/>
    <w:rsid w:val="00AD336F"/>
    <w:rsid w:val="00AD65B3"/>
    <w:rsid w:val="00AE134C"/>
    <w:rsid w:val="00AE1868"/>
    <w:rsid w:val="00AE2564"/>
    <w:rsid w:val="00AE301F"/>
    <w:rsid w:val="00AE3302"/>
    <w:rsid w:val="00AE5BA6"/>
    <w:rsid w:val="00AE6231"/>
    <w:rsid w:val="00AE63A6"/>
    <w:rsid w:val="00AE7077"/>
    <w:rsid w:val="00AE7A47"/>
    <w:rsid w:val="00AE7B53"/>
    <w:rsid w:val="00AF61C2"/>
    <w:rsid w:val="00AF6CC6"/>
    <w:rsid w:val="00B01746"/>
    <w:rsid w:val="00B0296A"/>
    <w:rsid w:val="00B037B0"/>
    <w:rsid w:val="00B04EF2"/>
    <w:rsid w:val="00B06932"/>
    <w:rsid w:val="00B07E79"/>
    <w:rsid w:val="00B12295"/>
    <w:rsid w:val="00B137BE"/>
    <w:rsid w:val="00B15998"/>
    <w:rsid w:val="00B17FA0"/>
    <w:rsid w:val="00B2042C"/>
    <w:rsid w:val="00B21DEC"/>
    <w:rsid w:val="00B226D6"/>
    <w:rsid w:val="00B2292C"/>
    <w:rsid w:val="00B22C3C"/>
    <w:rsid w:val="00B24344"/>
    <w:rsid w:val="00B26769"/>
    <w:rsid w:val="00B269F2"/>
    <w:rsid w:val="00B2754B"/>
    <w:rsid w:val="00B309DE"/>
    <w:rsid w:val="00B31C91"/>
    <w:rsid w:val="00B33F3B"/>
    <w:rsid w:val="00B3747F"/>
    <w:rsid w:val="00B37B45"/>
    <w:rsid w:val="00B42E76"/>
    <w:rsid w:val="00B43194"/>
    <w:rsid w:val="00B436BF"/>
    <w:rsid w:val="00B450BD"/>
    <w:rsid w:val="00B45CA3"/>
    <w:rsid w:val="00B47734"/>
    <w:rsid w:val="00B50FBA"/>
    <w:rsid w:val="00B558EB"/>
    <w:rsid w:val="00B563B8"/>
    <w:rsid w:val="00B577D3"/>
    <w:rsid w:val="00B60466"/>
    <w:rsid w:val="00B60A7C"/>
    <w:rsid w:val="00B6548F"/>
    <w:rsid w:val="00B71A32"/>
    <w:rsid w:val="00B72943"/>
    <w:rsid w:val="00B72EE1"/>
    <w:rsid w:val="00B7502A"/>
    <w:rsid w:val="00B75946"/>
    <w:rsid w:val="00B77305"/>
    <w:rsid w:val="00B774BD"/>
    <w:rsid w:val="00B8102D"/>
    <w:rsid w:val="00B8146C"/>
    <w:rsid w:val="00B82CC2"/>
    <w:rsid w:val="00B8379E"/>
    <w:rsid w:val="00B83B59"/>
    <w:rsid w:val="00B84A89"/>
    <w:rsid w:val="00B9256C"/>
    <w:rsid w:val="00B92BEF"/>
    <w:rsid w:val="00B94443"/>
    <w:rsid w:val="00B9570C"/>
    <w:rsid w:val="00B965B5"/>
    <w:rsid w:val="00B9664D"/>
    <w:rsid w:val="00B9689A"/>
    <w:rsid w:val="00B97056"/>
    <w:rsid w:val="00BA5157"/>
    <w:rsid w:val="00BA531E"/>
    <w:rsid w:val="00BA5D14"/>
    <w:rsid w:val="00BA728B"/>
    <w:rsid w:val="00BB06CB"/>
    <w:rsid w:val="00BB261F"/>
    <w:rsid w:val="00BB2887"/>
    <w:rsid w:val="00BB3B56"/>
    <w:rsid w:val="00BB5EAA"/>
    <w:rsid w:val="00BB5F11"/>
    <w:rsid w:val="00BB6638"/>
    <w:rsid w:val="00BB7FD2"/>
    <w:rsid w:val="00BC04FA"/>
    <w:rsid w:val="00BC1C22"/>
    <w:rsid w:val="00BC3C84"/>
    <w:rsid w:val="00BC460B"/>
    <w:rsid w:val="00BC4ED3"/>
    <w:rsid w:val="00BC5725"/>
    <w:rsid w:val="00BC6657"/>
    <w:rsid w:val="00BD123C"/>
    <w:rsid w:val="00BD25E7"/>
    <w:rsid w:val="00BD30B1"/>
    <w:rsid w:val="00BE0419"/>
    <w:rsid w:val="00BE0F7B"/>
    <w:rsid w:val="00BE10C2"/>
    <w:rsid w:val="00BF0D6C"/>
    <w:rsid w:val="00BF7AC2"/>
    <w:rsid w:val="00C01D14"/>
    <w:rsid w:val="00C01D97"/>
    <w:rsid w:val="00C025B4"/>
    <w:rsid w:val="00C029EC"/>
    <w:rsid w:val="00C05233"/>
    <w:rsid w:val="00C101F4"/>
    <w:rsid w:val="00C11C4C"/>
    <w:rsid w:val="00C15639"/>
    <w:rsid w:val="00C161FD"/>
    <w:rsid w:val="00C17C9F"/>
    <w:rsid w:val="00C20AB5"/>
    <w:rsid w:val="00C23F17"/>
    <w:rsid w:val="00C244AF"/>
    <w:rsid w:val="00C246F2"/>
    <w:rsid w:val="00C25A20"/>
    <w:rsid w:val="00C26D0D"/>
    <w:rsid w:val="00C27C95"/>
    <w:rsid w:val="00C300D2"/>
    <w:rsid w:val="00C30EB5"/>
    <w:rsid w:val="00C3270F"/>
    <w:rsid w:val="00C3278B"/>
    <w:rsid w:val="00C32E5A"/>
    <w:rsid w:val="00C33375"/>
    <w:rsid w:val="00C34C23"/>
    <w:rsid w:val="00C368FA"/>
    <w:rsid w:val="00C36E20"/>
    <w:rsid w:val="00C405D5"/>
    <w:rsid w:val="00C42005"/>
    <w:rsid w:val="00C4664D"/>
    <w:rsid w:val="00C472AA"/>
    <w:rsid w:val="00C50A05"/>
    <w:rsid w:val="00C5217A"/>
    <w:rsid w:val="00C525A9"/>
    <w:rsid w:val="00C54AED"/>
    <w:rsid w:val="00C555FC"/>
    <w:rsid w:val="00C55E9B"/>
    <w:rsid w:val="00C56D09"/>
    <w:rsid w:val="00C57D24"/>
    <w:rsid w:val="00C604D6"/>
    <w:rsid w:val="00C622C1"/>
    <w:rsid w:val="00C63CAB"/>
    <w:rsid w:val="00C63D00"/>
    <w:rsid w:val="00C6432A"/>
    <w:rsid w:val="00C6441B"/>
    <w:rsid w:val="00C65921"/>
    <w:rsid w:val="00C703AC"/>
    <w:rsid w:val="00C709C9"/>
    <w:rsid w:val="00C7108B"/>
    <w:rsid w:val="00C71E72"/>
    <w:rsid w:val="00C7519E"/>
    <w:rsid w:val="00C75883"/>
    <w:rsid w:val="00C77FA5"/>
    <w:rsid w:val="00C8089F"/>
    <w:rsid w:val="00C8116A"/>
    <w:rsid w:val="00C835FE"/>
    <w:rsid w:val="00C836CC"/>
    <w:rsid w:val="00C83F46"/>
    <w:rsid w:val="00C852D6"/>
    <w:rsid w:val="00C87A74"/>
    <w:rsid w:val="00C92C71"/>
    <w:rsid w:val="00C93F6B"/>
    <w:rsid w:val="00C93F8F"/>
    <w:rsid w:val="00C97465"/>
    <w:rsid w:val="00CA0894"/>
    <w:rsid w:val="00CA29E7"/>
    <w:rsid w:val="00CA3593"/>
    <w:rsid w:val="00CA4961"/>
    <w:rsid w:val="00CA5213"/>
    <w:rsid w:val="00CA5726"/>
    <w:rsid w:val="00CA69A9"/>
    <w:rsid w:val="00CA7A3D"/>
    <w:rsid w:val="00CA7B62"/>
    <w:rsid w:val="00CA7E6A"/>
    <w:rsid w:val="00CB258E"/>
    <w:rsid w:val="00CB3C8F"/>
    <w:rsid w:val="00CB5D0F"/>
    <w:rsid w:val="00CB5D71"/>
    <w:rsid w:val="00CC02F1"/>
    <w:rsid w:val="00CC1122"/>
    <w:rsid w:val="00CC11A6"/>
    <w:rsid w:val="00CC135E"/>
    <w:rsid w:val="00CC2645"/>
    <w:rsid w:val="00CC3AD0"/>
    <w:rsid w:val="00CC479C"/>
    <w:rsid w:val="00CC7226"/>
    <w:rsid w:val="00CD0735"/>
    <w:rsid w:val="00CD2544"/>
    <w:rsid w:val="00CD404C"/>
    <w:rsid w:val="00CD45E3"/>
    <w:rsid w:val="00CD4771"/>
    <w:rsid w:val="00CD5089"/>
    <w:rsid w:val="00CD5C86"/>
    <w:rsid w:val="00CD5D3F"/>
    <w:rsid w:val="00CD7E1F"/>
    <w:rsid w:val="00CE0854"/>
    <w:rsid w:val="00CE4BC4"/>
    <w:rsid w:val="00CE7DA2"/>
    <w:rsid w:val="00CF2F8A"/>
    <w:rsid w:val="00CF3DB3"/>
    <w:rsid w:val="00CF63CB"/>
    <w:rsid w:val="00D0274B"/>
    <w:rsid w:val="00D0503D"/>
    <w:rsid w:val="00D052BC"/>
    <w:rsid w:val="00D07026"/>
    <w:rsid w:val="00D12FF7"/>
    <w:rsid w:val="00D146AE"/>
    <w:rsid w:val="00D17584"/>
    <w:rsid w:val="00D22C8F"/>
    <w:rsid w:val="00D258A5"/>
    <w:rsid w:val="00D2659F"/>
    <w:rsid w:val="00D26A3C"/>
    <w:rsid w:val="00D3152C"/>
    <w:rsid w:val="00D31932"/>
    <w:rsid w:val="00D3203C"/>
    <w:rsid w:val="00D33491"/>
    <w:rsid w:val="00D3442D"/>
    <w:rsid w:val="00D36F00"/>
    <w:rsid w:val="00D40A8A"/>
    <w:rsid w:val="00D41183"/>
    <w:rsid w:val="00D434CA"/>
    <w:rsid w:val="00D43D0E"/>
    <w:rsid w:val="00D44B67"/>
    <w:rsid w:val="00D44F8E"/>
    <w:rsid w:val="00D51FD5"/>
    <w:rsid w:val="00D52A56"/>
    <w:rsid w:val="00D53DF8"/>
    <w:rsid w:val="00D55DE0"/>
    <w:rsid w:val="00D576BB"/>
    <w:rsid w:val="00D57E0F"/>
    <w:rsid w:val="00D607EF"/>
    <w:rsid w:val="00D60F88"/>
    <w:rsid w:val="00D63DBB"/>
    <w:rsid w:val="00D646BD"/>
    <w:rsid w:val="00D65558"/>
    <w:rsid w:val="00D71201"/>
    <w:rsid w:val="00D720C7"/>
    <w:rsid w:val="00D723C3"/>
    <w:rsid w:val="00D73956"/>
    <w:rsid w:val="00D83672"/>
    <w:rsid w:val="00D84841"/>
    <w:rsid w:val="00D876E6"/>
    <w:rsid w:val="00D87B68"/>
    <w:rsid w:val="00D90958"/>
    <w:rsid w:val="00D9746A"/>
    <w:rsid w:val="00DA0226"/>
    <w:rsid w:val="00DA1025"/>
    <w:rsid w:val="00DA20B3"/>
    <w:rsid w:val="00DA22EC"/>
    <w:rsid w:val="00DA5682"/>
    <w:rsid w:val="00DA5860"/>
    <w:rsid w:val="00DA5C0C"/>
    <w:rsid w:val="00DA63EB"/>
    <w:rsid w:val="00DA75D5"/>
    <w:rsid w:val="00DB0761"/>
    <w:rsid w:val="00DB0E21"/>
    <w:rsid w:val="00DB2767"/>
    <w:rsid w:val="00DB47FA"/>
    <w:rsid w:val="00DB62A4"/>
    <w:rsid w:val="00DC0F16"/>
    <w:rsid w:val="00DC1B10"/>
    <w:rsid w:val="00DC2924"/>
    <w:rsid w:val="00DC4729"/>
    <w:rsid w:val="00DC4FE7"/>
    <w:rsid w:val="00DC5323"/>
    <w:rsid w:val="00DD31C5"/>
    <w:rsid w:val="00DD5020"/>
    <w:rsid w:val="00DD63BE"/>
    <w:rsid w:val="00DE1882"/>
    <w:rsid w:val="00DE4296"/>
    <w:rsid w:val="00DE517F"/>
    <w:rsid w:val="00DF0958"/>
    <w:rsid w:val="00DF10EA"/>
    <w:rsid w:val="00DF2469"/>
    <w:rsid w:val="00DF7899"/>
    <w:rsid w:val="00E018B3"/>
    <w:rsid w:val="00E03699"/>
    <w:rsid w:val="00E04F3A"/>
    <w:rsid w:val="00E0524C"/>
    <w:rsid w:val="00E15751"/>
    <w:rsid w:val="00E1693F"/>
    <w:rsid w:val="00E17160"/>
    <w:rsid w:val="00E17B24"/>
    <w:rsid w:val="00E17D41"/>
    <w:rsid w:val="00E231D1"/>
    <w:rsid w:val="00E23403"/>
    <w:rsid w:val="00E24A4C"/>
    <w:rsid w:val="00E24FA9"/>
    <w:rsid w:val="00E31BC2"/>
    <w:rsid w:val="00E3288D"/>
    <w:rsid w:val="00E35112"/>
    <w:rsid w:val="00E35BEC"/>
    <w:rsid w:val="00E41A6A"/>
    <w:rsid w:val="00E441AA"/>
    <w:rsid w:val="00E50821"/>
    <w:rsid w:val="00E51F91"/>
    <w:rsid w:val="00E5498A"/>
    <w:rsid w:val="00E552D6"/>
    <w:rsid w:val="00E559CE"/>
    <w:rsid w:val="00E60F42"/>
    <w:rsid w:val="00E61F73"/>
    <w:rsid w:val="00E66562"/>
    <w:rsid w:val="00E6673B"/>
    <w:rsid w:val="00E6746C"/>
    <w:rsid w:val="00E6774D"/>
    <w:rsid w:val="00E7086E"/>
    <w:rsid w:val="00E71248"/>
    <w:rsid w:val="00E73C41"/>
    <w:rsid w:val="00E75911"/>
    <w:rsid w:val="00E7598F"/>
    <w:rsid w:val="00E76F60"/>
    <w:rsid w:val="00E772AE"/>
    <w:rsid w:val="00E812B5"/>
    <w:rsid w:val="00E83539"/>
    <w:rsid w:val="00E83D90"/>
    <w:rsid w:val="00E83F91"/>
    <w:rsid w:val="00E86299"/>
    <w:rsid w:val="00E86374"/>
    <w:rsid w:val="00E8637A"/>
    <w:rsid w:val="00E9107A"/>
    <w:rsid w:val="00E91F62"/>
    <w:rsid w:val="00E929FD"/>
    <w:rsid w:val="00E93240"/>
    <w:rsid w:val="00E9479B"/>
    <w:rsid w:val="00E94E22"/>
    <w:rsid w:val="00E95F08"/>
    <w:rsid w:val="00E97171"/>
    <w:rsid w:val="00E9740B"/>
    <w:rsid w:val="00EA0B98"/>
    <w:rsid w:val="00EA315B"/>
    <w:rsid w:val="00EA4D48"/>
    <w:rsid w:val="00EA7ADF"/>
    <w:rsid w:val="00EA7D48"/>
    <w:rsid w:val="00EB2173"/>
    <w:rsid w:val="00EB62E6"/>
    <w:rsid w:val="00EB695F"/>
    <w:rsid w:val="00EB700C"/>
    <w:rsid w:val="00EC2F50"/>
    <w:rsid w:val="00EC3A85"/>
    <w:rsid w:val="00EC4B89"/>
    <w:rsid w:val="00EC59A5"/>
    <w:rsid w:val="00EC6E15"/>
    <w:rsid w:val="00ED0F7A"/>
    <w:rsid w:val="00ED16DF"/>
    <w:rsid w:val="00ED1B30"/>
    <w:rsid w:val="00ED5D03"/>
    <w:rsid w:val="00EE01ED"/>
    <w:rsid w:val="00EE1AC1"/>
    <w:rsid w:val="00EE2210"/>
    <w:rsid w:val="00EE39D6"/>
    <w:rsid w:val="00EE4AD1"/>
    <w:rsid w:val="00EE52AD"/>
    <w:rsid w:val="00EE5BC3"/>
    <w:rsid w:val="00EE5C72"/>
    <w:rsid w:val="00EE6FAB"/>
    <w:rsid w:val="00EF090A"/>
    <w:rsid w:val="00EF328C"/>
    <w:rsid w:val="00EF4FE2"/>
    <w:rsid w:val="00EF68BB"/>
    <w:rsid w:val="00F01F92"/>
    <w:rsid w:val="00F030D4"/>
    <w:rsid w:val="00F04053"/>
    <w:rsid w:val="00F06573"/>
    <w:rsid w:val="00F07159"/>
    <w:rsid w:val="00F1064C"/>
    <w:rsid w:val="00F10A08"/>
    <w:rsid w:val="00F15354"/>
    <w:rsid w:val="00F22AC5"/>
    <w:rsid w:val="00F254D1"/>
    <w:rsid w:val="00F2666D"/>
    <w:rsid w:val="00F32057"/>
    <w:rsid w:val="00F32B82"/>
    <w:rsid w:val="00F34C86"/>
    <w:rsid w:val="00F369B2"/>
    <w:rsid w:val="00F4043E"/>
    <w:rsid w:val="00F41795"/>
    <w:rsid w:val="00F41BBC"/>
    <w:rsid w:val="00F41EA6"/>
    <w:rsid w:val="00F444F0"/>
    <w:rsid w:val="00F446FF"/>
    <w:rsid w:val="00F45521"/>
    <w:rsid w:val="00F50387"/>
    <w:rsid w:val="00F50847"/>
    <w:rsid w:val="00F53671"/>
    <w:rsid w:val="00F53F27"/>
    <w:rsid w:val="00F540D8"/>
    <w:rsid w:val="00F546D1"/>
    <w:rsid w:val="00F60281"/>
    <w:rsid w:val="00F66272"/>
    <w:rsid w:val="00F709C0"/>
    <w:rsid w:val="00F71182"/>
    <w:rsid w:val="00F71C73"/>
    <w:rsid w:val="00F73A8F"/>
    <w:rsid w:val="00F76BBC"/>
    <w:rsid w:val="00F81FEC"/>
    <w:rsid w:val="00F822A5"/>
    <w:rsid w:val="00F8708D"/>
    <w:rsid w:val="00F927A1"/>
    <w:rsid w:val="00F92E4D"/>
    <w:rsid w:val="00F95D08"/>
    <w:rsid w:val="00F9724A"/>
    <w:rsid w:val="00FA0423"/>
    <w:rsid w:val="00FA23BD"/>
    <w:rsid w:val="00FA3764"/>
    <w:rsid w:val="00FA41C7"/>
    <w:rsid w:val="00FA4A79"/>
    <w:rsid w:val="00FA4E0A"/>
    <w:rsid w:val="00FA56ED"/>
    <w:rsid w:val="00FA75A6"/>
    <w:rsid w:val="00FB002C"/>
    <w:rsid w:val="00FB05DD"/>
    <w:rsid w:val="00FB0F7C"/>
    <w:rsid w:val="00FB1A5C"/>
    <w:rsid w:val="00FB24EA"/>
    <w:rsid w:val="00FB5FA6"/>
    <w:rsid w:val="00FB75A8"/>
    <w:rsid w:val="00FC0334"/>
    <w:rsid w:val="00FC0D9D"/>
    <w:rsid w:val="00FC1310"/>
    <w:rsid w:val="00FC15FC"/>
    <w:rsid w:val="00FC2280"/>
    <w:rsid w:val="00FC2FF3"/>
    <w:rsid w:val="00FC3263"/>
    <w:rsid w:val="00FC51F9"/>
    <w:rsid w:val="00FC5B40"/>
    <w:rsid w:val="00FC5FF8"/>
    <w:rsid w:val="00FD271B"/>
    <w:rsid w:val="00FD3D7C"/>
    <w:rsid w:val="00FD4F8F"/>
    <w:rsid w:val="00FE0C16"/>
    <w:rsid w:val="00FE0C51"/>
    <w:rsid w:val="00FE14B1"/>
    <w:rsid w:val="00FE4D97"/>
    <w:rsid w:val="00FE5F90"/>
    <w:rsid w:val="00FF0070"/>
    <w:rsid w:val="00FF07C3"/>
    <w:rsid w:val="00FF2593"/>
    <w:rsid w:val="00FF2BD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5">
    <w:name w:val="heading 5"/>
    <w:basedOn w:val="Normal"/>
    <w:next w:val="Normal"/>
    <w:link w:val="Heading5Char"/>
    <w:uiPriority w:val="9"/>
    <w:semiHidden/>
    <w:unhideWhenUsed/>
    <w:qFormat/>
    <w:rsid w:val="005C5C9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9E3384"/>
    <w:pPr>
      <w:ind w:left="720"/>
      <w:contextualSpacing/>
    </w:pPr>
  </w:style>
  <w:style w:type="character" w:styleId="UnresolvedMention">
    <w:name w:val="Unresolved Mention"/>
    <w:basedOn w:val="DefaultParagraphFont"/>
    <w:uiPriority w:val="99"/>
    <w:semiHidden/>
    <w:unhideWhenUsed/>
    <w:rsid w:val="00061C9D"/>
    <w:rPr>
      <w:color w:val="605E5C"/>
      <w:shd w:val="clear" w:color="auto" w:fill="E1DFDD"/>
    </w:rPr>
  </w:style>
  <w:style w:type="character" w:customStyle="1" w:styleId="Heading5Char">
    <w:name w:val="Heading 5 Char"/>
    <w:basedOn w:val="DefaultParagraphFont"/>
    <w:link w:val="Heading5"/>
    <w:uiPriority w:val="9"/>
    <w:semiHidden/>
    <w:rsid w:val="005C5C9B"/>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950</TotalTime>
  <Pages>13</Pages>
  <Words>4597</Words>
  <Characters>26527</Characters>
  <Application>Microsoft Office Word</Application>
  <DocSecurity>0</DocSecurity>
  <Lines>780</Lines>
  <Paragraphs>299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Aaron Fowler-Parkes</cp:lastModifiedBy>
  <cp:revision>470</cp:revision>
  <cp:lastPrinted>2020-02-11T19:20:00Z</cp:lastPrinted>
  <dcterms:created xsi:type="dcterms:W3CDTF">2025-12-16T11:28:00Z</dcterms:created>
  <dcterms:modified xsi:type="dcterms:W3CDTF">2026-02-25T05:49:00Z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