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sidR="32B6D65C" w:rsidP="32B6D65C" w:rsidRDefault="32B6D65C" w14:paraId="0905F7B1" w14:textId="46FFD197">
      <w:pPr>
        <w:pStyle w:val="1"/>
        <w:bidi w:val="0"/>
        <w:spacing w:after="160" w:line="259" w:lineRule="auto"/>
        <w:jc w:val="center"/>
        <w:rPr>
          <w:b w:val="1"/>
          <w:bCs w:val="1"/>
          <w:sz w:val="36"/>
          <w:szCs w:val="36"/>
        </w:rPr>
      </w:pPr>
      <w:hyperlink r:id="R2a3e403d12f6466a">
        <w:r w:rsidRPr="32B6D65C" w:rsidR="32B6D65C">
          <w:rPr>
            <w:b w:val="1"/>
            <w:bCs w:val="1"/>
            <w:noProof w:val="0"/>
            <w:sz w:val="36"/>
            <w:szCs w:val="36"/>
            <w:lang w:val="en-US"/>
          </w:rPr>
          <w:t>Personnel Resourcing &amp; Development (BMIH5005)</w:t>
        </w:r>
      </w:hyperlink>
    </w:p>
    <w:p w:rsidR="32B6D65C" w:rsidP="32B6D65C" w:rsidRDefault="32B6D65C" w14:paraId="27EB4E65" w14:textId="6E85A30A">
      <w:pPr>
        <w:pStyle w:val="1"/>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2B6D65C" w:rsidP="32B6D65C" w:rsidRDefault="32B6D65C" w14:paraId="6B5A7F1C" w14:textId="61CD1E66">
      <w:pPr>
        <w:bidi w:val="0"/>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32B6D65C" w:rsidR="32B6D65C">
        <w:rPr>
          <w:rFonts w:ascii="Arial" w:hAnsi="Arial" w:eastAsia="Arial" w:cs="Arial"/>
          <w:b w:val="0"/>
          <w:bCs w:val="0"/>
          <w:i w:val="0"/>
          <w:iCs w:val="0"/>
          <w:caps w:val="0"/>
          <w:smallCaps w:val="0"/>
          <w:noProof w:val="0"/>
          <w:color w:val="000000" w:themeColor="text1" w:themeTint="FF" w:themeShade="FF"/>
          <w:sz w:val="24"/>
          <w:szCs w:val="24"/>
          <w:lang w:val="en-US"/>
        </w:rPr>
        <w:t>Student Name: Umer Aman</w:t>
      </w:r>
    </w:p>
    <w:p w:rsidR="32B6D65C" w:rsidP="32B6D65C" w:rsidRDefault="32B6D65C" w14:paraId="6EE2A806" w14:textId="66B3C23E">
      <w:pPr>
        <w:bidi w:val="0"/>
        <w:spacing w:after="160" w:line="259" w:lineRule="auto"/>
        <w:jc w:val="center"/>
        <w:rPr>
          <w:rFonts w:ascii="Arial" w:hAnsi="Arial" w:eastAsia="Arial" w:cs="Arial"/>
          <w:b w:val="0"/>
          <w:bCs w:val="0"/>
          <w:i w:val="0"/>
          <w:iCs w:val="0"/>
          <w:caps w:val="0"/>
          <w:smallCaps w:val="0"/>
          <w:noProof w:val="0"/>
          <w:color w:val="222222"/>
          <w:sz w:val="24"/>
          <w:szCs w:val="24"/>
          <w:lang w:val="en-US"/>
        </w:rPr>
      </w:pPr>
      <w:r w:rsidRPr="32B6D65C" w:rsidR="32B6D65C">
        <w:rPr>
          <w:rFonts w:ascii="Arial" w:hAnsi="Arial" w:eastAsia="Arial" w:cs="Arial"/>
          <w:b w:val="0"/>
          <w:bCs w:val="0"/>
          <w:i w:val="0"/>
          <w:iCs w:val="0"/>
          <w:caps w:val="0"/>
          <w:smallCaps w:val="0"/>
          <w:noProof w:val="0"/>
          <w:color w:val="000000" w:themeColor="text1" w:themeTint="FF" w:themeShade="FF"/>
          <w:sz w:val="24"/>
          <w:szCs w:val="24"/>
          <w:lang w:val="en-US"/>
        </w:rPr>
        <w:t xml:space="preserve">Student ID: </w:t>
      </w:r>
      <w:r w:rsidRPr="32B6D65C" w:rsidR="32B6D65C">
        <w:rPr>
          <w:rFonts w:ascii="Arial" w:hAnsi="Arial" w:eastAsia="Arial" w:cs="Arial"/>
          <w:b w:val="0"/>
          <w:bCs w:val="0"/>
          <w:i w:val="0"/>
          <w:iCs w:val="0"/>
          <w:caps w:val="0"/>
          <w:smallCaps w:val="0"/>
          <w:noProof w:val="0"/>
          <w:color w:val="222222"/>
          <w:sz w:val="24"/>
          <w:szCs w:val="24"/>
          <w:lang w:val="en-US"/>
        </w:rPr>
        <w:t>2128039</w:t>
      </w:r>
    </w:p>
    <w:p w:rsidR="32B6D65C" w:rsidP="32B6D65C" w:rsidRDefault="32B6D65C" w14:paraId="58B7DDAA" w14:textId="0336CA5F">
      <w:pPr>
        <w:pStyle w:val="1"/>
        <w:bidi w:val="0"/>
        <w:jc w:val="center"/>
        <w:rPr>
          <w:b w:val="1"/>
          <w:bCs w:val="1"/>
          <w:sz w:val="36"/>
          <w:szCs w:val="36"/>
          <w:lang w:val="en-US"/>
        </w:rPr>
      </w:pPr>
    </w:p>
    <w:p w:rsidR="32B6D65C" w:rsidP="32B6D65C" w:rsidRDefault="32B6D65C" w14:paraId="2EEEA249" w14:textId="6FEF4CC2">
      <w:pPr>
        <w:pStyle w:val="1"/>
        <w:bidi w:val="0"/>
        <w:jc w:val="center"/>
        <w:rPr>
          <w:b w:val="1"/>
          <w:bCs w:val="1"/>
          <w:sz w:val="36"/>
          <w:szCs w:val="36"/>
          <w:lang w:val="en-US"/>
        </w:rPr>
      </w:pPr>
    </w:p>
    <w:p w:rsidR="32B6D65C" w:rsidP="32B6D65C" w:rsidRDefault="32B6D65C" w14:paraId="44D6F7D2" w14:textId="03E2ABB6">
      <w:pPr>
        <w:pStyle w:val="1"/>
        <w:bidi w:val="0"/>
        <w:jc w:val="center"/>
        <w:rPr>
          <w:b w:val="1"/>
          <w:bCs w:val="1"/>
          <w:sz w:val="36"/>
          <w:szCs w:val="36"/>
          <w:lang w:val="en-US"/>
        </w:rPr>
      </w:pPr>
    </w:p>
    <w:p w:rsidR="32B6D65C" w:rsidP="32B6D65C" w:rsidRDefault="32B6D65C" w14:paraId="2A64513C" w14:textId="7944CC4F">
      <w:pPr>
        <w:pStyle w:val="1"/>
        <w:bidi w:val="0"/>
        <w:jc w:val="center"/>
        <w:rPr>
          <w:b w:val="1"/>
          <w:bCs w:val="1"/>
          <w:sz w:val="36"/>
          <w:szCs w:val="36"/>
          <w:lang w:val="en-US"/>
        </w:rPr>
      </w:pPr>
    </w:p>
    <w:p w:rsidR="32B6D65C" w:rsidP="32B6D65C" w:rsidRDefault="32B6D65C" w14:paraId="6931ED72" w14:textId="2D7AF178">
      <w:pPr>
        <w:pStyle w:val="1"/>
        <w:bidi w:val="0"/>
        <w:jc w:val="center"/>
        <w:rPr>
          <w:b w:val="1"/>
          <w:bCs w:val="1"/>
          <w:sz w:val="36"/>
          <w:szCs w:val="36"/>
          <w:lang w:val="en-US"/>
        </w:rPr>
      </w:pPr>
    </w:p>
    <w:p w:rsidR="32B6D65C" w:rsidP="32B6D65C" w:rsidRDefault="32B6D65C" w14:paraId="39E0B9FA" w14:textId="1237DBF4">
      <w:pPr>
        <w:pStyle w:val="1"/>
        <w:bidi w:val="0"/>
        <w:jc w:val="center"/>
        <w:rPr>
          <w:b w:val="1"/>
          <w:bCs w:val="1"/>
          <w:sz w:val="36"/>
          <w:szCs w:val="36"/>
          <w:lang w:val="en-US"/>
        </w:rPr>
      </w:pPr>
    </w:p>
    <w:p xmlns:wp14="http://schemas.microsoft.com/office/word/2010/wordml" w:rsidP="3C597A17" w14:paraId="63172812" wp14:textId="0B0E0A43">
      <w:pPr>
        <w:pStyle w:val="1"/>
        <w:bidi w:val="0"/>
        <w:jc w:val="center"/>
        <w:rPr>
          <w:b w:val="1"/>
          <w:bCs w:val="1"/>
          <w:sz w:val="36"/>
          <w:szCs w:val="36"/>
          <w:lang w:val="en-US"/>
        </w:rPr>
      </w:pPr>
      <w:r w:rsidRPr="3C597A17" w:rsidR="3C597A17">
        <w:rPr>
          <w:b w:val="1"/>
          <w:bCs w:val="1"/>
          <w:sz w:val="36"/>
          <w:szCs w:val="36"/>
          <w:lang w:val="en-US"/>
        </w:rPr>
        <w:t>Table of Content</w:t>
      </w:r>
    </w:p>
    <w:p xmlns:wp14="http://schemas.microsoft.com/office/word/2010/wordml" w14:paraId="059898AF" wp14:textId="77777777">
      <w:pPr>
        <w:pStyle w:val="9"/>
        <w:tabs>
          <w:tab w:val="right" w:leader="dot" w:pos="8306"/>
        </w:tabs>
      </w:pPr>
      <w:r>
        <w:rPr>
          <w:rFonts w:hint="default"/>
          <w:b/>
          <w:bCs/>
          <w:sz w:val="36"/>
          <w:szCs w:val="36"/>
          <w:lang w:val="en-US"/>
        </w:rPr>
        <w:fldChar w:fldCharType="begin"/>
      </w:r>
      <w:r>
        <w:rPr>
          <w:rFonts w:hint="default"/>
          <w:b/>
          <w:bCs/>
          <w:sz w:val="36"/>
          <w:szCs w:val="36"/>
          <w:lang w:val="en-US"/>
        </w:rPr>
        <w:instrText xml:space="preserve">TOC \o "1-9" \h \u </w:instrText>
      </w:r>
      <w:r>
        <w:rPr>
          <w:rFonts w:hint="default"/>
          <w:b/>
          <w:bCs/>
          <w:sz w:val="36"/>
          <w:szCs w:val="36"/>
          <w:lang w:val="en-US"/>
        </w:rPr>
        <w:fldChar w:fldCharType="separate"/>
      </w:r>
      <w:r>
        <w:rPr>
          <w:rFonts w:hint="default"/>
          <w:bCs/>
          <w:szCs w:val="36"/>
          <w:lang w:val="en-US"/>
        </w:rPr>
        <w:fldChar w:fldCharType="begin"/>
      </w:r>
      <w:r>
        <w:rPr>
          <w:rFonts w:hint="default"/>
          <w:bCs/>
          <w:szCs w:val="36"/>
          <w:lang w:val="en-US"/>
        </w:rPr>
        <w:instrText xml:space="preserve"> HYPERLINK \l _Toc21838 </w:instrText>
      </w:r>
      <w:r>
        <w:rPr>
          <w:rFonts w:hint="default"/>
          <w:bCs/>
          <w:szCs w:val="36"/>
          <w:lang w:val="en-US"/>
        </w:rPr>
        <w:fldChar w:fldCharType="separate"/>
      </w:r>
      <w:r>
        <w:rPr>
          <w:rFonts w:hint="default" w:ascii="Arial" w:hAnsi="Arial" w:cs="Arial"/>
          <w:bCs/>
          <w:szCs w:val="24"/>
        </w:rPr>
        <w:t>Introduction</w:t>
      </w:r>
      <w:r>
        <w:tab/>
      </w:r>
      <w:r>
        <w:fldChar w:fldCharType="begin"/>
      </w:r>
      <w:r>
        <w:instrText xml:space="preserve"> PAGEREF _Toc21838 \h </w:instrText>
      </w:r>
      <w:r>
        <w:fldChar w:fldCharType="separate"/>
      </w:r>
      <w:r>
        <w:t>1</w:t>
      </w:r>
      <w:r>
        <w:fldChar w:fldCharType="end"/>
      </w:r>
      <w:r>
        <w:rPr>
          <w:rFonts w:hint="default"/>
          <w:bCs/>
          <w:szCs w:val="36"/>
          <w:lang w:val="en-US"/>
        </w:rPr>
        <w:fldChar w:fldCharType="end"/>
      </w:r>
    </w:p>
    <w:p xmlns:wp14="http://schemas.microsoft.com/office/word/2010/wordml" w14:paraId="17FADA2B"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_Toc22255 </w:instrText>
      </w:r>
      <w:r>
        <w:rPr>
          <w:rFonts w:hint="default"/>
          <w:bCs/>
          <w:szCs w:val="36"/>
          <w:lang w:val="en-US"/>
        </w:rPr>
        <w:fldChar w:fldCharType="separate"/>
      </w:r>
      <w:r>
        <w:rPr>
          <w:rFonts w:hint="default" w:ascii="Arial" w:hAnsi="Arial" w:cs="Arial"/>
          <w:bCs/>
          <w:szCs w:val="24"/>
        </w:rPr>
        <w:t>I. The Role of Human Resources in Managing and Developing Talent</w:t>
      </w:r>
      <w:r>
        <w:tab/>
      </w:r>
      <w:r>
        <w:fldChar w:fldCharType="begin"/>
      </w:r>
      <w:r>
        <w:instrText xml:space="preserve"> PAGEREF _Toc22255 \h </w:instrText>
      </w:r>
      <w:r>
        <w:fldChar w:fldCharType="separate"/>
      </w:r>
      <w:r>
        <w:t>1</w:t>
      </w:r>
      <w:r>
        <w:fldChar w:fldCharType="end"/>
      </w:r>
      <w:r>
        <w:rPr>
          <w:rFonts w:hint="default"/>
          <w:bCs/>
          <w:szCs w:val="36"/>
          <w:lang w:val="en-US"/>
        </w:rPr>
        <w:fldChar w:fldCharType="end"/>
      </w:r>
    </w:p>
    <w:p xmlns:wp14="http://schemas.microsoft.com/office/word/2010/wordml" w14:paraId="3FCF1B88"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_Toc14657 </w:instrText>
      </w:r>
      <w:r>
        <w:rPr>
          <w:rFonts w:hint="default"/>
          <w:bCs/>
          <w:szCs w:val="36"/>
          <w:lang w:val="en-US"/>
        </w:rPr>
        <w:fldChar w:fldCharType="separate"/>
      </w:r>
      <w:r>
        <w:rPr>
          <w:rFonts w:hint="default" w:ascii="Arial" w:hAnsi="Arial" w:cs="Arial"/>
          <w:bCs/>
          <w:szCs w:val="24"/>
        </w:rPr>
        <w:t>1.1 Importance of Talent Management:</w:t>
      </w:r>
      <w:r>
        <w:tab/>
      </w:r>
      <w:r>
        <w:fldChar w:fldCharType="begin"/>
      </w:r>
      <w:r>
        <w:instrText xml:space="preserve"> PAGEREF _Toc14657 \h </w:instrText>
      </w:r>
      <w:r>
        <w:fldChar w:fldCharType="separate"/>
      </w:r>
      <w:r>
        <w:t>1</w:t>
      </w:r>
      <w:r>
        <w:fldChar w:fldCharType="end"/>
      </w:r>
      <w:r>
        <w:rPr>
          <w:rFonts w:hint="default"/>
          <w:bCs/>
          <w:szCs w:val="36"/>
          <w:lang w:val="en-US"/>
        </w:rPr>
        <w:fldChar w:fldCharType="end"/>
      </w:r>
    </w:p>
    <w:p xmlns:wp14="http://schemas.microsoft.com/office/word/2010/wordml" w14:paraId="34D75B88"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_Toc30873 </w:instrText>
      </w:r>
      <w:r>
        <w:rPr>
          <w:rFonts w:hint="default"/>
          <w:bCs/>
          <w:szCs w:val="36"/>
          <w:lang w:val="en-US"/>
        </w:rPr>
        <w:fldChar w:fldCharType="separate"/>
      </w:r>
      <w:r>
        <w:rPr>
          <w:rFonts w:hint="default" w:ascii="Arial" w:hAnsi="Arial" w:cs="Arial"/>
          <w:bCs/>
          <w:szCs w:val="24"/>
        </w:rPr>
        <w:t>II. The Employee Lifecycle:</w:t>
      </w:r>
      <w:r>
        <w:tab/>
      </w:r>
      <w:r>
        <w:fldChar w:fldCharType="begin"/>
      </w:r>
      <w:r>
        <w:instrText xml:space="preserve"> PAGEREF _Toc30873 \h </w:instrText>
      </w:r>
      <w:r>
        <w:fldChar w:fldCharType="separate"/>
      </w:r>
      <w:r>
        <w:t>2</w:t>
      </w:r>
      <w:r>
        <w:fldChar w:fldCharType="end"/>
      </w:r>
      <w:r>
        <w:rPr>
          <w:rFonts w:hint="default"/>
          <w:bCs/>
          <w:szCs w:val="36"/>
          <w:lang w:val="en-US"/>
        </w:rPr>
        <w:fldChar w:fldCharType="end"/>
      </w:r>
    </w:p>
    <w:p xmlns:wp14="http://schemas.microsoft.com/office/word/2010/wordml" w14:paraId="40DECB75"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_Toc29657 </w:instrText>
      </w:r>
      <w:r>
        <w:rPr>
          <w:rFonts w:hint="default"/>
          <w:bCs/>
          <w:szCs w:val="36"/>
          <w:lang w:val="en-US"/>
        </w:rPr>
        <w:fldChar w:fldCharType="separate"/>
      </w:r>
      <w:r>
        <w:rPr>
          <w:rFonts w:hint="default" w:ascii="Arial" w:hAnsi="Arial" w:cs="Arial"/>
          <w:bCs/>
          <w:szCs w:val="24"/>
        </w:rPr>
        <w:t>2.1 Attraction:</w:t>
      </w:r>
      <w:r>
        <w:tab/>
      </w:r>
      <w:r>
        <w:fldChar w:fldCharType="begin"/>
      </w:r>
      <w:r>
        <w:instrText xml:space="preserve"> PAGEREF _Toc29657 \h </w:instrText>
      </w:r>
      <w:r>
        <w:fldChar w:fldCharType="separate"/>
      </w:r>
      <w:r>
        <w:t>2</w:t>
      </w:r>
      <w:r>
        <w:fldChar w:fldCharType="end"/>
      </w:r>
      <w:r>
        <w:rPr>
          <w:rFonts w:hint="default"/>
          <w:bCs/>
          <w:szCs w:val="36"/>
          <w:lang w:val="en-US"/>
        </w:rPr>
        <w:fldChar w:fldCharType="end"/>
      </w:r>
    </w:p>
    <w:p xmlns:wp14="http://schemas.microsoft.com/office/word/2010/wordml" w14:paraId="24168512"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_Toc20913 </w:instrText>
      </w:r>
      <w:r>
        <w:rPr>
          <w:rFonts w:hint="default"/>
          <w:bCs/>
          <w:szCs w:val="36"/>
          <w:lang w:val="en-US"/>
        </w:rPr>
        <w:fldChar w:fldCharType="separate"/>
      </w:r>
      <w:r>
        <w:rPr>
          <w:rFonts w:hint="default" w:ascii="Arial" w:hAnsi="Arial" w:cs="Arial"/>
          <w:bCs/>
          <w:szCs w:val="24"/>
        </w:rPr>
        <w:t>2.2 Recruitment:</w:t>
      </w:r>
      <w:r>
        <w:tab/>
      </w:r>
      <w:r>
        <w:fldChar w:fldCharType="begin"/>
      </w:r>
      <w:r>
        <w:instrText xml:space="preserve"> PAGEREF _Toc20913 \h </w:instrText>
      </w:r>
      <w:r>
        <w:fldChar w:fldCharType="separate"/>
      </w:r>
      <w:r>
        <w:t>2</w:t>
      </w:r>
      <w:r>
        <w:fldChar w:fldCharType="end"/>
      </w:r>
      <w:r>
        <w:rPr>
          <w:rFonts w:hint="default"/>
          <w:bCs/>
          <w:szCs w:val="36"/>
          <w:lang w:val="en-US"/>
        </w:rPr>
        <w:fldChar w:fldCharType="end"/>
      </w:r>
    </w:p>
    <w:p xmlns:wp14="http://schemas.microsoft.com/office/word/2010/wordml" w14:paraId="77D3C674"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_Toc5905 </w:instrText>
      </w:r>
      <w:r>
        <w:rPr>
          <w:rFonts w:hint="default"/>
          <w:bCs/>
          <w:szCs w:val="36"/>
          <w:lang w:val="en-US"/>
        </w:rPr>
        <w:fldChar w:fldCharType="separate"/>
      </w:r>
      <w:r>
        <w:rPr>
          <w:rFonts w:hint="default" w:ascii="Arial" w:hAnsi="Arial" w:cs="Arial"/>
          <w:bCs/>
          <w:szCs w:val="24"/>
        </w:rPr>
        <w:t>2.3 Onboarding:</w:t>
      </w:r>
      <w:r>
        <w:tab/>
      </w:r>
      <w:r>
        <w:fldChar w:fldCharType="begin"/>
      </w:r>
      <w:r>
        <w:instrText xml:space="preserve"> PAGEREF _Toc5905 \h </w:instrText>
      </w:r>
      <w:r>
        <w:fldChar w:fldCharType="separate"/>
      </w:r>
      <w:r>
        <w:t>3</w:t>
      </w:r>
      <w:r>
        <w:fldChar w:fldCharType="end"/>
      </w:r>
      <w:r>
        <w:rPr>
          <w:rFonts w:hint="default"/>
          <w:bCs/>
          <w:szCs w:val="36"/>
          <w:lang w:val="en-US"/>
        </w:rPr>
        <w:fldChar w:fldCharType="end"/>
      </w:r>
    </w:p>
    <w:p xmlns:wp14="http://schemas.microsoft.com/office/word/2010/wordml" w14:paraId="7665404F"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_Toc294 </w:instrText>
      </w:r>
      <w:r>
        <w:rPr>
          <w:rFonts w:hint="default"/>
          <w:bCs/>
          <w:szCs w:val="36"/>
          <w:lang w:val="en-US"/>
        </w:rPr>
        <w:fldChar w:fldCharType="separate"/>
      </w:r>
      <w:r>
        <w:rPr>
          <w:rFonts w:hint="default" w:ascii="Arial" w:hAnsi="Arial" w:cs="Arial"/>
          <w:bCs/>
          <w:szCs w:val="24"/>
        </w:rPr>
        <w:t>2.4 Development:</w:t>
      </w:r>
      <w:r>
        <w:tab/>
      </w:r>
      <w:r>
        <w:fldChar w:fldCharType="begin"/>
      </w:r>
      <w:r>
        <w:instrText xml:space="preserve"> PAGEREF _Toc294 \h </w:instrText>
      </w:r>
      <w:r>
        <w:fldChar w:fldCharType="separate"/>
      </w:r>
      <w:r>
        <w:t>3</w:t>
      </w:r>
      <w:r>
        <w:fldChar w:fldCharType="end"/>
      </w:r>
      <w:r>
        <w:rPr>
          <w:rFonts w:hint="default"/>
          <w:bCs/>
          <w:szCs w:val="36"/>
          <w:lang w:val="en-US"/>
        </w:rPr>
        <w:fldChar w:fldCharType="end"/>
      </w:r>
    </w:p>
    <w:p xmlns:wp14="http://schemas.microsoft.com/office/word/2010/wordml" w14:paraId="1D2349D4"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_Toc20344 </w:instrText>
      </w:r>
      <w:r>
        <w:rPr>
          <w:rFonts w:hint="default"/>
          <w:bCs/>
          <w:szCs w:val="36"/>
          <w:lang w:val="en-US"/>
        </w:rPr>
        <w:fldChar w:fldCharType="separate"/>
      </w:r>
      <w:r>
        <w:rPr>
          <w:rFonts w:hint="default" w:ascii="Arial" w:hAnsi="Arial" w:cs="Arial"/>
          <w:bCs/>
          <w:szCs w:val="24"/>
        </w:rPr>
        <w:t>2.5 Retention:</w:t>
      </w:r>
      <w:r>
        <w:tab/>
      </w:r>
      <w:r>
        <w:fldChar w:fldCharType="begin"/>
      </w:r>
      <w:r>
        <w:instrText xml:space="preserve"> PAGEREF _Toc20344 \h </w:instrText>
      </w:r>
      <w:r>
        <w:fldChar w:fldCharType="separate"/>
      </w:r>
      <w:r>
        <w:t>4</w:t>
      </w:r>
      <w:r>
        <w:fldChar w:fldCharType="end"/>
      </w:r>
      <w:r>
        <w:rPr>
          <w:rFonts w:hint="default"/>
          <w:bCs/>
          <w:szCs w:val="36"/>
          <w:lang w:val="en-US"/>
        </w:rPr>
        <w:fldChar w:fldCharType="end"/>
      </w:r>
      <w:bookmarkStart w:name="_GoBack" w:id="21"/>
      <w:bookmarkEnd w:id="21"/>
    </w:p>
    <w:p xmlns:wp14="http://schemas.microsoft.com/office/word/2010/wordml" w14:paraId="7BDBC634"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_Toc19775 </w:instrText>
      </w:r>
      <w:r>
        <w:rPr>
          <w:rFonts w:hint="default"/>
          <w:bCs/>
          <w:szCs w:val="36"/>
          <w:lang w:val="en-US"/>
        </w:rPr>
        <w:fldChar w:fldCharType="separate"/>
      </w:r>
      <w:r>
        <w:rPr>
          <w:rFonts w:hint="default" w:ascii="Arial" w:hAnsi="Arial" w:cs="Arial"/>
          <w:bCs/>
          <w:szCs w:val="24"/>
        </w:rPr>
        <w:t>2.6 Separation:</w:t>
      </w:r>
      <w:r>
        <w:tab/>
      </w:r>
      <w:r>
        <w:fldChar w:fldCharType="begin"/>
      </w:r>
      <w:r>
        <w:instrText xml:space="preserve"> PAGEREF _Toc19775 \h </w:instrText>
      </w:r>
      <w:r>
        <w:fldChar w:fldCharType="separate"/>
      </w:r>
      <w:r>
        <w:t>4</w:t>
      </w:r>
      <w:r>
        <w:fldChar w:fldCharType="end"/>
      </w:r>
      <w:r>
        <w:rPr>
          <w:rFonts w:hint="default"/>
          <w:bCs/>
          <w:szCs w:val="36"/>
          <w:lang w:val="en-US"/>
        </w:rPr>
        <w:fldChar w:fldCharType="end"/>
      </w:r>
    </w:p>
    <w:p xmlns:wp14="http://schemas.microsoft.com/office/word/2010/wordml" w14:paraId="7045B1C5"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_Toc11875 </w:instrText>
      </w:r>
      <w:r>
        <w:rPr>
          <w:rFonts w:hint="default"/>
          <w:bCs/>
          <w:szCs w:val="36"/>
          <w:lang w:val="en-US"/>
        </w:rPr>
        <w:fldChar w:fldCharType="separate"/>
      </w:r>
      <w:r>
        <w:rPr>
          <w:rFonts w:hint="default" w:ascii="Arial" w:hAnsi="Arial" w:cs="Arial"/>
          <w:bCs/>
          <w:szCs w:val="24"/>
        </w:rPr>
        <w:t>III. Examples of How Talent Management Benefits Team/Organizational Performance:</w:t>
      </w:r>
      <w:r>
        <w:tab/>
      </w:r>
      <w:r>
        <w:fldChar w:fldCharType="begin"/>
      </w:r>
      <w:r>
        <w:instrText xml:space="preserve"> PAGEREF _Toc11875 \h </w:instrText>
      </w:r>
      <w:r>
        <w:fldChar w:fldCharType="separate"/>
      </w:r>
      <w:r>
        <w:t>5</w:t>
      </w:r>
      <w:r>
        <w:fldChar w:fldCharType="end"/>
      </w:r>
      <w:r>
        <w:rPr>
          <w:rFonts w:hint="default"/>
          <w:bCs/>
          <w:szCs w:val="36"/>
          <w:lang w:val="en-US"/>
        </w:rPr>
        <w:fldChar w:fldCharType="end"/>
      </w:r>
    </w:p>
    <w:p xmlns:wp14="http://schemas.microsoft.com/office/word/2010/wordml" w14:paraId="02E49BDE"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_Toc32126 </w:instrText>
      </w:r>
      <w:r>
        <w:rPr>
          <w:rFonts w:hint="default"/>
          <w:bCs/>
          <w:szCs w:val="36"/>
          <w:lang w:val="en-US"/>
        </w:rPr>
        <w:fldChar w:fldCharType="separate"/>
      </w:r>
      <w:r>
        <w:rPr>
          <w:rFonts w:hint="default" w:ascii="Arial" w:hAnsi="Arial" w:cs="Arial"/>
          <w:bCs/>
          <w:szCs w:val="24"/>
        </w:rPr>
        <w:t>3.1 Example 1: Increased Employee Engagement:</w:t>
      </w:r>
      <w:r>
        <w:tab/>
      </w:r>
      <w:r>
        <w:fldChar w:fldCharType="begin"/>
      </w:r>
      <w:r>
        <w:instrText xml:space="preserve"> PAGEREF _Toc32126 \h </w:instrText>
      </w:r>
      <w:r>
        <w:fldChar w:fldCharType="separate"/>
      </w:r>
      <w:r>
        <w:t>5</w:t>
      </w:r>
      <w:r>
        <w:fldChar w:fldCharType="end"/>
      </w:r>
      <w:r>
        <w:rPr>
          <w:rFonts w:hint="default"/>
          <w:bCs/>
          <w:szCs w:val="36"/>
          <w:lang w:val="en-US"/>
        </w:rPr>
        <w:fldChar w:fldCharType="end"/>
      </w:r>
    </w:p>
    <w:p xmlns:wp14="http://schemas.microsoft.com/office/word/2010/wordml" w14:paraId="3D8A5643"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_Toc29379 </w:instrText>
      </w:r>
      <w:r>
        <w:rPr>
          <w:rFonts w:hint="default"/>
          <w:bCs/>
          <w:szCs w:val="36"/>
          <w:lang w:val="en-US"/>
        </w:rPr>
        <w:fldChar w:fldCharType="separate"/>
      </w:r>
      <w:r>
        <w:rPr>
          <w:rFonts w:hint="default" w:ascii="Arial" w:hAnsi="Arial" w:cs="Arial"/>
          <w:bCs/>
          <w:szCs w:val="24"/>
        </w:rPr>
        <w:t>3.2 Example 2: Enhanced Knowledge Transfer:</w:t>
      </w:r>
      <w:r>
        <w:tab/>
      </w:r>
      <w:r>
        <w:fldChar w:fldCharType="begin"/>
      </w:r>
      <w:r>
        <w:instrText xml:space="preserve"> PAGEREF _Toc29379 \h </w:instrText>
      </w:r>
      <w:r>
        <w:fldChar w:fldCharType="separate"/>
      </w:r>
      <w:r>
        <w:t>5</w:t>
      </w:r>
      <w:r>
        <w:fldChar w:fldCharType="end"/>
      </w:r>
      <w:r>
        <w:rPr>
          <w:rFonts w:hint="default"/>
          <w:bCs/>
          <w:szCs w:val="36"/>
          <w:lang w:val="en-US"/>
        </w:rPr>
        <w:fldChar w:fldCharType="end"/>
      </w:r>
    </w:p>
    <w:p xmlns:wp14="http://schemas.microsoft.com/office/word/2010/wordml" w14:paraId="5B2DCEA8"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_Toc31909 </w:instrText>
      </w:r>
      <w:r>
        <w:rPr>
          <w:rFonts w:hint="default"/>
          <w:bCs/>
          <w:szCs w:val="36"/>
          <w:lang w:val="en-US"/>
        </w:rPr>
        <w:fldChar w:fldCharType="separate"/>
      </w:r>
      <w:r>
        <w:rPr>
          <w:rFonts w:hint="default" w:ascii="Arial" w:hAnsi="Arial" w:cs="Arial"/>
          <w:bCs/>
          <w:szCs w:val="24"/>
        </w:rPr>
        <w:t>3.3 Example 3: Reduced Turnover Costs:</w:t>
      </w:r>
      <w:r>
        <w:tab/>
      </w:r>
      <w:r>
        <w:fldChar w:fldCharType="begin"/>
      </w:r>
      <w:r>
        <w:instrText xml:space="preserve"> PAGEREF _Toc31909 \h </w:instrText>
      </w:r>
      <w:r>
        <w:fldChar w:fldCharType="separate"/>
      </w:r>
      <w:r>
        <w:t>5</w:t>
      </w:r>
      <w:r>
        <w:fldChar w:fldCharType="end"/>
      </w:r>
      <w:r>
        <w:rPr>
          <w:rFonts w:hint="default"/>
          <w:bCs/>
          <w:szCs w:val="36"/>
          <w:lang w:val="en-US"/>
        </w:rPr>
        <w:fldChar w:fldCharType="end"/>
      </w:r>
    </w:p>
    <w:p xmlns:wp14="http://schemas.microsoft.com/office/word/2010/wordml" w14:paraId="3407DA3C"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_Toc11681 </w:instrText>
      </w:r>
      <w:r>
        <w:rPr>
          <w:rFonts w:hint="default"/>
          <w:bCs/>
          <w:szCs w:val="36"/>
          <w:lang w:val="en-US"/>
        </w:rPr>
        <w:fldChar w:fldCharType="separate"/>
      </w:r>
      <w:r>
        <w:rPr>
          <w:rFonts w:hint="default" w:ascii="Arial" w:hAnsi="Arial" w:cs="Arial"/>
          <w:bCs/>
          <w:szCs w:val="24"/>
        </w:rPr>
        <w:t>IV. Best Practice Industry Examples:</w:t>
      </w:r>
      <w:r>
        <w:tab/>
      </w:r>
      <w:r>
        <w:fldChar w:fldCharType="begin"/>
      </w:r>
      <w:r>
        <w:instrText xml:space="preserve"> PAGEREF _Toc11681 \h </w:instrText>
      </w:r>
      <w:r>
        <w:fldChar w:fldCharType="separate"/>
      </w:r>
      <w:r>
        <w:t>6</w:t>
      </w:r>
      <w:r>
        <w:fldChar w:fldCharType="end"/>
      </w:r>
      <w:r>
        <w:rPr>
          <w:rFonts w:hint="default"/>
          <w:bCs/>
          <w:szCs w:val="36"/>
          <w:lang w:val="en-US"/>
        </w:rPr>
        <w:fldChar w:fldCharType="end"/>
      </w:r>
    </w:p>
    <w:p xmlns:wp14="http://schemas.microsoft.com/office/word/2010/wordml" w14:paraId="491B6FE6"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_Toc19380 </w:instrText>
      </w:r>
      <w:r>
        <w:rPr>
          <w:rFonts w:hint="default"/>
          <w:bCs/>
          <w:szCs w:val="36"/>
          <w:lang w:val="en-US"/>
        </w:rPr>
        <w:fldChar w:fldCharType="separate"/>
      </w:r>
      <w:r>
        <w:rPr>
          <w:rFonts w:hint="default" w:ascii="Arial" w:hAnsi="Arial" w:cs="Arial"/>
          <w:bCs/>
          <w:szCs w:val="24"/>
        </w:rPr>
        <w:t>4.1 Example 1: Google's Talent Management Approach:</w:t>
      </w:r>
      <w:r>
        <w:tab/>
      </w:r>
      <w:r>
        <w:fldChar w:fldCharType="begin"/>
      </w:r>
      <w:r>
        <w:instrText xml:space="preserve"> PAGEREF _Toc19380 \h </w:instrText>
      </w:r>
      <w:r>
        <w:fldChar w:fldCharType="separate"/>
      </w:r>
      <w:r>
        <w:t>6</w:t>
      </w:r>
      <w:r>
        <w:fldChar w:fldCharType="end"/>
      </w:r>
      <w:r>
        <w:rPr>
          <w:rFonts w:hint="default"/>
          <w:bCs/>
          <w:szCs w:val="36"/>
          <w:lang w:val="en-US"/>
        </w:rPr>
        <w:fldChar w:fldCharType="end"/>
      </w:r>
    </w:p>
    <w:p xmlns:wp14="http://schemas.microsoft.com/office/word/2010/wordml" w14:paraId="21B4E47D"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_Toc18323 </w:instrText>
      </w:r>
      <w:r>
        <w:rPr>
          <w:rFonts w:hint="default"/>
          <w:bCs/>
          <w:szCs w:val="36"/>
          <w:lang w:val="en-US"/>
        </w:rPr>
        <w:fldChar w:fldCharType="separate"/>
      </w:r>
      <w:r>
        <w:rPr>
          <w:rFonts w:hint="default" w:ascii="Arial" w:hAnsi="Arial" w:cs="Arial"/>
          <w:bCs/>
          <w:szCs w:val="24"/>
        </w:rPr>
        <w:t>4.2 Example 2: Marriott International's Onboarding Program:</w:t>
      </w:r>
      <w:r>
        <w:tab/>
      </w:r>
      <w:r>
        <w:fldChar w:fldCharType="begin"/>
      </w:r>
      <w:r>
        <w:instrText xml:space="preserve"> PAGEREF _Toc18323 \h </w:instrText>
      </w:r>
      <w:r>
        <w:fldChar w:fldCharType="separate"/>
      </w:r>
      <w:r>
        <w:t>6</w:t>
      </w:r>
      <w:r>
        <w:fldChar w:fldCharType="end"/>
      </w:r>
      <w:r>
        <w:rPr>
          <w:rFonts w:hint="default"/>
          <w:bCs/>
          <w:szCs w:val="36"/>
          <w:lang w:val="en-US"/>
        </w:rPr>
        <w:fldChar w:fldCharType="end"/>
      </w:r>
    </w:p>
    <w:p xmlns:wp14="http://schemas.microsoft.com/office/word/2010/wordml" w14:paraId="342DADA9" wp14:textId="77777777">
      <w:pPr>
        <w:pStyle w:val="10"/>
        <w:tabs>
          <w:tab w:val="right" w:leader="dot" w:pos="8306"/>
        </w:tabs>
      </w:pPr>
      <w:r>
        <w:rPr>
          <w:rFonts w:hint="default"/>
          <w:bCs/>
          <w:szCs w:val="36"/>
          <w:lang w:val="en-US"/>
        </w:rPr>
        <w:fldChar w:fldCharType="begin"/>
      </w:r>
      <w:r>
        <w:rPr>
          <w:rFonts w:hint="default"/>
          <w:bCs/>
          <w:szCs w:val="36"/>
          <w:lang w:val="en-US"/>
        </w:rPr>
        <w:instrText xml:space="preserve"> HYPERLINK \l _Toc22051 </w:instrText>
      </w:r>
      <w:r>
        <w:rPr>
          <w:rFonts w:hint="default"/>
          <w:bCs/>
          <w:szCs w:val="36"/>
          <w:lang w:val="en-US"/>
        </w:rPr>
        <w:fldChar w:fldCharType="separate"/>
      </w:r>
      <w:r>
        <w:rPr>
          <w:rFonts w:hint="default" w:ascii="Arial" w:hAnsi="Arial" w:cs="Arial"/>
          <w:bCs/>
          <w:szCs w:val="24"/>
        </w:rPr>
        <w:t>4.3 Example 3: Patagonia's Employee Development Initiatives:</w:t>
      </w:r>
      <w:r>
        <w:tab/>
      </w:r>
      <w:r>
        <w:fldChar w:fldCharType="begin"/>
      </w:r>
      <w:r>
        <w:instrText xml:space="preserve"> PAGEREF _Toc22051 \h </w:instrText>
      </w:r>
      <w:r>
        <w:fldChar w:fldCharType="separate"/>
      </w:r>
      <w:r>
        <w:t>6</w:t>
      </w:r>
      <w:r>
        <w:fldChar w:fldCharType="end"/>
      </w:r>
      <w:r>
        <w:rPr>
          <w:rFonts w:hint="default"/>
          <w:bCs/>
          <w:szCs w:val="36"/>
          <w:lang w:val="en-US"/>
        </w:rPr>
        <w:fldChar w:fldCharType="end"/>
      </w:r>
    </w:p>
    <w:p xmlns:wp14="http://schemas.microsoft.com/office/word/2010/wordml" w14:paraId="5130CA77"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_Toc22172 </w:instrText>
      </w:r>
      <w:r>
        <w:rPr>
          <w:rFonts w:hint="default"/>
          <w:bCs/>
          <w:szCs w:val="36"/>
          <w:lang w:val="en-US"/>
        </w:rPr>
        <w:fldChar w:fldCharType="separate"/>
      </w:r>
      <w:r>
        <w:rPr>
          <w:rFonts w:hint="default" w:ascii="Arial" w:hAnsi="Arial" w:cs="Arial"/>
          <w:bCs/>
          <w:szCs w:val="24"/>
        </w:rPr>
        <w:t>Critical Analysis and Evaluation:</w:t>
      </w:r>
      <w:r>
        <w:tab/>
      </w:r>
      <w:r>
        <w:fldChar w:fldCharType="begin"/>
      </w:r>
      <w:r>
        <w:instrText xml:space="preserve"> PAGEREF _Toc22172 \h </w:instrText>
      </w:r>
      <w:r>
        <w:fldChar w:fldCharType="separate"/>
      </w:r>
      <w:r>
        <w:t>7</w:t>
      </w:r>
      <w:r>
        <w:fldChar w:fldCharType="end"/>
      </w:r>
      <w:r>
        <w:rPr>
          <w:rFonts w:hint="default"/>
          <w:bCs/>
          <w:szCs w:val="36"/>
          <w:lang w:val="en-US"/>
        </w:rPr>
        <w:fldChar w:fldCharType="end"/>
      </w:r>
    </w:p>
    <w:p xmlns:wp14="http://schemas.microsoft.com/office/word/2010/wordml" w14:paraId="4F181758"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_Toc30886 </w:instrText>
      </w:r>
      <w:r>
        <w:rPr>
          <w:rFonts w:hint="default"/>
          <w:bCs/>
          <w:szCs w:val="36"/>
          <w:lang w:val="en-US"/>
        </w:rPr>
        <w:fldChar w:fldCharType="separate"/>
      </w:r>
      <w:r>
        <w:rPr>
          <w:rFonts w:hint="default" w:ascii="Arial" w:hAnsi="Arial" w:cs="Arial"/>
          <w:bCs/>
          <w:szCs w:val="24"/>
        </w:rPr>
        <w:t>Conclusion</w:t>
      </w:r>
      <w:r>
        <w:tab/>
      </w:r>
      <w:r>
        <w:fldChar w:fldCharType="begin"/>
      </w:r>
      <w:r>
        <w:instrText xml:space="preserve"> PAGEREF _Toc30886 \h </w:instrText>
      </w:r>
      <w:r>
        <w:fldChar w:fldCharType="separate"/>
      </w:r>
      <w:r>
        <w:t>9</w:t>
      </w:r>
      <w:r>
        <w:fldChar w:fldCharType="end"/>
      </w:r>
      <w:r>
        <w:rPr>
          <w:rFonts w:hint="default"/>
          <w:bCs/>
          <w:szCs w:val="36"/>
          <w:lang w:val="en-US"/>
        </w:rPr>
        <w:fldChar w:fldCharType="end"/>
      </w:r>
    </w:p>
    <w:p xmlns:wp14="http://schemas.microsoft.com/office/word/2010/wordml" w14:paraId="69C93344" wp14:textId="77777777">
      <w:pPr>
        <w:pStyle w:val="9"/>
        <w:tabs>
          <w:tab w:val="right" w:leader="dot" w:pos="8306"/>
        </w:tabs>
      </w:pPr>
      <w:r>
        <w:rPr>
          <w:rFonts w:hint="default"/>
          <w:bCs/>
          <w:szCs w:val="36"/>
          <w:lang w:val="en-US"/>
        </w:rPr>
        <w:fldChar w:fldCharType="begin"/>
      </w:r>
      <w:r>
        <w:rPr>
          <w:rFonts w:hint="default"/>
          <w:bCs/>
          <w:szCs w:val="36"/>
          <w:lang w:val="en-US"/>
        </w:rPr>
        <w:instrText xml:space="preserve"> HYPERLINK \l _Toc28763 </w:instrText>
      </w:r>
      <w:r>
        <w:rPr>
          <w:rFonts w:hint="default"/>
          <w:bCs/>
          <w:szCs w:val="36"/>
          <w:lang w:val="en-US"/>
        </w:rPr>
        <w:fldChar w:fldCharType="separate"/>
      </w:r>
      <w:r>
        <w:rPr>
          <w:rFonts w:hint="default" w:ascii="Arial" w:hAnsi="Arial" w:cs="Arial"/>
          <w:bCs/>
          <w:szCs w:val="24"/>
        </w:rPr>
        <w:t>References</w:t>
      </w:r>
      <w:r>
        <w:tab/>
      </w:r>
      <w:r>
        <w:fldChar w:fldCharType="begin"/>
      </w:r>
      <w:r>
        <w:instrText xml:space="preserve"> PAGEREF _Toc28763 \h </w:instrText>
      </w:r>
      <w:r>
        <w:fldChar w:fldCharType="separate"/>
      </w:r>
      <w:r>
        <w:t>10</w:t>
      </w:r>
      <w:r>
        <w:fldChar w:fldCharType="end"/>
      </w:r>
      <w:r>
        <w:rPr>
          <w:rFonts w:hint="default"/>
          <w:bCs/>
          <w:szCs w:val="36"/>
          <w:lang w:val="en-US"/>
        </w:rPr>
        <w:fldChar w:fldCharType="end"/>
      </w:r>
    </w:p>
    <w:p xmlns:wp14="http://schemas.microsoft.com/office/word/2010/wordml" w14:paraId="672A6659" wp14:textId="77777777">
      <w:pPr>
        <w:bidi w:val="0"/>
        <w:jc w:val="center"/>
        <w:rPr>
          <w:rFonts w:hint="default"/>
          <w:b/>
          <w:bCs/>
          <w:sz w:val="36"/>
          <w:szCs w:val="36"/>
          <w:lang w:val="en-US"/>
        </w:rPr>
      </w:pPr>
      <w:r>
        <w:rPr>
          <w:rFonts w:hint="default"/>
          <w:bCs/>
          <w:szCs w:val="36"/>
          <w:lang w:val="en-US"/>
        </w:rPr>
        <w:fldChar w:fldCharType="end"/>
      </w:r>
    </w:p>
    <w:p xmlns:wp14="http://schemas.microsoft.com/office/word/2010/wordml" w14:paraId="0A37501D" wp14:textId="77777777">
      <w:pPr>
        <w:bidi w:val="0"/>
        <w:rPr>
          <w:rFonts w:hint="default"/>
          <w:b/>
          <w:bCs/>
          <w:sz w:val="36"/>
          <w:szCs w:val="36"/>
        </w:rPr>
      </w:pPr>
    </w:p>
    <w:p xmlns:wp14="http://schemas.microsoft.com/office/word/2010/wordml" w14:paraId="5DAB6C7B" wp14:textId="77777777">
      <w:pPr>
        <w:bidi w:val="0"/>
        <w:rPr>
          <w:rFonts w:hint="default"/>
          <w:b/>
          <w:bCs/>
          <w:sz w:val="36"/>
          <w:szCs w:val="36"/>
        </w:rPr>
      </w:pPr>
    </w:p>
    <w:p xmlns:wp14="http://schemas.microsoft.com/office/word/2010/wordml" w14:paraId="02EB378F" wp14:textId="77777777">
      <w:pPr>
        <w:bidi w:val="0"/>
        <w:rPr>
          <w:rFonts w:hint="default"/>
          <w:b/>
          <w:bCs/>
          <w:sz w:val="36"/>
          <w:szCs w:val="36"/>
        </w:rPr>
      </w:pPr>
    </w:p>
    <w:p xmlns:wp14="http://schemas.microsoft.com/office/word/2010/wordml" w14:paraId="6A05A809" wp14:textId="77777777">
      <w:pPr>
        <w:bidi w:val="0"/>
        <w:rPr>
          <w:rFonts w:hint="default"/>
          <w:b/>
          <w:bCs/>
          <w:sz w:val="36"/>
          <w:szCs w:val="36"/>
        </w:rPr>
      </w:pPr>
    </w:p>
    <w:p xmlns:wp14="http://schemas.microsoft.com/office/word/2010/wordml" w14:paraId="5A39BBE3" wp14:textId="77777777">
      <w:pPr>
        <w:bidi w:val="0"/>
        <w:rPr>
          <w:rFonts w:hint="default"/>
          <w:b/>
          <w:bCs/>
          <w:sz w:val="36"/>
          <w:szCs w:val="36"/>
        </w:rPr>
      </w:pPr>
    </w:p>
    <w:p xmlns:wp14="http://schemas.microsoft.com/office/word/2010/wordml" w:rsidP="32B6D65C" w14:paraId="72A3D3EC" wp14:textId="5B67F436">
      <w:pPr>
        <w:pStyle w:val="1"/>
        <w:bidi w:val="0"/>
        <w:rPr>
          <w:b w:val="1"/>
          <w:bCs w:val="1"/>
          <w:sz w:val="36"/>
          <w:szCs w:val="36"/>
        </w:rPr>
      </w:pPr>
    </w:p>
    <w:p w:rsidR="32B6D65C" w:rsidP="32B6D65C" w:rsidRDefault="32B6D65C" w14:paraId="4F2CD7CE">
      <w:pPr>
        <w:bidi w:val="0"/>
        <w:rPr>
          <w:b w:val="1"/>
          <w:bCs w:val="1"/>
          <w:sz w:val="36"/>
          <w:szCs w:val="36"/>
        </w:rPr>
      </w:pPr>
      <w:r w:rsidRPr="32B6D65C" w:rsidR="32B6D65C">
        <w:rPr>
          <w:b w:val="1"/>
          <w:bCs w:val="1"/>
          <w:sz w:val="36"/>
          <w:szCs w:val="36"/>
        </w:rPr>
        <w:t>Retaining and Engaging Employees Throughout the Employee Life-cycle: A Critical Analysis and Evaluation</w:t>
      </w:r>
    </w:p>
    <w:p w:rsidR="32B6D65C" w:rsidP="32B6D65C" w:rsidRDefault="32B6D65C" w14:paraId="3493F3D3">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29C8C896">
      <w:pPr>
        <w:pStyle w:val="2"/>
        <w:keepNext w:val="0"/>
        <w:keepLines w:val="0"/>
        <w:widowControl w:val="1"/>
        <w:spacing w:before="0" w:beforeAutospacing="off" w:after="0" w:afterAutospacing="off" w:line="360" w:lineRule="auto"/>
        <w:rPr>
          <w:rFonts w:ascii="Arial" w:hAnsi="Arial" w:cs="Arial"/>
          <w:b w:val="1"/>
          <w:bCs w:val="1"/>
          <w:color w:val="0E101A"/>
          <w:sz w:val="24"/>
          <w:szCs w:val="24"/>
        </w:rPr>
      </w:pPr>
      <w:r w:rsidRPr="32B6D65C" w:rsidR="32B6D65C">
        <w:rPr>
          <w:rFonts w:ascii="Arial" w:hAnsi="Arial" w:cs="Arial"/>
          <w:b w:val="1"/>
          <w:bCs w:val="1"/>
          <w:color w:val="0E101A"/>
          <w:sz w:val="24"/>
          <w:szCs w:val="24"/>
        </w:rPr>
        <w:t>Introduction</w:t>
      </w:r>
    </w:p>
    <w:p w:rsidR="32B6D65C" w:rsidP="32B6D65C" w:rsidRDefault="32B6D65C" w14:paraId="43C3C99E">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When it comes to managing and cultivating an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existing talent pool, the Department of human resources plays a pivotal role. A company's ability to attract, </w:t>
      </w:r>
      <w:r w:rsidRPr="32B6D65C" w:rsidR="32B6D65C">
        <w:rPr>
          <w:rFonts w:ascii="Arial" w:hAnsi="Arial" w:cs="Arial"/>
          <w:color w:val="0E101A"/>
          <w:sz w:val="24"/>
          <w:szCs w:val="24"/>
        </w:rPr>
        <w:t>retain</w:t>
      </w:r>
      <w:r w:rsidRPr="32B6D65C" w:rsidR="32B6D65C">
        <w:rPr>
          <w:rFonts w:ascii="Arial" w:hAnsi="Arial" w:cs="Arial"/>
          <w:color w:val="0E101A"/>
          <w:sz w:val="24"/>
          <w:szCs w:val="24"/>
        </w:rPr>
        <w:t xml:space="preserve">, and engage its employees throughout the course of their careers in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is directly correlated to the effectiveness of its talent management practices. </w:t>
      </w:r>
    </w:p>
    <w:p w:rsidR="32B6D65C" w:rsidP="32B6D65C" w:rsidRDefault="32B6D65C" w14:paraId="099B6340">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85E2783">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purpose of this research paper is to investigate the roles that the human resources department of a large hotel plays in ensuring that talent is successfully managed and developed throughout the entire employee lifecycle. </w:t>
      </w:r>
    </w:p>
    <w:p w:rsidR="32B6D65C" w:rsidP="32B6D65C" w:rsidRDefault="32B6D65C" w14:paraId="7FACC67F">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2F3D3E5">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This essay aims to </w:t>
      </w:r>
      <w:r w:rsidRPr="32B6D65C" w:rsidR="32B6D65C">
        <w:rPr>
          <w:rFonts w:ascii="Arial" w:hAnsi="Arial" w:cs="Arial"/>
          <w:color w:val="0E101A"/>
          <w:sz w:val="24"/>
          <w:szCs w:val="24"/>
        </w:rPr>
        <w:t>provide</w:t>
      </w:r>
      <w:r w:rsidRPr="32B6D65C" w:rsidR="32B6D65C">
        <w:rPr>
          <w:rFonts w:ascii="Arial" w:hAnsi="Arial" w:cs="Arial"/>
          <w:color w:val="0E101A"/>
          <w:sz w:val="24"/>
          <w:szCs w:val="24"/>
        </w:rPr>
        <w:t xml:space="preserve"> insights on best practices and tactics for maintaining and engaging people by critically assessing key stages of the employee lifecycle, including attraction, recruiting, onboarding, development, retention, and separation. </w:t>
      </w:r>
    </w:p>
    <w:p w:rsidR="32B6D65C" w:rsidP="32B6D65C" w:rsidRDefault="32B6D65C" w14:paraId="445B8715">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4D106C7">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These stages include attraction, recruitment, onboarding, development, retention, and separation. In addition, it will go over the significance of </w:t>
      </w:r>
      <w:r w:rsidRPr="32B6D65C" w:rsidR="32B6D65C">
        <w:rPr>
          <w:rFonts w:ascii="Arial" w:hAnsi="Arial" w:cs="Arial"/>
          <w:color w:val="0E101A"/>
          <w:sz w:val="24"/>
          <w:szCs w:val="24"/>
        </w:rPr>
        <w:t>properly managing</w:t>
      </w:r>
      <w:r w:rsidRPr="32B6D65C" w:rsidR="32B6D65C">
        <w:rPr>
          <w:rFonts w:ascii="Arial" w:hAnsi="Arial" w:cs="Arial"/>
          <w:color w:val="0E101A"/>
          <w:sz w:val="24"/>
          <w:szCs w:val="24"/>
        </w:rPr>
        <w:t xml:space="preserve"> and cultivating one's talent, and then it will give three illustrations of how talent management may improve the performance of teams and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along with three examples of best practices in various sectors.</w:t>
      </w:r>
    </w:p>
    <w:p w:rsidR="32B6D65C" w:rsidP="32B6D65C" w:rsidRDefault="32B6D65C" w14:paraId="6F76AAFA">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387D14DD">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I. The Role of Human Resources in Managing and Developing Talent</w:t>
      </w:r>
    </w:p>
    <w:p w:rsidR="32B6D65C" w:rsidP="32B6D65C" w:rsidRDefault="32B6D65C" w14:paraId="57F1E103">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029BEBF2">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1.1 Importance of Talent Management:</w:t>
      </w:r>
    </w:p>
    <w:p w:rsidR="32B6D65C" w:rsidP="32B6D65C" w:rsidRDefault="32B6D65C" w14:paraId="70BD9BFA">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In today's dynamic business environment, talent management is essential for companies to </w:t>
      </w:r>
      <w:r w:rsidRPr="32B6D65C" w:rsidR="32B6D65C">
        <w:rPr>
          <w:rFonts w:ascii="Arial" w:hAnsi="Arial" w:cs="Arial"/>
          <w:color w:val="0E101A"/>
          <w:sz w:val="24"/>
          <w:szCs w:val="24"/>
        </w:rPr>
        <w:t>maintain</w:t>
      </w:r>
      <w:r w:rsidRPr="32B6D65C" w:rsidR="32B6D65C">
        <w:rPr>
          <w:rFonts w:ascii="Arial" w:hAnsi="Arial" w:cs="Arial"/>
          <w:color w:val="0E101A"/>
          <w:sz w:val="24"/>
          <w:szCs w:val="24"/>
        </w:rPr>
        <w:t xml:space="preserve"> a competitive edge. Effective personnel management can result in a 22% increase in revenue per employee and a 23% increase in profit margins, according to a study by Bersin &amp; Associates (Bersin, 2014).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improve their productivity, innovation, and overall performance by focusing on attracting, developing, and </w:t>
      </w:r>
      <w:r w:rsidRPr="32B6D65C" w:rsidR="32B6D65C">
        <w:rPr>
          <w:rFonts w:ascii="Arial" w:hAnsi="Arial" w:cs="Arial"/>
          <w:color w:val="0E101A"/>
          <w:sz w:val="24"/>
          <w:szCs w:val="24"/>
        </w:rPr>
        <w:t>retaining</w:t>
      </w:r>
      <w:r w:rsidRPr="32B6D65C" w:rsidR="32B6D65C">
        <w:rPr>
          <w:rFonts w:ascii="Arial" w:hAnsi="Arial" w:cs="Arial"/>
          <w:color w:val="0E101A"/>
          <w:sz w:val="24"/>
          <w:szCs w:val="24"/>
        </w:rPr>
        <w:t xml:space="preserve"> top talent.</w:t>
      </w:r>
    </w:p>
    <w:p w:rsidR="32B6D65C" w:rsidP="32B6D65C" w:rsidRDefault="32B6D65C" w14:paraId="2CECC5F5">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BB7F879" w14:textId="2362933F">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Additionally, talent management addresses the challenges of talent scarcity and shifting employee expectations. As the job market becomes more competitive,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must differentiate themselves </w:t>
      </w:r>
      <w:r w:rsidRPr="32B6D65C" w:rsidR="32B6D65C">
        <w:rPr>
          <w:rFonts w:ascii="Arial" w:hAnsi="Arial" w:cs="Arial"/>
          <w:color w:val="0E101A"/>
          <w:sz w:val="24"/>
          <w:szCs w:val="24"/>
        </w:rPr>
        <w:t>to</w:t>
      </w:r>
      <w:r w:rsidRPr="32B6D65C" w:rsidR="32B6D65C">
        <w:rPr>
          <w:rFonts w:ascii="Arial" w:hAnsi="Arial" w:cs="Arial"/>
          <w:color w:val="0E101A"/>
          <w:sz w:val="24"/>
          <w:szCs w:val="24"/>
        </w:rPr>
        <w:t xml:space="preserve"> attract and </w:t>
      </w:r>
      <w:r w:rsidRPr="32B6D65C" w:rsidR="32B6D65C">
        <w:rPr>
          <w:rFonts w:ascii="Arial" w:hAnsi="Arial" w:cs="Arial"/>
          <w:color w:val="0E101A"/>
          <w:sz w:val="24"/>
          <w:szCs w:val="24"/>
        </w:rPr>
        <w:t>retain</w:t>
      </w:r>
      <w:r w:rsidRPr="32B6D65C" w:rsidR="32B6D65C">
        <w:rPr>
          <w:rFonts w:ascii="Arial" w:hAnsi="Arial" w:cs="Arial"/>
          <w:color w:val="0E101A"/>
          <w:sz w:val="24"/>
          <w:szCs w:val="24"/>
        </w:rPr>
        <w:t xml:space="preserve"> skilled employees.</w:t>
      </w:r>
    </w:p>
    <w:p w:rsidR="32B6D65C" w:rsidP="32B6D65C" w:rsidRDefault="32B6D65C" w14:paraId="43331406">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0C724E82">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 In addition, employees </w:t>
      </w:r>
      <w:r w:rsidRPr="32B6D65C" w:rsidR="32B6D65C">
        <w:rPr>
          <w:rFonts w:ascii="Arial" w:hAnsi="Arial" w:cs="Arial"/>
          <w:color w:val="0E101A"/>
          <w:sz w:val="24"/>
          <w:szCs w:val="24"/>
        </w:rPr>
        <w:t>desire</w:t>
      </w:r>
      <w:r w:rsidRPr="32B6D65C" w:rsidR="32B6D65C">
        <w:rPr>
          <w:rFonts w:ascii="Arial" w:hAnsi="Arial" w:cs="Arial"/>
          <w:color w:val="0E101A"/>
          <w:sz w:val="24"/>
          <w:szCs w:val="24"/>
        </w:rPr>
        <w:t xml:space="preserve"> meaningful work, career growth opportunities, and a positive work environment (Deloitte, 2021). These expectations can be met through talent management practices that cultivate a culture of engagement and commitment.</w:t>
      </w:r>
    </w:p>
    <w:p w:rsidR="32B6D65C" w:rsidP="32B6D65C" w:rsidRDefault="32B6D65C" w14:paraId="49D136A7">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47901B2">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II. The Employee Lifecycle:</w:t>
      </w:r>
    </w:p>
    <w:p w:rsidR="32B6D65C" w:rsidP="32B6D65C" w:rsidRDefault="32B6D65C" w14:paraId="465AF6D6">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3BE019D6">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2.1 Attraction:</w:t>
      </w:r>
    </w:p>
    <w:p w:rsidR="32B6D65C" w:rsidP="32B6D65C" w:rsidRDefault="32B6D65C" w14:paraId="5722D59A">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Attracting top personnel starts with building a strong employer brand and promoting the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distinctive value proposition. A distinct and compelling employer brand can attract candidates whose values and culture align with those of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(Bersin, 2018).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expand their candidate pool by </w:t>
      </w:r>
      <w:r w:rsidRPr="32B6D65C" w:rsidR="32B6D65C">
        <w:rPr>
          <w:rFonts w:ascii="Arial" w:hAnsi="Arial" w:cs="Arial"/>
          <w:color w:val="0E101A"/>
          <w:sz w:val="24"/>
          <w:szCs w:val="24"/>
        </w:rPr>
        <w:t>utilising</w:t>
      </w:r>
      <w:r w:rsidRPr="32B6D65C" w:rsidR="32B6D65C">
        <w:rPr>
          <w:rFonts w:ascii="Arial" w:hAnsi="Arial" w:cs="Arial"/>
          <w:color w:val="0E101A"/>
          <w:sz w:val="24"/>
          <w:szCs w:val="24"/>
        </w:rPr>
        <w:t xml:space="preserve"> multiple channels, such as employment boards, social media, and professional networks (Sharma &amp; Sharma, 2019). Using social media platforms such as LinkedIn and Glassdoor, for instance, can help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promote their culture, employee testimonials, and job openings.</w:t>
      </w:r>
    </w:p>
    <w:p w:rsidR="32B6D65C" w:rsidP="32B6D65C" w:rsidRDefault="32B6D65C" w14:paraId="170E8CEF">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2AEBE092" w14:textId="27C20C53">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1E72B534" w14:textId="767B6D96">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16A55A9A" w14:textId="25C253D4">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2.2 Recruitment:</w:t>
      </w:r>
    </w:p>
    <w:p w:rsidR="32B6D65C" w:rsidP="32B6D65C" w:rsidRDefault="32B6D65C" w14:paraId="66F356C0">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A successful recruitment process is essential for </w:t>
      </w:r>
      <w:r w:rsidRPr="32B6D65C" w:rsidR="32B6D65C">
        <w:rPr>
          <w:rFonts w:ascii="Arial" w:hAnsi="Arial" w:cs="Arial"/>
          <w:color w:val="0E101A"/>
          <w:sz w:val="24"/>
          <w:szCs w:val="24"/>
        </w:rPr>
        <w:t>identifying</w:t>
      </w:r>
      <w:r w:rsidRPr="32B6D65C" w:rsidR="32B6D65C">
        <w:rPr>
          <w:rFonts w:ascii="Arial" w:hAnsi="Arial" w:cs="Arial"/>
          <w:color w:val="0E101A"/>
          <w:sz w:val="24"/>
          <w:szCs w:val="24"/>
        </w:rPr>
        <w:t xml:space="preserve"> and selecting candidates who meet the needs and culture of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(Cascio, 2018) A comprehensive job analysis </w:t>
      </w:r>
      <w:r w:rsidRPr="32B6D65C" w:rsidR="32B6D65C">
        <w:rPr>
          <w:rFonts w:ascii="Arial" w:hAnsi="Arial" w:cs="Arial"/>
          <w:color w:val="0E101A"/>
          <w:sz w:val="24"/>
          <w:szCs w:val="24"/>
        </w:rPr>
        <w:t>assists</w:t>
      </w:r>
      <w:r w:rsidRPr="32B6D65C" w:rsidR="32B6D65C">
        <w:rPr>
          <w:rFonts w:ascii="Arial" w:hAnsi="Arial" w:cs="Arial"/>
          <w:color w:val="0E101A"/>
          <w:sz w:val="24"/>
          <w:szCs w:val="24"/>
        </w:rPr>
        <w:t xml:space="preserve"> in </w:t>
      </w:r>
      <w:r w:rsidRPr="32B6D65C" w:rsidR="32B6D65C">
        <w:rPr>
          <w:rFonts w:ascii="Arial" w:hAnsi="Arial" w:cs="Arial"/>
          <w:color w:val="0E101A"/>
          <w:sz w:val="24"/>
          <w:szCs w:val="24"/>
        </w:rPr>
        <w:t>identifying</w:t>
      </w:r>
      <w:r w:rsidRPr="32B6D65C" w:rsidR="32B6D65C">
        <w:rPr>
          <w:rFonts w:ascii="Arial" w:hAnsi="Arial" w:cs="Arial"/>
          <w:color w:val="0E101A"/>
          <w:sz w:val="24"/>
          <w:szCs w:val="24"/>
        </w:rPr>
        <w:t xml:space="preserve"> the essential competencies and skills </w:t>
      </w:r>
      <w:r w:rsidRPr="32B6D65C" w:rsidR="32B6D65C">
        <w:rPr>
          <w:rFonts w:ascii="Arial" w:hAnsi="Arial" w:cs="Arial"/>
          <w:color w:val="0E101A"/>
          <w:sz w:val="24"/>
          <w:szCs w:val="24"/>
        </w:rPr>
        <w:t>required</w:t>
      </w:r>
      <w:r w:rsidRPr="32B6D65C" w:rsidR="32B6D65C">
        <w:rPr>
          <w:rFonts w:ascii="Arial" w:hAnsi="Arial" w:cs="Arial"/>
          <w:color w:val="0E101A"/>
          <w:sz w:val="24"/>
          <w:szCs w:val="24"/>
        </w:rPr>
        <w:t xml:space="preserve"> for each position. This analysis ensures the recruitment process is aligned with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w:t>
      </w:r>
      <w:r w:rsidRPr="32B6D65C" w:rsidR="32B6D65C">
        <w:rPr>
          <w:rFonts w:ascii="Arial" w:hAnsi="Arial" w:cs="Arial"/>
          <w:color w:val="0E101A"/>
          <w:sz w:val="24"/>
          <w:szCs w:val="24"/>
        </w:rPr>
        <w:t>objectives</w:t>
      </w:r>
      <w:r w:rsidRPr="32B6D65C" w:rsidR="32B6D65C">
        <w:rPr>
          <w:rFonts w:ascii="Arial" w:hAnsi="Arial" w:cs="Arial"/>
          <w:color w:val="0E101A"/>
          <w:sz w:val="24"/>
          <w:szCs w:val="24"/>
        </w:rPr>
        <w:t xml:space="preserve"> and </w:t>
      </w:r>
      <w:r w:rsidRPr="32B6D65C" w:rsidR="32B6D65C">
        <w:rPr>
          <w:rFonts w:ascii="Arial" w:hAnsi="Arial" w:cs="Arial"/>
          <w:color w:val="0E101A"/>
          <w:sz w:val="24"/>
          <w:szCs w:val="24"/>
        </w:rPr>
        <w:t>identifies</w:t>
      </w:r>
      <w:r w:rsidRPr="32B6D65C" w:rsidR="32B6D65C">
        <w:rPr>
          <w:rFonts w:ascii="Arial" w:hAnsi="Arial" w:cs="Arial"/>
          <w:color w:val="0E101A"/>
          <w:sz w:val="24"/>
          <w:szCs w:val="24"/>
        </w:rPr>
        <w:t xml:space="preserve"> candidates with the desired qualifications.</w:t>
      </w:r>
    </w:p>
    <w:p w:rsidR="32B6D65C" w:rsidP="32B6D65C" w:rsidRDefault="32B6D65C" w14:paraId="4B76305A">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60547403">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Implementing inclusive and diverse hiring practices is also necessary for enticing a diverse talent pool. Hunt et al. (2018) found that diverse teams result in improved decision-making, increased innovation, and enhanced financial performance. To attract candidates from diverse backgrounds and perspectives,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implement practices such as blind resume screening, diverse interview panels, and focused outreach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w:t>
      </w:r>
    </w:p>
    <w:p w:rsidR="32B6D65C" w:rsidP="32B6D65C" w:rsidRDefault="32B6D65C" w14:paraId="1D100F9F">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0F56559">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2.3 Onboarding:</w:t>
      </w:r>
    </w:p>
    <w:p w:rsidR="32B6D65C" w:rsidP="32B6D65C" w:rsidRDefault="32B6D65C" w14:paraId="732A300D">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Effective induction sets the stage for a positive employee experience and </w:t>
      </w:r>
      <w:r w:rsidRPr="32B6D65C" w:rsidR="32B6D65C">
        <w:rPr>
          <w:rFonts w:ascii="Arial" w:hAnsi="Arial" w:cs="Arial"/>
          <w:color w:val="0E101A"/>
          <w:sz w:val="24"/>
          <w:szCs w:val="24"/>
        </w:rPr>
        <w:t>facilitates</w:t>
      </w:r>
      <w:r w:rsidRPr="32B6D65C" w:rsidR="32B6D65C">
        <w:rPr>
          <w:rFonts w:ascii="Arial" w:hAnsi="Arial" w:cs="Arial"/>
          <w:color w:val="0E101A"/>
          <w:sz w:val="24"/>
          <w:szCs w:val="24"/>
        </w:rPr>
        <w:t xml:space="preserve">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integration. A structured induction </w:t>
      </w:r>
      <w:r w:rsidRPr="32B6D65C" w:rsidR="32B6D65C">
        <w:rPr>
          <w:rFonts w:ascii="Arial" w:hAnsi="Arial" w:cs="Arial"/>
          <w:color w:val="0E101A"/>
          <w:sz w:val="24"/>
          <w:szCs w:val="24"/>
        </w:rPr>
        <w:t>programme</w:t>
      </w:r>
      <w:r w:rsidRPr="32B6D65C" w:rsidR="32B6D65C">
        <w:rPr>
          <w:rFonts w:ascii="Arial" w:hAnsi="Arial" w:cs="Arial"/>
          <w:color w:val="0E101A"/>
          <w:sz w:val="24"/>
          <w:szCs w:val="24"/>
        </w:rPr>
        <w:t xml:space="preserve"> should be created to provide new employees with the information, resources, and support they need to succeed in their roles (Saks &amp; Gruman, 2014). The assignment of mentors or </w:t>
      </w:r>
      <w:r w:rsidRPr="32B6D65C" w:rsidR="32B6D65C">
        <w:rPr>
          <w:rFonts w:ascii="Arial" w:hAnsi="Arial" w:cs="Arial"/>
          <w:color w:val="0E101A"/>
          <w:sz w:val="24"/>
          <w:szCs w:val="24"/>
        </w:rPr>
        <w:t>buddies</w:t>
      </w:r>
      <w:r w:rsidRPr="32B6D65C" w:rsidR="32B6D65C">
        <w:rPr>
          <w:rFonts w:ascii="Arial" w:hAnsi="Arial" w:cs="Arial"/>
          <w:color w:val="0E101A"/>
          <w:sz w:val="24"/>
          <w:szCs w:val="24"/>
        </w:rPr>
        <w:t xml:space="preserve"> to new employees can </w:t>
      </w:r>
      <w:r w:rsidRPr="32B6D65C" w:rsidR="32B6D65C">
        <w:rPr>
          <w:rFonts w:ascii="Arial" w:hAnsi="Arial" w:cs="Arial"/>
          <w:color w:val="0E101A"/>
          <w:sz w:val="24"/>
          <w:szCs w:val="24"/>
        </w:rPr>
        <w:t>assist</w:t>
      </w:r>
      <w:r w:rsidRPr="32B6D65C" w:rsidR="32B6D65C">
        <w:rPr>
          <w:rFonts w:ascii="Arial" w:hAnsi="Arial" w:cs="Arial"/>
          <w:color w:val="0E101A"/>
          <w:sz w:val="24"/>
          <w:szCs w:val="24"/>
        </w:rPr>
        <w:t xml:space="preserve"> them in navigating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fostering relationships, and accelerating their learning trajectory (Gallagher &amp; </w:t>
      </w:r>
      <w:r w:rsidRPr="32B6D65C" w:rsidR="32B6D65C">
        <w:rPr>
          <w:rFonts w:ascii="Arial" w:hAnsi="Arial" w:cs="Arial"/>
          <w:color w:val="0E101A"/>
          <w:sz w:val="24"/>
          <w:szCs w:val="24"/>
        </w:rPr>
        <w:t>DeJanasz</w:t>
      </w:r>
      <w:r w:rsidRPr="32B6D65C" w:rsidR="32B6D65C">
        <w:rPr>
          <w:rFonts w:ascii="Arial" w:hAnsi="Arial" w:cs="Arial"/>
          <w:color w:val="0E101A"/>
          <w:sz w:val="24"/>
          <w:szCs w:val="24"/>
        </w:rPr>
        <w:t>, 2018).</w:t>
      </w:r>
    </w:p>
    <w:p w:rsidR="32B6D65C" w:rsidP="32B6D65C" w:rsidRDefault="32B6D65C" w14:paraId="6D3B594E">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B7AE15A">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During the induction period, regular check-ins and feedback sessions can </w:t>
      </w:r>
      <w:r w:rsidRPr="32B6D65C" w:rsidR="32B6D65C">
        <w:rPr>
          <w:rFonts w:ascii="Arial" w:hAnsi="Arial" w:cs="Arial"/>
          <w:color w:val="0E101A"/>
          <w:sz w:val="24"/>
          <w:szCs w:val="24"/>
        </w:rPr>
        <w:t>assist</w:t>
      </w:r>
      <w:r w:rsidRPr="32B6D65C" w:rsidR="32B6D65C">
        <w:rPr>
          <w:rFonts w:ascii="Arial" w:hAnsi="Arial" w:cs="Arial"/>
          <w:color w:val="0E101A"/>
          <w:sz w:val="24"/>
          <w:szCs w:val="24"/>
        </w:rPr>
        <w:t xml:space="preserve"> in addressing any issues or obstacles that new employees may </w:t>
      </w:r>
      <w:r w:rsidRPr="32B6D65C" w:rsidR="32B6D65C">
        <w:rPr>
          <w:rFonts w:ascii="Arial" w:hAnsi="Arial" w:cs="Arial"/>
          <w:color w:val="0E101A"/>
          <w:sz w:val="24"/>
          <w:szCs w:val="24"/>
        </w:rPr>
        <w:t>encounter</w:t>
      </w:r>
      <w:r w:rsidRPr="32B6D65C" w:rsidR="32B6D65C">
        <w:rPr>
          <w:rFonts w:ascii="Arial" w:hAnsi="Arial" w:cs="Arial"/>
          <w:color w:val="0E101A"/>
          <w:sz w:val="24"/>
          <w:szCs w:val="24"/>
        </w:rPr>
        <w:t xml:space="preserve">. In addition, these sessions allow managers to elucidate expectations and align individual goals with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w:t>
      </w:r>
      <w:r w:rsidRPr="32B6D65C" w:rsidR="32B6D65C">
        <w:rPr>
          <w:rFonts w:ascii="Arial" w:hAnsi="Arial" w:cs="Arial"/>
          <w:color w:val="0E101A"/>
          <w:sz w:val="24"/>
          <w:szCs w:val="24"/>
        </w:rPr>
        <w:t>objectives</w:t>
      </w:r>
      <w:r w:rsidRPr="32B6D65C" w:rsidR="32B6D65C">
        <w:rPr>
          <w:rFonts w:ascii="Arial" w:hAnsi="Arial" w:cs="Arial"/>
          <w:color w:val="0E101A"/>
          <w:sz w:val="24"/>
          <w:szCs w:val="24"/>
        </w:rPr>
        <w:t xml:space="preserve"> (Bauer et al., 2017).</w:t>
      </w:r>
    </w:p>
    <w:p w:rsidR="32B6D65C" w:rsidP="32B6D65C" w:rsidRDefault="32B6D65C" w14:paraId="03940D2B">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2DD47E32" w14:textId="177DD0AC">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0A2CF989" w14:textId="151748E6">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53EA04AB">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2.4 Development:</w:t>
      </w:r>
    </w:p>
    <w:p w:rsidR="32B6D65C" w:rsidP="32B6D65C" w:rsidRDefault="32B6D65C" w14:paraId="791FDAB3">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Employee development is essential for enhancing their skills, knowledge, and abilities, which contribute to their engagement and retention over the long term. </w:t>
      </w:r>
      <w:r w:rsidRPr="32B6D65C" w:rsidR="32B6D65C">
        <w:rPr>
          <w:rFonts w:ascii="Arial" w:hAnsi="Arial" w:cs="Arial"/>
          <w:color w:val="0E101A"/>
          <w:sz w:val="24"/>
          <w:szCs w:val="24"/>
        </w:rPr>
        <w:t>Providing</w:t>
      </w:r>
      <w:r w:rsidRPr="32B6D65C" w:rsidR="32B6D65C">
        <w:rPr>
          <w:rFonts w:ascii="Arial" w:hAnsi="Arial" w:cs="Arial"/>
          <w:color w:val="0E101A"/>
          <w:sz w:val="24"/>
          <w:szCs w:val="24"/>
        </w:rPr>
        <w:t xml:space="preserve"> opportunities for learning and development </w:t>
      </w:r>
      <w:r w:rsidRPr="32B6D65C" w:rsidR="32B6D65C">
        <w:rPr>
          <w:rFonts w:ascii="Arial" w:hAnsi="Arial" w:cs="Arial"/>
          <w:color w:val="0E101A"/>
          <w:sz w:val="24"/>
          <w:szCs w:val="24"/>
        </w:rPr>
        <w:t>demonstrates</w:t>
      </w:r>
      <w:r w:rsidRPr="32B6D65C" w:rsidR="32B6D65C">
        <w:rPr>
          <w:rFonts w:ascii="Arial" w:hAnsi="Arial" w:cs="Arial"/>
          <w:color w:val="0E101A"/>
          <w:sz w:val="24"/>
          <w:szCs w:val="24"/>
        </w:rPr>
        <w:t xml:space="preserve"> an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commitment to employee growth and career advancement (Noe, 2017). This can include formal training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initiatives involving coaching and mentoring, employment rotations, and stretch assignments.</w:t>
      </w:r>
    </w:p>
    <w:p w:rsidR="32B6D65C" w:rsidP="32B6D65C" w:rsidRDefault="32B6D65C" w14:paraId="26FBEBF3">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06344314">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In addition,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implement performance management processes that consist of regular feedback, goal formulation, and development discussions. This allows employees to </w:t>
      </w:r>
      <w:r w:rsidRPr="32B6D65C" w:rsidR="32B6D65C">
        <w:rPr>
          <w:rFonts w:ascii="Arial" w:hAnsi="Arial" w:cs="Arial"/>
          <w:color w:val="0E101A"/>
          <w:sz w:val="24"/>
          <w:szCs w:val="24"/>
        </w:rPr>
        <w:t>comprehend</w:t>
      </w:r>
      <w:r w:rsidRPr="32B6D65C" w:rsidR="32B6D65C">
        <w:rPr>
          <w:rFonts w:ascii="Arial" w:hAnsi="Arial" w:cs="Arial"/>
          <w:color w:val="0E101A"/>
          <w:sz w:val="24"/>
          <w:szCs w:val="24"/>
        </w:rPr>
        <w:t xml:space="preserve"> performance expectations, receive </w:t>
      </w:r>
      <w:r w:rsidRPr="32B6D65C" w:rsidR="32B6D65C">
        <w:rPr>
          <w:rFonts w:ascii="Arial" w:hAnsi="Arial" w:cs="Arial"/>
          <w:color w:val="0E101A"/>
          <w:sz w:val="24"/>
          <w:szCs w:val="24"/>
        </w:rPr>
        <w:t>timely</w:t>
      </w:r>
      <w:r w:rsidRPr="32B6D65C" w:rsidR="32B6D65C">
        <w:rPr>
          <w:rFonts w:ascii="Arial" w:hAnsi="Arial" w:cs="Arial"/>
          <w:color w:val="0E101A"/>
          <w:sz w:val="24"/>
          <w:szCs w:val="24"/>
        </w:rPr>
        <w:t xml:space="preserve"> feedback, and pursue their career goals (Armstrong &amp; Taylor, 2017).</w:t>
      </w:r>
    </w:p>
    <w:p w:rsidR="32B6D65C" w:rsidP="32B6D65C" w:rsidRDefault="32B6D65C" w14:paraId="27350D44">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544AC40D">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2.5 Retention:</w:t>
      </w:r>
    </w:p>
    <w:p w:rsidR="32B6D65C" w:rsidP="32B6D65C" w:rsidRDefault="32B6D65C" w14:paraId="082AE9FB">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Retention strategies are crucial for assuring the commitment and engagement of employees over the long term. These strategies include </w:t>
      </w:r>
      <w:r w:rsidRPr="32B6D65C" w:rsidR="32B6D65C">
        <w:rPr>
          <w:rFonts w:ascii="Arial" w:hAnsi="Arial" w:cs="Arial"/>
          <w:color w:val="0E101A"/>
          <w:sz w:val="24"/>
          <w:szCs w:val="24"/>
        </w:rPr>
        <w:t>establishing</w:t>
      </w:r>
      <w:r w:rsidRPr="32B6D65C" w:rsidR="32B6D65C">
        <w:rPr>
          <w:rFonts w:ascii="Arial" w:hAnsi="Arial" w:cs="Arial"/>
          <w:color w:val="0E101A"/>
          <w:sz w:val="24"/>
          <w:szCs w:val="24"/>
        </w:rPr>
        <w:t xml:space="preserve"> a positive work environment, offering competitive compensation and benefits, and </w:t>
      </w:r>
      <w:r w:rsidRPr="32B6D65C" w:rsidR="32B6D65C">
        <w:rPr>
          <w:rFonts w:ascii="Arial" w:hAnsi="Arial" w:cs="Arial"/>
          <w:color w:val="0E101A"/>
          <w:sz w:val="24"/>
          <w:szCs w:val="24"/>
        </w:rPr>
        <w:t>providing</w:t>
      </w:r>
      <w:r w:rsidRPr="32B6D65C" w:rsidR="32B6D65C">
        <w:rPr>
          <w:rFonts w:ascii="Arial" w:hAnsi="Arial" w:cs="Arial"/>
          <w:color w:val="0E101A"/>
          <w:sz w:val="24"/>
          <w:szCs w:val="24"/>
        </w:rPr>
        <w:t xml:space="preserve"> career advancement opportunities (Allen et al., 2015). Regular employee engagement surveys can </w:t>
      </w:r>
      <w:r w:rsidRPr="32B6D65C" w:rsidR="32B6D65C">
        <w:rPr>
          <w:rFonts w:ascii="Arial" w:hAnsi="Arial" w:cs="Arial"/>
          <w:color w:val="0E101A"/>
          <w:sz w:val="24"/>
          <w:szCs w:val="24"/>
        </w:rPr>
        <w:t>assist</w:t>
      </w:r>
      <w:r w:rsidRPr="32B6D65C" w:rsidR="32B6D65C">
        <w:rPr>
          <w:rFonts w:ascii="Arial" w:hAnsi="Arial" w:cs="Arial"/>
          <w:color w:val="0E101A"/>
          <w:sz w:val="24"/>
          <w:szCs w:val="24"/>
        </w:rPr>
        <w:t xml:space="preserve"> in </w:t>
      </w:r>
      <w:r w:rsidRPr="32B6D65C" w:rsidR="32B6D65C">
        <w:rPr>
          <w:rFonts w:ascii="Arial" w:hAnsi="Arial" w:cs="Arial"/>
          <w:color w:val="0E101A"/>
          <w:sz w:val="24"/>
          <w:szCs w:val="24"/>
        </w:rPr>
        <w:t>identifying</w:t>
      </w:r>
      <w:r w:rsidRPr="32B6D65C" w:rsidR="32B6D65C">
        <w:rPr>
          <w:rFonts w:ascii="Arial" w:hAnsi="Arial" w:cs="Arial"/>
          <w:color w:val="0E101A"/>
          <w:sz w:val="24"/>
          <w:szCs w:val="24"/>
        </w:rPr>
        <w:t xml:space="preserve"> areas for development and addressing any issues that may have an impact on retention.</w:t>
      </w:r>
    </w:p>
    <w:p w:rsidR="32B6D65C" w:rsidP="32B6D65C" w:rsidRDefault="32B6D65C" w14:paraId="74BA5234">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5C2A251F">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Implementing recognition and reward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can also help </w:t>
      </w:r>
      <w:r w:rsidRPr="32B6D65C" w:rsidR="32B6D65C">
        <w:rPr>
          <w:rFonts w:ascii="Arial" w:hAnsi="Arial" w:cs="Arial"/>
          <w:color w:val="0E101A"/>
          <w:sz w:val="24"/>
          <w:szCs w:val="24"/>
        </w:rPr>
        <w:t>retain</w:t>
      </w:r>
      <w:r w:rsidRPr="32B6D65C" w:rsidR="32B6D65C">
        <w:rPr>
          <w:rFonts w:ascii="Arial" w:hAnsi="Arial" w:cs="Arial"/>
          <w:color w:val="0E101A"/>
          <w:sz w:val="24"/>
          <w:szCs w:val="24"/>
        </w:rPr>
        <w:t xml:space="preserve"> employees. </w:t>
      </w:r>
      <w:r w:rsidRPr="32B6D65C" w:rsidR="32B6D65C">
        <w:rPr>
          <w:rFonts w:ascii="Arial" w:hAnsi="Arial" w:cs="Arial"/>
          <w:color w:val="0E101A"/>
          <w:sz w:val="24"/>
          <w:szCs w:val="24"/>
        </w:rPr>
        <w:t>Recognising</w:t>
      </w:r>
      <w:r w:rsidRPr="32B6D65C" w:rsidR="32B6D65C">
        <w:rPr>
          <w:rFonts w:ascii="Arial" w:hAnsi="Arial" w:cs="Arial"/>
          <w:color w:val="0E101A"/>
          <w:sz w:val="24"/>
          <w:szCs w:val="24"/>
        </w:rPr>
        <w:t xml:space="preserve"> and appreciating the contributions and accomplishments of employees can increase their job satisfaction and loyalty (WorldatWork, 2020). In addition, promoting work-life balance initiatives and cultivating a supportive culture can increase employee engagement and retention.</w:t>
      </w:r>
    </w:p>
    <w:p w:rsidR="32B6D65C" w:rsidP="32B6D65C" w:rsidRDefault="32B6D65C" w14:paraId="2E029C99" w14:textId="479D3907">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br/>
      </w:r>
      <w:r w:rsidRPr="32B6D65C" w:rsidR="32B6D65C">
        <w:rPr>
          <w:rFonts w:ascii="Arial" w:hAnsi="Arial" w:cs="Arial"/>
          <w:b w:val="1"/>
          <w:bCs w:val="1"/>
          <w:color w:val="0E101A"/>
          <w:sz w:val="24"/>
          <w:szCs w:val="24"/>
        </w:rPr>
        <w:t>2.6 Separation:</w:t>
      </w:r>
    </w:p>
    <w:p w:rsidR="32B6D65C" w:rsidP="32B6D65C" w:rsidRDefault="32B6D65C" w14:paraId="5CF06410">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Even though employee turnover is an unavoidable aspect of the employee lifecycle, companies should nonetheless make every effort to offer </w:t>
      </w:r>
      <w:r w:rsidRPr="32B6D65C" w:rsidR="32B6D65C">
        <w:rPr>
          <w:rFonts w:ascii="Arial" w:hAnsi="Arial" w:cs="Arial"/>
          <w:color w:val="0E101A"/>
          <w:sz w:val="24"/>
          <w:szCs w:val="24"/>
        </w:rPr>
        <w:t>a great experience</w:t>
      </w:r>
      <w:r w:rsidRPr="32B6D65C" w:rsidR="32B6D65C">
        <w:rPr>
          <w:rFonts w:ascii="Arial" w:hAnsi="Arial" w:cs="Arial"/>
          <w:color w:val="0E101A"/>
          <w:sz w:val="24"/>
          <w:szCs w:val="24"/>
        </w:rPr>
        <w:t xml:space="preserve"> for employees who are leaving the company. According to Cascio (2018), conducting exit interviews with departing employees can </w:t>
      </w:r>
      <w:r w:rsidRPr="32B6D65C" w:rsidR="32B6D65C">
        <w:rPr>
          <w:rFonts w:ascii="Arial" w:hAnsi="Arial" w:cs="Arial"/>
          <w:color w:val="0E101A"/>
          <w:sz w:val="24"/>
          <w:szCs w:val="24"/>
        </w:rPr>
        <w:t>provide</w:t>
      </w:r>
      <w:r w:rsidRPr="32B6D65C" w:rsidR="32B6D65C">
        <w:rPr>
          <w:rFonts w:ascii="Arial" w:hAnsi="Arial" w:cs="Arial"/>
          <w:color w:val="0E101A"/>
          <w:sz w:val="24"/>
          <w:szCs w:val="24"/>
        </w:rPr>
        <w:t xml:space="preserve"> useful insights into employee </w:t>
      </w:r>
      <w:r w:rsidRPr="32B6D65C" w:rsidR="32B6D65C">
        <w:rPr>
          <w:rFonts w:ascii="Arial" w:hAnsi="Arial" w:cs="Arial"/>
          <w:color w:val="0E101A"/>
          <w:sz w:val="24"/>
          <w:szCs w:val="24"/>
        </w:rPr>
        <w:t>perceptions</w:t>
      </w:r>
      <w:r w:rsidRPr="32B6D65C" w:rsidR="32B6D65C">
        <w:rPr>
          <w:rFonts w:ascii="Arial" w:hAnsi="Arial" w:cs="Arial"/>
          <w:color w:val="0E101A"/>
          <w:sz w:val="24"/>
          <w:szCs w:val="24"/>
        </w:rPr>
        <w:t xml:space="preserve">, reasons for leaving, and potential areas for development.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improve their retention strategy and build a great employer brand by addressing any concerns that are found during exit interviews and </w:t>
      </w:r>
      <w:r w:rsidRPr="32B6D65C" w:rsidR="32B6D65C">
        <w:rPr>
          <w:rFonts w:ascii="Arial" w:hAnsi="Arial" w:cs="Arial"/>
          <w:color w:val="0E101A"/>
          <w:sz w:val="24"/>
          <w:szCs w:val="24"/>
        </w:rPr>
        <w:t>taking action to resolve</w:t>
      </w:r>
      <w:r w:rsidRPr="32B6D65C" w:rsidR="32B6D65C">
        <w:rPr>
          <w:rFonts w:ascii="Arial" w:hAnsi="Arial" w:cs="Arial"/>
          <w:color w:val="0E101A"/>
          <w:sz w:val="24"/>
          <w:szCs w:val="24"/>
        </w:rPr>
        <w:t xml:space="preserve"> them.</w:t>
      </w:r>
    </w:p>
    <w:p w:rsidR="32B6D65C" w:rsidP="32B6D65C" w:rsidRDefault="32B6D65C" w14:paraId="701089FD">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03ECD053">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8B44670">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49CA5339">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8C605C5">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E8BFDDE">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AD52181">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III. Examples of How Talent Management Benefits Team/Organizational Performance:</w:t>
      </w:r>
    </w:p>
    <w:p w:rsidR="32B6D65C" w:rsidP="32B6D65C" w:rsidRDefault="32B6D65C" w14:paraId="53603DB5">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607329DA">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3.1 Example 1: Increased Employee Engagement:</w:t>
      </w:r>
    </w:p>
    <w:p w:rsidR="32B6D65C" w:rsidP="32B6D65C" w:rsidRDefault="32B6D65C" w14:paraId="19CFC8BC">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successful implementation of efficient practices for talent management results in increased levels of employee engagement. Employees who are engaged in their work are more likely to display higher levels of commitment to their jobs, </w:t>
      </w:r>
      <w:r w:rsidRPr="32B6D65C" w:rsidR="32B6D65C">
        <w:rPr>
          <w:rFonts w:ascii="Arial" w:hAnsi="Arial" w:cs="Arial"/>
          <w:color w:val="0E101A"/>
          <w:sz w:val="24"/>
          <w:szCs w:val="24"/>
        </w:rPr>
        <w:t>demonstrate</w:t>
      </w:r>
      <w:r w:rsidRPr="32B6D65C" w:rsidR="32B6D65C">
        <w:rPr>
          <w:rFonts w:ascii="Arial" w:hAnsi="Arial" w:cs="Arial"/>
          <w:color w:val="0E101A"/>
          <w:sz w:val="24"/>
          <w:szCs w:val="24"/>
        </w:rPr>
        <w:t xml:space="preserve"> higher levels of productivity, and are more likely to go </w:t>
      </w:r>
      <w:r w:rsidRPr="32B6D65C" w:rsidR="32B6D65C">
        <w:rPr>
          <w:rFonts w:ascii="Arial" w:hAnsi="Arial" w:cs="Arial"/>
          <w:color w:val="0E101A"/>
          <w:sz w:val="24"/>
          <w:szCs w:val="24"/>
        </w:rPr>
        <w:t>above and beyond</w:t>
      </w:r>
      <w:r w:rsidRPr="32B6D65C" w:rsidR="32B6D65C">
        <w:rPr>
          <w:rFonts w:ascii="Arial" w:hAnsi="Arial" w:cs="Arial"/>
          <w:color w:val="0E101A"/>
          <w:sz w:val="24"/>
          <w:szCs w:val="24"/>
        </w:rPr>
        <w:t xml:space="preserve"> the requirements of their jobs (Saks, 2020). Because of this, the performance of the team as well as the outcomes for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improve.</w:t>
      </w:r>
    </w:p>
    <w:p w:rsidR="32B6D65C" w:rsidP="32B6D65C" w:rsidRDefault="32B6D65C" w14:paraId="6E62C5D6">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6265FB5E">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3.2 Example 2: Enhanced Knowledge Transfer:</w:t>
      </w:r>
    </w:p>
    <w:p w:rsidR="32B6D65C" w:rsidP="32B6D65C" w:rsidRDefault="32B6D65C" w14:paraId="15AEB811">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According to Cappelli et al. (2019), talent management practices that include mentoring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and knowledge-sharing efforts are effective at </w:t>
      </w:r>
      <w:r w:rsidRPr="32B6D65C" w:rsidR="32B6D65C">
        <w:rPr>
          <w:rFonts w:ascii="Arial" w:hAnsi="Arial" w:cs="Arial"/>
          <w:color w:val="0E101A"/>
          <w:sz w:val="24"/>
          <w:szCs w:val="24"/>
        </w:rPr>
        <w:t>facilitating</w:t>
      </w:r>
      <w:r w:rsidRPr="32B6D65C" w:rsidR="32B6D65C">
        <w:rPr>
          <w:rFonts w:ascii="Arial" w:hAnsi="Arial" w:cs="Arial"/>
          <w:color w:val="0E101A"/>
          <w:sz w:val="24"/>
          <w:szCs w:val="24"/>
        </w:rPr>
        <w:t xml:space="preserve"> the transfer of knowledge and experience from one employee to another within an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This contributes to the development of a culture of learning and guarantees that vital information is preserved even after employees have left the company. An increase in the transmission of knowledge adds to an improvement in the overall performance of teams and the innovation of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w:t>
      </w:r>
    </w:p>
    <w:p w:rsidR="32B6D65C" w:rsidP="32B6D65C" w:rsidRDefault="32B6D65C" w14:paraId="4AAE5B13">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1A3A654">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3.3 Example 3: Reduced Turnover Costs:</w:t>
      </w:r>
    </w:p>
    <w:p w:rsidR="32B6D65C" w:rsidP="32B6D65C" w:rsidRDefault="32B6D65C" w14:paraId="1E1D9C79">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Reduced employee turnover rates lead to cost savings for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which is a direct benefit of effective talent management practices. According to Hausknecht et al. (2009), a high turnover rate can result in significant financial losses due to the costs associated with recruitment, onboarding, training, and lost productivity.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w:t>
      </w:r>
      <w:r w:rsidRPr="32B6D65C" w:rsidR="32B6D65C">
        <w:rPr>
          <w:rFonts w:ascii="Arial" w:hAnsi="Arial" w:cs="Arial"/>
          <w:color w:val="0E101A"/>
          <w:sz w:val="24"/>
          <w:szCs w:val="24"/>
        </w:rPr>
        <w:t>are able to</w:t>
      </w:r>
      <w:r w:rsidRPr="32B6D65C" w:rsidR="32B6D65C">
        <w:rPr>
          <w:rFonts w:ascii="Arial" w:hAnsi="Arial" w:cs="Arial"/>
          <w:color w:val="0E101A"/>
          <w:sz w:val="24"/>
          <w:szCs w:val="24"/>
        </w:rPr>
        <w:t xml:space="preserve"> reduce employee turnover and hold on to key talent if they put retention strategies into action and satisfy the demands of their workforce.</w:t>
      </w:r>
    </w:p>
    <w:p w:rsidR="32B6D65C" w:rsidP="32B6D65C" w:rsidRDefault="32B6D65C" w14:paraId="66A89948" w14:textId="00ACD777">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4724D3CD" w14:textId="13EAB055">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64210A3F">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IV. Best Practice Industry Examples:</w:t>
      </w:r>
    </w:p>
    <w:p w:rsidR="32B6D65C" w:rsidP="32B6D65C" w:rsidRDefault="32B6D65C" w14:paraId="4F0951A1">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66B2D0AA">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4.1 Example 1: Google's Talent Management Approach:</w:t>
      </w:r>
    </w:p>
    <w:p w:rsidR="32B6D65C" w:rsidP="32B6D65C" w:rsidRDefault="32B6D65C" w14:paraId="538862A3">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Google's talent management practices have received wide recognition. The company </w:t>
      </w:r>
      <w:r w:rsidRPr="32B6D65C" w:rsidR="32B6D65C">
        <w:rPr>
          <w:rFonts w:ascii="Arial" w:hAnsi="Arial" w:cs="Arial"/>
          <w:color w:val="0E101A"/>
          <w:sz w:val="24"/>
          <w:szCs w:val="24"/>
        </w:rPr>
        <w:t>prioritises</w:t>
      </w:r>
      <w:r w:rsidRPr="32B6D65C" w:rsidR="32B6D65C">
        <w:rPr>
          <w:rFonts w:ascii="Arial" w:hAnsi="Arial" w:cs="Arial"/>
          <w:color w:val="0E101A"/>
          <w:sz w:val="24"/>
          <w:szCs w:val="24"/>
        </w:rPr>
        <w:t xml:space="preserve"> hiring top talent, nurturing a culture of innovation and creativity, and providing employees with extensive opportunities for learning and growth (Bock, 2015). Google's "20% time" policy, which encourages employees to spend 20% of their time on projects outside of their primary responsibilities, fosters individual development and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innovation.</w:t>
      </w:r>
    </w:p>
    <w:p w:rsidR="32B6D65C" w:rsidP="32B6D65C" w:rsidRDefault="32B6D65C" w14:paraId="28768E68">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55754E15">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4.2 Example 2: Marriott International's Onboarding Program:</w:t>
      </w:r>
    </w:p>
    <w:p w:rsidR="32B6D65C" w:rsidP="32B6D65C" w:rsidRDefault="32B6D65C" w14:paraId="71E4E09F">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Marriott International's "Marriott Onboarding Passport" (MOP) </w:t>
      </w:r>
      <w:r w:rsidRPr="32B6D65C" w:rsidR="32B6D65C">
        <w:rPr>
          <w:rFonts w:ascii="Arial" w:hAnsi="Arial" w:cs="Arial"/>
          <w:color w:val="0E101A"/>
          <w:sz w:val="24"/>
          <w:szCs w:val="24"/>
        </w:rPr>
        <w:t>programme</w:t>
      </w:r>
      <w:r w:rsidRPr="32B6D65C" w:rsidR="32B6D65C">
        <w:rPr>
          <w:rFonts w:ascii="Arial" w:hAnsi="Arial" w:cs="Arial"/>
          <w:color w:val="0E101A"/>
          <w:sz w:val="24"/>
          <w:szCs w:val="24"/>
        </w:rPr>
        <w:t xml:space="preserve"> introduces new recruits to the company's culture, values, and service standards (Marriott International, n.d.). The </w:t>
      </w:r>
      <w:r w:rsidRPr="32B6D65C" w:rsidR="32B6D65C">
        <w:rPr>
          <w:rFonts w:ascii="Arial" w:hAnsi="Arial" w:cs="Arial"/>
          <w:color w:val="0E101A"/>
          <w:sz w:val="24"/>
          <w:szCs w:val="24"/>
        </w:rPr>
        <w:t>programme</w:t>
      </w:r>
      <w:r w:rsidRPr="32B6D65C" w:rsidR="32B6D65C">
        <w:rPr>
          <w:rFonts w:ascii="Arial" w:hAnsi="Arial" w:cs="Arial"/>
          <w:color w:val="0E101A"/>
          <w:sz w:val="24"/>
          <w:szCs w:val="24"/>
        </w:rPr>
        <w:t xml:space="preserve"> includes interactive modules, opportunities for on-the-job training, and mentorship. This structured approach to induction guarantees</w:t>
      </w:r>
    </w:p>
    <w:p w:rsidR="32B6D65C" w:rsidP="32B6D65C" w:rsidRDefault="32B6D65C" w14:paraId="60F01864">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55CD3C2E">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A seamless onboarding process increases the engagement and productivity of new employees.</w:t>
      </w:r>
    </w:p>
    <w:p w:rsidR="32B6D65C" w:rsidP="32B6D65C" w:rsidRDefault="32B6D65C" w14:paraId="0E9BC365">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1B3C2FD8">
      <w:pPr>
        <w:pStyle w:val="3"/>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4.3 Example 3: Patagonia's Employee Development Initiatives:</w:t>
      </w:r>
    </w:p>
    <w:p w:rsidR="32B6D65C" w:rsidP="32B6D65C" w:rsidRDefault="32B6D65C" w14:paraId="3B94D516">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Patagonia, a manufacturer of outdoor apparel, is renowned for its employee-centric approach to personnel management. The company offers </w:t>
      </w:r>
      <w:r w:rsidRPr="32B6D65C" w:rsidR="32B6D65C">
        <w:rPr>
          <w:rFonts w:ascii="Arial" w:hAnsi="Arial" w:cs="Arial"/>
          <w:color w:val="0E101A"/>
          <w:sz w:val="24"/>
          <w:szCs w:val="24"/>
        </w:rPr>
        <w:t>numerous</w:t>
      </w:r>
      <w:r w:rsidRPr="32B6D65C" w:rsidR="32B6D65C">
        <w:rPr>
          <w:rFonts w:ascii="Arial" w:hAnsi="Arial" w:cs="Arial"/>
          <w:color w:val="0E101A"/>
          <w:sz w:val="24"/>
          <w:szCs w:val="24"/>
        </w:rPr>
        <w:t xml:space="preserve"> opportunities for professional growth, including on-site </w:t>
      </w:r>
      <w:r w:rsidRPr="32B6D65C" w:rsidR="32B6D65C">
        <w:rPr>
          <w:rFonts w:ascii="Arial" w:hAnsi="Arial" w:cs="Arial"/>
          <w:color w:val="0E101A"/>
          <w:sz w:val="24"/>
          <w:szCs w:val="24"/>
        </w:rPr>
        <w:t>child care</w:t>
      </w:r>
      <w:r w:rsidRPr="32B6D65C" w:rsidR="32B6D65C">
        <w:rPr>
          <w:rFonts w:ascii="Arial" w:hAnsi="Arial" w:cs="Arial"/>
          <w:color w:val="0E101A"/>
          <w:sz w:val="24"/>
          <w:szCs w:val="24"/>
        </w:rPr>
        <w:t xml:space="preserve">, flexible work arrangements, and sabbatical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(Patagonia, n.d.). These initiatives promote the work-life balance, personal development, and overall well-being of employees, resulting in increased engagement and retention.</w:t>
      </w:r>
    </w:p>
    <w:p w:rsidR="32B6D65C" w:rsidP="32B6D65C" w:rsidRDefault="32B6D65C" w14:paraId="620044C3">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15D8E014">
      <w:pPr>
        <w:pStyle w:val="8"/>
        <w:keepNext w:val="0"/>
        <w:keepLines w:val="0"/>
        <w:widowControl w:val="1"/>
        <w:spacing w:before="0" w:beforeAutospacing="off" w:after="0" w:afterAutospacing="off" w:line="360" w:lineRule="auto"/>
        <w:jc w:val="both"/>
        <w:rPr>
          <w:rFonts w:ascii="Arial" w:hAnsi="Arial" w:cs="Arial"/>
          <w:b w:val="1"/>
          <w:bCs w:val="1"/>
          <w:color w:val="0E101A"/>
          <w:sz w:val="24"/>
          <w:szCs w:val="24"/>
        </w:rPr>
      </w:pPr>
    </w:p>
    <w:p w:rsidR="32B6D65C" w:rsidP="32B6D65C" w:rsidRDefault="32B6D65C" w14:paraId="64B47D62" w14:textId="30B9DDDC">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Critical Analysis and Evaluation:</w:t>
      </w:r>
    </w:p>
    <w:p w:rsidR="32B6D65C" w:rsidP="32B6D65C" w:rsidRDefault="32B6D65C" w14:paraId="151391B2">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ECDA4B3">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Human resources play a crucial role in managing and cultivating talent in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particularly in the context of a large hotel. Background information </w:t>
      </w:r>
      <w:r w:rsidRPr="32B6D65C" w:rsidR="32B6D65C">
        <w:rPr>
          <w:rFonts w:ascii="Arial" w:hAnsi="Arial" w:cs="Arial"/>
          <w:color w:val="0E101A"/>
          <w:sz w:val="24"/>
          <w:szCs w:val="24"/>
        </w:rPr>
        <w:t>indicates</w:t>
      </w:r>
      <w:r w:rsidRPr="32B6D65C" w:rsidR="32B6D65C">
        <w:rPr>
          <w:rFonts w:ascii="Arial" w:hAnsi="Arial" w:cs="Arial"/>
          <w:color w:val="0E101A"/>
          <w:sz w:val="24"/>
          <w:szCs w:val="24"/>
        </w:rPr>
        <w:t xml:space="preserve"> that the human resources department must take specific measures to effectively manage and cultivate talent throughout the employee lifecycle. </w:t>
      </w:r>
      <w:r w:rsidRPr="32B6D65C" w:rsidR="32B6D65C">
        <w:rPr>
          <w:rFonts w:ascii="Arial" w:hAnsi="Arial" w:cs="Arial"/>
          <w:color w:val="0E101A"/>
          <w:sz w:val="24"/>
          <w:szCs w:val="24"/>
        </w:rPr>
        <w:t>Let's</w:t>
      </w:r>
      <w:r w:rsidRPr="32B6D65C" w:rsidR="32B6D65C">
        <w:rPr>
          <w:rFonts w:ascii="Arial" w:hAnsi="Arial" w:cs="Arial"/>
          <w:color w:val="0E101A"/>
          <w:sz w:val="24"/>
          <w:szCs w:val="24"/>
        </w:rPr>
        <w:t xml:space="preserve"> evaluate the phases of the employee lifecycle and evaluate the significance of talent management.</w:t>
      </w:r>
    </w:p>
    <w:p w:rsidR="32B6D65C" w:rsidP="32B6D65C" w:rsidRDefault="32B6D65C" w14:paraId="08469A69">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23DC80F">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require talent management </w:t>
      </w:r>
      <w:r w:rsidRPr="32B6D65C" w:rsidR="32B6D65C">
        <w:rPr>
          <w:rFonts w:ascii="Arial" w:hAnsi="Arial" w:cs="Arial"/>
          <w:color w:val="0E101A"/>
          <w:sz w:val="24"/>
          <w:szCs w:val="24"/>
        </w:rPr>
        <w:t>in order to</w:t>
      </w:r>
      <w:r w:rsidRPr="32B6D65C" w:rsidR="32B6D65C">
        <w:rPr>
          <w:rFonts w:ascii="Arial" w:hAnsi="Arial" w:cs="Arial"/>
          <w:color w:val="0E101A"/>
          <w:sz w:val="24"/>
          <w:szCs w:val="24"/>
        </w:rPr>
        <w:t xml:space="preserve"> attract, </w:t>
      </w:r>
      <w:r w:rsidRPr="32B6D65C" w:rsidR="32B6D65C">
        <w:rPr>
          <w:rFonts w:ascii="Arial" w:hAnsi="Arial" w:cs="Arial"/>
          <w:color w:val="0E101A"/>
          <w:sz w:val="24"/>
          <w:szCs w:val="24"/>
        </w:rPr>
        <w:t>retain</w:t>
      </w:r>
      <w:r w:rsidRPr="32B6D65C" w:rsidR="32B6D65C">
        <w:rPr>
          <w:rFonts w:ascii="Arial" w:hAnsi="Arial" w:cs="Arial"/>
          <w:color w:val="0E101A"/>
          <w:sz w:val="24"/>
          <w:szCs w:val="24"/>
        </w:rPr>
        <w:t xml:space="preserve">, and engage high-performing employees. It focuses on long-term strategies to </w:t>
      </w:r>
      <w:r w:rsidRPr="32B6D65C" w:rsidR="32B6D65C">
        <w:rPr>
          <w:rFonts w:ascii="Arial" w:hAnsi="Arial" w:cs="Arial"/>
          <w:color w:val="0E101A"/>
          <w:sz w:val="24"/>
          <w:szCs w:val="24"/>
        </w:rPr>
        <w:t>identify</w:t>
      </w:r>
      <w:r w:rsidRPr="32B6D65C" w:rsidR="32B6D65C">
        <w:rPr>
          <w:rFonts w:ascii="Arial" w:hAnsi="Arial" w:cs="Arial"/>
          <w:color w:val="0E101A"/>
          <w:sz w:val="24"/>
          <w:szCs w:val="24"/>
        </w:rPr>
        <w:t xml:space="preserve">, cultivate, and nurture talent within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Improved team and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performance </w:t>
      </w:r>
      <w:r w:rsidRPr="32B6D65C" w:rsidR="32B6D65C">
        <w:rPr>
          <w:rFonts w:ascii="Arial" w:hAnsi="Arial" w:cs="Arial"/>
          <w:color w:val="0E101A"/>
          <w:sz w:val="24"/>
          <w:szCs w:val="24"/>
        </w:rPr>
        <w:t>is</w:t>
      </w:r>
      <w:r w:rsidRPr="32B6D65C" w:rsidR="32B6D65C">
        <w:rPr>
          <w:rFonts w:ascii="Arial" w:hAnsi="Arial" w:cs="Arial"/>
          <w:color w:val="0E101A"/>
          <w:sz w:val="24"/>
          <w:szCs w:val="24"/>
        </w:rPr>
        <w:t xml:space="preserve"> a result of effective talent management. However, it is essential to evaluate critically the phases of the employee lifecycle described in the context.</w:t>
      </w:r>
    </w:p>
    <w:p w:rsidR="32B6D65C" w:rsidP="32B6D65C" w:rsidRDefault="32B6D65C" w14:paraId="08AD85F7">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6FC9572">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47FEB739">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w:t>
      </w:r>
      <w:r w:rsidRPr="32B6D65C" w:rsidR="32B6D65C">
        <w:rPr>
          <w:rFonts w:ascii="Arial" w:hAnsi="Arial" w:cs="Arial"/>
          <w:color w:val="0E101A"/>
          <w:sz w:val="24"/>
          <w:szCs w:val="24"/>
        </w:rPr>
        <w:t>objective</w:t>
      </w:r>
      <w:r w:rsidRPr="32B6D65C" w:rsidR="32B6D65C">
        <w:rPr>
          <w:rFonts w:ascii="Arial" w:hAnsi="Arial" w:cs="Arial"/>
          <w:color w:val="0E101A"/>
          <w:sz w:val="24"/>
          <w:szCs w:val="24"/>
        </w:rPr>
        <w:t xml:space="preserve"> of the attraction phase is to attract candidates who </w:t>
      </w:r>
      <w:r w:rsidRPr="32B6D65C" w:rsidR="32B6D65C">
        <w:rPr>
          <w:rFonts w:ascii="Arial" w:hAnsi="Arial" w:cs="Arial"/>
          <w:color w:val="0E101A"/>
          <w:sz w:val="24"/>
          <w:szCs w:val="24"/>
        </w:rPr>
        <w:t>possess</w:t>
      </w:r>
      <w:r w:rsidRPr="32B6D65C" w:rsidR="32B6D65C">
        <w:rPr>
          <w:rFonts w:ascii="Arial" w:hAnsi="Arial" w:cs="Arial"/>
          <w:color w:val="0E101A"/>
          <w:sz w:val="24"/>
          <w:szCs w:val="24"/>
        </w:rPr>
        <w:t xml:space="preserve"> the desired skills and credentials. Despite the importance of attracting top talent, the analysis should consider whether the methods used correspond with the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culture and values. It is necessary to evaluate whether the employed recruitment channels and strategies effectively target the right candidates and reflect the employer brand of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w:t>
      </w:r>
    </w:p>
    <w:p w:rsidR="32B6D65C" w:rsidP="32B6D65C" w:rsidRDefault="32B6D65C" w14:paraId="4DCECF9C" w14:textId="4695231E">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174EE650">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recruitment phase entails the </w:t>
      </w:r>
      <w:r w:rsidRPr="32B6D65C" w:rsidR="32B6D65C">
        <w:rPr>
          <w:rFonts w:ascii="Arial" w:hAnsi="Arial" w:cs="Arial"/>
          <w:color w:val="0E101A"/>
          <w:sz w:val="24"/>
          <w:szCs w:val="24"/>
        </w:rPr>
        <w:t>selection</w:t>
      </w:r>
      <w:r w:rsidRPr="32B6D65C" w:rsidR="32B6D65C">
        <w:rPr>
          <w:rFonts w:ascii="Arial" w:hAnsi="Arial" w:cs="Arial"/>
          <w:color w:val="0E101A"/>
          <w:sz w:val="24"/>
          <w:szCs w:val="24"/>
        </w:rPr>
        <w:t xml:space="preserve"> and hiring of candidates who are the best match for the position. It is essential to evaluate the efficacy of recruitment processes such as job advertisements, screening techniques, and interviews. The evaluation should consider whether the recruitment methods are effective, impartial, and able to </w:t>
      </w:r>
      <w:r w:rsidRPr="32B6D65C" w:rsidR="32B6D65C">
        <w:rPr>
          <w:rFonts w:ascii="Arial" w:hAnsi="Arial" w:cs="Arial"/>
          <w:color w:val="0E101A"/>
          <w:sz w:val="24"/>
          <w:szCs w:val="24"/>
        </w:rPr>
        <w:t>identify</w:t>
      </w:r>
      <w:r w:rsidRPr="32B6D65C" w:rsidR="32B6D65C">
        <w:rPr>
          <w:rFonts w:ascii="Arial" w:hAnsi="Arial" w:cs="Arial"/>
          <w:color w:val="0E101A"/>
          <w:sz w:val="24"/>
          <w:szCs w:val="24"/>
        </w:rPr>
        <w:t xml:space="preserve"> candidates who correspond with the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w:t>
      </w:r>
      <w:r w:rsidRPr="32B6D65C" w:rsidR="32B6D65C">
        <w:rPr>
          <w:rFonts w:ascii="Arial" w:hAnsi="Arial" w:cs="Arial"/>
          <w:color w:val="0E101A"/>
          <w:sz w:val="24"/>
          <w:szCs w:val="24"/>
        </w:rPr>
        <w:t>objectives</w:t>
      </w:r>
      <w:r w:rsidRPr="32B6D65C" w:rsidR="32B6D65C">
        <w:rPr>
          <w:rFonts w:ascii="Arial" w:hAnsi="Arial" w:cs="Arial"/>
          <w:color w:val="0E101A"/>
          <w:sz w:val="24"/>
          <w:szCs w:val="24"/>
        </w:rPr>
        <w:t xml:space="preserve"> and values.</w:t>
      </w:r>
    </w:p>
    <w:p w:rsidR="32B6D65C" w:rsidP="32B6D65C" w:rsidRDefault="32B6D65C" w14:paraId="2DA187E5" w14:textId="68D21D75">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427041BC">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Onboarding </w:t>
      </w:r>
      <w:r w:rsidRPr="32B6D65C" w:rsidR="32B6D65C">
        <w:rPr>
          <w:rFonts w:ascii="Arial" w:hAnsi="Arial" w:cs="Arial"/>
          <w:color w:val="0E101A"/>
          <w:sz w:val="24"/>
          <w:szCs w:val="24"/>
        </w:rPr>
        <w:t>facilitates</w:t>
      </w:r>
      <w:r w:rsidRPr="32B6D65C" w:rsidR="32B6D65C">
        <w:rPr>
          <w:rFonts w:ascii="Arial" w:hAnsi="Arial" w:cs="Arial"/>
          <w:color w:val="0E101A"/>
          <w:sz w:val="24"/>
          <w:szCs w:val="24"/>
        </w:rPr>
        <w:t xml:space="preserve"> the successful incorporation of new employees into an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The focus of critical analysis should be the efficiency with which induction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introduce new employees to the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culture, values, and expectations. The evaluation should consider whether the onboarding procedure helps new hires feel welcomed, supported, and equipped to perform their duties effectively.</w:t>
      </w:r>
    </w:p>
    <w:p w:rsidR="32B6D65C" w:rsidP="32B6D65C" w:rsidRDefault="32B6D65C" w14:paraId="11B97E7E" w14:textId="1E6B8CCA">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303013D">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development of employees is a crucial stage that contributes to engagement, expansion, and long-term retention. It is essential to evaluate the efficacy of development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and initiatives critically. This includes evaluating the alignment of training and development activities with employees' career aspirations, </w:t>
      </w:r>
      <w:r w:rsidRPr="32B6D65C" w:rsidR="32B6D65C">
        <w:rPr>
          <w:rFonts w:ascii="Arial" w:hAnsi="Arial" w:cs="Arial"/>
          <w:color w:val="0E101A"/>
          <w:sz w:val="24"/>
          <w:szCs w:val="24"/>
        </w:rPr>
        <w:t>determining</w:t>
      </w:r>
      <w:r w:rsidRPr="32B6D65C" w:rsidR="32B6D65C">
        <w:rPr>
          <w:rFonts w:ascii="Arial" w:hAnsi="Arial" w:cs="Arial"/>
          <w:color w:val="0E101A"/>
          <w:sz w:val="24"/>
          <w:szCs w:val="24"/>
        </w:rPr>
        <w:t xml:space="preserve"> whether the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accommodate diverse learning styles, and assessing the influence of development efforts on employee performance and job satisfaction.</w:t>
      </w:r>
    </w:p>
    <w:p w:rsidR="32B6D65C" w:rsidP="32B6D65C" w:rsidRDefault="32B6D65C" w14:paraId="45B98169" w14:textId="7BE5DD21">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3C2C4E0D">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Retention strategies </w:t>
      </w:r>
      <w:r w:rsidRPr="32B6D65C" w:rsidR="32B6D65C">
        <w:rPr>
          <w:rFonts w:ascii="Arial" w:hAnsi="Arial" w:cs="Arial"/>
          <w:color w:val="0E101A"/>
          <w:sz w:val="24"/>
          <w:szCs w:val="24"/>
        </w:rPr>
        <w:t>seek</w:t>
      </w:r>
      <w:r w:rsidRPr="32B6D65C" w:rsidR="32B6D65C">
        <w:rPr>
          <w:rFonts w:ascii="Arial" w:hAnsi="Arial" w:cs="Arial"/>
          <w:color w:val="0E101A"/>
          <w:sz w:val="24"/>
          <w:szCs w:val="24"/>
        </w:rPr>
        <w:t xml:space="preserve"> to </w:t>
      </w:r>
      <w:r w:rsidRPr="32B6D65C" w:rsidR="32B6D65C">
        <w:rPr>
          <w:rFonts w:ascii="Arial" w:hAnsi="Arial" w:cs="Arial"/>
          <w:color w:val="0E101A"/>
          <w:sz w:val="24"/>
          <w:szCs w:val="24"/>
        </w:rPr>
        <w:t>maintain</w:t>
      </w:r>
      <w:r w:rsidRPr="32B6D65C" w:rsidR="32B6D65C">
        <w:rPr>
          <w:rFonts w:ascii="Arial" w:hAnsi="Arial" w:cs="Arial"/>
          <w:color w:val="0E101A"/>
          <w:sz w:val="24"/>
          <w:szCs w:val="24"/>
        </w:rPr>
        <w:t xml:space="preserve"> employee engagement, satisfaction, and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loyalty. The analysis should assess the efficacy of retention initiatives, such as compensation and benefits, work-life balance </w:t>
      </w:r>
      <w:r w:rsidRPr="32B6D65C" w:rsidR="32B6D65C">
        <w:rPr>
          <w:rFonts w:ascii="Arial" w:hAnsi="Arial" w:cs="Arial"/>
          <w:color w:val="0E101A"/>
          <w:sz w:val="24"/>
          <w:szCs w:val="24"/>
        </w:rPr>
        <w:t>programmes</w:t>
      </w:r>
      <w:r w:rsidRPr="32B6D65C" w:rsidR="32B6D65C">
        <w:rPr>
          <w:rFonts w:ascii="Arial" w:hAnsi="Arial" w:cs="Arial"/>
          <w:color w:val="0E101A"/>
          <w:sz w:val="24"/>
          <w:szCs w:val="24"/>
        </w:rPr>
        <w:t xml:space="preserve">, and career advancement opportunities. The evaluation should consider whether these strategies are aligned with the needs, motivations, and expectations of employees and whether they contribute to long-term employee retention and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stability.</w:t>
      </w:r>
    </w:p>
    <w:p w:rsidR="32B6D65C" w:rsidP="32B6D65C" w:rsidRDefault="32B6D65C" w14:paraId="3113D841" w14:textId="4DB7DB8A">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231CB1B4" w14:textId="1CE62C8C">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severance phase involves employees' departure from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The analysis should evaluate the company's strategy for managing separations and conducting exit interviews. Evaluation should focus on whether exit interviews </w:t>
      </w:r>
      <w:r w:rsidRPr="32B6D65C" w:rsidR="32B6D65C">
        <w:rPr>
          <w:rFonts w:ascii="Arial" w:hAnsi="Arial" w:cs="Arial"/>
          <w:color w:val="0E101A"/>
          <w:sz w:val="24"/>
          <w:szCs w:val="24"/>
        </w:rPr>
        <w:t>provide</w:t>
      </w:r>
      <w:r w:rsidRPr="32B6D65C" w:rsidR="32B6D65C">
        <w:rPr>
          <w:rFonts w:ascii="Arial" w:hAnsi="Arial" w:cs="Arial"/>
          <w:color w:val="0E101A"/>
          <w:sz w:val="24"/>
          <w:szCs w:val="24"/>
        </w:rPr>
        <w:t xml:space="preserve"> valuable insights and whether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takes the necessary steps to improve retention strategies and resolve any identified issues.</w:t>
      </w:r>
    </w:p>
    <w:p w:rsidR="32B6D65C" w:rsidP="32B6D65C" w:rsidRDefault="32B6D65C" w14:paraId="4E6FA662">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50382491">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Even though talent management throughout the employee lifecycle is essential for </w:t>
      </w:r>
      <w:r w:rsidRPr="32B6D65C" w:rsidR="32B6D65C">
        <w:rPr>
          <w:rFonts w:ascii="Arial" w:hAnsi="Arial" w:cs="Arial"/>
          <w:color w:val="0E101A"/>
          <w:sz w:val="24"/>
          <w:szCs w:val="24"/>
        </w:rPr>
        <w:t>organisational</w:t>
      </w:r>
      <w:r w:rsidRPr="32B6D65C" w:rsidR="32B6D65C">
        <w:rPr>
          <w:rFonts w:ascii="Arial" w:hAnsi="Arial" w:cs="Arial"/>
          <w:color w:val="0E101A"/>
          <w:sz w:val="24"/>
          <w:szCs w:val="24"/>
        </w:rPr>
        <w:t xml:space="preserve"> success, critical analysis and evaluation of each stage are necessary to ensure the HR department's actions are effective. By evaluating attraction, recruitment, onboarding, development, retention, and separation strategies critically,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can perpetually improve their talent management </w:t>
      </w:r>
      <w:r w:rsidRPr="32B6D65C" w:rsidR="32B6D65C">
        <w:rPr>
          <w:rFonts w:ascii="Arial" w:hAnsi="Arial" w:cs="Arial"/>
          <w:color w:val="0E101A"/>
          <w:sz w:val="24"/>
          <w:szCs w:val="24"/>
        </w:rPr>
        <w:t>practises</w:t>
      </w:r>
      <w:r w:rsidRPr="32B6D65C" w:rsidR="32B6D65C">
        <w:rPr>
          <w:rFonts w:ascii="Arial" w:hAnsi="Arial" w:cs="Arial"/>
          <w:color w:val="0E101A"/>
          <w:sz w:val="24"/>
          <w:szCs w:val="24"/>
        </w:rPr>
        <w:t xml:space="preserve"> and enhance the performance of their teams and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w:t>
      </w:r>
    </w:p>
    <w:p w:rsidR="32B6D65C" w:rsidP="32B6D65C" w:rsidRDefault="32B6D65C" w14:paraId="0A75DC42">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2F41F669">
      <w:pPr>
        <w:pStyle w:val="2"/>
        <w:keepNext w:val="0"/>
        <w:keepLines w:val="0"/>
        <w:widowControl w:val="1"/>
        <w:spacing w:before="0" w:beforeAutospacing="off" w:after="0" w:afterAutospacing="off" w:line="360" w:lineRule="auto"/>
        <w:jc w:val="both"/>
        <w:rPr>
          <w:rFonts w:ascii="Arial" w:hAnsi="Arial" w:cs="Arial"/>
          <w:b w:val="1"/>
          <w:bCs w:val="1"/>
          <w:color w:val="0E101A"/>
          <w:sz w:val="24"/>
          <w:szCs w:val="24"/>
        </w:rPr>
      </w:pPr>
      <w:r w:rsidRPr="32B6D65C" w:rsidR="32B6D65C">
        <w:rPr>
          <w:rFonts w:ascii="Arial" w:hAnsi="Arial" w:cs="Arial"/>
          <w:b w:val="1"/>
          <w:bCs w:val="1"/>
          <w:color w:val="0E101A"/>
          <w:sz w:val="24"/>
          <w:szCs w:val="24"/>
        </w:rPr>
        <w:t>Conclusion</w:t>
      </w:r>
    </w:p>
    <w:p w:rsidR="32B6D65C" w:rsidP="32B6D65C" w:rsidRDefault="32B6D65C" w14:paraId="1F205D6D">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It is essential for businesses that want to attract, </w:t>
      </w:r>
      <w:r w:rsidRPr="32B6D65C" w:rsidR="32B6D65C">
        <w:rPr>
          <w:rFonts w:ascii="Arial" w:hAnsi="Arial" w:cs="Arial"/>
          <w:color w:val="0E101A"/>
          <w:sz w:val="24"/>
          <w:szCs w:val="24"/>
        </w:rPr>
        <w:t>retain</w:t>
      </w:r>
      <w:r w:rsidRPr="32B6D65C" w:rsidR="32B6D65C">
        <w:rPr>
          <w:rFonts w:ascii="Arial" w:hAnsi="Arial" w:cs="Arial"/>
          <w:color w:val="0E101A"/>
          <w:sz w:val="24"/>
          <w:szCs w:val="24"/>
        </w:rPr>
        <w:t xml:space="preserve">, and engage top performers to have an effective personnel management and development system in place throughout the entire employee lifetime. </w:t>
      </w:r>
    </w:p>
    <w:p w:rsidR="32B6D65C" w:rsidP="32B6D65C" w:rsidRDefault="32B6D65C" w14:paraId="171D5E08">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7554B40F">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The human resources department of a major hotel can design a talent management framework that adds to the success of both the team and the </w:t>
      </w:r>
      <w:r w:rsidRPr="32B6D65C" w:rsidR="32B6D65C">
        <w:rPr>
          <w:rFonts w:ascii="Arial" w:hAnsi="Arial" w:cs="Arial"/>
          <w:color w:val="0E101A"/>
          <w:sz w:val="24"/>
          <w:szCs w:val="24"/>
        </w:rPr>
        <w:t>organisation</w:t>
      </w:r>
      <w:r w:rsidRPr="32B6D65C" w:rsidR="32B6D65C">
        <w:rPr>
          <w:rFonts w:ascii="Arial" w:hAnsi="Arial" w:cs="Arial"/>
          <w:color w:val="0E101A"/>
          <w:sz w:val="24"/>
          <w:szCs w:val="24"/>
        </w:rPr>
        <w:t xml:space="preserve"> by methodically addressing issues </w:t>
      </w:r>
      <w:r w:rsidRPr="32B6D65C" w:rsidR="32B6D65C">
        <w:rPr>
          <w:rFonts w:ascii="Arial" w:hAnsi="Arial" w:cs="Arial"/>
          <w:color w:val="0E101A"/>
          <w:sz w:val="24"/>
          <w:szCs w:val="24"/>
        </w:rPr>
        <w:t>pertaining to</w:t>
      </w:r>
      <w:r w:rsidRPr="32B6D65C" w:rsidR="32B6D65C">
        <w:rPr>
          <w:rFonts w:ascii="Arial" w:hAnsi="Arial" w:cs="Arial"/>
          <w:color w:val="0E101A"/>
          <w:sz w:val="24"/>
          <w:szCs w:val="24"/>
        </w:rPr>
        <w:t xml:space="preserve"> attraction, recruiting, onboarding, development, retention, and separation of employees. </w:t>
      </w:r>
    </w:p>
    <w:p w:rsidR="32B6D65C" w:rsidP="32B6D65C" w:rsidRDefault="32B6D65C" w14:paraId="04204A83">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2252E1A1">
      <w:pPr>
        <w:pStyle w:val="8"/>
        <w:keepNext w:val="0"/>
        <w:keepLines w:val="0"/>
        <w:widowControl w:val="1"/>
        <w:spacing w:before="0" w:beforeAutospacing="off" w:after="0" w:afterAutospacing="off" w:line="360" w:lineRule="auto"/>
        <w:jc w:val="both"/>
        <w:rPr>
          <w:rFonts w:ascii="Arial" w:hAnsi="Arial" w:cs="Arial"/>
          <w:color w:val="0E101A"/>
          <w:sz w:val="24"/>
          <w:szCs w:val="24"/>
        </w:rPr>
      </w:pPr>
      <w:r w:rsidRPr="32B6D65C" w:rsidR="32B6D65C">
        <w:rPr>
          <w:rFonts w:ascii="Arial" w:hAnsi="Arial" w:cs="Arial"/>
          <w:color w:val="0E101A"/>
          <w:sz w:val="24"/>
          <w:szCs w:val="24"/>
        </w:rPr>
        <w:t xml:space="preserve">As a result of this in-depth investigation and review, it has become abundantly clear that talent management is not only important for </w:t>
      </w:r>
      <w:r w:rsidRPr="32B6D65C" w:rsidR="32B6D65C">
        <w:rPr>
          <w:rFonts w:ascii="Arial" w:hAnsi="Arial" w:cs="Arial"/>
          <w:color w:val="0E101A"/>
          <w:sz w:val="24"/>
          <w:szCs w:val="24"/>
        </w:rPr>
        <w:t>organisations</w:t>
      </w:r>
      <w:r w:rsidRPr="32B6D65C" w:rsidR="32B6D65C">
        <w:rPr>
          <w:rFonts w:ascii="Arial" w:hAnsi="Arial" w:cs="Arial"/>
          <w:color w:val="0E101A"/>
          <w:sz w:val="24"/>
          <w:szCs w:val="24"/>
        </w:rPr>
        <w:t xml:space="preserve"> to </w:t>
      </w:r>
      <w:r w:rsidRPr="32B6D65C" w:rsidR="32B6D65C">
        <w:rPr>
          <w:rFonts w:ascii="Arial" w:hAnsi="Arial" w:cs="Arial"/>
          <w:color w:val="0E101A"/>
          <w:sz w:val="24"/>
          <w:szCs w:val="24"/>
        </w:rPr>
        <w:t>practise</w:t>
      </w:r>
      <w:r w:rsidRPr="32B6D65C" w:rsidR="32B6D65C">
        <w:rPr>
          <w:rFonts w:ascii="Arial" w:hAnsi="Arial" w:cs="Arial"/>
          <w:color w:val="0E101A"/>
          <w:sz w:val="24"/>
          <w:szCs w:val="24"/>
        </w:rPr>
        <w:t xml:space="preserve"> but also a strategic necessity </w:t>
      </w:r>
      <w:r w:rsidRPr="32B6D65C" w:rsidR="32B6D65C">
        <w:rPr>
          <w:rFonts w:ascii="Arial" w:hAnsi="Arial" w:cs="Arial"/>
          <w:color w:val="0E101A"/>
          <w:sz w:val="24"/>
          <w:szCs w:val="24"/>
        </w:rPr>
        <w:t>in order to</w:t>
      </w:r>
      <w:r w:rsidRPr="32B6D65C" w:rsidR="32B6D65C">
        <w:rPr>
          <w:rFonts w:ascii="Arial" w:hAnsi="Arial" w:cs="Arial"/>
          <w:color w:val="0E101A"/>
          <w:sz w:val="24"/>
          <w:szCs w:val="24"/>
        </w:rPr>
        <w:t xml:space="preserve"> thrive in the modern business environment.</w:t>
      </w:r>
    </w:p>
    <w:p w:rsidR="32B6D65C" w:rsidP="32B6D65C" w:rsidRDefault="32B6D65C" w14:paraId="7490FECE" w14:textId="7762981A">
      <w:pPr>
        <w:pStyle w:val="8"/>
        <w:keepNext w:val="0"/>
        <w:keepLines w:val="0"/>
        <w:widowControl w:val="1"/>
        <w:spacing w:before="0" w:beforeAutospacing="off" w:after="0" w:afterAutospacing="off" w:line="360" w:lineRule="auto"/>
        <w:jc w:val="both"/>
        <w:rPr>
          <w:rFonts w:ascii="Arial" w:hAnsi="Arial" w:cs="Arial"/>
          <w:color w:val="0E101A"/>
          <w:sz w:val="24"/>
          <w:szCs w:val="24"/>
        </w:rPr>
      </w:pPr>
    </w:p>
    <w:p w:rsidR="32B6D65C" w:rsidP="32B6D65C" w:rsidRDefault="32B6D65C" w14:paraId="64B9A2D5">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3C1855FA" w14:textId="099BF252">
      <w:pPr>
        <w:pStyle w:val="2"/>
        <w:keepNext w:val="0"/>
        <w:keepLines w:val="0"/>
        <w:widowControl w:val="1"/>
        <w:spacing w:before="0" w:beforeAutospacing="off" w:after="0" w:afterAutospacing="off" w:line="360" w:lineRule="auto"/>
        <w:rPr>
          <w:rFonts w:ascii="Arial" w:hAnsi="Arial" w:cs="Arial"/>
          <w:b w:val="1"/>
          <w:bCs w:val="1"/>
          <w:color w:val="0E101A"/>
          <w:sz w:val="24"/>
          <w:szCs w:val="24"/>
        </w:rPr>
      </w:pPr>
      <w:r w:rsidRPr="32B6D65C" w:rsidR="32B6D65C">
        <w:rPr>
          <w:rFonts w:ascii="Arial" w:hAnsi="Arial" w:cs="Arial"/>
          <w:b w:val="1"/>
          <w:bCs w:val="1"/>
          <w:color w:val="0E101A"/>
          <w:sz w:val="24"/>
          <w:szCs w:val="24"/>
        </w:rPr>
        <w:t>References</w:t>
      </w:r>
    </w:p>
    <w:p w:rsidR="32B6D65C" w:rsidP="32B6D65C" w:rsidRDefault="32B6D65C" w14:paraId="17F73B04">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B34F4D0">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 Allen, D. G., &amp; Bryant, P. C. (2012). Retaining talent: Replacing misconceptions with evidence-based strategies. Academy of Management Perspectives, 26(2), 48-64.</w:t>
      </w:r>
    </w:p>
    <w:p w:rsidR="32B6D65C" w:rsidP="32B6D65C" w:rsidRDefault="32B6D65C" w14:paraId="5B72C35D">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2D909F47">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2. Armstrong, M., &amp; Taylor, S. (2017). Armstrong's handbook of human resource management practice (15th ed.). Kogan Page.</w:t>
      </w:r>
    </w:p>
    <w:p w:rsidR="32B6D65C" w:rsidP="32B6D65C" w:rsidRDefault="32B6D65C" w14:paraId="3045918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60B5C7C">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3. Bauer, T. N. (2010). Onboarding new employees: Maximising success. Society for Human Resource Management.</w:t>
      </w:r>
    </w:p>
    <w:p w:rsidR="32B6D65C" w:rsidP="32B6D65C" w:rsidRDefault="32B6D65C" w14:paraId="4143483B">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1008A767">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4. Bersin, J. (2019). High-impact talent management: Best practices from around the world. Josh Bersin Academy.</w:t>
      </w:r>
    </w:p>
    <w:p w:rsidR="32B6D65C" w:rsidP="32B6D65C" w:rsidRDefault="32B6D65C" w14:paraId="75D54A8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194DEFB0">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5. Campion, M. A., Campion, J. E., &amp; Hudson, J. P. (2011). Structured interview for the five-factor model of personality. Psychological Assessment, 23(3), 716-728.</w:t>
      </w:r>
    </w:p>
    <w:p w:rsidR="32B6D65C" w:rsidP="32B6D65C" w:rsidRDefault="32B6D65C" w14:paraId="723C87D1">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F9EC81B">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6. CIPD. (2020). Talent management: An overview. Chartered Institute of Personnel and Development.</w:t>
      </w:r>
    </w:p>
    <w:p w:rsidR="32B6D65C" w:rsidP="32B6D65C" w:rsidRDefault="32B6D65C" w14:paraId="406C9804">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650E170B">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7. Choi, S., &amp; Ruona, W. E. (2011). Individual readiness for organisational change and its implications for human resource and organisation development. Human Resource Development Review, 10(1), 46-73.</w:t>
      </w:r>
    </w:p>
    <w:p w:rsidR="32B6D65C" w:rsidP="32B6D65C" w:rsidRDefault="32B6D65C" w14:paraId="53D795E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19C82FAF">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8. Dessler, G. (2019). Human resource management (16th ed.). Pearson.</w:t>
      </w:r>
    </w:p>
    <w:p w:rsidR="32B6D65C" w:rsidP="32B6D65C" w:rsidRDefault="32B6D65C" w14:paraId="0E93735A">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8B4C6AB">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9. Kaplan, S. (2018). Recruitment channel effectiveness: A systematic review and implications for research and practice. International Journal of Selection and Assessment, 26(3), 272-284.</w:t>
      </w:r>
    </w:p>
    <w:p w:rsidR="32B6D65C" w:rsidP="32B6D65C" w:rsidRDefault="32B6D65C" w14:paraId="1C77D0CC">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1C2748AC">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10. Noe, R. A. (2017). Employee training and development (7th ed.). McGraw-Hill Education.</w:t>
      </w:r>
    </w:p>
    <w:p w:rsidR="32B6D65C" w:rsidP="32B6D65C" w:rsidRDefault="32B6D65C" w14:paraId="55C898D5">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27922AC5">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11. Rothwell, W. J., &amp; Arnold, J. D. (2013). Mastering the instructional design process: A systematic approach (5th ed.). Wiley.</w:t>
      </w:r>
    </w:p>
    <w:p w:rsidR="32B6D65C" w:rsidP="32B6D65C" w:rsidRDefault="32B6D65C" w14:paraId="4996FE14">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C742769">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12. SHRM. (2022). Recruitment and selection. Society for Human Resource Management.</w:t>
      </w:r>
    </w:p>
    <w:p w:rsidR="32B6D65C" w:rsidP="32B6D65C" w:rsidRDefault="32B6D65C" w14:paraId="05ACCEC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27E85162">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13. Society for Human Resource Management. (2022). Onboarding new employees. Society for Human Resource Management.</w:t>
      </w:r>
    </w:p>
    <w:p w:rsidR="32B6D65C" w:rsidP="32B6D65C" w:rsidRDefault="32B6D65C" w14:paraId="352E5275">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2628F047">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14. Tannenbaum, S. I., Beard, R. L., McNall, L. A., Salas, E., &amp; Smith-Jentsch, K. A. (2013). Informal learning and development in organisations. In K. S. Cameron &amp; G. M. Spreitzer (Eds.), The Oxford handbook of positive organisational scholarship (pp. 343-355). Oxford University Press.</w:t>
      </w:r>
    </w:p>
    <w:p w:rsidR="32B6D65C" w:rsidP="32B6D65C" w:rsidRDefault="32B6D65C" w14:paraId="0837703C">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0FBC0EF4">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15. Aguinis, H. (2019). Performance management (4th ed.). Pearson.</w:t>
      </w:r>
    </w:p>
    <w:p w:rsidR="32B6D65C" w:rsidP="32B6D65C" w:rsidRDefault="32B6D65C" w14:paraId="70298F07">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47A34F6C">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16. Barrows, C., &amp; Harris, E. (2021). Talent management: A focus on recruitment and selection. In L. K. Lewis (Ed.), The Wiley Blackwell handbook of the psychology of recruitment, selection, and employee retention (pp. 229-250). Wiley.</w:t>
      </w:r>
    </w:p>
    <w:p w:rsidR="32B6D65C" w:rsidP="32B6D65C" w:rsidRDefault="32B6D65C" w14:paraId="77E04059">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46F4B6F4">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17. Cascio, W. F. (2018). Managing human resources: Productivity, quality of work life, profits (11th ed.). McGraw-Hill Education.</w:t>
      </w:r>
    </w:p>
    <w:p w:rsidR="32B6D65C" w:rsidP="32B6D65C" w:rsidRDefault="32B6D65C" w14:paraId="68B094B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7A9B362D">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18. Collings, D. G., Scullion, H., &amp; Vaiman, V. (Eds.). (2019). Talent management: A multidisciplinary approach. Palgrave Macmillan.</w:t>
      </w:r>
    </w:p>
    <w:p w:rsidR="32B6D65C" w:rsidP="32B6D65C" w:rsidRDefault="32B6D65C" w14:paraId="63920AAF">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4732B4B1">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19. Guest, D. (2017). Human resource management and employee well-being: Towards a new analytic framework. Human Resource Management Journal, 27(1), 22-38.</w:t>
      </w:r>
    </w:p>
    <w:p w:rsidR="32B6D65C" w:rsidP="32B6D65C" w:rsidRDefault="32B6D65C" w14:paraId="2FA0EE0A">
      <w:pPr>
        <w:pStyle w:val="8"/>
        <w:keepNext w:val="0"/>
        <w:keepLines w:val="0"/>
        <w:widowControl w:val="1"/>
        <w:spacing w:before="0" w:beforeAutospacing="off" w:after="0" w:afterAutospacing="off" w:line="360" w:lineRule="auto"/>
        <w:rPr>
          <w:rFonts w:ascii="Arial" w:hAnsi="Arial" w:cs="Arial"/>
          <w:color w:val="0E101A"/>
          <w:sz w:val="24"/>
          <w:szCs w:val="24"/>
        </w:rPr>
      </w:pPr>
    </w:p>
    <w:p w:rsidR="32B6D65C" w:rsidP="32B6D65C" w:rsidRDefault="32B6D65C" w14:paraId="1D3F0B9B">
      <w:pPr>
        <w:pStyle w:val="8"/>
        <w:keepNext w:val="0"/>
        <w:keepLines w:val="0"/>
        <w:widowControl w:val="1"/>
        <w:spacing w:before="0" w:beforeAutospacing="off" w:after="0" w:afterAutospacing="off" w:line="360" w:lineRule="auto"/>
        <w:rPr>
          <w:rFonts w:ascii="Arial" w:hAnsi="Arial" w:cs="Arial"/>
          <w:color w:val="0E101A"/>
          <w:sz w:val="24"/>
          <w:szCs w:val="24"/>
        </w:rPr>
      </w:pPr>
      <w:r w:rsidRPr="32B6D65C" w:rsidR="32B6D65C">
        <w:rPr>
          <w:rFonts w:ascii="Arial" w:hAnsi="Arial" w:cs="Arial"/>
          <w:color w:val="0E101A"/>
          <w:sz w:val="24"/>
          <w:szCs w:val="24"/>
        </w:rPr>
        <w:t>20. Schuler, R. S., Jackson, S. E., &amp; Tarique, I. (2011). Global talent management and global talent challenges: Strategic opportunities for IHRM. Journal of World Business, 46(4), 506-516.</w:t>
      </w:r>
    </w:p>
    <w:p w:rsidR="32B6D65C" w:rsidP="32B6D65C" w:rsidRDefault="32B6D65C" w14:paraId="12A45844" w14:textId="797846FE">
      <w:pPr>
        <w:pStyle w:val="1"/>
        <w:bidi w:val="0"/>
        <w:rPr>
          <w:b w:val="1"/>
          <w:bCs w:val="1"/>
          <w:sz w:val="36"/>
          <w:szCs w:val="36"/>
        </w:rPr>
        <w:sectPr>
          <w:headerReference w:type="default" r:id="rId3"/>
          <w:pgSz w:w="11906" w:h="16838" w:orient="portrait"/>
          <w:pgMar w:top="1440" w:right="1800" w:bottom="1440" w:left="1800" w:header="720" w:footer="720" w:gutter="0"/>
          <w:cols w:space="720" w:num="1"/>
          <w:docGrid w:linePitch="360" w:charSpace="0"/>
        </w:sectPr>
      </w:pPr>
    </w:p>
    <w:p xmlns:wp14="http://schemas.microsoft.com/office/word/2010/wordml" w14:paraId="03EFCA41" wp14:textId="77777777">
      <w:pPr>
        <w:spacing w:line="360" w:lineRule="auto"/>
        <w:rPr>
          <w:rFonts w:hint="default" w:ascii="Arial" w:hAnsi="Arial" w:cs="Arial"/>
          <w:sz w:val="24"/>
          <w:szCs w:val="24"/>
        </w:rPr>
      </w:pPr>
    </w:p>
    <w:sectPr>
      <w:headerReference w:type="default" r:id="rId4"/>
      <w:pgSz w:w="11906" w:h="16838" w:orient="portrait"/>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3E565781" wp14:textId="77777777">
    <w:pPr>
      <w:bidi w:val="0"/>
      <w:rPr>
        <w:rFonts w:hint="default"/>
        <w:b/>
        <w:bCs/>
        <w:sz w:val="11"/>
        <w:szCs w:val="11"/>
      </w:rPr>
    </w:pPr>
    <w:r>
      <w:rPr>
        <w:rFonts w:hint="default"/>
        <w:b/>
        <w:bCs/>
        <w:sz w:val="11"/>
        <w:szCs w:val="11"/>
      </w:rPr>
      <w:t xml:space="preserve">Retaining and Engaging Employees Throughout the Employee </w:t>
    </w:r>
    <w:r>
      <w:rPr>
        <w:rFonts w:hint="default"/>
        <w:b/>
        <w:bCs/>
        <w:sz w:val="11"/>
        <w:szCs w:val="11"/>
        <w:lang w:val="en-US"/>
      </w:rPr>
      <w:t>Life-cycle</w:t>
    </w:r>
    <w:r>
      <w:rPr>
        <w:rFonts w:hint="default"/>
        <w:b/>
        <w:bCs/>
        <w:sz w:val="11"/>
        <w:szCs w:val="11"/>
      </w:rPr>
      <w:t>: A Critical Analysis and Evaluation</w:t>
    </w:r>
  </w:p>
  <w:p xmlns:wp14="http://schemas.microsoft.com/office/word/2010/wordml" w14:paraId="5B95CD12" wp14:textId="77777777">
    <w:pPr>
      <w:pStyle w:val="7"/>
      <w:rPr>
        <w:sz w:val="6"/>
        <w:szCs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14="http://schemas.microsoft.com/office/drawing/2010/main" mc:Ignorable="w14 w15 wp14">
  <w:p xmlns:wp14="http://schemas.microsoft.com/office/word/2010/wordml" w14:paraId="2C028698" wp14:textId="77777777">
    <w:pPr>
      <w:bidi w:val="0"/>
      <w:rPr>
        <w:rFonts w:hint="default"/>
        <w:b/>
        <w:bCs/>
        <w:sz w:val="11"/>
        <w:szCs w:val="11"/>
      </w:rPr>
    </w:pPr>
    <w:r>
      <w:rPr>
        <w:sz w:val="11"/>
      </w:rPr>
      <mc:AlternateContent>
        <mc:Choice Requires="wps">
          <w:drawing>
            <wp:anchor xmlns:wp14="http://schemas.microsoft.com/office/word/2010/wordprocessingDrawing" distT="0" distB="0" distL="114300" distR="114300" simplePos="0" relativeHeight="251659264" behindDoc="0" locked="0" layoutInCell="1" allowOverlap="1" wp14:anchorId="383E812D" wp14:editId="7777777">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5C96725C" wp14:textId="77777777">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05556240">
            <v:shape id="_x0000_s1026" style="position:absolute;left:0pt;margin-top:0pt;height:144pt;width:144pt;mso-position-horizontal:right;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style="mso-fit-shape-to-text:t;" inset="0mm,0mm,0mm,0mm">
                <w:txbxContent>
                  <w:p w14:paraId="37A8E0D7" wp14:textId="77777777">
                    <w:pPr>
                      <w:pStyle w:val="7"/>
                    </w:pPr>
                    <w:r>
                      <w:fldChar w:fldCharType="begin"/>
                    </w:r>
                    <w:r>
                      <w:instrText xml:space="preserve"> PAGE  \* MERGEFORMAT </w:instrText>
                    </w:r>
                    <w:r>
                      <w:fldChar w:fldCharType="separate"/>
                    </w:r>
                    <w:r>
                      <w:t>2</w:t>
                    </w:r>
                    <w:r>
                      <w:fldChar w:fldCharType="end"/>
                    </w:r>
                  </w:p>
                </w:txbxContent>
              </v:textbox>
            </v:shape>
          </w:pict>
        </mc:Fallback>
      </mc:AlternateContent>
    </w:r>
    <w:r>
      <w:rPr>
        <w:rFonts w:hint="default"/>
        <w:b/>
        <w:bCs/>
        <w:sz w:val="11"/>
        <w:szCs w:val="11"/>
      </w:rPr>
      <w:t xml:space="preserve">Retaining and Engaging Employees Throughout the Employee </w:t>
    </w:r>
    <w:r>
      <w:rPr>
        <w:rFonts w:hint="default"/>
        <w:b/>
        <w:bCs/>
        <w:sz w:val="11"/>
        <w:szCs w:val="11"/>
        <w:lang w:val="en-US"/>
      </w:rPr>
      <w:t>Life-cycle</w:t>
    </w:r>
    <w:r>
      <w:rPr>
        <w:rFonts w:hint="default"/>
        <w:b/>
        <w:bCs/>
        <w:sz w:val="11"/>
        <w:szCs w:val="11"/>
      </w:rPr>
      <w:t>: A Critical Analysis and Evaluation</w:t>
    </w:r>
  </w:p>
  <w:p xmlns:wp14="http://schemas.microsoft.com/office/word/2010/wordml" w14:paraId="5F96A722" wp14:textId="77777777">
    <w:pPr>
      <w:pStyle w:val="7"/>
      <w:rPr>
        <w:sz w:val="6"/>
        <w:szCs w:val="6"/>
      </w:rP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embedSystemFonts/>
  <w:bordersDoNotSurroundHeader w:val="0"/>
  <w:bordersDoNotSurroundFooter w:val="0"/>
  <w:trackRevisions w:val="false"/>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11C3E"/>
    <w:rsid w:val="06B11C3E"/>
    <w:rsid w:val="32B6D65C"/>
    <w:rsid w:val="3C597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513A5172"/>
  <w15:docId w15:val="{C7F42AF7-6FFE-4D3A-BCB5-A1CF4B5BFA37}"/>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styleId="4" w:default="1">
    <w:name w:val="Default Paragraph Font"/>
    <w:semiHidden/>
    <w:uiPriority w:val="0"/>
  </w:style>
  <w:style w:type="table" w:styleId="5" w:default="1">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paragraph" w:styleId="8">
    <w:name w:val="Normal (Web)"/>
    <w:uiPriority w:val="0"/>
    <w:pPr>
      <w:spacing w:before="0" w:beforeAutospacing="1" w:after="0" w:afterAutospacing="1"/>
      <w:ind w:left="0" w:right="0"/>
      <w:jc w:val="left"/>
    </w:pPr>
    <w:rPr>
      <w:kern w:val="0"/>
      <w:sz w:val="24"/>
      <w:szCs w:val="24"/>
      <w:lang w:val="en-US" w:eastAsia="zh-CN" w:bidi="ar"/>
    </w:rPr>
  </w:style>
  <w:style w:type="paragraph" w:styleId="9">
    <w:name w:val="toc 1"/>
    <w:basedOn w:val="1"/>
    <w:next w:val="1"/>
    <w:uiPriority w:val="0"/>
  </w:style>
  <w:style w:type="paragraph" w:styleId="10">
    <w:name w:val="toc 2"/>
    <w:basedOn w:val="1"/>
    <w:next w:val="1"/>
    <w:uiPriority w:val="0"/>
    <w:pPr>
      <w:ind w:left="420" w:leftChars="200"/>
    </w:pPr>
  </w:style>
</w:styles>
</file>

<file path=word/_rels/document.xml.rels>&#65279;<?xml version="1.0" encoding="utf-8"?><Relationships xmlns="http://schemas.openxmlformats.org/package/2006/relationships"><Relationship Type="http://schemas.openxmlformats.org/officeDocument/2006/relationships/fontTable" Target="fontTable.xml" Id="rId7"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header" Target="header2.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moodle.uwtsd.ac.uk/course/view.php?id=7199" TargetMode="External" Id="R2a3e403d12f6466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2023-06-08T08:18:00.0000000Z</dcterms:created>
  <dc:creator>Shahbaz Traders</dc:creator>
  <lastModifiedBy>Umer Aman</lastModifiedBy>
  <dcterms:modified xsi:type="dcterms:W3CDTF">2023-06-09T20:52:12.7778209Z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FFA344531C0C4BE79B1C7E299B7E4730</vt:lpwstr>
  </property>
</Properties>
</file>