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id w:val="-1040595721"/>
        <w:docPartObj>
          <w:docPartGallery w:val="Cover Pages"/>
          <w:docPartUnique/>
        </w:docPartObj>
      </w:sdtPr>
      <w:sdtEndPr>
        <w:rPr>
          <w:kern w:val="48"/>
        </w:rPr>
      </w:sdtEndPr>
      <w:sdtContent>
        <w:p w14:paraId="10A55D8F" w14:textId="63744FCE" w:rsidR="00DA5EBF" w:rsidRDefault="00DA5EBF">
          <w:r>
            <w:rPr>
              <w:noProof/>
            </w:rPr>
            <w:drawing>
              <wp:anchor distT="0" distB="0" distL="114300" distR="114300" simplePos="0" relativeHeight="251662336" behindDoc="0" locked="0" layoutInCell="1" allowOverlap="1" wp14:anchorId="3302E94D" wp14:editId="11BD0B36">
                <wp:simplePos x="0" y="0"/>
                <wp:positionH relativeFrom="page">
                  <wp:align>center</wp:align>
                </wp:positionH>
                <mc:AlternateContent>
                  <mc:Choice Requires="wp14">
                    <wp:positionV relativeFrom="page">
                      <wp14:pctPosVOffset>2.3%</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purl.oclc.org/ooxml/drawingml/main">
                  <a:graphicData uri="http://schemas.microsoft.com/office/word/2010/wordprocessingGroup">
                    <wp:wgp>
                      <wp:cNvGrpSpPr>
                        <a:extLst>
                          <a:ext uri="{F59B8463-F414-42e2-B3A4-FFEF48DC7170}">
                            <a15:nonVisualGroupProps xmlns:a15="http://schemas.microsoft.com/office/drawing/2012/main" isLegacyGroup="0"/>
                          </a:ext>
                        </a:extLst>
                      </wp:cNvGrpSpPr>
                      <wp:grpSpPr>
                        <a:xfrm>
                          <a:off x="0" y="0"/>
                          <a:ext cx="7315200" cy="1215391"/>
                          <a:chOff x="0" y="-1"/>
                          <a:chExt cx="7315200" cy="1216153"/>
                        </a:xfrm>
                      </wp:grpSpPr>
                      <wp:wsp>
                        <wp:cNvPr id="150" name="Rectangle 51"/>
                        <wp:cNvSpPr/>
                        <wp: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pPr>
                        <wp:style>
                          <a:lnRef idx="2">
                            <a:schemeClr val="accent1">
                              <a:shade val="50%"/>
                            </a:schemeClr>
                          </a:lnRef>
                          <a:fillRef idx="1">
                            <a:schemeClr val="accent1"/>
                          </a:fillRef>
                          <a:effectRef idx="0">
                            <a:schemeClr val="accent1"/>
                          </a:effectRef>
                          <a:fontRef idx="minor">
                            <a:schemeClr val="lt1"/>
                          </a:fontRef>
                        </wp:style>
                        <wp:bodyPr rot="0" spcFirstLastPara="0" vertOverflow="overflow" horzOverflow="overflow" vert="horz" wrap="square" lIns="91440" tIns="45720" rIns="91440" bIns="45720" numCol="1" spcCol="0" rtlCol="0" fromWordArt="0" anchor="ctr" anchorCtr="0" forceAA="0" compatLnSpc="1">
                          <a:prstTxWarp prst="textNoShape">
                            <a:avLst/>
                          </a:prstTxWarp>
                          <a:noAutofit/>
                        </wp:bodyPr>
                      </wp:wsp>
                      <wp:wsp>
                        <wp:cNvPr id="151" name="Rectangle 151"/>
                        <wp:cNvSpPr/>
                        <wp:spPr>
                          <a:xfrm>
                            <a:off x="0" y="0"/>
                            <a:ext cx="7315200" cy="1216152"/>
                          </a:xfrm>
                          <a:prstGeom prst="rect">
                            <a:avLst/>
                          </a:prstGeom>
                          <a:blipFill>
                            <a:blip r:embed="rId8"/>
                            <a:stretch>
                              <a:fillRect r="-7.574%"/>
                            </a:stretch>
                          </a:blipFill>
                          <a:ln>
                            <a:noFill/>
                          </a:ln>
                        </wp:spPr>
                        <wp:style>
                          <a:lnRef idx="2">
                            <a:schemeClr val="accent1">
                              <a:shade val="50%"/>
                            </a:schemeClr>
                          </a:lnRef>
                          <a:fillRef idx="1">
                            <a:schemeClr val="accent1"/>
                          </a:fillRef>
                          <a:effectRef idx="0">
                            <a:schemeClr val="accent1"/>
                          </a:effectRef>
                          <a:fontRef idx="minor">
                            <a:schemeClr val="lt1"/>
                          </a:fontRef>
                        </wp:style>
                        <wp:bodyPr rot="0" spcFirstLastPara="0" vertOverflow="overflow" horzOverflow="overflow" vert="horz" wrap="square" lIns="91440" tIns="45720" rIns="91440" bIns="45720" numCol="1" spcCol="0" rtlCol="0" fromWordArt="0" anchor="ctr" anchorCtr="0" forceAA="0" compatLnSpc="1">
                          <a:prstTxWarp prst="textNoShape">
                            <a:avLst/>
                          </a:prstTxWarp>
                          <a:noAutofit/>
                        </wp:bodyPr>
                      </wp:wsp>
                    </wp:wgp>
                  </a:graphicData>
                </a:graphic>
                <wp14:sizeRelH relativeFrom="page">
                  <wp14:pctWidth>94.1%</wp14:pctWidth>
                </wp14:sizeRelH>
                <wp14:sizeRelV relativeFrom="page">
                  <wp14:pctHeight>12.1%</wp14:pctHeight>
                </wp14:sizeRelV>
              </wp:anchor>
            </w:drawing>
          </w:r>
          <w:r>
            <w:rPr>
              <w:noProof/>
            </w:rPr>
            <w:drawing>
              <wp:anchor distT="0" distB="0" distL="114300" distR="114300" simplePos="0" relativeHeight="251660288" behindDoc="0" locked="0" layoutInCell="1" allowOverlap="1" wp14:anchorId="1C63E119" wp14:editId="3EBF44B0">
                <wp:simplePos x="0" y="0"/>
                <wp:positionH relativeFrom="page">
                  <wp:align>center</wp:align>
                </wp:positionH>
                <mc:AlternateContent>
                  <mc:Choice Requires="wp14">
                    <wp:positionV relativeFrom="page">
                      <wp14:pctPosVOffset>81.8%</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purl.oclc.org/ooxml/drawingml/main">
                  <a:graphicData uri="http://schemas.microsoft.com/office/word/2010/wordprocessingShape">
                    <wp:wsp>
                      <wp:cNvSpPr txBox="1"/>
                      <wp:spPr>
                        <a:xfrm>
                          <a:off x="0" y="0"/>
                          <a:ext cx="7315200" cy="914400"/>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p w14:paraId="6D94B6AA" w14:textId="77777777" w:rsidR="00DA5EBF" w:rsidRPr="00DA5EBF" w:rsidRDefault="00DA5EBF" w:rsidP="00DA5EBF">
                            <w:pPr>
                              <w:pStyle w:val="NoSpacing"/>
                              <w:jc w:val="end"/>
                              <w:rPr>
                                <w:color w:val="595959" w:themeColor="text1" w:themeTint="A6"/>
                                <w:sz w:val="26"/>
                                <w:szCs w:val="26"/>
                              </w:rPr>
                            </w:pPr>
                            <w:r w:rsidRPr="00DA5EBF">
                              <w:rPr>
                                <w:color w:val="595959" w:themeColor="text1" w:themeTint="A6"/>
                                <w:sz w:val="26"/>
                                <w:szCs w:val="26"/>
                              </w:rPr>
                              <w:t xml:space="preserve">- </w:t>
                            </w:r>
                            <w:proofErr w:type="spellStart"/>
                            <w:r w:rsidRPr="00DA5EBF">
                              <w:rPr>
                                <w:color w:val="595959" w:themeColor="text1" w:themeTint="A6"/>
                                <w:sz w:val="26"/>
                                <w:szCs w:val="26"/>
                              </w:rPr>
                              <w:t>Programme</w:t>
                            </w:r>
                            <w:proofErr w:type="spellEnd"/>
                            <w:r w:rsidRPr="00DA5EBF">
                              <w:rPr>
                                <w:color w:val="595959" w:themeColor="text1" w:themeTint="A6"/>
                                <w:sz w:val="26"/>
                                <w:szCs w:val="26"/>
                              </w:rPr>
                              <w:t xml:space="preserve">: </w:t>
                            </w:r>
                            <w:proofErr w:type="spellStart"/>
                            <w:r w:rsidRPr="00DA5EBF">
                              <w:rPr>
                                <w:color w:val="595959" w:themeColor="text1" w:themeTint="A6"/>
                                <w:sz w:val="26"/>
                                <w:szCs w:val="26"/>
                              </w:rPr>
                              <w:t>CerTHE</w:t>
                            </w:r>
                            <w:proofErr w:type="spellEnd"/>
                            <w:r w:rsidRPr="00DA5EBF">
                              <w:rPr>
                                <w:color w:val="595959" w:themeColor="text1" w:themeTint="A6"/>
                                <w:sz w:val="26"/>
                                <w:szCs w:val="26"/>
                              </w:rPr>
                              <w:t xml:space="preserve"> Computing Skill for Workplace</w:t>
                            </w:r>
                          </w:p>
                          <w:p w14:paraId="7D3092C9" w14:textId="77777777" w:rsidR="00DA5EBF" w:rsidRPr="00DA5EBF" w:rsidRDefault="00DA5EBF" w:rsidP="00DA5EBF">
                            <w:pPr>
                              <w:pStyle w:val="NoSpacing"/>
                              <w:jc w:val="end"/>
                              <w:rPr>
                                <w:color w:val="595959" w:themeColor="text1" w:themeTint="A6"/>
                                <w:sz w:val="26"/>
                                <w:szCs w:val="26"/>
                              </w:rPr>
                            </w:pPr>
                            <w:r w:rsidRPr="00DA5EBF">
                              <w:rPr>
                                <w:color w:val="595959" w:themeColor="text1" w:themeTint="A6"/>
                                <w:sz w:val="26"/>
                                <w:szCs w:val="26"/>
                              </w:rPr>
                              <w:t>- Student Name: Julio Miguel Abeso Ecoro</w:t>
                            </w:r>
                          </w:p>
                          <w:p w14:paraId="4B7C331D" w14:textId="77777777" w:rsidR="00DA5EBF" w:rsidRPr="00DA5EBF" w:rsidRDefault="00DA5EBF" w:rsidP="00DA5EBF">
                            <w:pPr>
                              <w:pStyle w:val="NoSpacing"/>
                              <w:jc w:val="end"/>
                              <w:rPr>
                                <w:color w:val="595959" w:themeColor="text1" w:themeTint="A6"/>
                                <w:sz w:val="26"/>
                                <w:szCs w:val="26"/>
                              </w:rPr>
                            </w:pPr>
                            <w:r w:rsidRPr="00DA5EBF">
                              <w:rPr>
                                <w:color w:val="595959" w:themeColor="text1" w:themeTint="A6"/>
                                <w:sz w:val="26"/>
                                <w:szCs w:val="26"/>
                              </w:rPr>
                              <w:t>- Student Number: 2425075</w:t>
                            </w:r>
                          </w:p>
                          <w:p w14:paraId="76C1B061" w14:textId="09771C9C" w:rsidR="00DA5EBF" w:rsidRPr="00DA5EBF" w:rsidRDefault="00DA5EBF" w:rsidP="00DA5EBF">
                            <w:pPr>
                              <w:pStyle w:val="NoSpacing"/>
                              <w:jc w:val="end"/>
                              <w:rPr>
                                <w:color w:val="595959" w:themeColor="text1" w:themeTint="A6"/>
                                <w:sz w:val="26"/>
                                <w:szCs w:val="26"/>
                              </w:rPr>
                            </w:pPr>
                            <w:r w:rsidRPr="00DA5EBF">
                              <w:rPr>
                                <w:color w:val="595959" w:themeColor="text1" w:themeTint="A6"/>
                                <w:sz w:val="26"/>
                                <w:szCs w:val="26"/>
                              </w:rPr>
                              <w:t>- Module:</w:t>
                            </w:r>
                            <w:r w:rsidRPr="00DA5EBF">
                              <w:rPr>
                                <w:sz w:val="26"/>
                                <w:szCs w:val="26"/>
                              </w:rPr>
                              <w:t xml:space="preserve"> Networks and Cyber Security Essentials</w:t>
                            </w:r>
                          </w:p>
                          <w:p w14:paraId="7EF6368B" w14:textId="130392BD" w:rsidR="00DA5EBF" w:rsidRPr="00DA5EBF" w:rsidRDefault="00DA5EBF" w:rsidP="00DA5EBF">
                            <w:pPr>
                              <w:pStyle w:val="NoSpacing"/>
                              <w:jc w:val="end"/>
                              <w:rPr>
                                <w:color w:val="595959" w:themeColor="text1" w:themeTint="A6"/>
                                <w:sz w:val="26"/>
                                <w:szCs w:val="26"/>
                              </w:rPr>
                            </w:pPr>
                            <w:r w:rsidRPr="00DA5EBF">
                              <w:rPr>
                                <w:color w:val="595959" w:themeColor="text1" w:themeTint="A6"/>
                                <w:sz w:val="26"/>
                                <w:szCs w:val="26"/>
                              </w:rPr>
                              <w:t>- Module Code: ACCA4024</w:t>
                            </w:r>
                          </w:p>
                        </wne:txbxContent>
                      </wp:txbx>
                      <wp:bodyPr rot="0" spcFirstLastPara="0" vertOverflow="overflow" horzOverflow="overflow" vert="horz" wrap="square" lIns="1600200" tIns="0" rIns="685800" bIns="0" numCol="1" spcCol="0" rtlCol="0" fromWordArt="0" anchor="b" anchorCtr="0" forceAA="0" compatLnSpc="1">
                        <a:prstTxWarp prst="textNoShape">
                          <a:avLst/>
                        </a:prstTxWarp>
                        <a:noAutofit/>
                      </wp:bodyPr>
                    </wp:wsp>
                  </a:graphicData>
                </a:graphic>
                <wp14:sizeRelH relativeFrom="page">
                  <wp14:pctWidth>94.1%</wp14:pctWidth>
                </wp14:sizeRelH>
                <wp14:sizeRelV relativeFrom="page">
                  <wp14:pctHeight>9.2%</wp14:pctHeight>
                </wp14:sizeRelV>
              </wp:anchor>
            </w:drawing>
          </w:r>
          <w:r>
            <w:rPr>
              <w:noProof/>
            </w:rPr>
            <w:drawing>
              <wp:anchor distT="0" distB="0" distL="114300" distR="114300" simplePos="0" relativeHeight="251661312" behindDoc="0" locked="0" layoutInCell="1" allowOverlap="1" wp14:anchorId="4ABAEE27" wp14:editId="28602E6F">
                <wp:simplePos x="0" y="0"/>
                <wp:positionH relativeFrom="page">
                  <wp:align>center</wp:align>
                </wp:positionH>
                <mc:AlternateContent>
                  <mc:Choice Requires="wp14">
                    <wp:positionV relativeFrom="page">
                      <wp14:pctPosVOffset>70%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purl.oclc.org/ooxml/drawingml/main">
                  <a:graphicData uri="http://schemas.microsoft.com/office/word/2010/wordprocessingShape">
                    <wp:wsp>
                      <wp:cNvSpPr txBox="1"/>
                      <wp:spPr>
                        <a:xfrm>
                          <a:off x="0" y="0"/>
                          <a:ext cx="7315200" cy="1009650"/>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p w14:paraId="3CA1DCFB" w14:textId="2A2590D9" w:rsidR="00DA5EBF" w:rsidRDefault="00DA5EBF">
                            <w:pPr>
                              <w:pStyle w:val="NoSpacing"/>
                              <w:jc w:val="end"/>
                              <w:rPr>
                                <w:color w:val="5B9BD5" w:themeColor="accent1"/>
                                <w:sz w:val="28"/>
                                <w:szCs w:val="28"/>
                              </w:rPr>
                            </w:pPr>
                          </w:p>
                          <w:sdt>
                            <w:sdtPr>
                              <w:rPr>
                                <w:color w:val="595959" w:themeColor="text1" w:themeTint="A6"/>
                                <w:sz w:val="20"/>
                                <w:szCs w:val="20"/>
                              </w:rPr>
                              <w:alias w:val="Abstract"/>
                              <w:tag w:val=""/>
                              <w:id w:val="-1256817097"/>
                              <w:showingPlcHdr/>
                              <w:dataBinding w:prefixMappings="xmlns:ns0='http://schemas.microsoft.com/office/2006/coverPageProps' " w:xpath="/ns0:CoverPageProperties[1]/ns0:Abstract[1]" w:storeItemID="{55AF091B-3C7A-41E3-B477-F2FDAA23CFDA}"/>
                              <w:text w:multiLine="1"/>
                            </w:sdtPr>
                            <w:sdtContent>
                              <w:p w14:paraId="28A76D70" w14:textId="46286575" w:rsidR="00DA5EBF" w:rsidRDefault="00DA5EBF">
                                <w:pPr>
                                  <w:pStyle w:val="NoSpacing"/>
                                  <w:jc w:val="end"/>
                                  <w:rPr>
                                    <w:color w:val="595959" w:themeColor="text1" w:themeTint="A6"/>
                                    <w:sz w:val="20"/>
                                    <w:szCs w:val="20"/>
                                  </w:rPr>
                                </w:pPr>
                                <w:r>
                                  <w:rPr>
                                    <w:color w:val="595959" w:themeColor="text1" w:themeTint="A6"/>
                                    <w:sz w:val="20"/>
                                    <w:szCs w:val="20"/>
                                  </w:rPr>
                                  <w:t xml:space="preserve">     </w:t>
                                </w:r>
                              </w:p>
                            </w:sdtContent>
                          </w:sdt>
                        </wne:txbxContent>
                      </wp:txbx>
                      <wp:bodyPr rot="0" spcFirstLastPara="0" vertOverflow="overflow" horzOverflow="overflow" vert="horz" wrap="square" lIns="1600200" tIns="0" rIns="685800" bIns="0" numCol="1" spcCol="0" rtlCol="0" fromWordArt="0" anchor="t" anchorCtr="0" forceAA="0" compatLnSpc="1">
                        <a:prstTxWarp prst="textNoShape">
                          <a:avLst/>
                        </a:prstTxWarp>
                        <a:spAutoFit/>
                      </wp:bodyPr>
                    </wp:wsp>
                  </a:graphicData>
                </a:graphic>
                <wp14:sizeRelH relativeFrom="page">
                  <wp14:pctWidth>94.1%</wp14:pctWidth>
                </wp14:sizeRelH>
                <wp14:sizeRelV relativeFrom="page">
                  <wp14:pctHeight>10%</wp14:pctHeight>
                </wp14:sizeRelV>
              </wp:anchor>
            </w:drawing>
          </w:r>
          <w:r>
            <w:rPr>
              <w:noProof/>
            </w:rPr>
            <w:drawing>
              <wp:anchor distT="0" distB="0" distL="114300" distR="114300" simplePos="0" relativeHeight="251659264" behindDoc="0" locked="0" layoutInCell="1" allowOverlap="1" wp14:anchorId="75FE3A92" wp14:editId="3519E981">
                <wp:simplePos x="0" y="0"/>
                <wp:positionH relativeFrom="page">
                  <wp:align>center</wp:align>
                </wp:positionH>
                <mc:AlternateContent>
                  <mc:Choice Requires="wp14">
                    <wp:positionV relativeFrom="page">
                      <wp14:pctPosVOffset>30%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purl.oclc.org/ooxml/drawingml/main">
                  <a:graphicData uri="http://schemas.microsoft.com/office/word/2010/wordprocessingShape">
                    <wp:wsp>
                      <wp:cNvSpPr txBox="1"/>
                      <wp:spPr>
                        <a:xfrm>
                          <a:off x="0" y="0"/>
                          <a:ext cx="7315200" cy="3638550"/>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p w14:paraId="40E48B74" w14:textId="77777777" w:rsidR="00DA5EBF" w:rsidRPr="008B6524" w:rsidRDefault="00DA5EBF" w:rsidP="00DA5EBF">
                            <w:pPr>
                              <w:pStyle w:val="papertitle"/>
                              <w:spacing w:before="5pt" w:beforeAutospacing="1" w:after="5pt" w:afterAutospacing="1"/>
                              <w:jc w:val="end"/>
                              <w:rPr>
                                <w:kern w:val="48"/>
                              </w:rPr>
                            </w:pPr>
                            <w:r w:rsidRPr="005D751E">
                              <w:rPr>
                                <w:kern w:val="48"/>
                              </w:rPr>
                              <w:t>A Zero Trust Security Framework for Financial Services</w:t>
                            </w:r>
                            <w:r>
                              <w:rPr>
                                <w:kern w:val="48"/>
                              </w:rPr>
                              <w:t xml:space="preserve">: </w:t>
                            </w:r>
                            <w:r w:rsidRPr="005D751E">
                              <w:rPr>
                                <w:kern w:val="48"/>
                              </w:rPr>
                              <w:t>Mitigating Modern Cyber Threats at Vigilant Trust &amp; Asset Management</w:t>
                            </w:r>
                          </w:p>
                          <w:sdt>
                            <w:sdtPr>
                              <w:rPr>
                                <w:color w:val="404040" w:themeColor="text1" w:themeTint="BF"/>
                                <w:sz w:val="36"/>
                                <w:szCs w:val="36"/>
                              </w:rPr>
                              <w:alias w:val="Subtitle"/>
                              <w:tag w:val=""/>
                              <w:id w:val="1347987292"/>
                              <w:showingPlcHdr/>
                              <w:dataBinding w:prefixMappings="xmlns:ns0='http://purl.org/dc/elements/1.1/' xmlns:ns1='http://schemas.openxmlformats.org/package/2006/metadata/core-properties' " w:xpath="/ns1:coreProperties[1]/ns0:subject[1]" w:storeItemID="{6C3C8BC8-F283-45AE-878A-BAB7291924A1}"/>
                              <w:text/>
                            </w:sdtPr>
                            <w:sdtContent>
                              <w:p w14:paraId="173066E8" w14:textId="5B60C2FF" w:rsidR="00DA5EBF" w:rsidRDefault="00DA5EBF">
                                <w:pPr>
                                  <w:jc w:val="end"/>
                                  <w:rPr>
                                    <w:smallCaps/>
                                    <w:color w:val="404040" w:themeColor="text1" w:themeTint="BF"/>
                                    <w:sz w:val="36"/>
                                    <w:szCs w:val="36"/>
                                  </w:rPr>
                                </w:pPr>
                                <w:r>
                                  <w:rPr>
                                    <w:color w:val="404040" w:themeColor="text1" w:themeTint="BF"/>
                                    <w:sz w:val="36"/>
                                    <w:szCs w:val="36"/>
                                  </w:rPr>
                                  <w:t xml:space="preserve">     </w:t>
                                </w:r>
                              </w:p>
                            </w:sdtContent>
                          </w:sdt>
                        </wne:txbxContent>
                      </wp:txbx>
                      <wp:bodyPr rot="0" spcFirstLastPara="0" vertOverflow="overflow" horzOverflow="overflow" vert="horz" wrap="square" lIns="1600200" tIns="0" rIns="685800" bIns="0" numCol="1" spcCol="0" rtlCol="0" fromWordArt="0" anchor="b" anchorCtr="0" forceAA="0" compatLnSpc="1">
                        <a:prstTxWarp prst="textNoShape">
                          <a:avLst/>
                        </a:prstTxWarp>
                        <a:noAutofit/>
                      </wp:bodyPr>
                    </wp:wsp>
                  </a:graphicData>
                </a:graphic>
                <wp14:sizeRelH relativeFrom="page">
                  <wp14:pctWidth>94.1%</wp14:pctWidth>
                </wp14:sizeRelH>
                <wp14:sizeRelV relativeFrom="page">
                  <wp14:pctHeight>36.3%</wp14:pctHeight>
                </wp14:sizeRelV>
              </wp:anchor>
            </w:drawing>
          </w:r>
        </w:p>
        <w:p w14:paraId="17D3FB37" w14:textId="0B21299D" w:rsidR="00DA5EBF" w:rsidRDefault="00DA5EBF">
          <w:pPr>
            <w:jc w:val="start"/>
            <w:rPr>
              <w:rFonts w:eastAsia="MS Mincho"/>
              <w:noProof/>
              <w:kern w:val="48"/>
              <w:sz w:val="48"/>
              <w:szCs w:val="48"/>
            </w:rPr>
          </w:pPr>
          <w:r>
            <w:rPr>
              <w:kern w:val="48"/>
            </w:rPr>
            <w:br w:type="page"/>
          </w:r>
        </w:p>
      </w:sdtContent>
    </w:sdt>
    <w:p w14:paraId="31BC6E45" w14:textId="61871F98" w:rsidR="009303D9" w:rsidRPr="008B6524" w:rsidRDefault="005D751E" w:rsidP="008B6524">
      <w:pPr>
        <w:pStyle w:val="papertitle"/>
        <w:spacing w:before="5pt" w:beforeAutospacing="1" w:after="5pt" w:afterAutospacing="1"/>
        <w:rPr>
          <w:kern w:val="48"/>
        </w:rPr>
      </w:pPr>
      <w:r w:rsidRPr="005D751E">
        <w:rPr>
          <w:kern w:val="48"/>
        </w:rPr>
        <w:lastRenderedPageBreak/>
        <w:t>A Zero Trust Security Framework for Financial Services</w:t>
      </w:r>
      <w:r>
        <w:rPr>
          <w:kern w:val="48"/>
        </w:rPr>
        <w:t xml:space="preserve">: </w:t>
      </w:r>
      <w:r w:rsidRPr="005D751E">
        <w:rPr>
          <w:kern w:val="48"/>
        </w:rPr>
        <w:t>Mitigating Modern Cyber Threats at Vigilant Trust &amp; Asset Management</w:t>
      </w:r>
    </w:p>
    <w:p w14:paraId="1F960E65"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DA5EBF">
          <w:footerReference w:type="first" r:id="rId9"/>
          <w:pgSz w:w="595.30pt" w:h="841.90pt" w:code="9"/>
          <w:pgMar w:top="27pt" w:right="44.65pt" w:bottom="72pt" w:left="44.65pt" w:header="36pt" w:footer="36pt" w:gutter="0pt"/>
          <w:pgNumType w:start="0"/>
          <w:cols w:space="36pt"/>
          <w:titlePg/>
          <w:docGrid w:linePitch="360"/>
        </w:sectPr>
      </w:pPr>
    </w:p>
    <w:p w14:paraId="0316535E"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0A88E65D" w14:textId="77777777" w:rsidR="009303D9" w:rsidRPr="00347405" w:rsidRDefault="00BD670B">
      <w:pPr>
        <w:rPr>
          <w:lang w:val="en-GB"/>
        </w:rPr>
        <w:sectPr w:rsidR="009303D9" w:rsidRPr="00347405" w:rsidSect="003B4E04">
          <w:type w:val="continuous"/>
          <w:pgSz w:w="595.30pt" w:h="841.90pt" w:code="9"/>
          <w:pgMar w:top="22.50pt" w:right="44.65pt" w:bottom="72pt" w:left="44.65pt" w:header="36pt" w:footer="36pt" w:gutter="0pt"/>
          <w:cols w:num="3" w:space="36pt"/>
          <w:docGrid w:linePitch="360"/>
        </w:sectPr>
      </w:pPr>
      <w:r>
        <w:br w:type="column"/>
      </w:r>
    </w:p>
    <w:p w14:paraId="547BDA6E" w14:textId="658955C6" w:rsidR="00FC36A8" w:rsidRPr="00347405" w:rsidRDefault="009303D9" w:rsidP="00F35830">
      <w:pPr>
        <w:pStyle w:val="Abstract"/>
        <w:rPr>
          <w:lang w:val="en-GB"/>
        </w:rPr>
      </w:pPr>
      <w:r w:rsidRPr="00347405">
        <w:rPr>
          <w:i/>
          <w:iCs/>
          <w:lang w:val="en-GB"/>
        </w:rPr>
        <w:t>Abstract</w:t>
      </w:r>
      <w:r w:rsidR="00B13F8C" w:rsidRPr="00347405">
        <w:rPr>
          <w:i/>
          <w:iCs/>
          <w:lang w:val="en-GB"/>
        </w:rPr>
        <w:t xml:space="preserve"> </w:t>
      </w:r>
      <w:r w:rsidRPr="00347405">
        <w:rPr>
          <w:lang w:val="en-GB"/>
        </w:rPr>
        <w:t>—</w:t>
      </w:r>
      <w:r w:rsidR="00B13F8C" w:rsidRPr="00347405">
        <w:rPr>
          <w:lang w:val="en-GB"/>
        </w:rPr>
        <w:t xml:space="preserve"> </w:t>
      </w:r>
      <w:r w:rsidR="002002A4" w:rsidRPr="00347405">
        <w:rPr>
          <w:b w:val="0"/>
          <w:bCs w:val="0"/>
          <w:lang w:val="en-GB"/>
        </w:rPr>
        <w:t xml:space="preserve">Vigilant Trust &amp; Asset Management (VTAM) </w:t>
      </w:r>
      <w:r w:rsidR="00B82F51" w:rsidRPr="00347405">
        <w:rPr>
          <w:b w:val="0"/>
          <w:bCs w:val="0"/>
          <w:lang w:val="en-GB"/>
        </w:rPr>
        <w:t xml:space="preserve">works in </w:t>
      </w:r>
      <w:r w:rsidR="00BE287A" w:rsidRPr="00347405">
        <w:rPr>
          <w:b w:val="0"/>
          <w:bCs w:val="0"/>
          <w:lang w:val="en-GB"/>
        </w:rPr>
        <w:t xml:space="preserve">a threat environment in which ransomware-as-a-service, supply chain compromise, </w:t>
      </w:r>
      <w:r w:rsidR="001B3A50" w:rsidRPr="00347405">
        <w:rPr>
          <w:b w:val="0"/>
          <w:bCs w:val="0"/>
          <w:lang w:val="en-GB"/>
        </w:rPr>
        <w:t xml:space="preserve">AI-enabled social engineering cloud </w:t>
      </w:r>
      <w:r w:rsidR="00E1727D" w:rsidRPr="00347405">
        <w:rPr>
          <w:b w:val="0"/>
          <w:bCs w:val="0"/>
          <w:lang w:val="en-GB"/>
        </w:rPr>
        <w:t xml:space="preserve">misconfiguration are targeting financial institution </w:t>
      </w:r>
      <w:r w:rsidR="00116A09" w:rsidRPr="00347405">
        <w:rPr>
          <w:b w:val="0"/>
          <w:bCs w:val="0"/>
          <w:lang w:val="en-GB"/>
        </w:rPr>
        <w:t>consistently.</w:t>
      </w:r>
      <w:r w:rsidR="00116A09" w:rsidRPr="00347405">
        <w:rPr>
          <w:lang w:val="en-GB"/>
        </w:rPr>
        <w:t xml:space="preserve"> </w:t>
      </w:r>
      <w:r w:rsidR="00690B96" w:rsidRPr="00347405">
        <w:rPr>
          <w:b w:val="0"/>
          <w:bCs w:val="0"/>
          <w:color w:val="0D0D0D" w:themeColor="text1" w:themeTint="F2"/>
          <w:lang w:val="en-GB"/>
        </w:rPr>
        <w:t>The current research develop</w:t>
      </w:r>
      <w:r w:rsidR="00AC6C52" w:rsidRPr="00347405">
        <w:rPr>
          <w:b w:val="0"/>
          <w:bCs w:val="0"/>
          <w:color w:val="0D0D0D" w:themeColor="text1" w:themeTint="F2"/>
          <w:lang w:val="en-GB"/>
        </w:rPr>
        <w:t>ed</w:t>
      </w:r>
      <w:r w:rsidR="00690B96" w:rsidRPr="00347405">
        <w:rPr>
          <w:b w:val="0"/>
          <w:bCs w:val="0"/>
          <w:color w:val="0D0D0D" w:themeColor="text1" w:themeTint="F2"/>
          <w:lang w:val="en-GB"/>
        </w:rPr>
        <w:t xml:space="preserve"> a modern cyber security framework</w:t>
      </w:r>
      <w:r w:rsidR="00AC6C52" w:rsidRPr="00347405">
        <w:rPr>
          <w:b w:val="0"/>
          <w:bCs w:val="0"/>
          <w:color w:val="0D0D0D" w:themeColor="text1" w:themeTint="F2"/>
          <w:lang w:val="en-GB"/>
        </w:rPr>
        <w:t xml:space="preserve"> for VTAM that is </w:t>
      </w:r>
      <w:r w:rsidR="008355E2" w:rsidRPr="00347405">
        <w:rPr>
          <w:b w:val="0"/>
          <w:bCs w:val="0"/>
          <w:color w:val="0D0D0D" w:themeColor="text1" w:themeTint="F2"/>
          <w:lang w:val="en-GB"/>
        </w:rPr>
        <w:t xml:space="preserve">completely based on the Zero Trust principles and it is aligned with </w:t>
      </w:r>
      <w:r w:rsidR="002D1C77" w:rsidRPr="00347405">
        <w:rPr>
          <w:b w:val="0"/>
          <w:bCs w:val="0"/>
          <w:color w:val="0D0D0D" w:themeColor="text1" w:themeTint="F2"/>
          <w:lang w:val="en-GB"/>
        </w:rPr>
        <w:t>standards including</w:t>
      </w:r>
      <w:r w:rsidR="008E1A2C" w:rsidRPr="00347405">
        <w:rPr>
          <w:b w:val="0"/>
          <w:bCs w:val="0"/>
          <w:color w:val="0D0D0D" w:themeColor="text1" w:themeTint="F2"/>
          <w:lang w:val="en-GB"/>
        </w:rPr>
        <w:t xml:space="preserve"> ISO 27001 and</w:t>
      </w:r>
      <w:r w:rsidR="002D1C77" w:rsidRPr="00347405">
        <w:rPr>
          <w:b w:val="0"/>
          <w:bCs w:val="0"/>
          <w:color w:val="0D0D0D" w:themeColor="text1" w:themeTint="F2"/>
          <w:lang w:val="en-GB"/>
        </w:rPr>
        <w:t xml:space="preserve"> </w:t>
      </w:r>
      <w:r w:rsidR="006E5760" w:rsidRPr="00347405">
        <w:rPr>
          <w:b w:val="0"/>
          <w:bCs w:val="0"/>
          <w:color w:val="0D0D0D" w:themeColor="text1" w:themeTint="F2"/>
          <w:lang w:val="en-GB"/>
        </w:rPr>
        <w:t xml:space="preserve">NIST </w:t>
      </w:r>
      <w:r w:rsidR="008E1A2C" w:rsidRPr="00347405">
        <w:rPr>
          <w:b w:val="0"/>
          <w:bCs w:val="0"/>
          <w:color w:val="0D0D0D" w:themeColor="text1" w:themeTint="F2"/>
          <w:lang w:val="en-GB"/>
        </w:rPr>
        <w:t xml:space="preserve">Cybersecurity Framework. </w:t>
      </w:r>
      <w:r w:rsidR="00FE7AFC" w:rsidRPr="00347405">
        <w:rPr>
          <w:b w:val="0"/>
          <w:bCs w:val="0"/>
          <w:color w:val="0D0D0D" w:themeColor="text1" w:themeTint="F2"/>
          <w:lang w:val="en-GB"/>
        </w:rPr>
        <w:t xml:space="preserve">Internal and external </w:t>
      </w:r>
      <w:r w:rsidR="002D4C88" w:rsidRPr="00347405">
        <w:rPr>
          <w:b w:val="0"/>
          <w:bCs w:val="0"/>
          <w:color w:val="0D0D0D" w:themeColor="text1" w:themeTint="F2"/>
          <w:lang w:val="en-GB"/>
        </w:rPr>
        <w:t>threats</w:t>
      </w:r>
      <w:r w:rsidR="00FE7AFC" w:rsidRPr="00347405">
        <w:rPr>
          <w:b w:val="0"/>
          <w:bCs w:val="0"/>
          <w:color w:val="0D0D0D" w:themeColor="text1" w:themeTint="F2"/>
          <w:lang w:val="en-GB"/>
        </w:rPr>
        <w:t xml:space="preserve"> are emerging </w:t>
      </w:r>
      <w:r w:rsidR="00656CBF" w:rsidRPr="00347405">
        <w:rPr>
          <w:b w:val="0"/>
          <w:bCs w:val="0"/>
          <w:color w:val="0D0D0D" w:themeColor="text1" w:themeTint="F2"/>
          <w:lang w:val="en-GB"/>
        </w:rPr>
        <w:t xml:space="preserve">and developing that are </w:t>
      </w:r>
      <w:r w:rsidR="000A5D7A" w:rsidRPr="00347405">
        <w:rPr>
          <w:b w:val="0"/>
          <w:bCs w:val="0"/>
          <w:color w:val="0D0D0D" w:themeColor="text1" w:themeTint="F2"/>
          <w:lang w:val="en-GB"/>
        </w:rPr>
        <w:t xml:space="preserve">assessed and evaluated in terms of their potential </w:t>
      </w:r>
      <w:r w:rsidR="00017FFB" w:rsidRPr="00347405">
        <w:rPr>
          <w:b w:val="0"/>
          <w:bCs w:val="0"/>
          <w:color w:val="0D0D0D" w:themeColor="text1" w:themeTint="F2"/>
          <w:lang w:val="en-GB"/>
        </w:rPr>
        <w:t>operationa</w:t>
      </w:r>
      <w:r w:rsidR="00FF599F" w:rsidRPr="00347405">
        <w:rPr>
          <w:b w:val="0"/>
          <w:bCs w:val="0"/>
          <w:color w:val="0D0D0D" w:themeColor="text1" w:themeTint="F2"/>
          <w:lang w:val="en-GB"/>
        </w:rPr>
        <w:t xml:space="preserve">l, reputational and </w:t>
      </w:r>
      <w:r w:rsidR="00240518" w:rsidRPr="00347405">
        <w:rPr>
          <w:b w:val="0"/>
          <w:bCs w:val="0"/>
          <w:color w:val="0D0D0D" w:themeColor="text1" w:themeTint="F2"/>
          <w:lang w:val="en-GB"/>
        </w:rPr>
        <w:t xml:space="preserve">financial impact </w:t>
      </w:r>
      <w:r w:rsidR="0040171C" w:rsidRPr="00347405">
        <w:rPr>
          <w:b w:val="0"/>
          <w:bCs w:val="0"/>
          <w:color w:val="0D0D0D" w:themeColor="text1" w:themeTint="F2"/>
          <w:lang w:val="en-GB"/>
        </w:rPr>
        <w:t xml:space="preserve">on the organization. </w:t>
      </w:r>
      <w:r w:rsidR="00C35E22" w:rsidRPr="00347405">
        <w:rPr>
          <w:b w:val="0"/>
          <w:bCs w:val="0"/>
          <w:color w:val="0D0D0D" w:themeColor="text1" w:themeTint="F2"/>
          <w:lang w:val="en-GB"/>
        </w:rPr>
        <w:t xml:space="preserve">The research </w:t>
      </w:r>
      <w:r w:rsidR="00806A0D" w:rsidRPr="00347405">
        <w:rPr>
          <w:b w:val="0"/>
          <w:bCs w:val="0"/>
          <w:color w:val="0D0D0D" w:themeColor="text1" w:themeTint="F2"/>
          <w:lang w:val="en-GB"/>
        </w:rPr>
        <w:t xml:space="preserve">on framework then proposes the </w:t>
      </w:r>
      <w:r w:rsidR="00BE51C2" w:rsidRPr="00347405">
        <w:rPr>
          <w:b w:val="0"/>
          <w:bCs w:val="0"/>
          <w:color w:val="0D0D0D" w:themeColor="text1" w:themeTint="F2"/>
          <w:lang w:val="en-GB"/>
        </w:rPr>
        <w:t>fea</w:t>
      </w:r>
      <w:r w:rsidR="00AB0AF1" w:rsidRPr="00347405">
        <w:rPr>
          <w:b w:val="0"/>
          <w:bCs w:val="0"/>
          <w:color w:val="0D0D0D" w:themeColor="text1" w:themeTint="F2"/>
          <w:lang w:val="en-GB"/>
        </w:rPr>
        <w:t xml:space="preserve">sible </w:t>
      </w:r>
      <w:r w:rsidR="00AD73F8" w:rsidRPr="00347405">
        <w:rPr>
          <w:b w:val="0"/>
          <w:bCs w:val="0"/>
          <w:color w:val="0D0D0D" w:themeColor="text1" w:themeTint="F2"/>
          <w:lang w:val="en-GB"/>
        </w:rPr>
        <w:t xml:space="preserve">and administrative controls, </w:t>
      </w:r>
      <w:r w:rsidR="009F6AC6" w:rsidRPr="00347405">
        <w:rPr>
          <w:b w:val="0"/>
          <w:bCs w:val="0"/>
          <w:color w:val="0D0D0D" w:themeColor="text1" w:themeTint="F2"/>
          <w:lang w:val="en-GB"/>
        </w:rPr>
        <w:t xml:space="preserve">security policies, </w:t>
      </w:r>
      <w:r w:rsidR="00AB5714" w:rsidRPr="00347405">
        <w:rPr>
          <w:b w:val="0"/>
          <w:bCs w:val="0"/>
          <w:color w:val="0D0D0D" w:themeColor="text1" w:themeTint="F2"/>
          <w:lang w:val="en-GB"/>
        </w:rPr>
        <w:t xml:space="preserve">network segmentation, </w:t>
      </w:r>
      <w:r w:rsidR="006449B3" w:rsidRPr="00347405">
        <w:rPr>
          <w:b w:val="0"/>
          <w:bCs w:val="0"/>
          <w:color w:val="0D0D0D" w:themeColor="text1" w:themeTint="F2"/>
          <w:lang w:val="en-GB"/>
        </w:rPr>
        <w:t>multi-factor authentication</w:t>
      </w:r>
      <w:r w:rsidR="00726661" w:rsidRPr="00347405">
        <w:rPr>
          <w:b w:val="0"/>
          <w:bCs w:val="0"/>
          <w:color w:val="0D0D0D" w:themeColor="text1" w:themeTint="F2"/>
          <w:lang w:val="en-GB"/>
        </w:rPr>
        <w:t>, immu</w:t>
      </w:r>
      <w:r w:rsidR="003C2AB8" w:rsidRPr="00347405">
        <w:rPr>
          <w:b w:val="0"/>
          <w:bCs w:val="0"/>
          <w:color w:val="0D0D0D" w:themeColor="text1" w:themeTint="F2"/>
          <w:lang w:val="en-GB"/>
        </w:rPr>
        <w:t xml:space="preserve">table </w:t>
      </w:r>
      <w:r w:rsidR="00863508" w:rsidRPr="00347405">
        <w:rPr>
          <w:b w:val="0"/>
          <w:bCs w:val="0"/>
          <w:color w:val="0D0D0D" w:themeColor="text1" w:themeTint="F2"/>
          <w:lang w:val="en-GB"/>
        </w:rPr>
        <w:t xml:space="preserve">backup strategies and </w:t>
      </w:r>
      <w:r w:rsidR="001840C8" w:rsidRPr="00347405">
        <w:rPr>
          <w:b w:val="0"/>
          <w:bCs w:val="0"/>
          <w:color w:val="0D0D0D" w:themeColor="text1" w:themeTint="F2"/>
          <w:lang w:val="en-GB"/>
        </w:rPr>
        <w:t xml:space="preserve">continuous patch management. </w:t>
      </w:r>
      <w:r w:rsidR="00AF547A" w:rsidRPr="00347405">
        <w:rPr>
          <w:b w:val="0"/>
          <w:bCs w:val="0"/>
          <w:color w:val="0D0D0D" w:themeColor="text1" w:themeTint="F2"/>
          <w:lang w:val="en-GB"/>
        </w:rPr>
        <w:t xml:space="preserve">Further, </w:t>
      </w:r>
      <w:r w:rsidR="00E34425" w:rsidRPr="00347405">
        <w:rPr>
          <w:b w:val="0"/>
          <w:bCs w:val="0"/>
          <w:color w:val="0D0D0D" w:themeColor="text1" w:themeTint="F2"/>
          <w:lang w:val="en-GB"/>
        </w:rPr>
        <w:t xml:space="preserve">24/7 monitoring and incident </w:t>
      </w:r>
      <w:r w:rsidR="009439A5" w:rsidRPr="00347405">
        <w:rPr>
          <w:b w:val="0"/>
          <w:bCs w:val="0"/>
          <w:color w:val="0D0D0D" w:themeColor="text1" w:themeTint="F2"/>
          <w:lang w:val="en-GB"/>
        </w:rPr>
        <w:t xml:space="preserve">response approach is </w:t>
      </w:r>
      <w:r w:rsidR="00676684" w:rsidRPr="00347405">
        <w:rPr>
          <w:b w:val="0"/>
          <w:bCs w:val="0"/>
          <w:color w:val="0D0D0D" w:themeColor="text1" w:themeTint="F2"/>
          <w:lang w:val="en-GB"/>
        </w:rPr>
        <w:t xml:space="preserve">elaborated </w:t>
      </w:r>
      <w:r w:rsidR="00406392" w:rsidRPr="00347405">
        <w:rPr>
          <w:b w:val="0"/>
          <w:bCs w:val="0"/>
          <w:color w:val="0D0D0D" w:themeColor="text1" w:themeTint="F2"/>
          <w:lang w:val="en-GB"/>
        </w:rPr>
        <w:t>b</w:t>
      </w:r>
      <w:r w:rsidR="00082A22" w:rsidRPr="00347405">
        <w:rPr>
          <w:b w:val="0"/>
          <w:bCs w:val="0"/>
          <w:color w:val="0D0D0D" w:themeColor="text1" w:themeTint="F2"/>
          <w:lang w:val="en-GB"/>
        </w:rPr>
        <w:t>ased on S</w:t>
      </w:r>
      <w:r w:rsidR="00406392" w:rsidRPr="00347405">
        <w:rPr>
          <w:b w:val="0"/>
          <w:bCs w:val="0"/>
          <w:color w:val="0D0D0D" w:themeColor="text1" w:themeTint="F2"/>
          <w:lang w:val="en-GB"/>
        </w:rPr>
        <w:t xml:space="preserve">IEM and </w:t>
      </w:r>
      <w:r w:rsidR="0027526A" w:rsidRPr="00347405">
        <w:rPr>
          <w:b w:val="0"/>
          <w:bCs w:val="0"/>
          <w:color w:val="0D0D0D" w:themeColor="text1" w:themeTint="F2"/>
          <w:lang w:val="en-GB"/>
        </w:rPr>
        <w:t>SOAR</w:t>
      </w:r>
      <w:r w:rsidR="00AF1480" w:rsidRPr="00347405">
        <w:rPr>
          <w:b w:val="0"/>
          <w:bCs w:val="0"/>
          <w:color w:val="0D0D0D" w:themeColor="text1" w:themeTint="F2"/>
          <w:lang w:val="en-GB"/>
        </w:rPr>
        <w:t xml:space="preserve"> technologies </w:t>
      </w:r>
      <w:r w:rsidR="001E47E4" w:rsidRPr="00347405">
        <w:rPr>
          <w:b w:val="0"/>
          <w:bCs w:val="0"/>
          <w:color w:val="0D0D0D" w:themeColor="text1" w:themeTint="F2"/>
          <w:lang w:val="en-GB"/>
        </w:rPr>
        <w:t xml:space="preserve">that are also represented through </w:t>
      </w:r>
      <w:r w:rsidR="00FA633B" w:rsidRPr="00347405">
        <w:rPr>
          <w:b w:val="0"/>
          <w:bCs w:val="0"/>
          <w:color w:val="0D0D0D" w:themeColor="text1" w:themeTint="F2"/>
          <w:lang w:val="en-GB"/>
        </w:rPr>
        <w:t>process and architectural diagrams</w:t>
      </w:r>
      <w:r w:rsidR="004144B5" w:rsidRPr="00347405">
        <w:rPr>
          <w:b w:val="0"/>
          <w:bCs w:val="0"/>
          <w:color w:val="0D0D0D" w:themeColor="text1" w:themeTint="F2"/>
          <w:lang w:val="en-GB"/>
        </w:rPr>
        <w:t xml:space="preserve">. </w:t>
      </w:r>
      <w:r w:rsidR="006B1F14" w:rsidRPr="00347405">
        <w:rPr>
          <w:b w:val="0"/>
          <w:bCs w:val="0"/>
          <w:color w:val="0D0D0D" w:themeColor="text1" w:themeTint="F2"/>
          <w:lang w:val="en-GB"/>
        </w:rPr>
        <w:t xml:space="preserve">The study also recommends a </w:t>
      </w:r>
      <w:r w:rsidR="00080B91" w:rsidRPr="00347405">
        <w:rPr>
          <w:b w:val="0"/>
          <w:bCs w:val="0"/>
          <w:color w:val="0D0D0D" w:themeColor="text1" w:themeTint="F2"/>
          <w:lang w:val="en-GB"/>
        </w:rPr>
        <w:t>role based and continuous</w:t>
      </w:r>
      <w:r w:rsidR="004422D8" w:rsidRPr="00347405">
        <w:rPr>
          <w:b w:val="0"/>
          <w:bCs w:val="0"/>
          <w:color w:val="0D0D0D" w:themeColor="text1" w:themeTint="F2"/>
          <w:lang w:val="en-GB"/>
        </w:rPr>
        <w:t xml:space="preserve"> </w:t>
      </w:r>
      <w:r w:rsidR="00C53169" w:rsidRPr="00347405">
        <w:rPr>
          <w:b w:val="0"/>
          <w:bCs w:val="0"/>
          <w:color w:val="0D0D0D" w:themeColor="text1" w:themeTint="F2"/>
          <w:lang w:val="en-GB"/>
        </w:rPr>
        <w:t xml:space="preserve">training and </w:t>
      </w:r>
      <w:r w:rsidR="004422D8" w:rsidRPr="00347405">
        <w:rPr>
          <w:b w:val="0"/>
          <w:bCs w:val="0"/>
          <w:color w:val="0D0D0D" w:themeColor="text1" w:themeTint="F2"/>
          <w:lang w:val="en-GB"/>
        </w:rPr>
        <w:t xml:space="preserve">awareness programs </w:t>
      </w:r>
      <w:r w:rsidR="008E0AD8" w:rsidRPr="00347405">
        <w:rPr>
          <w:b w:val="0"/>
          <w:bCs w:val="0"/>
          <w:color w:val="0D0D0D" w:themeColor="text1" w:themeTint="F2"/>
          <w:lang w:val="en-GB"/>
        </w:rPr>
        <w:t xml:space="preserve">including </w:t>
      </w:r>
      <w:r w:rsidR="00A73B70" w:rsidRPr="00347405">
        <w:rPr>
          <w:b w:val="0"/>
          <w:bCs w:val="0"/>
          <w:color w:val="0D0D0D" w:themeColor="text1" w:themeTint="F2"/>
          <w:lang w:val="en-GB"/>
        </w:rPr>
        <w:t xml:space="preserve">vishing simulations and </w:t>
      </w:r>
      <w:r w:rsidR="00082EB2" w:rsidRPr="00347405">
        <w:rPr>
          <w:b w:val="0"/>
          <w:bCs w:val="0"/>
          <w:color w:val="0D0D0D" w:themeColor="text1" w:themeTint="F2"/>
          <w:lang w:val="en-GB"/>
        </w:rPr>
        <w:t xml:space="preserve">realistic phishing </w:t>
      </w:r>
      <w:r w:rsidR="009941E9" w:rsidRPr="00347405">
        <w:rPr>
          <w:b w:val="0"/>
          <w:bCs w:val="0"/>
          <w:color w:val="0D0D0D" w:themeColor="text1" w:themeTint="F2"/>
          <w:lang w:val="en-GB"/>
        </w:rPr>
        <w:t xml:space="preserve">for a strong security </w:t>
      </w:r>
      <w:r w:rsidR="00D33FA1" w:rsidRPr="00347405">
        <w:rPr>
          <w:b w:val="0"/>
          <w:bCs w:val="0"/>
          <w:color w:val="0D0D0D" w:themeColor="text1" w:themeTint="F2"/>
          <w:lang w:val="en-GB"/>
        </w:rPr>
        <w:t>c</w:t>
      </w:r>
      <w:r w:rsidR="009941E9" w:rsidRPr="00347405">
        <w:rPr>
          <w:b w:val="0"/>
          <w:bCs w:val="0"/>
          <w:color w:val="0D0D0D" w:themeColor="text1" w:themeTint="F2"/>
          <w:lang w:val="en-GB"/>
        </w:rPr>
        <w:t xml:space="preserve">ulture management </w:t>
      </w:r>
      <w:r w:rsidR="00D33FA1" w:rsidRPr="00347405">
        <w:rPr>
          <w:b w:val="0"/>
          <w:bCs w:val="0"/>
          <w:color w:val="0D0D0D" w:themeColor="text1" w:themeTint="F2"/>
          <w:lang w:val="en-GB"/>
        </w:rPr>
        <w:t xml:space="preserve">across VTAM. </w:t>
      </w:r>
    </w:p>
    <w:p w14:paraId="58B10678" w14:textId="1823C8EC" w:rsidR="009303D9" w:rsidRPr="00347405" w:rsidRDefault="004D72B5" w:rsidP="00972203">
      <w:pPr>
        <w:pStyle w:val="Keywords"/>
        <w:rPr>
          <w:lang w:val="en-GB"/>
        </w:rPr>
      </w:pPr>
      <w:r w:rsidRPr="00347405">
        <w:rPr>
          <w:lang w:val="en-GB"/>
        </w:rPr>
        <w:t>Keywords</w:t>
      </w:r>
      <w:r w:rsidR="00CC458C" w:rsidRPr="00347405">
        <w:rPr>
          <w:lang w:val="en-GB"/>
        </w:rPr>
        <w:t xml:space="preserve"> </w:t>
      </w:r>
      <w:r w:rsidRPr="00347405">
        <w:rPr>
          <w:lang w:val="en-GB"/>
        </w:rPr>
        <w:t>—</w:t>
      </w:r>
      <w:r w:rsidR="009303D9" w:rsidRPr="00347405">
        <w:rPr>
          <w:lang w:val="en-GB"/>
        </w:rPr>
        <w:t xml:space="preserve"> </w:t>
      </w:r>
      <w:r w:rsidR="00CC458C" w:rsidRPr="00347405">
        <w:rPr>
          <w:b w:val="0"/>
          <w:lang w:val="en-GB"/>
        </w:rPr>
        <w:t>Zero Trust architecture; NIST Cybersecurity Framework; ISO 27001; Ransomware</w:t>
      </w:r>
      <w:r w:rsidR="00CC458C" w:rsidRPr="00347405">
        <w:rPr>
          <w:b w:val="0"/>
          <w:lang w:val="en-GB"/>
        </w:rPr>
        <w:noBreakHyphen/>
        <w:t>as</w:t>
      </w:r>
      <w:r w:rsidR="00CC458C" w:rsidRPr="00347405">
        <w:rPr>
          <w:b w:val="0"/>
          <w:lang w:val="en-GB"/>
        </w:rPr>
        <w:noBreakHyphen/>
        <w:t>a</w:t>
      </w:r>
      <w:r w:rsidR="00CC458C" w:rsidRPr="00347405">
        <w:rPr>
          <w:b w:val="0"/>
          <w:lang w:val="en-GB"/>
        </w:rPr>
        <w:noBreakHyphen/>
        <w:t>Service; AI</w:t>
      </w:r>
      <w:r w:rsidR="00CC458C" w:rsidRPr="00347405">
        <w:rPr>
          <w:b w:val="0"/>
          <w:lang w:val="en-GB"/>
        </w:rPr>
        <w:noBreakHyphen/>
        <w:t xml:space="preserve">powered social engineering; </w:t>
      </w:r>
      <w:r w:rsidR="006D56A9" w:rsidRPr="00347405">
        <w:rPr>
          <w:b w:val="0"/>
          <w:lang w:val="en-GB"/>
        </w:rPr>
        <w:t>F</w:t>
      </w:r>
      <w:r w:rsidR="00CC458C" w:rsidRPr="00347405">
        <w:rPr>
          <w:b w:val="0"/>
          <w:lang w:val="en-GB"/>
        </w:rPr>
        <w:t xml:space="preserve">inancial </w:t>
      </w:r>
      <w:r w:rsidR="00160A06" w:rsidRPr="00347405">
        <w:rPr>
          <w:b w:val="0"/>
          <w:lang w:val="en-GB"/>
        </w:rPr>
        <w:t>S</w:t>
      </w:r>
      <w:r w:rsidR="00CC458C" w:rsidRPr="00347405">
        <w:rPr>
          <w:b w:val="0"/>
          <w:lang w:val="en-GB"/>
        </w:rPr>
        <w:t xml:space="preserve">ervices </w:t>
      </w:r>
      <w:r w:rsidR="00100BBE" w:rsidRPr="00347405">
        <w:rPr>
          <w:b w:val="0"/>
          <w:lang w:val="en-GB"/>
        </w:rPr>
        <w:t>C</w:t>
      </w:r>
      <w:r w:rsidR="00CC458C" w:rsidRPr="00347405">
        <w:rPr>
          <w:b w:val="0"/>
          <w:lang w:val="en-GB"/>
        </w:rPr>
        <w:t xml:space="preserve">yber </w:t>
      </w:r>
      <w:r w:rsidR="00567FCB" w:rsidRPr="00347405">
        <w:rPr>
          <w:b w:val="0"/>
          <w:lang w:val="en-GB"/>
        </w:rPr>
        <w:t>S</w:t>
      </w:r>
      <w:r w:rsidR="00CC458C" w:rsidRPr="00347405">
        <w:rPr>
          <w:b w:val="0"/>
          <w:lang w:val="en-GB"/>
        </w:rPr>
        <w:t>ecurity</w:t>
      </w:r>
    </w:p>
    <w:p w14:paraId="3EB61793" w14:textId="6E450C0D" w:rsidR="003022B5" w:rsidRPr="00347405" w:rsidRDefault="009303D9" w:rsidP="00BD2D84">
      <w:pPr>
        <w:pStyle w:val="Heading1"/>
        <w:rPr>
          <w:lang w:val="en-GB"/>
        </w:rPr>
      </w:pPr>
      <w:r w:rsidRPr="00347405">
        <w:rPr>
          <w:lang w:val="en-GB"/>
        </w:rPr>
        <w:t>Introduction</w:t>
      </w:r>
    </w:p>
    <w:p w14:paraId="2688BFB8" w14:textId="7DDF9047" w:rsidR="002B7855" w:rsidRPr="00347405" w:rsidRDefault="00BD2D84" w:rsidP="002B7855">
      <w:pPr>
        <w:pStyle w:val="BodyText"/>
        <w:rPr>
          <w:lang w:val="en-GB"/>
        </w:rPr>
      </w:pPr>
      <w:r w:rsidRPr="00347405">
        <w:rPr>
          <w:lang w:val="en-GB"/>
        </w:rPr>
        <w:t xml:space="preserve">Financial institutions are consistently targeted by </w:t>
      </w:r>
      <w:r w:rsidR="00A2563A" w:rsidRPr="00347405">
        <w:rPr>
          <w:lang w:val="en-GB"/>
        </w:rPr>
        <w:t xml:space="preserve">cybercriminals </w:t>
      </w:r>
      <w:r w:rsidR="00E9492A" w:rsidRPr="00347405">
        <w:rPr>
          <w:lang w:val="en-GB"/>
        </w:rPr>
        <w:t>because they</w:t>
      </w:r>
      <w:r w:rsidR="00567F1C" w:rsidRPr="00347405">
        <w:rPr>
          <w:lang w:val="en-GB"/>
        </w:rPr>
        <w:t xml:space="preserve"> regularly </w:t>
      </w:r>
      <w:r w:rsidR="004C2B6E" w:rsidRPr="00347405">
        <w:rPr>
          <w:lang w:val="en-GB"/>
        </w:rPr>
        <w:t>process huge</w:t>
      </w:r>
      <w:r w:rsidR="00567F1C" w:rsidRPr="00347405">
        <w:rPr>
          <w:lang w:val="en-GB"/>
        </w:rPr>
        <w:t xml:space="preserve"> volumes of sensitive </w:t>
      </w:r>
      <w:r w:rsidR="001B17A9" w:rsidRPr="00347405">
        <w:rPr>
          <w:lang w:val="en-GB"/>
        </w:rPr>
        <w:t>financial</w:t>
      </w:r>
      <w:r w:rsidR="00567F1C" w:rsidRPr="00347405">
        <w:rPr>
          <w:lang w:val="en-GB"/>
        </w:rPr>
        <w:t xml:space="preserve"> in</w:t>
      </w:r>
      <w:r w:rsidR="001B17A9" w:rsidRPr="00347405">
        <w:rPr>
          <w:lang w:val="en-GB"/>
        </w:rPr>
        <w:t xml:space="preserve">formation </w:t>
      </w:r>
      <w:r w:rsidR="00F65200" w:rsidRPr="00347405">
        <w:rPr>
          <w:lang w:val="en-GB"/>
        </w:rPr>
        <w:t xml:space="preserve">that is based on a </w:t>
      </w:r>
      <w:r w:rsidR="00F845DA" w:rsidRPr="00347405">
        <w:rPr>
          <w:lang w:val="en-GB"/>
        </w:rPr>
        <w:t>continuously</w:t>
      </w:r>
      <w:r w:rsidR="00141FE3" w:rsidRPr="00347405">
        <w:rPr>
          <w:lang w:val="en-GB"/>
        </w:rPr>
        <w:t xml:space="preserve"> available </w:t>
      </w:r>
      <w:r w:rsidR="00AF7369" w:rsidRPr="00347405">
        <w:rPr>
          <w:lang w:val="en-GB"/>
        </w:rPr>
        <w:t>digital services</w:t>
      </w:r>
      <w:sdt>
        <w:sdtPr>
          <w:rPr>
            <w:lang w:val="en-GB"/>
          </w:rPr>
          <w:id w:val="1536005547"/>
          <w:citation/>
        </w:sdtPr>
        <w:sdtContent>
          <w:r w:rsidR="00AC6C52" w:rsidRPr="00347405">
            <w:rPr>
              <w:lang w:val="en-GB"/>
            </w:rPr>
            <w:fldChar w:fldCharType="begin"/>
          </w:r>
          <w:r w:rsidR="00AC6C52" w:rsidRPr="00347405">
            <w:rPr>
              <w:lang w:val="en-GB"/>
            </w:rPr>
            <w:instrText xml:space="preserve"> CITATION Ade25 \l</w:instrText>
          </w:r>
          <w:r>
            <w:rPr>
              <w:lang w:val="en-GB"/>
            </w:rPr>
            <w:instrText xml:space="preserve"> en-US </w:instrText>
          </w:r>
          <w:r w:rsidR="00AC6C52" w:rsidRPr="00347405">
            <w:rPr>
              <w:lang w:val="en-GB"/>
            </w:rPr>
            <w:fldChar w:fldCharType="separate"/>
          </w:r>
          <w:r w:rsidR="00AC6433">
            <w:rPr>
              <w:noProof/>
              <w:lang w:val="en-GB"/>
            </w:rPr>
            <w:t xml:space="preserve"> </w:t>
          </w:r>
          <w:r w:rsidR="00AC6433" w:rsidRPr="00AC6433">
            <w:rPr>
              <w:noProof/>
              <w:lang w:val="en-GB"/>
            </w:rPr>
            <w:t>[1]</w:t>
          </w:r>
          <w:r w:rsidR="00AC6C52" w:rsidRPr="00347405">
            <w:rPr>
              <w:lang w:val="en-GB"/>
            </w:rPr>
            <w:fldChar w:fldCharType="end"/>
          </w:r>
        </w:sdtContent>
      </w:sdt>
      <w:r w:rsidR="009777F0" w:rsidRPr="00347405">
        <w:rPr>
          <w:lang w:val="en-GB"/>
        </w:rPr>
        <w:t xml:space="preserve">. </w:t>
      </w:r>
      <w:r w:rsidR="00F970AC" w:rsidRPr="00347405">
        <w:rPr>
          <w:lang w:val="en-GB"/>
        </w:rPr>
        <w:t xml:space="preserve">VTAM is </w:t>
      </w:r>
      <w:r w:rsidR="00552960" w:rsidRPr="00347405">
        <w:rPr>
          <w:lang w:val="en-GB"/>
        </w:rPr>
        <w:t xml:space="preserve">medium-sized financial </w:t>
      </w:r>
      <w:r w:rsidR="00EA495C" w:rsidRPr="00347405">
        <w:rPr>
          <w:lang w:val="en-GB"/>
        </w:rPr>
        <w:t>services company</w:t>
      </w:r>
      <w:r w:rsidR="00CD1635" w:rsidRPr="00347405">
        <w:rPr>
          <w:lang w:val="en-GB"/>
        </w:rPr>
        <w:t xml:space="preserve"> operating in </w:t>
      </w:r>
      <w:r w:rsidR="008F6580" w:rsidRPr="00347405">
        <w:rPr>
          <w:lang w:val="en-GB"/>
        </w:rPr>
        <w:t xml:space="preserve">environment </w:t>
      </w:r>
      <w:r w:rsidR="00B045A5" w:rsidRPr="00347405">
        <w:rPr>
          <w:lang w:val="en-GB"/>
        </w:rPr>
        <w:t xml:space="preserve">and also adopt the </w:t>
      </w:r>
      <w:r w:rsidR="00293E66" w:rsidRPr="00347405">
        <w:rPr>
          <w:lang w:val="en-GB"/>
        </w:rPr>
        <w:t>hybrid worki</w:t>
      </w:r>
      <w:r w:rsidR="00064856" w:rsidRPr="00347405">
        <w:rPr>
          <w:lang w:val="en-GB"/>
        </w:rPr>
        <w:t>n</w:t>
      </w:r>
      <w:r w:rsidR="00293E66" w:rsidRPr="00347405">
        <w:rPr>
          <w:lang w:val="en-GB"/>
        </w:rPr>
        <w:t xml:space="preserve">g </w:t>
      </w:r>
      <w:r w:rsidR="00CE1C74" w:rsidRPr="00347405">
        <w:rPr>
          <w:lang w:val="en-GB"/>
        </w:rPr>
        <w:t xml:space="preserve">practices </w:t>
      </w:r>
      <w:r w:rsidR="00794C95" w:rsidRPr="00347405">
        <w:rPr>
          <w:lang w:val="en-GB"/>
        </w:rPr>
        <w:t xml:space="preserve">and </w:t>
      </w:r>
      <w:r w:rsidR="00293E66" w:rsidRPr="00347405">
        <w:rPr>
          <w:lang w:val="en-GB"/>
        </w:rPr>
        <w:t xml:space="preserve">cloud </w:t>
      </w:r>
      <w:r w:rsidR="00572CA6" w:rsidRPr="00347405">
        <w:rPr>
          <w:lang w:val="en-GB"/>
        </w:rPr>
        <w:t xml:space="preserve">services </w:t>
      </w:r>
      <w:r w:rsidR="008B5EF7" w:rsidRPr="00347405">
        <w:rPr>
          <w:lang w:val="en-GB"/>
        </w:rPr>
        <w:t xml:space="preserve">that increase </w:t>
      </w:r>
      <w:r w:rsidR="00DF237C" w:rsidRPr="00347405">
        <w:rPr>
          <w:lang w:val="en-GB"/>
        </w:rPr>
        <w:t>surface for attacks</w:t>
      </w:r>
      <w:sdt>
        <w:sdtPr>
          <w:rPr>
            <w:lang w:val="en-GB"/>
          </w:rPr>
          <w:id w:val="609939234"/>
          <w:citation/>
        </w:sdtPr>
        <w:sdtContent>
          <w:r w:rsidR="00FF4781" w:rsidRPr="00347405">
            <w:rPr>
              <w:lang w:val="en-GB"/>
            </w:rPr>
            <w:fldChar w:fldCharType="begin"/>
          </w:r>
          <w:r w:rsidR="00FF4781" w:rsidRPr="00347405">
            <w:rPr>
              <w:lang w:val="en-GB"/>
            </w:rPr>
            <w:instrText xml:space="preserve"> CITATION Sat24 \l</w:instrText>
          </w:r>
          <w:r>
            <w:rPr>
              <w:lang w:val="en-GB"/>
            </w:rPr>
            <w:instrText xml:space="preserve"> en-US </w:instrText>
          </w:r>
          <w:r w:rsidR="00FF4781" w:rsidRPr="00347405">
            <w:rPr>
              <w:lang w:val="en-GB"/>
            </w:rPr>
            <w:fldChar w:fldCharType="separate"/>
          </w:r>
          <w:r w:rsidR="00AC6433">
            <w:rPr>
              <w:noProof/>
              <w:lang w:val="en-GB"/>
            </w:rPr>
            <w:t xml:space="preserve"> </w:t>
          </w:r>
          <w:r w:rsidR="00AC6433" w:rsidRPr="00AC6433">
            <w:rPr>
              <w:noProof/>
              <w:lang w:val="en-GB"/>
            </w:rPr>
            <w:t>[2]</w:t>
          </w:r>
          <w:r w:rsidR="00FF4781" w:rsidRPr="00347405">
            <w:rPr>
              <w:lang w:val="en-GB"/>
            </w:rPr>
            <w:fldChar w:fldCharType="end"/>
          </w:r>
        </w:sdtContent>
      </w:sdt>
      <w:r w:rsidR="00DF237C" w:rsidRPr="00347405">
        <w:rPr>
          <w:lang w:val="en-GB"/>
        </w:rPr>
        <w:t xml:space="preserve">. </w:t>
      </w:r>
      <w:r w:rsidR="00BE3C2A" w:rsidRPr="00347405">
        <w:rPr>
          <w:lang w:val="en-GB"/>
        </w:rPr>
        <w:t>Cur</w:t>
      </w:r>
      <w:r w:rsidR="004A4C0F" w:rsidRPr="00347405">
        <w:rPr>
          <w:lang w:val="en-GB"/>
        </w:rPr>
        <w:t>r</w:t>
      </w:r>
      <w:r w:rsidR="00BE3C2A" w:rsidRPr="00347405">
        <w:rPr>
          <w:lang w:val="en-GB"/>
        </w:rPr>
        <w:t xml:space="preserve">ent security incident at </w:t>
      </w:r>
      <w:r w:rsidR="004A4C0F" w:rsidRPr="00347405">
        <w:rPr>
          <w:lang w:val="en-GB"/>
        </w:rPr>
        <w:t>VTAM</w:t>
      </w:r>
      <w:r w:rsidR="008F5EAE" w:rsidRPr="00347405">
        <w:rPr>
          <w:lang w:val="en-GB"/>
        </w:rPr>
        <w:t xml:space="preserve"> including attempted ransomware </w:t>
      </w:r>
      <w:r w:rsidR="00E02BB0" w:rsidRPr="00347405">
        <w:rPr>
          <w:lang w:val="en-GB"/>
        </w:rPr>
        <w:t>infection</w:t>
      </w:r>
      <w:r w:rsidR="00FE3039" w:rsidRPr="00347405">
        <w:rPr>
          <w:lang w:val="en-GB"/>
        </w:rPr>
        <w:t xml:space="preserve">, and sophisticated phishing campaign </w:t>
      </w:r>
      <w:r w:rsidR="00DF2011" w:rsidRPr="00347405">
        <w:rPr>
          <w:lang w:val="en-GB"/>
        </w:rPr>
        <w:t xml:space="preserve">shows the issues in </w:t>
      </w:r>
      <w:r w:rsidR="004623B6" w:rsidRPr="00347405">
        <w:rPr>
          <w:lang w:val="en-GB"/>
        </w:rPr>
        <w:t>the</w:t>
      </w:r>
      <w:r w:rsidR="00DF2011" w:rsidRPr="00347405">
        <w:rPr>
          <w:lang w:val="en-GB"/>
        </w:rPr>
        <w:t xml:space="preserve"> </w:t>
      </w:r>
      <w:r w:rsidR="00DF1D15" w:rsidRPr="00347405">
        <w:rPr>
          <w:lang w:val="en-GB"/>
        </w:rPr>
        <w:t xml:space="preserve">traditional </w:t>
      </w:r>
      <w:r w:rsidR="004C2B6E" w:rsidRPr="00347405">
        <w:rPr>
          <w:lang w:val="en-GB"/>
        </w:rPr>
        <w:t>perimeter-based</w:t>
      </w:r>
      <w:r w:rsidR="00DF1D15" w:rsidRPr="00347405">
        <w:rPr>
          <w:lang w:val="en-GB"/>
        </w:rPr>
        <w:t xml:space="preserve"> </w:t>
      </w:r>
      <w:r w:rsidR="004C2B6E" w:rsidRPr="00347405">
        <w:rPr>
          <w:lang w:val="en-GB"/>
        </w:rPr>
        <w:t>defences</w:t>
      </w:r>
      <w:r w:rsidR="00983104" w:rsidRPr="00347405">
        <w:rPr>
          <w:lang w:val="en-GB"/>
        </w:rPr>
        <w:t xml:space="preserve"> and a requirement for a modern </w:t>
      </w:r>
      <w:r w:rsidR="009E444D" w:rsidRPr="00347405">
        <w:rPr>
          <w:lang w:val="en-GB"/>
        </w:rPr>
        <w:t>and holistic security approach</w:t>
      </w:r>
      <w:sdt>
        <w:sdtPr>
          <w:rPr>
            <w:lang w:val="en-GB"/>
          </w:rPr>
          <w:id w:val="1144546395"/>
          <w:citation/>
        </w:sdtPr>
        <w:sdtContent>
          <w:r w:rsidR="00C356A1" w:rsidRPr="00347405">
            <w:rPr>
              <w:lang w:val="en-GB"/>
            </w:rPr>
            <w:fldChar w:fldCharType="begin"/>
          </w:r>
          <w:r w:rsidR="00C356A1" w:rsidRPr="00347405">
            <w:rPr>
              <w:lang w:val="en-GB"/>
            </w:rPr>
            <w:instrText xml:space="preserve"> CITATION Jab24 \l</w:instrText>
          </w:r>
          <w:r>
            <w:rPr>
              <w:lang w:val="en-GB"/>
            </w:rPr>
            <w:instrText xml:space="preserve"> en-US </w:instrText>
          </w:r>
          <w:r w:rsidR="00C356A1" w:rsidRPr="00347405">
            <w:rPr>
              <w:lang w:val="en-GB"/>
            </w:rPr>
            <w:fldChar w:fldCharType="separate"/>
          </w:r>
          <w:r w:rsidR="00AC6433">
            <w:rPr>
              <w:noProof/>
              <w:lang w:val="en-GB"/>
            </w:rPr>
            <w:t xml:space="preserve"> </w:t>
          </w:r>
          <w:r w:rsidR="00AC6433" w:rsidRPr="00AC6433">
            <w:rPr>
              <w:noProof/>
              <w:lang w:val="en-GB"/>
            </w:rPr>
            <w:t>[3]</w:t>
          </w:r>
          <w:r w:rsidR="00C356A1" w:rsidRPr="00347405">
            <w:rPr>
              <w:lang w:val="en-GB"/>
            </w:rPr>
            <w:fldChar w:fldCharType="end"/>
          </w:r>
        </w:sdtContent>
      </w:sdt>
      <w:r w:rsidR="009E444D" w:rsidRPr="00347405">
        <w:rPr>
          <w:lang w:val="en-GB"/>
        </w:rPr>
        <w:t>.</w:t>
      </w:r>
    </w:p>
    <w:p w14:paraId="1DA264FE" w14:textId="31FA6F53" w:rsidR="002B7855" w:rsidRPr="00347405" w:rsidRDefault="002B7855" w:rsidP="002B7855">
      <w:pPr>
        <w:pStyle w:val="BodyText"/>
        <w:rPr>
          <w:lang w:val="en-GB"/>
        </w:rPr>
      </w:pPr>
      <w:r w:rsidRPr="00347405">
        <w:rPr>
          <w:lang w:val="en-GB"/>
        </w:rPr>
        <w:t xml:space="preserve">Cyber </w:t>
      </w:r>
      <w:r w:rsidR="00745062" w:rsidRPr="00347405">
        <w:rPr>
          <w:lang w:val="en-GB"/>
        </w:rPr>
        <w:t>threats</w:t>
      </w:r>
      <w:r w:rsidRPr="00347405">
        <w:rPr>
          <w:lang w:val="en-GB"/>
        </w:rPr>
        <w:t xml:space="preserve"> are also emerging </w:t>
      </w:r>
      <w:r w:rsidR="00745062" w:rsidRPr="00347405">
        <w:rPr>
          <w:lang w:val="en-GB"/>
        </w:rPr>
        <w:t xml:space="preserve">through models </w:t>
      </w:r>
      <w:r w:rsidR="001E54EC" w:rsidRPr="00347405">
        <w:rPr>
          <w:lang w:val="en-GB"/>
        </w:rPr>
        <w:t xml:space="preserve">like </w:t>
      </w:r>
      <w:r w:rsidR="00004418" w:rsidRPr="00347405">
        <w:rPr>
          <w:lang w:val="en-GB"/>
        </w:rPr>
        <w:t>ransomware</w:t>
      </w:r>
      <w:r w:rsidR="001E54EC" w:rsidRPr="00347405">
        <w:rPr>
          <w:lang w:val="en-GB"/>
        </w:rPr>
        <w:t>-as-a-service</w:t>
      </w:r>
      <w:r w:rsidR="004C2B6E">
        <w:rPr>
          <w:lang w:val="en-GB"/>
        </w:rPr>
        <w:t xml:space="preserve"> (RaaS</w:t>
      </w:r>
      <w:r w:rsidR="00824423">
        <w:rPr>
          <w:lang w:val="en-GB"/>
        </w:rPr>
        <w:t>)</w:t>
      </w:r>
      <w:r w:rsidR="00004418" w:rsidRPr="00347405">
        <w:rPr>
          <w:lang w:val="en-GB"/>
        </w:rPr>
        <w:t xml:space="preserve">, supply chain </w:t>
      </w:r>
      <w:r w:rsidR="00790EA1" w:rsidRPr="00347405">
        <w:rPr>
          <w:lang w:val="en-GB"/>
        </w:rPr>
        <w:t>compromise</w:t>
      </w:r>
      <w:r w:rsidR="00004418" w:rsidRPr="00347405">
        <w:rPr>
          <w:lang w:val="en-GB"/>
        </w:rPr>
        <w:t xml:space="preserve">, </w:t>
      </w:r>
      <w:r w:rsidR="00594783" w:rsidRPr="00347405">
        <w:rPr>
          <w:lang w:val="en-GB"/>
        </w:rPr>
        <w:t xml:space="preserve">AI-assisted vishing </w:t>
      </w:r>
      <w:r w:rsidR="00B30AEE" w:rsidRPr="00347405">
        <w:rPr>
          <w:lang w:val="en-GB"/>
        </w:rPr>
        <w:t>and cloud misconfiguration</w:t>
      </w:r>
      <w:r w:rsidR="00C84303" w:rsidRPr="00347405">
        <w:rPr>
          <w:lang w:val="en-GB"/>
        </w:rPr>
        <w:t xml:space="preserve"> that can result into huge financial losses, reputational damages and regulatory </w:t>
      </w:r>
      <w:r w:rsidR="00FD3F65" w:rsidRPr="00347405">
        <w:rPr>
          <w:lang w:val="en-GB"/>
        </w:rPr>
        <w:t>penalties</w:t>
      </w:r>
      <w:sdt>
        <w:sdtPr>
          <w:rPr>
            <w:lang w:val="en-GB"/>
          </w:rPr>
          <w:id w:val="-1963100229"/>
          <w:citation/>
        </w:sdtPr>
        <w:sdtContent>
          <w:r w:rsidR="006F46D5" w:rsidRPr="00347405">
            <w:rPr>
              <w:lang w:val="en-GB"/>
            </w:rPr>
            <w:fldChar w:fldCharType="begin"/>
          </w:r>
          <w:r w:rsidR="006F46D5" w:rsidRPr="00347405">
            <w:rPr>
              <w:lang w:val="en-GB"/>
            </w:rPr>
            <w:instrText xml:space="preserve"> CITATION Sim \l</w:instrText>
          </w:r>
          <w:r>
            <w:rPr>
              <w:lang w:val="en-GB"/>
            </w:rPr>
            <w:instrText xml:space="preserve"> en-US </w:instrText>
          </w:r>
          <w:r w:rsidR="003035B3" w:rsidRPr="00347405">
            <w:rPr>
              <w:lang w:val="en-GB"/>
            </w:rPr>
            <w:instrText>\m Pra25</w:instrText>
          </w:r>
          <w:r w:rsidR="006F46D5" w:rsidRPr="00347405">
            <w:rPr>
              <w:lang w:val="en-GB"/>
            </w:rPr>
            <w:fldChar w:fldCharType="separate"/>
          </w:r>
          <w:r w:rsidR="00AC6433">
            <w:rPr>
              <w:noProof/>
              <w:lang w:val="en-GB"/>
            </w:rPr>
            <w:t xml:space="preserve"> </w:t>
          </w:r>
          <w:r w:rsidR="00AC6433" w:rsidRPr="00AC6433">
            <w:rPr>
              <w:noProof/>
              <w:lang w:val="en-GB"/>
            </w:rPr>
            <w:t>[4, 5]</w:t>
          </w:r>
          <w:r w:rsidR="006F46D5" w:rsidRPr="00347405">
            <w:rPr>
              <w:lang w:val="en-GB"/>
            </w:rPr>
            <w:fldChar w:fldCharType="end"/>
          </w:r>
        </w:sdtContent>
      </w:sdt>
      <w:r w:rsidR="00C84303" w:rsidRPr="00347405">
        <w:rPr>
          <w:lang w:val="en-GB"/>
        </w:rPr>
        <w:t xml:space="preserve">. </w:t>
      </w:r>
      <w:r w:rsidR="00CA4EE5" w:rsidRPr="00347405">
        <w:rPr>
          <w:lang w:val="en-GB"/>
        </w:rPr>
        <w:t xml:space="preserve">In this regard, industry guidance is promoting Zero Trust architecture </w:t>
      </w:r>
      <w:r w:rsidR="00C13F6E" w:rsidRPr="00347405">
        <w:rPr>
          <w:lang w:val="en-GB"/>
        </w:rPr>
        <w:t xml:space="preserve">where no device, user of service is trusted automatically </w:t>
      </w:r>
      <w:r w:rsidR="001975DC" w:rsidRPr="00347405">
        <w:rPr>
          <w:lang w:val="en-GB"/>
        </w:rPr>
        <w:t xml:space="preserve">and a consistently </w:t>
      </w:r>
      <w:r w:rsidR="00857AFD" w:rsidRPr="00347405">
        <w:rPr>
          <w:lang w:val="en-GB"/>
        </w:rPr>
        <w:t>verified</w:t>
      </w:r>
      <w:r w:rsidR="001975DC" w:rsidRPr="00347405">
        <w:rPr>
          <w:lang w:val="en-GB"/>
        </w:rPr>
        <w:t xml:space="preserve"> access division is present </w:t>
      </w:r>
      <w:sdt>
        <w:sdtPr>
          <w:rPr>
            <w:lang w:val="en-GB"/>
          </w:rPr>
          <w:id w:val="1534158669"/>
          <w:citation/>
        </w:sdtPr>
        <w:sdtContent>
          <w:r w:rsidR="000C0FE2" w:rsidRPr="00347405">
            <w:rPr>
              <w:lang w:val="en-GB"/>
            </w:rPr>
            <w:fldChar w:fldCharType="begin"/>
          </w:r>
          <w:r w:rsidR="000C0FE2" w:rsidRPr="00347405">
            <w:rPr>
              <w:lang w:val="en-GB"/>
            </w:rPr>
            <w:instrText xml:space="preserve"> CITATION Sye22 \l</w:instrText>
          </w:r>
          <w:r>
            <w:rPr>
              <w:lang w:val="en-GB"/>
            </w:rPr>
            <w:instrText xml:space="preserve"> en-US </w:instrText>
          </w:r>
          <w:r w:rsidR="000C0FE2" w:rsidRPr="00347405">
            <w:rPr>
              <w:lang w:val="en-GB"/>
            </w:rPr>
            <w:fldChar w:fldCharType="separate"/>
          </w:r>
          <w:r w:rsidR="00AC6433" w:rsidRPr="00AC6433">
            <w:rPr>
              <w:noProof/>
              <w:lang w:val="en-GB"/>
            </w:rPr>
            <w:t>[6]</w:t>
          </w:r>
          <w:r w:rsidR="000C0FE2" w:rsidRPr="00347405">
            <w:rPr>
              <w:lang w:val="en-GB"/>
            </w:rPr>
            <w:fldChar w:fldCharType="end"/>
          </w:r>
        </w:sdtContent>
      </w:sdt>
      <w:r w:rsidR="000C0FE2" w:rsidRPr="00347405">
        <w:rPr>
          <w:lang w:val="en-GB"/>
        </w:rPr>
        <w:t xml:space="preserve">. </w:t>
      </w:r>
      <w:r w:rsidR="00196001" w:rsidRPr="00347405">
        <w:rPr>
          <w:lang w:val="en-GB"/>
        </w:rPr>
        <w:t xml:space="preserve">The frameworks like </w:t>
      </w:r>
      <w:r w:rsidR="00A90432" w:rsidRPr="00347405">
        <w:rPr>
          <w:lang w:val="en-GB"/>
        </w:rPr>
        <w:t xml:space="preserve">ISO 27001 and NIST Cybersecurity Framework </w:t>
      </w:r>
      <w:r w:rsidR="00317224" w:rsidRPr="00347405">
        <w:rPr>
          <w:lang w:val="en-GB"/>
        </w:rPr>
        <w:t xml:space="preserve">introduce the </w:t>
      </w:r>
      <w:r w:rsidR="00707939" w:rsidRPr="00347405">
        <w:rPr>
          <w:lang w:val="en-GB"/>
        </w:rPr>
        <w:t>structures ways to find</w:t>
      </w:r>
      <w:r w:rsidR="00D114A9" w:rsidRPr="00347405">
        <w:rPr>
          <w:lang w:val="en-GB"/>
        </w:rPr>
        <w:t xml:space="preserve">, protect, detect and respond to and get recovery from such threats. </w:t>
      </w:r>
    </w:p>
    <w:p w14:paraId="0C1EB7B2" w14:textId="70DD333F" w:rsidR="00001AD6" w:rsidRPr="00347405" w:rsidRDefault="0047628E" w:rsidP="0042270A">
      <w:pPr>
        <w:pStyle w:val="BodyText"/>
        <w:rPr>
          <w:lang w:val="en-GB"/>
        </w:rPr>
      </w:pPr>
      <w:r w:rsidRPr="00347405">
        <w:rPr>
          <w:lang w:val="en-GB"/>
        </w:rPr>
        <w:t xml:space="preserve">The purpose of the current research paper is to </w:t>
      </w:r>
      <w:r w:rsidR="00A310DC" w:rsidRPr="00347405">
        <w:rPr>
          <w:lang w:val="en-GB"/>
        </w:rPr>
        <w:t xml:space="preserve">create a modern security framework for VTAM </w:t>
      </w:r>
      <w:r w:rsidR="00086974" w:rsidRPr="00347405">
        <w:rPr>
          <w:lang w:val="en-GB"/>
        </w:rPr>
        <w:t xml:space="preserve">that is </w:t>
      </w:r>
      <w:r w:rsidR="00E91F29" w:rsidRPr="00347405">
        <w:rPr>
          <w:lang w:val="en-GB"/>
        </w:rPr>
        <w:t xml:space="preserve">follows the Zero Trust principles </w:t>
      </w:r>
      <w:r w:rsidR="00B10508" w:rsidRPr="00347405">
        <w:rPr>
          <w:lang w:val="en-GB"/>
        </w:rPr>
        <w:t xml:space="preserve">and </w:t>
      </w:r>
      <w:r w:rsidR="008E27EA" w:rsidRPr="00347405">
        <w:rPr>
          <w:lang w:val="en-GB"/>
        </w:rPr>
        <w:t xml:space="preserve">it is aligned with </w:t>
      </w:r>
      <w:r w:rsidR="00D6048D" w:rsidRPr="00347405">
        <w:rPr>
          <w:lang w:val="en-GB"/>
        </w:rPr>
        <w:t>recognized</w:t>
      </w:r>
      <w:r w:rsidR="008E27EA" w:rsidRPr="00347405">
        <w:rPr>
          <w:lang w:val="en-GB"/>
        </w:rPr>
        <w:t xml:space="preserve"> </w:t>
      </w:r>
      <w:r w:rsidR="00D6048D" w:rsidRPr="00347405">
        <w:rPr>
          <w:lang w:val="en-GB"/>
        </w:rPr>
        <w:t>standards</w:t>
      </w:r>
      <w:r w:rsidR="008E27EA" w:rsidRPr="00347405">
        <w:rPr>
          <w:lang w:val="en-GB"/>
        </w:rPr>
        <w:t xml:space="preserve"> </w:t>
      </w:r>
      <w:r w:rsidR="00334571" w:rsidRPr="00347405">
        <w:rPr>
          <w:lang w:val="en-GB"/>
        </w:rPr>
        <w:t xml:space="preserve">and intelligence of recent threats. </w:t>
      </w:r>
      <w:r w:rsidR="0001480C" w:rsidRPr="00347405">
        <w:rPr>
          <w:lang w:val="en-GB"/>
        </w:rPr>
        <w:t xml:space="preserve">It will also find </w:t>
      </w:r>
      <w:r w:rsidR="00962AF3" w:rsidRPr="00347405">
        <w:rPr>
          <w:lang w:val="en-GB"/>
        </w:rPr>
        <w:t>main internal and external th</w:t>
      </w:r>
      <w:r w:rsidR="001B133B" w:rsidRPr="00347405">
        <w:rPr>
          <w:lang w:val="en-GB"/>
        </w:rPr>
        <w:t>reats</w:t>
      </w:r>
      <w:r w:rsidR="00A10141" w:rsidRPr="00347405">
        <w:rPr>
          <w:lang w:val="en-GB"/>
        </w:rPr>
        <w:t xml:space="preserve">, design </w:t>
      </w:r>
      <w:r w:rsidR="00E62AC2" w:rsidRPr="00347405">
        <w:rPr>
          <w:lang w:val="en-GB"/>
        </w:rPr>
        <w:t xml:space="preserve">appropriate security policies and </w:t>
      </w:r>
      <w:r w:rsidR="006C111E" w:rsidRPr="00347405">
        <w:rPr>
          <w:lang w:val="en-GB"/>
        </w:rPr>
        <w:t xml:space="preserve">proposes feasible </w:t>
      </w:r>
      <w:r w:rsidR="001C731E" w:rsidRPr="00347405">
        <w:rPr>
          <w:lang w:val="en-GB"/>
        </w:rPr>
        <w:t xml:space="preserve">administrative and technical controls </w:t>
      </w:r>
      <w:r w:rsidR="00BC4F46" w:rsidRPr="00347405">
        <w:rPr>
          <w:lang w:val="en-GB"/>
        </w:rPr>
        <w:t xml:space="preserve">that suits the medium-sized financial </w:t>
      </w:r>
      <w:r w:rsidR="005D08AB" w:rsidRPr="00347405">
        <w:rPr>
          <w:lang w:val="en-GB"/>
        </w:rPr>
        <w:t>organizations</w:t>
      </w:r>
      <w:r w:rsidR="00BC4F46" w:rsidRPr="00347405">
        <w:rPr>
          <w:lang w:val="en-GB"/>
        </w:rPr>
        <w:t xml:space="preserve">. </w:t>
      </w:r>
      <w:r w:rsidR="007D580C" w:rsidRPr="00347405">
        <w:rPr>
          <w:lang w:val="en-GB"/>
        </w:rPr>
        <w:t xml:space="preserve">It also creates a 24/7 </w:t>
      </w:r>
      <w:r w:rsidR="00D86B25" w:rsidRPr="00347405">
        <w:rPr>
          <w:lang w:val="en-GB"/>
        </w:rPr>
        <w:t xml:space="preserve">active </w:t>
      </w:r>
      <w:r w:rsidR="00594E8D" w:rsidRPr="00347405">
        <w:rPr>
          <w:lang w:val="en-GB"/>
        </w:rPr>
        <w:t>monitoring</w:t>
      </w:r>
      <w:r w:rsidR="00D86B25" w:rsidRPr="00347405">
        <w:rPr>
          <w:lang w:val="en-GB"/>
        </w:rPr>
        <w:t xml:space="preserve"> and </w:t>
      </w:r>
      <w:r w:rsidR="0018730D" w:rsidRPr="00347405">
        <w:rPr>
          <w:lang w:val="en-GB"/>
        </w:rPr>
        <w:t xml:space="preserve">incident response ability </w:t>
      </w:r>
      <w:r w:rsidR="005B1BEF" w:rsidRPr="00347405">
        <w:rPr>
          <w:lang w:val="en-GB"/>
        </w:rPr>
        <w:t xml:space="preserve">through tools like </w:t>
      </w:r>
      <w:r w:rsidR="0033701A">
        <w:rPr>
          <w:lang w:val="en-GB"/>
        </w:rPr>
        <w:t>Automation and Response (SOAR),</w:t>
      </w:r>
      <w:r w:rsidR="00782204">
        <w:rPr>
          <w:lang w:val="en-GB"/>
        </w:rPr>
        <w:t xml:space="preserve"> </w:t>
      </w:r>
      <w:r w:rsidR="001A067C" w:rsidRPr="00347405">
        <w:rPr>
          <w:lang w:val="en-GB"/>
        </w:rPr>
        <w:t>Security Information and Event Management (SIEM)</w:t>
      </w:r>
      <w:r w:rsidR="00255F85" w:rsidRPr="00347405">
        <w:rPr>
          <w:lang w:val="en-GB"/>
        </w:rPr>
        <w:t xml:space="preserve"> and</w:t>
      </w:r>
      <w:r w:rsidR="00697E5C" w:rsidRPr="00347405">
        <w:rPr>
          <w:lang w:val="en-GB"/>
        </w:rPr>
        <w:t xml:space="preserve"> Security Orchestration</w:t>
      </w:r>
      <w:r w:rsidR="001C223E" w:rsidRPr="00347405">
        <w:rPr>
          <w:lang w:val="en-GB"/>
        </w:rPr>
        <w:t xml:space="preserve"> that are supported with clear diagrams</w:t>
      </w:r>
      <w:sdt>
        <w:sdtPr>
          <w:rPr>
            <w:lang w:val="en-GB"/>
          </w:rPr>
          <w:id w:val="950437401"/>
          <w:citation/>
        </w:sdtPr>
        <w:sdtContent>
          <w:r w:rsidR="009C7EA3">
            <w:rPr>
              <w:lang w:val="en-GB"/>
            </w:rPr>
            <w:fldChar w:fldCharType="begin"/>
          </w:r>
          <w:r w:rsidR="009C7EA3">
            <w:rPr>
              <w:lang w:val="en-US"/>
            </w:rPr>
            <w:instrText xml:space="preserve"> CITATION Per23 \l</w:instrText>
          </w:r>
          <w:r>
            <w:rPr>
              <w:lang w:val="en-US"/>
            </w:rPr>
            <w:instrText xml:space="preserve"> en-US </w:instrText>
          </w:r>
          <w:r w:rsidR="009C7EA3">
            <w:rPr>
              <w:lang w:val="en-GB"/>
            </w:rPr>
            <w:fldChar w:fldCharType="separate"/>
          </w:r>
          <w:r w:rsidR="00AC6433">
            <w:rPr>
              <w:noProof/>
              <w:lang w:val="en-US"/>
            </w:rPr>
            <w:t xml:space="preserve"> </w:t>
          </w:r>
          <w:r w:rsidR="00AC6433" w:rsidRPr="00AC6433">
            <w:rPr>
              <w:noProof/>
              <w:lang w:val="en-US"/>
            </w:rPr>
            <w:t>[7]</w:t>
          </w:r>
          <w:r w:rsidR="009C7EA3">
            <w:rPr>
              <w:lang w:val="en-GB"/>
            </w:rPr>
            <w:fldChar w:fldCharType="end"/>
          </w:r>
        </w:sdtContent>
      </w:sdt>
      <w:r w:rsidR="001C223E" w:rsidRPr="00347405">
        <w:rPr>
          <w:lang w:val="en-GB"/>
        </w:rPr>
        <w:t xml:space="preserve">. </w:t>
      </w:r>
      <w:r w:rsidR="00D27956" w:rsidRPr="00347405">
        <w:rPr>
          <w:lang w:val="en-GB"/>
        </w:rPr>
        <w:t xml:space="preserve">Ultimately, the report recommends </w:t>
      </w:r>
      <w:r w:rsidR="001428AA" w:rsidRPr="00347405">
        <w:rPr>
          <w:lang w:val="en-GB"/>
        </w:rPr>
        <w:t xml:space="preserve">a consistent training </w:t>
      </w:r>
      <w:r w:rsidR="00887C3B" w:rsidRPr="00347405">
        <w:rPr>
          <w:lang w:val="en-GB"/>
        </w:rPr>
        <w:t xml:space="preserve">and </w:t>
      </w:r>
      <w:r w:rsidR="00162C3F" w:rsidRPr="00347405">
        <w:rPr>
          <w:lang w:val="en-GB"/>
        </w:rPr>
        <w:t>awareness</w:t>
      </w:r>
      <w:r w:rsidR="00887C3B" w:rsidRPr="00347405">
        <w:rPr>
          <w:lang w:val="en-GB"/>
        </w:rPr>
        <w:t xml:space="preserve"> program</w:t>
      </w:r>
      <w:r w:rsidR="00725D6A" w:rsidRPr="00347405">
        <w:rPr>
          <w:lang w:val="en-GB"/>
        </w:rPr>
        <w:t xml:space="preserve">me fir building security </w:t>
      </w:r>
      <w:r w:rsidR="001960E8" w:rsidRPr="00347405">
        <w:rPr>
          <w:lang w:val="en-GB"/>
        </w:rPr>
        <w:t>conscious</w:t>
      </w:r>
      <w:r w:rsidR="0088743C" w:rsidRPr="00347405">
        <w:rPr>
          <w:lang w:val="en-GB"/>
        </w:rPr>
        <w:t xml:space="preserve"> culture at </w:t>
      </w:r>
      <w:r w:rsidR="001960E8" w:rsidRPr="00347405">
        <w:rPr>
          <w:lang w:val="en-GB"/>
        </w:rPr>
        <w:t>organization</w:t>
      </w:r>
      <w:r w:rsidR="0088743C" w:rsidRPr="00347405">
        <w:rPr>
          <w:lang w:val="en-GB"/>
        </w:rPr>
        <w:t xml:space="preserve">. </w:t>
      </w:r>
    </w:p>
    <w:p w14:paraId="179EA777" w14:textId="7DDCBFA8" w:rsidR="009303D9" w:rsidRPr="00C80C88" w:rsidRDefault="00CF62C5" w:rsidP="006B6B66">
      <w:pPr>
        <w:pStyle w:val="Heading1"/>
      </w:pPr>
      <w:r w:rsidRPr="00C80C88">
        <w:t>Identification of Modern Threats</w:t>
      </w:r>
    </w:p>
    <w:p w14:paraId="5D4A3326" w14:textId="26C8321F" w:rsidR="00CA38A9" w:rsidRDefault="005A0C56" w:rsidP="00CF62C5">
      <w:pPr>
        <w:pStyle w:val="BodyText"/>
      </w:pPr>
      <w:r w:rsidRPr="00957987">
        <w:t xml:space="preserve">VTAM is operating in a </w:t>
      </w:r>
      <w:r w:rsidR="00347405">
        <w:t xml:space="preserve">threat landscape </w:t>
      </w:r>
      <w:r w:rsidR="00721FA8">
        <w:t xml:space="preserve">where cybercriminals are using </w:t>
      </w:r>
      <w:r w:rsidR="00A61321">
        <w:t>highly</w:t>
      </w:r>
      <w:r w:rsidR="00721FA8">
        <w:t xml:space="preserve"> </w:t>
      </w:r>
      <w:r w:rsidR="00A61321">
        <w:t>specialized</w:t>
      </w:r>
      <w:r w:rsidR="00721FA8">
        <w:t xml:space="preserve"> services </w:t>
      </w:r>
      <w:r w:rsidR="009D273B">
        <w:t xml:space="preserve">and </w:t>
      </w:r>
      <w:r w:rsidR="00BE3E1C">
        <w:t>automation</w:t>
      </w:r>
      <w:r w:rsidR="009D273B">
        <w:t xml:space="preserve"> to increase attack </w:t>
      </w:r>
      <w:r w:rsidR="00053AFF">
        <w:t xml:space="preserve">on </w:t>
      </w:r>
      <w:r w:rsidR="0070621E">
        <w:t>financial</w:t>
      </w:r>
      <w:r w:rsidR="00F3690E">
        <w:t xml:space="preserve"> organizations. </w:t>
      </w:r>
      <w:r w:rsidR="006630DB">
        <w:t xml:space="preserve">A </w:t>
      </w:r>
      <w:r w:rsidR="00237F4E">
        <w:t>significant</w:t>
      </w:r>
      <w:r w:rsidR="006630DB">
        <w:t xml:space="preserve"> </w:t>
      </w:r>
      <w:r w:rsidR="00237F4E">
        <w:t xml:space="preserve">external threat is </w:t>
      </w:r>
      <w:r w:rsidR="00FB1C41">
        <w:t xml:space="preserve">RaaS in which criminal groups are creating </w:t>
      </w:r>
      <w:r w:rsidR="00B921FE">
        <w:t>ransomware</w:t>
      </w:r>
      <w:r w:rsidR="00F47392">
        <w:t xml:space="preserve"> platforms </w:t>
      </w:r>
      <w:r w:rsidR="006A5FE3">
        <w:t xml:space="preserve">and lease or sell them to affiliates. </w:t>
      </w:r>
      <w:r w:rsidR="00767BA8">
        <w:t xml:space="preserve">The model reduces the requirement for technical skills to launch attacks and capable targeted, frequent </w:t>
      </w:r>
      <w:r w:rsidR="008D47A4">
        <w:t>companies</w:t>
      </w:r>
      <w:r w:rsidR="00767BA8">
        <w:t xml:space="preserve"> against VTAM. </w:t>
      </w:r>
      <w:r w:rsidR="008D47A4">
        <w:t xml:space="preserve">These attacks can be successful and leading to ransomware attacks that can encrypt </w:t>
      </w:r>
      <w:r w:rsidR="00AA0AE4">
        <w:t>financial</w:t>
      </w:r>
      <w:r w:rsidR="004133C5">
        <w:t xml:space="preserve"> systems </w:t>
      </w:r>
      <w:r w:rsidR="00E734EC">
        <w:t xml:space="preserve">disrupt client services and trading and results in data </w:t>
      </w:r>
      <w:r w:rsidR="00BE0B28">
        <w:t>exfiltration</w:t>
      </w:r>
      <w:r w:rsidR="00810910">
        <w:t>,</w:t>
      </w:r>
      <w:r w:rsidR="00BE0B28">
        <w:t xml:space="preserve"> regulatory </w:t>
      </w:r>
      <w:r w:rsidR="00B64C61">
        <w:t xml:space="preserve">investigations and extortions. </w:t>
      </w:r>
    </w:p>
    <w:p w14:paraId="3E90B59C" w14:textId="3C46E540" w:rsidR="0023089A" w:rsidRDefault="00B64C61" w:rsidP="00CF62C5">
      <w:pPr>
        <w:pStyle w:val="BodyText"/>
      </w:pPr>
      <w:r>
        <w:t xml:space="preserve">AI </w:t>
      </w:r>
      <w:r w:rsidR="004859B9">
        <w:t>powered</w:t>
      </w:r>
      <w:r>
        <w:t xml:space="preserve"> soci</w:t>
      </w:r>
      <w:r w:rsidR="004859B9">
        <w:t xml:space="preserve">al engineering is </w:t>
      </w:r>
      <w:r w:rsidR="00671174">
        <w:t xml:space="preserve">another prominent threat </w:t>
      </w:r>
      <w:r w:rsidR="00726298">
        <w:t>that include voice phishing</w:t>
      </w:r>
      <w:r w:rsidR="00E2799C">
        <w:t xml:space="preserve"> that applies realistic </w:t>
      </w:r>
      <w:r w:rsidR="00F50B97">
        <w:t>synthetic audio to imitate trusted partners and senior staff</w:t>
      </w:r>
      <w:sdt>
        <w:sdtPr>
          <w:id w:val="-2016065061"/>
          <w:citation/>
        </w:sdtPr>
        <w:sdtContent>
          <w:r w:rsidR="009C7EA3">
            <w:fldChar w:fldCharType="begin"/>
          </w:r>
          <w:r w:rsidR="009C7EA3">
            <w:rPr>
              <w:lang w:val="en-US"/>
            </w:rPr>
            <w:instrText xml:space="preserve"> CITATION Cha25 \l</w:instrText>
          </w:r>
          <w:r>
            <w:rPr>
              <w:lang w:val="en-US"/>
            </w:rPr>
            <w:instrText xml:space="preserve"> en-US </w:instrText>
          </w:r>
          <w:r w:rsidR="009C7EA3">
            <w:fldChar w:fldCharType="separate"/>
          </w:r>
          <w:r w:rsidR="00AC6433">
            <w:rPr>
              <w:noProof/>
              <w:lang w:val="en-US"/>
            </w:rPr>
            <w:t xml:space="preserve"> </w:t>
          </w:r>
          <w:r w:rsidR="00AC6433" w:rsidRPr="00AC6433">
            <w:rPr>
              <w:noProof/>
              <w:lang w:val="en-US"/>
            </w:rPr>
            <w:t>[8]</w:t>
          </w:r>
          <w:r w:rsidR="009C7EA3">
            <w:fldChar w:fldCharType="end"/>
          </w:r>
        </w:sdtContent>
      </w:sdt>
      <w:r w:rsidR="00F50B97">
        <w:t xml:space="preserve">. </w:t>
      </w:r>
      <w:r w:rsidR="004B0D59">
        <w:t>These methods can bypass the</w:t>
      </w:r>
      <w:r w:rsidR="0058761D">
        <w:t xml:space="preserve"> </w:t>
      </w:r>
      <w:r w:rsidR="004B0D59">
        <w:t xml:space="preserve">traditional email-based </w:t>
      </w:r>
      <w:r w:rsidR="0058761D">
        <w:t>controls</w:t>
      </w:r>
      <w:r w:rsidR="004B0D59">
        <w:t xml:space="preserve"> and </w:t>
      </w:r>
      <w:r w:rsidR="0058761D">
        <w:t>exploit</w:t>
      </w:r>
      <w:r w:rsidR="004B0D59">
        <w:t xml:space="preserve"> human trust. </w:t>
      </w:r>
      <w:r w:rsidR="00E6110E">
        <w:t xml:space="preserve">These methods can directly bypass </w:t>
      </w:r>
      <w:r w:rsidR="000963A9">
        <w:t xml:space="preserve">traditional and </w:t>
      </w:r>
      <w:r w:rsidR="008807F8">
        <w:t>email</w:t>
      </w:r>
      <w:r w:rsidR="000963A9">
        <w:t xml:space="preserve"> based </w:t>
      </w:r>
      <w:r w:rsidR="00721963">
        <w:t xml:space="preserve">controls and </w:t>
      </w:r>
      <w:r w:rsidR="008C2F26" w:rsidRPr="008C2F26">
        <w:t>exploit human trust</w:t>
      </w:r>
      <w:r w:rsidR="008C2F26">
        <w:t xml:space="preserve"> by deceiving employees </w:t>
      </w:r>
      <w:r w:rsidR="00C2733C">
        <w:t>regarding their revealing credentials</w:t>
      </w:r>
      <w:r w:rsidR="00F638F8">
        <w:t>, approval of fraudulent payments and restricting security checks</w:t>
      </w:r>
      <w:sdt>
        <w:sdtPr>
          <w:id w:val="140709851"/>
          <w:citation/>
        </w:sdtPr>
        <w:sdtContent>
          <w:r w:rsidR="009C7EA3">
            <w:fldChar w:fldCharType="begin"/>
          </w:r>
          <w:r w:rsidR="009C7EA3">
            <w:rPr>
              <w:lang w:val="en-US"/>
            </w:rPr>
            <w:instrText xml:space="preserve"> CITATION Taa25 \l</w:instrText>
          </w:r>
          <w:r>
            <w:rPr>
              <w:lang w:val="en-US"/>
            </w:rPr>
            <w:instrText xml:space="preserve"> en-US </w:instrText>
          </w:r>
          <w:r w:rsidR="009C7EA3">
            <w:fldChar w:fldCharType="separate"/>
          </w:r>
          <w:r w:rsidR="00AC6433">
            <w:rPr>
              <w:noProof/>
              <w:lang w:val="en-US"/>
            </w:rPr>
            <w:t xml:space="preserve"> </w:t>
          </w:r>
          <w:r w:rsidR="00AC6433" w:rsidRPr="00AC6433">
            <w:rPr>
              <w:noProof/>
              <w:lang w:val="en-US"/>
            </w:rPr>
            <w:t>[9]</w:t>
          </w:r>
          <w:r w:rsidR="009C7EA3">
            <w:fldChar w:fldCharType="end"/>
          </w:r>
        </w:sdtContent>
      </w:sdt>
      <w:r w:rsidR="00F638F8">
        <w:t xml:space="preserve">. </w:t>
      </w:r>
      <w:r w:rsidR="00746163">
        <w:t xml:space="preserve">Furthermoe, </w:t>
      </w:r>
      <w:r w:rsidR="00A15350">
        <w:t xml:space="preserve">VTAM staff was working </w:t>
      </w:r>
      <w:r w:rsidR="009D795C">
        <w:t xml:space="preserve">under time pressure </w:t>
      </w:r>
      <w:r w:rsidR="006230F8">
        <w:t xml:space="preserve">like </w:t>
      </w:r>
      <w:r w:rsidR="00207BC2">
        <w:t xml:space="preserve">facing </w:t>
      </w:r>
      <w:r w:rsidR="006230F8">
        <w:t xml:space="preserve">customers </w:t>
      </w:r>
      <w:r w:rsidR="00207BC2">
        <w:t xml:space="preserve">and </w:t>
      </w:r>
      <w:r w:rsidR="006230F8">
        <w:t xml:space="preserve">finance </w:t>
      </w:r>
      <w:r w:rsidR="00207BC2">
        <w:t xml:space="preserve">roles </w:t>
      </w:r>
      <w:r w:rsidR="00335F11">
        <w:t>were particularly vulnerable to th</w:t>
      </w:r>
      <w:r w:rsidR="00020757">
        <w:t>ese manipulations</w:t>
      </w:r>
      <w:sdt>
        <w:sdtPr>
          <w:id w:val="-1078899460"/>
          <w:citation/>
        </w:sdtPr>
        <w:sdtContent>
          <w:r w:rsidR="009C7EA3">
            <w:fldChar w:fldCharType="begin"/>
          </w:r>
          <w:r w:rsidR="009C7EA3">
            <w:rPr>
              <w:lang w:val="en-US"/>
            </w:rPr>
            <w:instrText xml:space="preserve"> CITATION Sam24 \l</w:instrText>
          </w:r>
          <w:r>
            <w:rPr>
              <w:lang w:val="en-US"/>
            </w:rPr>
            <w:instrText xml:space="preserve"> en-US </w:instrText>
          </w:r>
          <w:r w:rsidR="009C7EA3">
            <w:fldChar w:fldCharType="separate"/>
          </w:r>
          <w:r w:rsidR="00AC6433">
            <w:rPr>
              <w:noProof/>
              <w:lang w:val="en-US"/>
            </w:rPr>
            <w:t xml:space="preserve"> </w:t>
          </w:r>
          <w:r w:rsidR="00AC6433" w:rsidRPr="00AC6433">
            <w:rPr>
              <w:noProof/>
              <w:lang w:val="en-US"/>
            </w:rPr>
            <w:t>[10]</w:t>
          </w:r>
          <w:r w:rsidR="009C7EA3">
            <w:fldChar w:fldCharType="end"/>
          </w:r>
        </w:sdtContent>
      </w:sdt>
      <w:r w:rsidR="00020757">
        <w:t xml:space="preserve">. </w:t>
      </w:r>
    </w:p>
    <w:p w14:paraId="12E9EF76" w14:textId="77DBAC73" w:rsidR="00B64C61" w:rsidRDefault="00E50F8E" w:rsidP="00CF62C5">
      <w:pPr>
        <w:pStyle w:val="BodyText"/>
      </w:pPr>
      <w:r>
        <w:t xml:space="preserve">The compromise on the software </w:t>
      </w:r>
      <w:r w:rsidR="001B6B1F">
        <w:t xml:space="preserve">supply chain also </w:t>
      </w:r>
      <w:r w:rsidR="00067E1D">
        <w:t>lead to</w:t>
      </w:r>
      <w:r w:rsidR="001B6B1F">
        <w:t xml:space="preserve"> </w:t>
      </w:r>
      <w:r w:rsidR="00E95C2E">
        <w:t xml:space="preserve">serious </w:t>
      </w:r>
      <w:r w:rsidR="00E105B4">
        <w:t>risks</w:t>
      </w:r>
      <w:sdt>
        <w:sdtPr>
          <w:id w:val="-245192094"/>
          <w:citation/>
        </w:sdtPr>
        <w:sdtContent>
          <w:r w:rsidR="001C3FBE">
            <w:fldChar w:fldCharType="begin"/>
          </w:r>
          <w:r w:rsidR="001C3FBE">
            <w:rPr>
              <w:lang w:val="en-US"/>
            </w:rPr>
            <w:instrText xml:space="preserve"> CITATION Mar211 \l</w:instrText>
          </w:r>
          <w:r>
            <w:rPr>
              <w:lang w:val="en-US"/>
            </w:rPr>
            <w:instrText xml:space="preserve"> en-US </w:instrText>
          </w:r>
          <w:r w:rsidR="001C3FBE">
            <w:fldChar w:fldCharType="separate"/>
          </w:r>
          <w:r w:rsidR="00AC6433">
            <w:rPr>
              <w:noProof/>
              <w:lang w:val="en-US"/>
            </w:rPr>
            <w:t xml:space="preserve"> </w:t>
          </w:r>
          <w:r w:rsidR="00AC6433" w:rsidRPr="00AC6433">
            <w:rPr>
              <w:noProof/>
              <w:lang w:val="en-US"/>
            </w:rPr>
            <w:t>[11]</w:t>
          </w:r>
          <w:r w:rsidR="001C3FBE">
            <w:fldChar w:fldCharType="end"/>
          </w:r>
        </w:sdtContent>
      </w:sdt>
      <w:r w:rsidR="00974790">
        <w:t>. Attackers target th</w:t>
      </w:r>
      <w:r w:rsidR="00FD43D2">
        <w:t>i</w:t>
      </w:r>
      <w:r w:rsidR="00974790">
        <w:t xml:space="preserve">rd party vendors </w:t>
      </w:r>
      <w:r w:rsidR="001E5950">
        <w:t xml:space="preserve">and manage service providers </w:t>
      </w:r>
      <w:r w:rsidR="005A1E63">
        <w:t>or components that are w</w:t>
      </w:r>
      <w:r w:rsidR="0090099F">
        <w:t>i</w:t>
      </w:r>
      <w:r w:rsidR="005A1E63">
        <w:t xml:space="preserve">dely used </w:t>
      </w:r>
      <w:r w:rsidR="00440A1A">
        <w:t xml:space="preserve">to insert backdoor and </w:t>
      </w:r>
      <w:r w:rsidR="00C24E84">
        <w:t>malware</w:t>
      </w:r>
      <w:r w:rsidR="00AD4F8E">
        <w:t xml:space="preserve"> within </w:t>
      </w:r>
      <w:r w:rsidR="00827FB9">
        <w:t>legitimate</w:t>
      </w:r>
      <w:r w:rsidR="00AD4F8E">
        <w:t xml:space="preserve"> updates. </w:t>
      </w:r>
      <w:r w:rsidR="00404944">
        <w:t xml:space="preserve">Furthermore, incidents related to </w:t>
      </w:r>
      <w:r w:rsidR="007659F9">
        <w:t xml:space="preserve">current </w:t>
      </w:r>
      <w:r w:rsidR="00943EE3">
        <w:t xml:space="preserve">high-profile supply chain </w:t>
      </w:r>
      <w:r w:rsidR="00CB5F9E">
        <w:t xml:space="preserve">breaches shows that compromise to one supplier can </w:t>
      </w:r>
      <w:r w:rsidR="00474754">
        <w:t xml:space="preserve">proliferate in short time within various </w:t>
      </w:r>
      <w:r w:rsidR="00C00863">
        <w:t>organizations</w:t>
      </w:r>
      <w:sdt>
        <w:sdtPr>
          <w:id w:val="-565950773"/>
          <w:citation/>
        </w:sdtPr>
        <w:sdtContent>
          <w:r w:rsidR="001C3FBE">
            <w:fldChar w:fldCharType="begin"/>
          </w:r>
          <w:r w:rsidR="001C3FBE">
            <w:rPr>
              <w:lang w:val="en-US"/>
            </w:rPr>
            <w:instrText xml:space="preserve"> CITATION Sin25 \l</w:instrText>
          </w:r>
          <w:r>
            <w:rPr>
              <w:lang w:val="en-US"/>
            </w:rPr>
            <w:instrText xml:space="preserve"> en-US </w:instrText>
          </w:r>
          <w:r w:rsidR="001C3FBE">
            <w:fldChar w:fldCharType="separate"/>
          </w:r>
          <w:r w:rsidR="00AC6433">
            <w:rPr>
              <w:noProof/>
              <w:lang w:val="en-US"/>
            </w:rPr>
            <w:t xml:space="preserve"> </w:t>
          </w:r>
          <w:r w:rsidR="00AC6433" w:rsidRPr="00AC6433">
            <w:rPr>
              <w:noProof/>
              <w:lang w:val="en-US"/>
            </w:rPr>
            <w:t>[12]</w:t>
          </w:r>
          <w:r w:rsidR="001C3FBE">
            <w:fldChar w:fldCharType="end"/>
          </w:r>
        </w:sdtContent>
      </w:sdt>
      <w:r w:rsidR="00474754">
        <w:t xml:space="preserve">. </w:t>
      </w:r>
      <w:r w:rsidR="001A4153">
        <w:t xml:space="preserve">Cloud-based SaaS, compromised trading platform and remote management tools can bypass perimeter defense and lead to advantages of opponents like access to internal system for VTAM.  </w:t>
      </w:r>
    </w:p>
    <w:p w14:paraId="75B68BB3" w14:textId="66B37C04" w:rsidR="00CF62C5" w:rsidRDefault="00CF62C5" w:rsidP="00CF62C5">
      <w:pPr>
        <w:pStyle w:val="BodyText"/>
      </w:pPr>
      <w:r>
        <w:t>The adoption of cloud services and hybrid work further expands VTAM’s attack surface. Misconfigured cloud storage, weak identity and access management, and unmanaged personal devices connecting from home networks can expose sensitive data or provide initial entry points for attackers</w:t>
      </w:r>
      <w:sdt>
        <w:sdtPr>
          <w:id w:val="850525871"/>
          <w:citation/>
        </w:sdtPr>
        <w:sdtContent>
          <w:r w:rsidR="008D437B">
            <w:fldChar w:fldCharType="begin"/>
          </w:r>
          <w:r w:rsidR="008D437B">
            <w:rPr>
              <w:lang w:val="en-US"/>
            </w:rPr>
            <w:instrText xml:space="preserve"> CITATION Raw23 \l</w:instrText>
          </w:r>
          <w:r>
            <w:rPr>
              <w:lang w:val="en-US"/>
            </w:rPr>
            <w:instrText xml:space="preserve"> en-US </w:instrText>
          </w:r>
          <w:r w:rsidR="008D437B">
            <w:fldChar w:fldCharType="separate"/>
          </w:r>
          <w:r w:rsidR="00AC6433">
            <w:rPr>
              <w:noProof/>
              <w:lang w:val="en-US"/>
            </w:rPr>
            <w:t xml:space="preserve"> </w:t>
          </w:r>
          <w:r w:rsidR="00AC6433" w:rsidRPr="00AC6433">
            <w:rPr>
              <w:noProof/>
              <w:lang w:val="en-US"/>
            </w:rPr>
            <w:t>[13]</w:t>
          </w:r>
          <w:r w:rsidR="008D437B">
            <w:fldChar w:fldCharType="end"/>
          </w:r>
        </w:sdtContent>
      </w:sdt>
      <w:r>
        <w:t>. Threats such as credential theft, session hijacking and abuse of legitimate remote access tools are amplified when staff regularly work outside the traditional office network.</w:t>
      </w:r>
    </w:p>
    <w:p w14:paraId="4522E337" w14:textId="3BFD97FD" w:rsidR="008C3CE2" w:rsidRPr="005B520E" w:rsidRDefault="00CF62C5" w:rsidP="008C3CE2">
      <w:pPr>
        <w:pStyle w:val="BodyText"/>
      </w:pPr>
      <w:r>
        <w:t>Internal threats must also be considered. Malicious insiders may misuse authorised access for financial gain or in response to grievance, while careless or poorly trained staff can unintentionally cause incidents by clicking phishing links, using weak passwords or mishandling data</w:t>
      </w:r>
      <w:sdt>
        <w:sdtPr>
          <w:id w:val="-89396498"/>
          <w:citation/>
        </w:sdtPr>
        <w:sdtContent>
          <w:r w:rsidR="00782204">
            <w:fldChar w:fldCharType="begin"/>
          </w:r>
          <w:r w:rsidR="00782204">
            <w:rPr>
              <w:lang w:val="en-US"/>
            </w:rPr>
            <w:instrText xml:space="preserve"> CITATION Mas23 \l</w:instrText>
          </w:r>
          <w:r>
            <w:rPr>
              <w:lang w:val="en-US"/>
            </w:rPr>
            <w:instrText xml:space="preserve"> en-US </w:instrText>
          </w:r>
          <w:r w:rsidR="00782204">
            <w:fldChar w:fldCharType="separate"/>
          </w:r>
          <w:r w:rsidR="00AC6433">
            <w:rPr>
              <w:noProof/>
              <w:lang w:val="en-US"/>
            </w:rPr>
            <w:t xml:space="preserve"> </w:t>
          </w:r>
          <w:r w:rsidR="00AC6433" w:rsidRPr="00AC6433">
            <w:rPr>
              <w:noProof/>
              <w:lang w:val="en-US"/>
            </w:rPr>
            <w:t>[14]</w:t>
          </w:r>
          <w:r w:rsidR="00782204">
            <w:fldChar w:fldCharType="end"/>
          </w:r>
        </w:sdtContent>
      </w:sdt>
      <w:r>
        <w:t xml:space="preserve">. Overall, these </w:t>
      </w:r>
      <w:r>
        <w:lastRenderedPageBreak/>
        <w:t>combined internal and external threats require VTAM to implement a modern, Zero Trust‑aligned security framework that does not rely on a single perimeter but continuously verifies users, devices and transactions</w:t>
      </w:r>
      <w:r w:rsidR="008C3CE2">
        <w:t>.</w:t>
      </w:r>
    </w:p>
    <w:p w14:paraId="17F150FC" w14:textId="11BD949A" w:rsidR="009303D9" w:rsidRDefault="008C3CE2" w:rsidP="006B6B66">
      <w:pPr>
        <w:pStyle w:val="Heading1"/>
      </w:pPr>
      <w:r w:rsidRPr="008C3CE2">
        <w:t>Zero Trust Security Policies</w:t>
      </w:r>
    </w:p>
    <w:p w14:paraId="6CFB881D" w14:textId="5003D6BE" w:rsidR="00345919" w:rsidRDefault="00345919" w:rsidP="00345919">
      <w:pPr>
        <w:pStyle w:val="BodyText"/>
      </w:pPr>
      <w:r>
        <w:t>Zero Trust security policies for VTAM</w:t>
      </w:r>
      <w:r w:rsidR="00614550">
        <w:t xml:space="preserve"> </w:t>
      </w:r>
      <w:r>
        <w:t>must translate the principle of “never trust, always verify” into clear, enforceable rules that apply to users, devices, networks, applications and data</w:t>
      </w:r>
      <w:sdt>
        <w:sdtPr>
          <w:id w:val="502707734"/>
          <w:citation/>
        </w:sdtPr>
        <w:sdtContent>
          <w:r w:rsidR="0082363B">
            <w:fldChar w:fldCharType="begin"/>
          </w:r>
          <w:r w:rsidR="0082363B">
            <w:rPr>
              <w:lang w:val="en-US"/>
            </w:rPr>
            <w:instrText xml:space="preserve"> CITATION She22 \l</w:instrText>
          </w:r>
          <w:r>
            <w:rPr>
              <w:lang w:val="en-US"/>
            </w:rPr>
            <w:instrText xml:space="preserve"> en-US </w:instrText>
          </w:r>
          <w:r w:rsidR="0082363B">
            <w:fldChar w:fldCharType="separate"/>
          </w:r>
          <w:r w:rsidR="00AC6433">
            <w:rPr>
              <w:noProof/>
              <w:lang w:val="en-US"/>
            </w:rPr>
            <w:t xml:space="preserve"> </w:t>
          </w:r>
          <w:r w:rsidR="00AC6433" w:rsidRPr="00AC6433">
            <w:rPr>
              <w:noProof/>
              <w:lang w:val="en-US"/>
            </w:rPr>
            <w:t>[15]</w:t>
          </w:r>
          <w:r w:rsidR="0082363B">
            <w:fldChar w:fldCharType="end"/>
          </w:r>
        </w:sdtContent>
      </w:sdt>
      <w:r>
        <w:t>. These policies should explicitly align with recognised frameworks such as the NIST Cybersecurity Framework and ISO 27001, supporting the Identify, Protect, Detect, Respond and Recover functions while reflecting VTAM’s regulatory obligations as a financial institution</w:t>
      </w:r>
      <w:sdt>
        <w:sdtPr>
          <w:id w:val="35245854"/>
          <w:citation/>
        </w:sdtPr>
        <w:sdtContent>
          <w:r w:rsidR="00D100F8">
            <w:fldChar w:fldCharType="begin"/>
          </w:r>
          <w:r w:rsidR="00D100F8">
            <w:rPr>
              <w:lang w:val="en-US"/>
            </w:rPr>
            <w:instrText xml:space="preserve"> CITATION Edw24 \l</w:instrText>
          </w:r>
          <w:r>
            <w:rPr>
              <w:lang w:val="en-US"/>
            </w:rPr>
            <w:instrText xml:space="preserve"> en-US </w:instrText>
          </w:r>
          <w:r w:rsidR="00D100F8">
            <w:fldChar w:fldCharType="separate"/>
          </w:r>
          <w:r w:rsidR="00AC6433">
            <w:rPr>
              <w:noProof/>
              <w:lang w:val="en-US"/>
            </w:rPr>
            <w:t xml:space="preserve"> </w:t>
          </w:r>
          <w:r w:rsidR="00AC6433" w:rsidRPr="00AC6433">
            <w:rPr>
              <w:noProof/>
              <w:lang w:val="en-US"/>
            </w:rPr>
            <w:t>[16]</w:t>
          </w:r>
          <w:r w:rsidR="00D100F8">
            <w:fldChar w:fldCharType="end"/>
          </w:r>
        </w:sdtContent>
      </w:sdt>
      <w:r>
        <w:t>.​</w:t>
      </w:r>
    </w:p>
    <w:p w14:paraId="3B755D92" w14:textId="122E1ACC" w:rsidR="00345919" w:rsidRDefault="00345919" w:rsidP="00345919">
      <w:pPr>
        <w:pStyle w:val="BodyText"/>
      </w:pPr>
      <w:r>
        <w:t>At the identity and access management level, policies should require strong authentication, centralised identity management and least‑privilege access. All users, including contractors and third‑party suppliers, should authenticate using multi‑factor authentication (MFA) and be authorised based on role‑based access control and just‑in‑time elevation where necessary</w:t>
      </w:r>
      <w:sdt>
        <w:sdtPr>
          <w:id w:val="833336229"/>
          <w:citation/>
        </w:sdtPr>
        <w:sdtContent>
          <w:r w:rsidR="00D100F8">
            <w:fldChar w:fldCharType="begin"/>
          </w:r>
          <w:r w:rsidR="00D100F8">
            <w:rPr>
              <w:lang w:val="en-US"/>
            </w:rPr>
            <w:instrText xml:space="preserve"> CITATION Ken20 \l</w:instrText>
          </w:r>
          <w:r>
            <w:rPr>
              <w:lang w:val="en-US"/>
            </w:rPr>
            <w:instrText xml:space="preserve"> en-US </w:instrText>
          </w:r>
          <w:r w:rsidR="00D100F8">
            <w:fldChar w:fldCharType="separate"/>
          </w:r>
          <w:r w:rsidR="00AC6433">
            <w:rPr>
              <w:noProof/>
              <w:lang w:val="en-US"/>
            </w:rPr>
            <w:t xml:space="preserve"> </w:t>
          </w:r>
          <w:r w:rsidR="00AC6433" w:rsidRPr="00AC6433">
            <w:rPr>
              <w:noProof/>
              <w:lang w:val="en-US"/>
            </w:rPr>
            <w:t>[17]</w:t>
          </w:r>
          <w:r w:rsidR="00D100F8">
            <w:fldChar w:fldCharType="end"/>
          </w:r>
        </w:sdtContent>
      </w:sdt>
      <w:r>
        <w:t>. Access decisions should consider contextual signals such as device health, location and behaviour, with regular recertification of high‑risk privileges</w:t>
      </w:r>
      <w:sdt>
        <w:sdtPr>
          <w:id w:val="1644700533"/>
          <w:citation/>
        </w:sdtPr>
        <w:sdtContent>
          <w:r w:rsidR="00D100F8">
            <w:fldChar w:fldCharType="begin"/>
          </w:r>
          <w:r w:rsidR="00D100F8">
            <w:rPr>
              <w:lang w:val="en-US"/>
            </w:rPr>
            <w:instrText xml:space="preserve"> CITATION She14 \l</w:instrText>
          </w:r>
          <w:r>
            <w:rPr>
              <w:lang w:val="en-US"/>
            </w:rPr>
            <w:instrText xml:space="preserve"> en-US </w:instrText>
          </w:r>
          <w:r w:rsidR="00D100F8">
            <w:fldChar w:fldCharType="separate"/>
          </w:r>
          <w:r w:rsidR="00AC6433">
            <w:rPr>
              <w:noProof/>
              <w:lang w:val="en-US"/>
            </w:rPr>
            <w:t xml:space="preserve"> </w:t>
          </w:r>
          <w:r w:rsidR="00AC6433" w:rsidRPr="00AC6433">
            <w:rPr>
              <w:noProof/>
              <w:lang w:val="en-US"/>
            </w:rPr>
            <w:t>[18]</w:t>
          </w:r>
          <w:r w:rsidR="00D100F8">
            <w:fldChar w:fldCharType="end"/>
          </w:r>
        </w:sdtContent>
      </w:sdt>
      <w:r>
        <w:t>.</w:t>
      </w:r>
    </w:p>
    <w:p w14:paraId="5434978F" w14:textId="1BAEA4F8" w:rsidR="00345919" w:rsidRDefault="00345919" w:rsidP="00345919">
      <w:pPr>
        <w:pStyle w:val="BodyText"/>
      </w:pPr>
      <w:r>
        <w:t>Endpoint and network policies should focus on segmentation and continuous validation of device security posture</w:t>
      </w:r>
      <w:sdt>
        <w:sdtPr>
          <w:id w:val="1113402160"/>
          <w:citation/>
        </w:sdtPr>
        <w:sdtContent>
          <w:r w:rsidR="00D100F8">
            <w:fldChar w:fldCharType="begin"/>
          </w:r>
          <w:r w:rsidR="00D100F8">
            <w:rPr>
              <w:lang w:val="en-US"/>
            </w:rPr>
            <w:instrText xml:space="preserve"> CITATION Sin251 \l</w:instrText>
          </w:r>
          <w:r>
            <w:rPr>
              <w:lang w:val="en-US"/>
            </w:rPr>
            <w:instrText xml:space="preserve"> en-US </w:instrText>
          </w:r>
          <w:r w:rsidR="00D100F8">
            <w:fldChar w:fldCharType="separate"/>
          </w:r>
          <w:r w:rsidR="00AC6433">
            <w:rPr>
              <w:noProof/>
              <w:lang w:val="en-US"/>
            </w:rPr>
            <w:t xml:space="preserve"> </w:t>
          </w:r>
          <w:r w:rsidR="00AC6433" w:rsidRPr="00AC6433">
            <w:rPr>
              <w:noProof/>
              <w:lang w:val="en-US"/>
            </w:rPr>
            <w:t>[19]</w:t>
          </w:r>
          <w:r w:rsidR="00D100F8">
            <w:fldChar w:fldCharType="end"/>
          </w:r>
        </w:sdtContent>
      </w:sdt>
      <w:r>
        <w:t>. VTAM should define standards for managed devices, including mandatory endpoint protection, encryption and up‑to‑date patching, and restrict access from non‑compliant or unmanaged endpoints. Network access policies should implement micro‑segmentation between critical financial systems, user subnets and externally facing services, using firewall and software‑defined networking rules to limit lateral movement. Remote access must pass through secure VPN or Zero Trust Network Access (ZTNA) solutions with strong logging and monitoring.</w:t>
      </w:r>
      <w:r w:rsidR="00F00E4F" w:rsidRPr="00F00E4F">
        <w:t xml:space="preserve"> The following diagram</w:t>
      </w:r>
      <w:r w:rsidR="006F1EEF">
        <w:t xml:space="preserve"> (Figure 1)</w:t>
      </w:r>
      <w:r w:rsidR="00F00E4F" w:rsidRPr="00F00E4F">
        <w:t xml:space="preserve"> illustrates how these Zero Trust principles are applied across VTAM's environment</w:t>
      </w:r>
      <w:r w:rsidR="00F00E4F">
        <w:t xml:space="preserve">. </w:t>
      </w:r>
    </w:p>
    <w:p w14:paraId="616256ED" w14:textId="14AD9B57" w:rsidR="007D27BE" w:rsidRDefault="007D27BE" w:rsidP="005B2C55">
      <w:pPr>
        <w:pStyle w:val="BodyText"/>
        <w:tabs>
          <w:tab w:val="clear" w:pos="14.40pt"/>
        </w:tabs>
        <w:ind w:firstLine="0pt"/>
      </w:pPr>
      <w:r>
        <w:rPr>
          <w:noProof/>
          <w:lang w:val="en-US" w:eastAsia="en-US"/>
        </w:rPr>
        <w:drawing>
          <wp:inline distT="0" distB="0" distL="0" distR="0" wp14:anchorId="632D18E4" wp14:editId="18ECF38B">
            <wp:extent cx="3057525" cy="3133725"/>
            <wp:effectExtent l="19050" t="19050" r="9525" b="28575"/>
            <wp:docPr id="891155180" name="Picture 1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592%" r="2.585%" b="5.339%"/>
                    <a:stretch>
                      <a:fillRect/>
                    </a:stretch>
                  </pic:blipFill>
                  <pic:spPr bwMode="auto">
                    <a:xfrm>
                      <a:off x="0" y="0"/>
                      <a:ext cx="3093335" cy="317042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D42F510" w14:textId="11FC9A56" w:rsidR="008829F8" w:rsidRDefault="007F3BC2" w:rsidP="005B2C55">
      <w:pPr>
        <w:pStyle w:val="BodyText"/>
        <w:tabs>
          <w:tab w:val="clear" w:pos="14.40pt"/>
        </w:tabs>
        <w:ind w:firstLine="0pt"/>
      </w:pPr>
      <w:r w:rsidRPr="007F3BC2">
        <w:rPr>
          <w:b/>
          <w:bCs/>
          <w:i/>
          <w:iCs/>
        </w:rPr>
        <w:t>Fig. 1</w:t>
      </w:r>
      <w:r w:rsidRPr="007F3BC2">
        <w:rPr>
          <w:i/>
          <w:iCs/>
        </w:rPr>
        <w:t xml:space="preserve"> 1Zero Trust architecture for VTAM, showing users, devices, central identity and policy control, segmented networks</w:t>
      </w:r>
      <w:r w:rsidRPr="007F3BC2">
        <w:t>,</w:t>
      </w:r>
    </w:p>
    <w:p w14:paraId="282D82B4" w14:textId="6B2F54F9" w:rsidR="00345919" w:rsidRDefault="00345919" w:rsidP="00345919">
      <w:pPr>
        <w:pStyle w:val="BodyText"/>
      </w:pPr>
      <w:r>
        <w:t>Application and data policies should protect sensitive client and trading information throughout its lifecycle. Data classification rules should distinguish between public, internal, confidential and highly confidential information and specify appropriate controls such as encryption at rest and in transit, data loss prevention and strict sharing restrictions</w:t>
      </w:r>
      <w:sdt>
        <w:sdtPr>
          <w:id w:val="963321915"/>
          <w:citation/>
        </w:sdtPr>
        <w:sdtContent>
          <w:r w:rsidR="00D100F8">
            <w:fldChar w:fldCharType="begin"/>
          </w:r>
          <w:r w:rsidR="00D100F8">
            <w:rPr>
              <w:lang w:val="en-US"/>
            </w:rPr>
            <w:instrText xml:space="preserve"> CITATION Ngu25 \l</w:instrText>
          </w:r>
          <w:r>
            <w:rPr>
              <w:lang w:val="en-US"/>
            </w:rPr>
            <w:instrText xml:space="preserve"> en-US </w:instrText>
          </w:r>
          <w:r w:rsidR="00D100F8">
            <w:fldChar w:fldCharType="separate"/>
          </w:r>
          <w:r w:rsidR="00AC6433">
            <w:rPr>
              <w:noProof/>
              <w:lang w:val="en-US"/>
            </w:rPr>
            <w:t xml:space="preserve"> </w:t>
          </w:r>
          <w:r w:rsidR="00AC6433" w:rsidRPr="00AC6433">
            <w:rPr>
              <w:noProof/>
              <w:lang w:val="en-US"/>
            </w:rPr>
            <w:t>[20]</w:t>
          </w:r>
          <w:r w:rsidR="00D100F8">
            <w:fldChar w:fldCharType="end"/>
          </w:r>
        </w:sdtContent>
      </w:sdt>
      <w:r>
        <w:t>. Application access policies should require secure development practices, regular vulnerability assessments and documented third‑party risk management, particularly for SaaS and supply chain dependencies.​</w:t>
      </w:r>
    </w:p>
    <w:p w14:paraId="21C51E20" w14:textId="39E48448" w:rsidR="009303D9" w:rsidRPr="002D61A7" w:rsidRDefault="00345919" w:rsidP="00345919">
      <w:pPr>
        <w:pStyle w:val="BodyText"/>
        <w:rPr>
          <w:color w:val="0D0D0D" w:themeColor="text1" w:themeTint="F2"/>
        </w:rPr>
      </w:pPr>
      <w:r>
        <w:t xml:space="preserve">Finally, governance policies should mandate centralised logging, periodic risk assessments and continuous improvement. VTAM should formally map its policies to NIST CSF categories and ISO 27001 controls, review them after incidents or major business changes, and ensure staff understand their responsibilities through regular </w:t>
      </w:r>
      <w:r w:rsidRPr="002D61A7">
        <w:rPr>
          <w:color w:val="0D0D0D" w:themeColor="text1" w:themeTint="F2"/>
        </w:rPr>
        <w:t>communication and training</w:t>
      </w:r>
      <w:sdt>
        <w:sdtPr>
          <w:rPr>
            <w:color w:val="0D0D0D" w:themeColor="text1" w:themeTint="F2"/>
          </w:rPr>
          <w:id w:val="524689187"/>
          <w:citation/>
        </w:sdtPr>
        <w:sdtContent>
          <w:r w:rsidR="00D100F8">
            <w:rPr>
              <w:color w:val="0D0D0D" w:themeColor="text1" w:themeTint="F2"/>
            </w:rPr>
            <w:fldChar w:fldCharType="begin"/>
          </w:r>
          <w:r w:rsidR="00D100F8">
            <w:rPr>
              <w:color w:val="0D0D0D" w:themeColor="text1" w:themeTint="F2"/>
              <w:lang w:val="en-US"/>
            </w:rPr>
            <w:instrText xml:space="preserve"> CITATION Edw24 \l</w:instrText>
          </w:r>
          <w:r>
            <w:rPr>
              <w:color w:val="0D0D0D" w:themeColor="text1" w:themeTint="F2"/>
              <w:lang w:val="en-US"/>
            </w:rPr>
            <w:instrText xml:space="preserve"> en-US </w:instrText>
          </w:r>
          <w:r w:rsidR="00D100F8">
            <w:rPr>
              <w:color w:val="0D0D0D" w:themeColor="text1" w:themeTint="F2"/>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[16]</w:t>
          </w:r>
          <w:r w:rsidR="00D100F8">
            <w:rPr>
              <w:color w:val="0D0D0D" w:themeColor="text1" w:themeTint="F2"/>
            </w:rPr>
            <w:fldChar w:fldCharType="end"/>
          </w:r>
        </w:sdtContent>
      </w:sdt>
      <w:r w:rsidR="009303D9" w:rsidRPr="002D61A7">
        <w:rPr>
          <w:color w:val="0D0D0D" w:themeColor="text1" w:themeTint="F2"/>
        </w:rPr>
        <w:t>.</w:t>
      </w:r>
    </w:p>
    <w:p w14:paraId="5D2DD83B" w14:textId="3A654315" w:rsidR="009303D9" w:rsidRPr="002D61A7" w:rsidRDefault="007A0154" w:rsidP="006B6B66">
      <w:pPr>
        <w:pStyle w:val="Heading1"/>
        <w:rPr>
          <w:color w:val="0D0D0D" w:themeColor="text1" w:themeTint="F2"/>
        </w:rPr>
      </w:pPr>
      <w:r w:rsidRPr="002D61A7">
        <w:rPr>
          <w:color w:val="0D0D0D" w:themeColor="text1" w:themeTint="F2"/>
          <w:lang w:val="en-GB"/>
        </w:rPr>
        <w:t>Technical and Administrative Mitigations</w:t>
      </w:r>
    </w:p>
    <w:p w14:paraId="77A02532" w14:textId="1AEF0268" w:rsidR="006F606B" w:rsidRPr="002D61A7" w:rsidRDefault="006F606B" w:rsidP="006F606B">
      <w:pPr>
        <w:pStyle w:val="BodyText"/>
        <w:rPr>
          <w:color w:val="0D0D0D" w:themeColor="text1" w:themeTint="F2"/>
        </w:rPr>
      </w:pPr>
      <w:r w:rsidRPr="002D61A7">
        <w:rPr>
          <w:color w:val="0D0D0D" w:themeColor="text1" w:themeTint="F2"/>
        </w:rPr>
        <w:t>Technical and administrative mitigations for VTAM must convert Zero Trust policies into practical controls that are feasible for a medium‑sized financial organisation. These measures should directly address the identified threats, such as ransomware‑as‑a‑service, AI‑driven social engineering, supply chain compromise and cloud misconfiguration, while aligning with recognised good practice from frameworks like the NIST Cybersecurity Framework and ISO 27001</w:t>
      </w:r>
      <w:sdt>
        <w:sdtPr>
          <w:rPr>
            <w:color w:val="0D0D0D" w:themeColor="text1" w:themeTint="F2"/>
          </w:rPr>
          <w:id w:val="-1954939985"/>
          <w:citation/>
        </w:sdtPr>
        <w:sdtContent>
          <w:r w:rsidR="00AD20A7">
            <w:rPr>
              <w:color w:val="0D0D0D" w:themeColor="text1" w:themeTint="F2"/>
            </w:rPr>
            <w:fldChar w:fldCharType="begin"/>
          </w:r>
          <w:r w:rsidR="00AD20A7">
            <w:rPr>
              <w:color w:val="0D0D0D" w:themeColor="text1" w:themeTint="F2"/>
              <w:lang w:val="en-US"/>
            </w:rPr>
            <w:instrText xml:space="preserve"> CITATION Edw24 \l</w:instrText>
          </w:r>
          <w:r>
            <w:rPr>
              <w:color w:val="0D0D0D" w:themeColor="text1" w:themeTint="F2"/>
              <w:lang w:val="en-US"/>
            </w:rPr>
            <w:instrText xml:space="preserve"> en-US </w:instrText>
          </w:r>
          <w:r w:rsidR="00AD20A7">
            <w:rPr>
              <w:color w:val="0D0D0D" w:themeColor="text1" w:themeTint="F2"/>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[16]</w:t>
          </w:r>
          <w:r w:rsidR="00AD20A7">
            <w:rPr>
              <w:color w:val="0D0D0D" w:themeColor="text1" w:themeTint="F2"/>
            </w:rPr>
            <w:fldChar w:fldCharType="end"/>
          </w:r>
        </w:sdtContent>
      </w:sdt>
      <w:r w:rsidRPr="002D61A7">
        <w:rPr>
          <w:color w:val="0D0D0D" w:themeColor="text1" w:themeTint="F2"/>
        </w:rPr>
        <w:t>.​</w:t>
      </w:r>
    </w:p>
    <w:p w14:paraId="3C971A31" w14:textId="5E83F0A8" w:rsidR="006F606B" w:rsidRDefault="006F606B" w:rsidP="006F606B">
      <w:pPr>
        <w:pStyle w:val="BodyText"/>
        <w:rPr>
          <w:color w:val="0D0D0D" w:themeColor="text1" w:themeTint="F2"/>
        </w:rPr>
      </w:pPr>
      <w:r w:rsidRPr="002D61A7">
        <w:rPr>
          <w:color w:val="0D0D0D" w:themeColor="text1" w:themeTint="F2"/>
        </w:rPr>
        <w:t xml:space="preserve">A core set of technical controls should focus on hardening identity, endpoints, networks and data. Strong identity and access management can be implemented through </w:t>
      </w:r>
      <w:r w:rsidR="00D100F8">
        <w:rPr>
          <w:color w:val="0D0D0D" w:themeColor="text1" w:themeTint="F2"/>
        </w:rPr>
        <w:t xml:space="preserve">MFA </w:t>
      </w:r>
      <w:r w:rsidRPr="002D61A7">
        <w:rPr>
          <w:color w:val="0D0D0D" w:themeColor="text1" w:themeTint="F2"/>
        </w:rPr>
        <w:t>for all remote and sensitive access, centralised directory services and role‑based access control</w:t>
      </w:r>
      <w:sdt>
        <w:sdtPr>
          <w:rPr>
            <w:color w:val="0D0D0D" w:themeColor="text1" w:themeTint="F2"/>
          </w:rPr>
          <w:id w:val="-404677417"/>
          <w:citation/>
        </w:sdtPr>
        <w:sdtContent>
          <w:r w:rsidR="0003233C">
            <w:rPr>
              <w:color w:val="0D0D0D" w:themeColor="text1" w:themeTint="F2"/>
            </w:rPr>
            <w:fldChar w:fldCharType="begin"/>
          </w:r>
          <w:r w:rsidR="0003233C">
            <w:rPr>
              <w:color w:val="0D0D0D" w:themeColor="text1" w:themeTint="F2"/>
              <w:lang w:val="en-US"/>
            </w:rPr>
            <w:instrText xml:space="preserve"> CITATION Vol18 \l</w:instrText>
          </w:r>
          <w:r>
            <w:rPr>
              <w:color w:val="0D0D0D" w:themeColor="text1" w:themeTint="F2"/>
              <w:lang w:val="en-US"/>
            </w:rPr>
            <w:instrText xml:space="preserve"> en-US </w:instrText>
          </w:r>
          <w:r w:rsidR="0003233C">
            <w:rPr>
              <w:color w:val="0D0D0D" w:themeColor="text1" w:themeTint="F2"/>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[21]</w:t>
          </w:r>
          <w:r w:rsidR="0003233C">
            <w:rPr>
              <w:color w:val="0D0D0D" w:themeColor="text1" w:themeTint="F2"/>
            </w:rPr>
            <w:fldChar w:fldCharType="end"/>
          </w:r>
        </w:sdtContent>
      </w:sdt>
      <w:r w:rsidRPr="002D61A7">
        <w:rPr>
          <w:color w:val="0D0D0D" w:themeColor="text1" w:themeTint="F2"/>
        </w:rPr>
        <w:t>. Endpoint protection should include next‑generation anti‑malware, host‑based firewalls, device encryption and application control to limit the execution of unauthorised software</w:t>
      </w:r>
      <w:sdt>
        <w:sdtPr>
          <w:rPr>
            <w:color w:val="0D0D0D" w:themeColor="text1" w:themeTint="F2"/>
          </w:rPr>
          <w:id w:val="-1443694056"/>
          <w:citation/>
        </w:sdtPr>
        <w:sdtContent>
          <w:r w:rsidR="00BE3064">
            <w:rPr>
              <w:color w:val="0D0D0D" w:themeColor="text1" w:themeTint="F2"/>
            </w:rPr>
            <w:fldChar w:fldCharType="begin"/>
          </w:r>
          <w:r w:rsidR="00BE3064">
            <w:rPr>
              <w:color w:val="0D0D0D" w:themeColor="text1" w:themeTint="F2"/>
              <w:lang w:val="en-US"/>
            </w:rPr>
            <w:instrText xml:space="preserve"> CITATION Alv25 \l</w:instrText>
          </w:r>
          <w:r>
            <w:rPr>
              <w:color w:val="0D0D0D" w:themeColor="text1" w:themeTint="F2"/>
              <w:lang w:val="en-US"/>
            </w:rPr>
            <w:instrText xml:space="preserve"> en-US </w:instrText>
          </w:r>
          <w:r w:rsidR="00BE3064">
            <w:rPr>
              <w:color w:val="0D0D0D" w:themeColor="text1" w:themeTint="F2"/>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[22]</w:t>
          </w:r>
          <w:r w:rsidR="00BE3064">
            <w:rPr>
              <w:color w:val="0D0D0D" w:themeColor="text1" w:themeTint="F2"/>
            </w:rPr>
            <w:fldChar w:fldCharType="end"/>
          </w:r>
        </w:sdtContent>
      </w:sdt>
      <w:r w:rsidRPr="002D61A7">
        <w:rPr>
          <w:color w:val="0D0D0D" w:themeColor="text1" w:themeTint="F2"/>
        </w:rPr>
        <w:t>. Network security should use layered firewalls, secure configuration of routers and switches, intrusion detection or prevention systems, and micro‑segmentation to reduce lateral movement between critical financial systems and user networks. For cloud services, Cloud Security Posture Management (CSPM) tools can help detect misconfigurations, enforce encryption and monitor access</w:t>
      </w:r>
      <w:sdt>
        <w:sdtPr>
          <w:rPr>
            <w:color w:val="0D0D0D" w:themeColor="text1" w:themeTint="F2"/>
          </w:rPr>
          <w:id w:val="-753893737"/>
          <w:citation/>
        </w:sdtPr>
        <w:sdtContent>
          <w:r w:rsidR="00FA267E">
            <w:rPr>
              <w:color w:val="0D0D0D" w:themeColor="text1" w:themeTint="F2"/>
            </w:rPr>
            <w:fldChar w:fldCharType="begin"/>
          </w:r>
          <w:r w:rsidR="00FA267E">
            <w:rPr>
              <w:color w:val="0D0D0D" w:themeColor="text1" w:themeTint="F2"/>
              <w:lang w:val="en-US"/>
            </w:rPr>
            <w:instrText xml:space="preserve"> CITATION Gar252 \l</w:instrText>
          </w:r>
          <w:r>
            <w:rPr>
              <w:color w:val="0D0D0D" w:themeColor="text1" w:themeTint="F2"/>
              <w:lang w:val="en-US"/>
            </w:rPr>
            <w:instrText xml:space="preserve"> en-US </w:instrText>
          </w:r>
          <w:r w:rsidR="00FA267E">
            <w:rPr>
              <w:color w:val="0D0D0D" w:themeColor="text1" w:themeTint="F2"/>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[23]</w:t>
          </w:r>
          <w:r w:rsidR="00FA267E">
            <w:rPr>
              <w:color w:val="0D0D0D" w:themeColor="text1" w:themeTint="F2"/>
            </w:rPr>
            <w:fldChar w:fldCharType="end"/>
          </w:r>
        </w:sdtContent>
      </w:sdt>
      <w:r w:rsidRPr="002D61A7">
        <w:rPr>
          <w:color w:val="0D0D0D" w:themeColor="text1" w:themeTint="F2"/>
        </w:rPr>
        <w:t>.​</w:t>
      </w:r>
    </w:p>
    <w:p w14:paraId="1376C37A" w14:textId="77777777" w:rsidR="009B5E4F" w:rsidRDefault="009B5E4F" w:rsidP="009B5E4F">
      <w:pPr>
        <w:pStyle w:val="Caption"/>
      </w:pPr>
      <w:r w:rsidRPr="009B5E4F">
        <w:rPr>
          <w:b/>
          <w:bCs/>
        </w:rPr>
        <w:t xml:space="preserve">Table </w:t>
      </w:r>
      <w:r w:rsidRPr="009B5E4F">
        <w:rPr>
          <w:b/>
          <w:bCs/>
        </w:rPr>
        <w:fldChar w:fldCharType="begin"/>
      </w:r>
      <w:r w:rsidRPr="009B5E4F">
        <w:rPr>
          <w:b/>
          <w:bCs/>
        </w:rPr>
        <w:instrText xml:space="preserve"> SEQ Table \* ARABIC </w:instrText>
      </w:r>
      <w:r w:rsidRPr="009B5E4F">
        <w:rPr>
          <w:b/>
          <w:bCs/>
        </w:rPr>
        <w:fldChar w:fldCharType="separate"/>
      </w:r>
      <w:r w:rsidRPr="009B5E4F">
        <w:rPr>
          <w:b/>
          <w:bCs/>
          <w:noProof/>
        </w:rPr>
        <w:t>1</w:t>
      </w:r>
      <w:r w:rsidRPr="009B5E4F">
        <w:rPr>
          <w:b/>
          <w:bCs/>
        </w:rPr>
        <w:fldChar w:fldCharType="end"/>
      </w:r>
      <w:r w:rsidRPr="009B5E4F">
        <w:rPr>
          <w:b/>
          <w:bCs/>
        </w:rPr>
        <w:t>.</w:t>
      </w:r>
      <w:r>
        <w:t xml:space="preserve"> </w:t>
      </w:r>
      <w:r w:rsidRPr="00884277">
        <w:t>Mapping of VTAM security controls to NIST CSF functions</w:t>
      </w:r>
    </w:p>
    <w:tbl>
      <w:tblPr>
        <w:tblStyle w:val="TableGrid"/>
        <w:tblW w:w="248.50pt" w:type="dxa"/>
        <w:tblLook w:firstRow="1" w:lastRow="0" w:firstColumn="1" w:lastColumn="0" w:noHBand="0" w:noVBand="1"/>
      </w:tblPr>
      <w:tblGrid>
        <w:gridCol w:w="1565"/>
        <w:gridCol w:w="725"/>
        <w:gridCol w:w="630"/>
        <w:gridCol w:w="593"/>
        <w:gridCol w:w="709"/>
        <w:gridCol w:w="748"/>
      </w:tblGrid>
      <w:tr w:rsidR="009B5E4F" w:rsidRPr="008B34D1" w14:paraId="2954E411" w14:textId="77777777" w:rsidTr="002E75F4">
        <w:trPr>
          <w:trHeight w:val="243"/>
        </w:trPr>
        <w:tc>
          <w:tcPr>
            <w:tcW w:w="79.30pt" w:type="dxa"/>
            <w:hideMark/>
          </w:tcPr>
          <w:p w14:paraId="4E35CB7D" w14:textId="77777777" w:rsidR="009B5E4F" w:rsidRPr="008B34D1" w:rsidRDefault="009B5E4F" w:rsidP="002E75F4">
            <w:pPr>
              <w:pStyle w:val="TableText"/>
              <w:rPr>
                <w:sz w:val="14"/>
                <w:szCs w:val="14"/>
              </w:rPr>
            </w:pPr>
            <w:r w:rsidRPr="008B34D1">
              <w:rPr>
                <w:sz w:val="14"/>
                <w:szCs w:val="14"/>
              </w:rPr>
              <w:t>Control</w:t>
            </w:r>
          </w:p>
        </w:tc>
        <w:tc>
          <w:tcPr>
            <w:tcW w:w="36.50pt" w:type="dxa"/>
            <w:hideMark/>
          </w:tcPr>
          <w:p w14:paraId="00CC6A65" w14:textId="77777777" w:rsidR="009B5E4F" w:rsidRPr="008B34D1" w:rsidRDefault="009B5E4F" w:rsidP="002E75F4">
            <w:pPr>
              <w:pStyle w:val="TableText"/>
              <w:rPr>
                <w:sz w:val="14"/>
                <w:szCs w:val="14"/>
              </w:rPr>
            </w:pPr>
            <w:r w:rsidRPr="008B34D1">
              <w:rPr>
                <w:sz w:val="14"/>
                <w:szCs w:val="14"/>
              </w:rPr>
              <w:t>Identify</w:t>
            </w:r>
          </w:p>
        </w:tc>
        <w:tc>
          <w:tcPr>
            <w:tcW w:w="0pt" w:type="dxa"/>
            <w:hideMark/>
          </w:tcPr>
          <w:p w14:paraId="3D1A56BE" w14:textId="77777777" w:rsidR="009B5E4F" w:rsidRPr="008B34D1" w:rsidRDefault="009B5E4F" w:rsidP="002E75F4">
            <w:pPr>
              <w:pStyle w:val="TableText"/>
              <w:rPr>
                <w:sz w:val="14"/>
                <w:szCs w:val="14"/>
              </w:rPr>
            </w:pPr>
            <w:r w:rsidRPr="008B34D1">
              <w:rPr>
                <w:sz w:val="14"/>
                <w:szCs w:val="14"/>
              </w:rPr>
              <w:t>Protect</w:t>
            </w:r>
          </w:p>
        </w:tc>
        <w:tc>
          <w:tcPr>
            <w:tcW w:w="0pt" w:type="dxa"/>
            <w:hideMark/>
          </w:tcPr>
          <w:p w14:paraId="367E9DC1" w14:textId="77777777" w:rsidR="009B5E4F" w:rsidRPr="008B34D1" w:rsidRDefault="009B5E4F" w:rsidP="002E75F4">
            <w:pPr>
              <w:pStyle w:val="TableText"/>
              <w:rPr>
                <w:sz w:val="14"/>
                <w:szCs w:val="14"/>
              </w:rPr>
            </w:pPr>
            <w:r w:rsidRPr="008B34D1">
              <w:rPr>
                <w:sz w:val="14"/>
                <w:szCs w:val="14"/>
              </w:rPr>
              <w:t>Detect</w:t>
            </w:r>
          </w:p>
        </w:tc>
        <w:tc>
          <w:tcPr>
            <w:tcW w:w="0pt" w:type="dxa"/>
            <w:hideMark/>
          </w:tcPr>
          <w:p w14:paraId="3276B52E" w14:textId="77777777" w:rsidR="009B5E4F" w:rsidRPr="008B34D1" w:rsidRDefault="009B5E4F" w:rsidP="002E75F4">
            <w:pPr>
              <w:pStyle w:val="TableText"/>
              <w:rPr>
                <w:sz w:val="14"/>
                <w:szCs w:val="14"/>
              </w:rPr>
            </w:pPr>
            <w:r w:rsidRPr="008B34D1">
              <w:rPr>
                <w:sz w:val="14"/>
                <w:szCs w:val="14"/>
              </w:rPr>
              <w:t>Respond</w:t>
            </w:r>
          </w:p>
        </w:tc>
        <w:tc>
          <w:tcPr>
            <w:tcW w:w="37.65pt" w:type="dxa"/>
            <w:hideMark/>
          </w:tcPr>
          <w:p w14:paraId="0F1164CE" w14:textId="77777777" w:rsidR="009B5E4F" w:rsidRPr="008B34D1" w:rsidRDefault="009B5E4F" w:rsidP="002E75F4">
            <w:pPr>
              <w:pStyle w:val="TableText"/>
              <w:rPr>
                <w:sz w:val="14"/>
                <w:szCs w:val="14"/>
              </w:rPr>
            </w:pPr>
            <w:r w:rsidRPr="008B34D1">
              <w:rPr>
                <w:sz w:val="14"/>
                <w:szCs w:val="14"/>
              </w:rPr>
              <w:t>Recover</w:t>
            </w:r>
          </w:p>
        </w:tc>
      </w:tr>
      <w:tr w:rsidR="009B5E4F" w:rsidRPr="008B34D1" w14:paraId="23BC1EAF" w14:textId="77777777" w:rsidTr="002E75F4">
        <w:trPr>
          <w:trHeight w:val="243"/>
        </w:trPr>
        <w:tc>
          <w:tcPr>
            <w:tcW w:w="79.30pt" w:type="dxa"/>
            <w:hideMark/>
          </w:tcPr>
          <w:p w14:paraId="38BE209D" w14:textId="77777777" w:rsidR="009B5E4F" w:rsidRPr="008B34D1" w:rsidRDefault="009B5E4F" w:rsidP="002E75F4">
            <w:pPr>
              <w:pStyle w:val="TableText"/>
              <w:rPr>
                <w:sz w:val="14"/>
                <w:szCs w:val="14"/>
              </w:rPr>
            </w:pPr>
            <w:r w:rsidRPr="008B34D1">
              <w:rPr>
                <w:sz w:val="14"/>
                <w:szCs w:val="14"/>
              </w:rPr>
              <w:t>Multi-factor authentication (MFA)</w:t>
            </w:r>
          </w:p>
        </w:tc>
        <w:tc>
          <w:tcPr>
            <w:tcW w:w="36.50pt" w:type="dxa"/>
            <w:hideMark/>
          </w:tcPr>
          <w:p w14:paraId="70F608F7"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29C2D515"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32754917"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5881D59D" w14:textId="77777777" w:rsidR="009B5E4F" w:rsidRPr="008B34D1" w:rsidRDefault="009B5E4F" w:rsidP="002E75F4">
            <w:pPr>
              <w:pStyle w:val="TableText"/>
              <w:rPr>
                <w:sz w:val="14"/>
                <w:szCs w:val="14"/>
              </w:rPr>
            </w:pPr>
            <w:r w:rsidRPr="008B34D1">
              <w:rPr>
                <w:sz w:val="14"/>
                <w:szCs w:val="14"/>
              </w:rPr>
              <w:t>–</w:t>
            </w:r>
          </w:p>
        </w:tc>
        <w:tc>
          <w:tcPr>
            <w:tcW w:w="37.65pt" w:type="dxa"/>
            <w:hideMark/>
          </w:tcPr>
          <w:p w14:paraId="07ECD536" w14:textId="77777777" w:rsidR="009B5E4F" w:rsidRPr="008B34D1" w:rsidRDefault="009B5E4F" w:rsidP="002E75F4">
            <w:pPr>
              <w:pStyle w:val="TableText"/>
              <w:rPr>
                <w:sz w:val="14"/>
                <w:szCs w:val="14"/>
              </w:rPr>
            </w:pPr>
            <w:r w:rsidRPr="008B34D1">
              <w:rPr>
                <w:sz w:val="14"/>
                <w:szCs w:val="14"/>
              </w:rPr>
              <w:t>–</w:t>
            </w:r>
          </w:p>
        </w:tc>
      </w:tr>
      <w:tr w:rsidR="009B5E4F" w:rsidRPr="008B34D1" w14:paraId="36897864" w14:textId="77777777" w:rsidTr="002E75F4">
        <w:trPr>
          <w:trHeight w:val="243"/>
        </w:trPr>
        <w:tc>
          <w:tcPr>
            <w:tcW w:w="79.30pt" w:type="dxa"/>
            <w:hideMark/>
          </w:tcPr>
          <w:p w14:paraId="02F1DD8B" w14:textId="77777777" w:rsidR="009B5E4F" w:rsidRPr="008B34D1" w:rsidRDefault="009B5E4F" w:rsidP="002E75F4">
            <w:pPr>
              <w:pStyle w:val="TableText"/>
              <w:rPr>
                <w:sz w:val="14"/>
                <w:szCs w:val="14"/>
              </w:rPr>
            </w:pPr>
            <w:r w:rsidRPr="008B34D1">
              <w:rPr>
                <w:sz w:val="14"/>
                <w:szCs w:val="14"/>
              </w:rPr>
              <w:t>Network segmentation / firewalls</w:t>
            </w:r>
          </w:p>
        </w:tc>
        <w:tc>
          <w:tcPr>
            <w:tcW w:w="36.50pt" w:type="dxa"/>
            <w:hideMark/>
          </w:tcPr>
          <w:p w14:paraId="13CCD94B"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34B8C3C7"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2F3B763F"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17341745" w14:textId="77777777" w:rsidR="009B5E4F" w:rsidRPr="008B34D1" w:rsidRDefault="009B5E4F" w:rsidP="002E75F4">
            <w:pPr>
              <w:pStyle w:val="TableText"/>
              <w:rPr>
                <w:sz w:val="14"/>
                <w:szCs w:val="14"/>
              </w:rPr>
            </w:pPr>
            <w:r w:rsidRPr="008B34D1">
              <w:rPr>
                <w:sz w:val="14"/>
                <w:szCs w:val="14"/>
              </w:rPr>
              <w:t>–</w:t>
            </w:r>
          </w:p>
        </w:tc>
        <w:tc>
          <w:tcPr>
            <w:tcW w:w="37.65pt" w:type="dxa"/>
            <w:hideMark/>
          </w:tcPr>
          <w:p w14:paraId="446D7760" w14:textId="77777777" w:rsidR="009B5E4F" w:rsidRPr="008B34D1" w:rsidRDefault="009B5E4F" w:rsidP="002E75F4">
            <w:pPr>
              <w:pStyle w:val="TableText"/>
              <w:rPr>
                <w:sz w:val="14"/>
                <w:szCs w:val="14"/>
              </w:rPr>
            </w:pPr>
            <w:r w:rsidRPr="008B34D1">
              <w:rPr>
                <w:sz w:val="14"/>
                <w:szCs w:val="14"/>
              </w:rPr>
              <w:t>–</w:t>
            </w:r>
          </w:p>
        </w:tc>
      </w:tr>
      <w:tr w:rsidR="009B5E4F" w:rsidRPr="008B34D1" w14:paraId="0D358CBB" w14:textId="77777777" w:rsidTr="002E75F4">
        <w:trPr>
          <w:trHeight w:val="273"/>
        </w:trPr>
        <w:tc>
          <w:tcPr>
            <w:tcW w:w="79.30pt" w:type="dxa"/>
            <w:hideMark/>
          </w:tcPr>
          <w:p w14:paraId="52DC57FD" w14:textId="77777777" w:rsidR="009B5E4F" w:rsidRPr="008B34D1" w:rsidRDefault="009B5E4F" w:rsidP="002E75F4">
            <w:pPr>
              <w:pStyle w:val="TableText"/>
              <w:rPr>
                <w:sz w:val="14"/>
                <w:szCs w:val="14"/>
              </w:rPr>
            </w:pPr>
            <w:r w:rsidRPr="008B34D1">
              <w:rPr>
                <w:sz w:val="14"/>
                <w:szCs w:val="14"/>
              </w:rPr>
              <w:t>Endpoint protection and EDR</w:t>
            </w:r>
          </w:p>
        </w:tc>
        <w:tc>
          <w:tcPr>
            <w:tcW w:w="36.50pt" w:type="dxa"/>
            <w:hideMark/>
          </w:tcPr>
          <w:p w14:paraId="6A285F92"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29E75C00"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2BC13E6C"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2F848795" w14:textId="77777777" w:rsidR="009B5E4F" w:rsidRPr="008B34D1" w:rsidRDefault="009B5E4F" w:rsidP="002E75F4">
            <w:pPr>
              <w:pStyle w:val="TableText"/>
              <w:rPr>
                <w:sz w:val="14"/>
                <w:szCs w:val="14"/>
              </w:rPr>
            </w:pPr>
            <w:r w:rsidRPr="008B34D1">
              <w:rPr>
                <w:sz w:val="14"/>
                <w:szCs w:val="14"/>
              </w:rPr>
              <w:t>–</w:t>
            </w:r>
          </w:p>
        </w:tc>
        <w:tc>
          <w:tcPr>
            <w:tcW w:w="37.65pt" w:type="dxa"/>
            <w:hideMark/>
          </w:tcPr>
          <w:p w14:paraId="0A522A83" w14:textId="77777777" w:rsidR="009B5E4F" w:rsidRPr="008B34D1" w:rsidRDefault="009B5E4F" w:rsidP="002E75F4">
            <w:pPr>
              <w:pStyle w:val="TableText"/>
              <w:rPr>
                <w:sz w:val="14"/>
                <w:szCs w:val="14"/>
              </w:rPr>
            </w:pPr>
            <w:r w:rsidRPr="008B34D1">
              <w:rPr>
                <w:sz w:val="14"/>
                <w:szCs w:val="14"/>
              </w:rPr>
              <w:t>–</w:t>
            </w:r>
          </w:p>
        </w:tc>
      </w:tr>
      <w:tr w:rsidR="009B5E4F" w:rsidRPr="008B34D1" w14:paraId="3247034E" w14:textId="77777777" w:rsidTr="002E75F4">
        <w:trPr>
          <w:trHeight w:val="243"/>
        </w:trPr>
        <w:tc>
          <w:tcPr>
            <w:tcW w:w="79.30pt" w:type="dxa"/>
            <w:hideMark/>
          </w:tcPr>
          <w:p w14:paraId="5A648AB1" w14:textId="77777777" w:rsidR="009B5E4F" w:rsidRPr="008B34D1" w:rsidRDefault="009B5E4F" w:rsidP="002E75F4">
            <w:pPr>
              <w:pStyle w:val="TableText"/>
              <w:rPr>
                <w:sz w:val="14"/>
                <w:szCs w:val="14"/>
              </w:rPr>
            </w:pPr>
            <w:r w:rsidRPr="008B34D1">
              <w:rPr>
                <w:sz w:val="14"/>
                <w:szCs w:val="14"/>
              </w:rPr>
              <w:t>SIEM with log correlation</w:t>
            </w:r>
          </w:p>
        </w:tc>
        <w:tc>
          <w:tcPr>
            <w:tcW w:w="36.50pt" w:type="dxa"/>
            <w:hideMark/>
          </w:tcPr>
          <w:p w14:paraId="5E29A14F"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7E1E3AF2"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68C861A7"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6A573ABA" w14:textId="77777777" w:rsidR="009B5E4F" w:rsidRPr="008B34D1" w:rsidRDefault="009B5E4F" w:rsidP="002E75F4">
            <w:pPr>
              <w:pStyle w:val="TableText"/>
              <w:rPr>
                <w:sz w:val="14"/>
                <w:szCs w:val="14"/>
              </w:rPr>
            </w:pPr>
            <w:r w:rsidRPr="008B34D1">
              <w:rPr>
                <w:sz w:val="14"/>
                <w:szCs w:val="14"/>
              </w:rPr>
              <w:t>X</w:t>
            </w:r>
          </w:p>
        </w:tc>
        <w:tc>
          <w:tcPr>
            <w:tcW w:w="37.65pt" w:type="dxa"/>
            <w:hideMark/>
          </w:tcPr>
          <w:p w14:paraId="2F74E376" w14:textId="77777777" w:rsidR="009B5E4F" w:rsidRPr="008B34D1" w:rsidRDefault="009B5E4F" w:rsidP="002E75F4">
            <w:pPr>
              <w:pStyle w:val="TableText"/>
              <w:rPr>
                <w:sz w:val="14"/>
                <w:szCs w:val="14"/>
              </w:rPr>
            </w:pPr>
            <w:r w:rsidRPr="008B34D1">
              <w:rPr>
                <w:sz w:val="14"/>
                <w:szCs w:val="14"/>
              </w:rPr>
              <w:t>–</w:t>
            </w:r>
          </w:p>
        </w:tc>
      </w:tr>
      <w:tr w:rsidR="009B5E4F" w:rsidRPr="008B34D1" w14:paraId="4D1C6E90" w14:textId="77777777" w:rsidTr="002E75F4">
        <w:trPr>
          <w:trHeight w:val="243"/>
        </w:trPr>
        <w:tc>
          <w:tcPr>
            <w:tcW w:w="79.30pt" w:type="dxa"/>
            <w:hideMark/>
          </w:tcPr>
          <w:p w14:paraId="69568E37" w14:textId="77777777" w:rsidR="009B5E4F" w:rsidRPr="008B34D1" w:rsidRDefault="009B5E4F" w:rsidP="002E75F4">
            <w:pPr>
              <w:pStyle w:val="TableText"/>
              <w:rPr>
                <w:sz w:val="14"/>
                <w:szCs w:val="14"/>
              </w:rPr>
            </w:pPr>
            <w:r w:rsidRPr="008B34D1">
              <w:rPr>
                <w:sz w:val="14"/>
                <w:szCs w:val="14"/>
              </w:rPr>
              <w:t>SOAR playbooks</w:t>
            </w:r>
          </w:p>
        </w:tc>
        <w:tc>
          <w:tcPr>
            <w:tcW w:w="36.50pt" w:type="dxa"/>
            <w:hideMark/>
          </w:tcPr>
          <w:p w14:paraId="389ACDBD"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25D3ABDF"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4475462E"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62122714" w14:textId="77777777" w:rsidR="009B5E4F" w:rsidRPr="008B34D1" w:rsidRDefault="009B5E4F" w:rsidP="002E75F4">
            <w:pPr>
              <w:pStyle w:val="TableText"/>
              <w:rPr>
                <w:sz w:val="14"/>
                <w:szCs w:val="14"/>
              </w:rPr>
            </w:pPr>
            <w:r w:rsidRPr="008B34D1">
              <w:rPr>
                <w:sz w:val="14"/>
                <w:szCs w:val="14"/>
              </w:rPr>
              <w:t>X</w:t>
            </w:r>
          </w:p>
        </w:tc>
        <w:tc>
          <w:tcPr>
            <w:tcW w:w="37.65pt" w:type="dxa"/>
            <w:hideMark/>
          </w:tcPr>
          <w:p w14:paraId="6D721855" w14:textId="77777777" w:rsidR="009B5E4F" w:rsidRPr="008B34D1" w:rsidRDefault="009B5E4F" w:rsidP="002E75F4">
            <w:pPr>
              <w:pStyle w:val="TableText"/>
              <w:rPr>
                <w:sz w:val="14"/>
                <w:szCs w:val="14"/>
              </w:rPr>
            </w:pPr>
            <w:r w:rsidRPr="008B34D1">
              <w:rPr>
                <w:sz w:val="14"/>
                <w:szCs w:val="14"/>
              </w:rPr>
              <w:t>–</w:t>
            </w:r>
          </w:p>
        </w:tc>
      </w:tr>
      <w:tr w:rsidR="009B5E4F" w:rsidRPr="008B34D1" w14:paraId="5A965EC3" w14:textId="77777777" w:rsidTr="002E75F4">
        <w:trPr>
          <w:trHeight w:val="243"/>
        </w:trPr>
        <w:tc>
          <w:tcPr>
            <w:tcW w:w="79.30pt" w:type="dxa"/>
            <w:hideMark/>
          </w:tcPr>
          <w:p w14:paraId="56CA638D" w14:textId="77777777" w:rsidR="009B5E4F" w:rsidRPr="008B34D1" w:rsidRDefault="009B5E4F" w:rsidP="002E75F4">
            <w:pPr>
              <w:pStyle w:val="TableText"/>
              <w:rPr>
                <w:sz w:val="14"/>
                <w:szCs w:val="14"/>
              </w:rPr>
            </w:pPr>
            <w:r w:rsidRPr="008B34D1">
              <w:rPr>
                <w:sz w:val="14"/>
                <w:szCs w:val="14"/>
              </w:rPr>
              <w:t>Immutable/offline backups</w:t>
            </w:r>
          </w:p>
        </w:tc>
        <w:tc>
          <w:tcPr>
            <w:tcW w:w="36.50pt" w:type="dxa"/>
            <w:hideMark/>
          </w:tcPr>
          <w:p w14:paraId="2D59FEE0"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7093AB5E"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6C2226BD"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75350895" w14:textId="77777777" w:rsidR="009B5E4F" w:rsidRPr="008B34D1" w:rsidRDefault="009B5E4F" w:rsidP="002E75F4">
            <w:pPr>
              <w:pStyle w:val="TableText"/>
              <w:rPr>
                <w:sz w:val="14"/>
                <w:szCs w:val="14"/>
              </w:rPr>
            </w:pPr>
            <w:r w:rsidRPr="008B34D1">
              <w:rPr>
                <w:sz w:val="14"/>
                <w:szCs w:val="14"/>
              </w:rPr>
              <w:t>–</w:t>
            </w:r>
          </w:p>
        </w:tc>
        <w:tc>
          <w:tcPr>
            <w:tcW w:w="37.65pt" w:type="dxa"/>
            <w:hideMark/>
          </w:tcPr>
          <w:p w14:paraId="0E9739F0" w14:textId="77777777" w:rsidR="009B5E4F" w:rsidRPr="008B34D1" w:rsidRDefault="009B5E4F" w:rsidP="002E75F4">
            <w:pPr>
              <w:pStyle w:val="TableText"/>
              <w:rPr>
                <w:sz w:val="14"/>
                <w:szCs w:val="14"/>
              </w:rPr>
            </w:pPr>
            <w:r w:rsidRPr="008B34D1">
              <w:rPr>
                <w:sz w:val="14"/>
                <w:szCs w:val="14"/>
              </w:rPr>
              <w:t>X</w:t>
            </w:r>
          </w:p>
        </w:tc>
      </w:tr>
      <w:tr w:rsidR="009B5E4F" w:rsidRPr="008B34D1" w14:paraId="2224B8EF" w14:textId="77777777" w:rsidTr="002E75F4">
        <w:trPr>
          <w:trHeight w:val="243"/>
        </w:trPr>
        <w:tc>
          <w:tcPr>
            <w:tcW w:w="79.30pt" w:type="dxa"/>
            <w:hideMark/>
          </w:tcPr>
          <w:p w14:paraId="55BE4FFB" w14:textId="77777777" w:rsidR="009B5E4F" w:rsidRPr="008B34D1" w:rsidRDefault="009B5E4F" w:rsidP="002E75F4">
            <w:pPr>
              <w:pStyle w:val="TableText"/>
              <w:rPr>
                <w:sz w:val="14"/>
                <w:szCs w:val="14"/>
              </w:rPr>
            </w:pPr>
            <w:r w:rsidRPr="008B34D1">
              <w:rPr>
                <w:sz w:val="14"/>
                <w:szCs w:val="14"/>
              </w:rPr>
              <w:t>Patch management (CISA KEV</w:t>
            </w:r>
            <w:r w:rsidRPr="008B34D1">
              <w:rPr>
                <w:sz w:val="14"/>
                <w:szCs w:val="14"/>
              </w:rPr>
              <w:noBreakHyphen/>
              <w:t>driven)</w:t>
            </w:r>
          </w:p>
        </w:tc>
        <w:tc>
          <w:tcPr>
            <w:tcW w:w="36.50pt" w:type="dxa"/>
            <w:hideMark/>
          </w:tcPr>
          <w:p w14:paraId="010F34AB"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3F64277D"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004BB610"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739445F9" w14:textId="77777777" w:rsidR="009B5E4F" w:rsidRPr="008B34D1" w:rsidRDefault="009B5E4F" w:rsidP="002E75F4">
            <w:pPr>
              <w:pStyle w:val="TableText"/>
              <w:rPr>
                <w:sz w:val="14"/>
                <w:szCs w:val="14"/>
              </w:rPr>
            </w:pPr>
            <w:r w:rsidRPr="008B34D1">
              <w:rPr>
                <w:sz w:val="14"/>
                <w:szCs w:val="14"/>
              </w:rPr>
              <w:t>–</w:t>
            </w:r>
          </w:p>
        </w:tc>
        <w:tc>
          <w:tcPr>
            <w:tcW w:w="37.65pt" w:type="dxa"/>
            <w:hideMark/>
          </w:tcPr>
          <w:p w14:paraId="1A4D4A36" w14:textId="77777777" w:rsidR="009B5E4F" w:rsidRPr="008B34D1" w:rsidRDefault="009B5E4F" w:rsidP="002E75F4">
            <w:pPr>
              <w:pStyle w:val="TableText"/>
              <w:rPr>
                <w:sz w:val="14"/>
                <w:szCs w:val="14"/>
              </w:rPr>
            </w:pPr>
            <w:r w:rsidRPr="008B34D1">
              <w:rPr>
                <w:sz w:val="14"/>
                <w:szCs w:val="14"/>
              </w:rPr>
              <w:t>–</w:t>
            </w:r>
          </w:p>
        </w:tc>
      </w:tr>
      <w:tr w:rsidR="009B5E4F" w:rsidRPr="008B34D1" w14:paraId="13372D61" w14:textId="77777777" w:rsidTr="002E75F4">
        <w:trPr>
          <w:trHeight w:val="243"/>
        </w:trPr>
        <w:tc>
          <w:tcPr>
            <w:tcW w:w="79.30pt" w:type="dxa"/>
            <w:hideMark/>
          </w:tcPr>
          <w:p w14:paraId="75D76EF4" w14:textId="77777777" w:rsidR="009B5E4F" w:rsidRPr="008B34D1" w:rsidRDefault="009B5E4F" w:rsidP="002E75F4">
            <w:pPr>
              <w:pStyle w:val="TableText"/>
              <w:rPr>
                <w:sz w:val="14"/>
                <w:szCs w:val="14"/>
              </w:rPr>
            </w:pPr>
            <w:r w:rsidRPr="008B34D1">
              <w:rPr>
                <w:sz w:val="14"/>
                <w:szCs w:val="14"/>
              </w:rPr>
              <w:t>Security awareness training</w:t>
            </w:r>
          </w:p>
        </w:tc>
        <w:tc>
          <w:tcPr>
            <w:tcW w:w="36.50pt" w:type="dxa"/>
            <w:hideMark/>
          </w:tcPr>
          <w:p w14:paraId="64C88771"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7C00DD2D" w14:textId="77777777" w:rsidR="009B5E4F" w:rsidRPr="008B34D1" w:rsidRDefault="009B5E4F" w:rsidP="002E75F4">
            <w:pPr>
              <w:pStyle w:val="TableText"/>
              <w:rPr>
                <w:sz w:val="14"/>
                <w:szCs w:val="14"/>
              </w:rPr>
            </w:pPr>
            <w:r w:rsidRPr="008B34D1">
              <w:rPr>
                <w:sz w:val="14"/>
                <w:szCs w:val="14"/>
              </w:rPr>
              <w:t>X</w:t>
            </w:r>
          </w:p>
        </w:tc>
        <w:tc>
          <w:tcPr>
            <w:tcW w:w="0pt" w:type="dxa"/>
            <w:hideMark/>
          </w:tcPr>
          <w:p w14:paraId="48321377" w14:textId="77777777" w:rsidR="009B5E4F" w:rsidRPr="008B34D1" w:rsidRDefault="009B5E4F" w:rsidP="002E75F4">
            <w:pPr>
              <w:pStyle w:val="TableText"/>
              <w:rPr>
                <w:sz w:val="14"/>
                <w:szCs w:val="14"/>
              </w:rPr>
            </w:pPr>
            <w:r w:rsidRPr="008B34D1">
              <w:rPr>
                <w:sz w:val="14"/>
                <w:szCs w:val="14"/>
              </w:rPr>
              <w:t>–</w:t>
            </w:r>
          </w:p>
        </w:tc>
        <w:tc>
          <w:tcPr>
            <w:tcW w:w="0pt" w:type="dxa"/>
            <w:hideMark/>
          </w:tcPr>
          <w:p w14:paraId="4421897B" w14:textId="77777777" w:rsidR="009B5E4F" w:rsidRPr="008B34D1" w:rsidRDefault="009B5E4F" w:rsidP="002E75F4">
            <w:pPr>
              <w:pStyle w:val="TableText"/>
              <w:rPr>
                <w:sz w:val="14"/>
                <w:szCs w:val="14"/>
              </w:rPr>
            </w:pPr>
            <w:r w:rsidRPr="008B34D1">
              <w:rPr>
                <w:sz w:val="14"/>
                <w:szCs w:val="14"/>
              </w:rPr>
              <w:t>–</w:t>
            </w:r>
          </w:p>
        </w:tc>
        <w:tc>
          <w:tcPr>
            <w:tcW w:w="37.65pt" w:type="dxa"/>
            <w:hideMark/>
          </w:tcPr>
          <w:p w14:paraId="55A417F0" w14:textId="77777777" w:rsidR="009B5E4F" w:rsidRPr="008B34D1" w:rsidRDefault="009B5E4F" w:rsidP="002E75F4">
            <w:pPr>
              <w:pStyle w:val="TableText"/>
              <w:rPr>
                <w:sz w:val="14"/>
                <w:szCs w:val="14"/>
              </w:rPr>
            </w:pPr>
            <w:r w:rsidRPr="008B34D1">
              <w:rPr>
                <w:sz w:val="14"/>
                <w:szCs w:val="14"/>
              </w:rPr>
              <w:t>–</w:t>
            </w:r>
          </w:p>
        </w:tc>
      </w:tr>
    </w:tbl>
    <w:p w14:paraId="082BCD7C" w14:textId="77777777" w:rsidR="009B5E4F" w:rsidRPr="002D61A7" w:rsidRDefault="009B5E4F" w:rsidP="006F606B">
      <w:pPr>
        <w:pStyle w:val="BodyText"/>
        <w:rPr>
          <w:color w:val="0D0D0D" w:themeColor="text1" w:themeTint="F2"/>
        </w:rPr>
      </w:pPr>
    </w:p>
    <w:p w14:paraId="42626FFE" w14:textId="4A92DBB8" w:rsidR="00193D89" w:rsidRPr="002D61A7" w:rsidRDefault="006F606B" w:rsidP="006F606B">
      <w:pPr>
        <w:pStyle w:val="BodyText"/>
        <w:rPr>
          <w:color w:val="0D0D0D" w:themeColor="text1" w:themeTint="F2"/>
        </w:rPr>
      </w:pPr>
      <w:r w:rsidRPr="002D61A7">
        <w:rPr>
          <w:color w:val="0D0D0D" w:themeColor="text1" w:themeTint="F2"/>
        </w:rPr>
        <w:lastRenderedPageBreak/>
        <w:t>Resilience against ransomware and exploited vulnerabilities requires robust backup and patch management strategies. VTAM should implement regular, automated backups of critical systems using immutable or write‑once‑read‑many storage, with copies stored offline or in logically separate environments and tested through periodic recovery exercises. Patch management processes should prioritise remediation of weaknesses listed in the CISA Known Exploited Vulnerabilities catalogue and apply security updates to operating systems, applications and network devices within defined timeframes</w:t>
      </w:r>
      <w:sdt>
        <w:sdtPr>
          <w:rPr>
            <w:color w:val="0D0D0D" w:themeColor="text1" w:themeTint="F2"/>
          </w:rPr>
          <w:id w:val="1530907078"/>
          <w:citation/>
        </w:sdtPr>
        <w:sdtContent>
          <w:r w:rsidR="00CD2193">
            <w:rPr>
              <w:color w:val="0D0D0D" w:themeColor="text1" w:themeTint="F2"/>
            </w:rPr>
            <w:fldChar w:fldCharType="begin"/>
          </w:r>
          <w:r w:rsidR="00CD2193">
            <w:rPr>
              <w:color w:val="0D0D0D" w:themeColor="text1" w:themeTint="F2"/>
              <w:lang w:val="en-US"/>
            </w:rPr>
            <w:instrText xml:space="preserve"> CITATION Osb23 \l</w:instrText>
          </w:r>
          <w:r>
            <w:rPr>
              <w:color w:val="0D0D0D" w:themeColor="text1" w:themeTint="F2"/>
              <w:lang w:val="en-US"/>
            </w:rPr>
            <w:instrText xml:space="preserve"> en-US </w:instrText>
          </w:r>
          <w:r w:rsidR="00CD2193">
            <w:rPr>
              <w:color w:val="0D0D0D" w:themeColor="text1" w:themeTint="F2"/>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[24]</w:t>
          </w:r>
          <w:r w:rsidR="00CD2193">
            <w:rPr>
              <w:color w:val="0D0D0D" w:themeColor="text1" w:themeTint="F2"/>
            </w:rPr>
            <w:fldChar w:fldCharType="end"/>
          </w:r>
        </w:sdtContent>
      </w:sdt>
      <w:r w:rsidRPr="002D61A7">
        <w:rPr>
          <w:color w:val="0D0D0D" w:themeColor="text1" w:themeTint="F2"/>
        </w:rPr>
        <w:t xml:space="preserve">. </w:t>
      </w:r>
      <w:r w:rsidR="00C11E7F" w:rsidRPr="002D61A7">
        <w:rPr>
          <w:color w:val="0D0D0D" w:themeColor="text1" w:themeTint="F2"/>
        </w:rPr>
        <w:t xml:space="preserve">Email security controls like advanced spam filtering, URL rewriting, and attachment sandboxing as well as application whistling can minimize the chances of malware delivery and successful phishing. </w:t>
      </w:r>
    </w:p>
    <w:p w14:paraId="275A5547" w14:textId="11094596" w:rsidR="00193D89" w:rsidRPr="002D61A7" w:rsidRDefault="00CD53B2" w:rsidP="006F606B">
      <w:pPr>
        <w:pStyle w:val="BodyText"/>
        <w:rPr>
          <w:color w:val="0D0D0D" w:themeColor="text1" w:themeTint="F2"/>
        </w:rPr>
      </w:pPr>
      <w:r w:rsidRPr="002D61A7">
        <w:rPr>
          <w:color w:val="0D0D0D" w:themeColor="text1" w:themeTint="F2"/>
        </w:rPr>
        <w:t xml:space="preserve">Furthermore, </w:t>
      </w:r>
      <w:r w:rsidR="008C3799" w:rsidRPr="002D61A7">
        <w:rPr>
          <w:color w:val="0D0D0D" w:themeColor="text1" w:themeTint="F2"/>
        </w:rPr>
        <w:t>administrative</w:t>
      </w:r>
      <w:r w:rsidRPr="002D61A7">
        <w:rPr>
          <w:color w:val="0D0D0D" w:themeColor="text1" w:themeTint="F2"/>
        </w:rPr>
        <w:t xml:space="preserve"> phishing </w:t>
      </w:r>
      <w:r w:rsidR="0015320E" w:rsidRPr="002D61A7">
        <w:rPr>
          <w:color w:val="0D0D0D" w:themeColor="text1" w:themeTint="F2"/>
        </w:rPr>
        <w:t xml:space="preserve">is a source of </w:t>
      </w:r>
      <w:r w:rsidR="001E42A9" w:rsidRPr="002D61A7">
        <w:rPr>
          <w:color w:val="0D0D0D" w:themeColor="text1" w:themeTint="F2"/>
        </w:rPr>
        <w:t>governance</w:t>
      </w:r>
      <w:r w:rsidR="000E2EDF" w:rsidRPr="002D61A7">
        <w:rPr>
          <w:color w:val="0D0D0D" w:themeColor="text1" w:themeTint="F2"/>
        </w:rPr>
        <w:t xml:space="preserve"> and sources </w:t>
      </w:r>
      <w:r w:rsidR="001E42A9" w:rsidRPr="002D61A7">
        <w:rPr>
          <w:color w:val="0D0D0D" w:themeColor="text1" w:themeTint="F2"/>
        </w:rPr>
        <w:t>required to support such technologies</w:t>
      </w:r>
      <w:sdt>
        <w:sdtPr>
          <w:rPr>
            <w:color w:val="0D0D0D" w:themeColor="text1" w:themeTint="F2"/>
          </w:rPr>
          <w:id w:val="-190301672"/>
          <w:citation/>
        </w:sdtPr>
        <w:sdtContent>
          <w:r w:rsidR="00B0440B" w:rsidRPr="002D61A7">
            <w:rPr>
              <w:color w:val="0D0D0D" w:themeColor="text1" w:themeTint="F2"/>
            </w:rPr>
            <w:fldChar w:fldCharType="begin"/>
          </w:r>
          <w:r w:rsidR="00B0440B" w:rsidRPr="002D61A7">
            <w:rPr>
              <w:color w:val="0D0D0D" w:themeColor="text1" w:themeTint="F2"/>
              <w:lang w:val="en-US"/>
            </w:rPr>
            <w:instrText xml:space="preserve"> CITATION Ali241 \l</w:instrText>
          </w:r>
          <w:r>
            <w:rPr>
              <w:color w:val="0D0D0D" w:themeColor="text1" w:themeTint="F2"/>
              <w:lang w:val="en-US"/>
            </w:rPr>
            <w:instrText xml:space="preserve"> en-US </w:instrText>
          </w:r>
          <w:r w:rsidR="00B0440B" w:rsidRPr="002D61A7">
            <w:rPr>
              <w:color w:val="0D0D0D" w:themeColor="text1" w:themeTint="F2"/>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[25]</w:t>
          </w:r>
          <w:r w:rsidR="00B0440B" w:rsidRPr="002D61A7">
            <w:rPr>
              <w:color w:val="0D0D0D" w:themeColor="text1" w:themeTint="F2"/>
            </w:rPr>
            <w:fldChar w:fldCharType="end"/>
          </w:r>
        </w:sdtContent>
      </w:sdt>
      <w:r w:rsidR="001E42A9" w:rsidRPr="002D61A7">
        <w:rPr>
          <w:color w:val="0D0D0D" w:themeColor="text1" w:themeTint="F2"/>
        </w:rPr>
        <w:t xml:space="preserve">. </w:t>
      </w:r>
      <w:r w:rsidR="00B0440B" w:rsidRPr="002D61A7">
        <w:rPr>
          <w:color w:val="0D0D0D" w:themeColor="text1" w:themeTint="F2"/>
        </w:rPr>
        <w:t xml:space="preserve">The organization need to establish document security policies and standard operating procedures that covers the access requests, incident handling, change management and supplier risk management. Furthermore formal risk assessments, security clauses in contracts, and checks of supplier due diligence can assists to manage supply chain threats. Moreover, internal reviews, regular audits and management reporting on key security metrics can indicate support and oversights for continuous improvement. </w:t>
      </w:r>
    </w:p>
    <w:p w14:paraId="3080E132" w14:textId="5018C26A" w:rsidR="006F606B" w:rsidRPr="002D61A7" w:rsidRDefault="00E66F72" w:rsidP="006F606B">
      <w:pPr>
        <w:pStyle w:val="Heading1"/>
        <w:rPr>
          <w:color w:val="0D0D0D" w:themeColor="text1" w:themeTint="F2"/>
        </w:rPr>
      </w:pPr>
      <w:r w:rsidRPr="002D61A7">
        <w:rPr>
          <w:color w:val="0D0D0D" w:themeColor="text1" w:themeTint="F2"/>
          <w:lang w:val="en-GB"/>
        </w:rPr>
        <w:t>Monitoring and Incident Response</w:t>
      </w:r>
    </w:p>
    <w:p w14:paraId="3A7722EB" w14:textId="62236571" w:rsidR="003C06C8" w:rsidRPr="002D61A7" w:rsidRDefault="00EF29D5" w:rsidP="00E66F72">
      <w:pPr>
        <w:pStyle w:val="BodyText"/>
        <w:rPr>
          <w:color w:val="0D0D0D" w:themeColor="text1" w:themeTint="F2"/>
          <w:lang w:val="en-US"/>
        </w:rPr>
      </w:pPr>
      <w:r w:rsidRPr="002D61A7">
        <w:rPr>
          <w:color w:val="0D0D0D" w:themeColor="text1" w:themeTint="F2"/>
          <w:lang w:val="en-US"/>
        </w:rPr>
        <w:t xml:space="preserve">An incident response ability with modern monitoring is important for VTAM </w:t>
      </w:r>
      <w:r w:rsidR="009522D4" w:rsidRPr="002D61A7">
        <w:rPr>
          <w:color w:val="0D0D0D" w:themeColor="text1" w:themeTint="F2"/>
          <w:lang w:val="en-US"/>
        </w:rPr>
        <w:t xml:space="preserve">to assess and include advanced threats like ransomware-as-a-service, supply chain intrusion and account compromise. </w:t>
      </w:r>
      <w:r w:rsidR="00832A3C" w:rsidRPr="002D61A7">
        <w:rPr>
          <w:color w:val="0D0D0D" w:themeColor="text1" w:themeTint="F2"/>
          <w:lang w:val="en-US"/>
        </w:rPr>
        <w:t xml:space="preserve">The monitoring approach should also follow the Detect and Respond functions of the NIST Cybersecurity Framework through continuous visibility of endpoints, network traffic, identity events and cloud workloads. </w:t>
      </w:r>
    </w:p>
    <w:p w14:paraId="5EB0EF23" w14:textId="55FB0455" w:rsidR="00E66F72" w:rsidRPr="002D61A7" w:rsidRDefault="00E66F72" w:rsidP="00E66F72">
      <w:pPr>
        <w:pStyle w:val="BodyText"/>
        <w:rPr>
          <w:color w:val="0D0D0D" w:themeColor="text1" w:themeTint="F2"/>
          <w:lang w:val="en-US"/>
        </w:rPr>
      </w:pPr>
      <w:r w:rsidRPr="002D61A7">
        <w:rPr>
          <w:color w:val="0D0D0D" w:themeColor="text1" w:themeTint="F2"/>
          <w:lang w:val="en-US"/>
        </w:rPr>
        <w:t xml:space="preserve">VTAM should deploy a Security Information and Event Management (SIEM) platform to aggregate and correlate logs from firewalls, servers, endpoints, databases, cloud services and authentication systems. Use‑case rules and </w:t>
      </w:r>
      <w:proofErr w:type="spellStart"/>
      <w:r w:rsidRPr="002D61A7">
        <w:rPr>
          <w:color w:val="0D0D0D" w:themeColor="text1" w:themeTint="F2"/>
          <w:lang w:val="en-US"/>
        </w:rPr>
        <w:t>behavioural</w:t>
      </w:r>
      <w:proofErr w:type="spellEnd"/>
      <w:r w:rsidRPr="002D61A7">
        <w:rPr>
          <w:color w:val="0D0D0D" w:themeColor="text1" w:themeTint="F2"/>
          <w:lang w:val="en-US"/>
        </w:rPr>
        <w:t xml:space="preserve"> analytics can then generate alerts for suspicious activities, such as unusual login locations, privilege escalation, repeated failed authentication or mass file encryption. Integration with a Security Orchestration, Automation and Response (SOAR) tool would enable automated or semi‑automated actions, for example isolating an endpoint, disabling an account or blocking a malicious IP address when defined conditions are met</w:t>
      </w:r>
      <w:sdt>
        <w:sdtPr>
          <w:rPr>
            <w:color w:val="0D0D0D" w:themeColor="text1" w:themeTint="F2"/>
            <w:lang w:val="en-US"/>
          </w:rPr>
          <w:id w:val="-1185205760"/>
          <w:citation/>
        </w:sdtPr>
        <w:sdtContent>
          <w:r w:rsidR="00FB753D">
            <w:rPr>
              <w:color w:val="0D0D0D" w:themeColor="text1" w:themeTint="F2"/>
              <w:lang w:val="en-US"/>
            </w:rPr>
            <w:fldChar w:fldCharType="begin"/>
          </w:r>
          <w:r w:rsidR="00FB753D">
            <w:rPr>
              <w:color w:val="0D0D0D" w:themeColor="text1" w:themeTint="F2"/>
              <w:lang w:val="en-US"/>
            </w:rPr>
            <w:instrText xml:space="preserve"> CITATION Enb24 \l</w:instrText>
          </w:r>
          <w:r>
            <w:rPr>
              <w:color w:val="0D0D0D" w:themeColor="text1" w:themeTint="F2"/>
              <w:lang w:val="en-US"/>
            </w:rPr>
            <w:instrText xml:space="preserve"> en-US </w:instrText>
          </w:r>
          <w:r w:rsidR="00FB753D">
            <w:rPr>
              <w:color w:val="0D0D0D" w:themeColor="text1" w:themeTint="F2"/>
              <w:lang w:val="en-US"/>
            </w:rPr>
            <w:fldChar w:fldCharType="separate"/>
          </w:r>
          <w:r w:rsidR="00AC6433">
            <w:rPr>
              <w:noProof/>
              <w:color w:val="0D0D0D" w:themeColor="text1" w:themeTint="F2"/>
              <w:lang w:val="en-US"/>
            </w:rPr>
            <w:t xml:space="preserve"> </w:t>
          </w:r>
          <w:r w:rsidR="00AC6433" w:rsidRPr="00AC6433">
            <w:rPr>
              <w:noProof/>
              <w:color w:val="0D0D0D" w:themeColor="text1" w:themeTint="F2"/>
              <w:lang w:val="en-US"/>
            </w:rPr>
            <w:t>[26]</w:t>
          </w:r>
          <w:r w:rsidR="00FB753D">
            <w:rPr>
              <w:color w:val="0D0D0D" w:themeColor="text1" w:themeTint="F2"/>
              <w:lang w:val="en-US"/>
            </w:rPr>
            <w:fldChar w:fldCharType="end"/>
          </w:r>
        </w:sdtContent>
      </w:sdt>
      <w:r w:rsidRPr="002D61A7">
        <w:rPr>
          <w:color w:val="0D0D0D" w:themeColor="text1" w:themeTint="F2"/>
          <w:lang w:val="en-US"/>
        </w:rPr>
        <w:t>.</w:t>
      </w:r>
    </w:p>
    <w:p w14:paraId="20F27DD3" w14:textId="11DE6E35" w:rsidR="00B76674" w:rsidRDefault="00E66F72" w:rsidP="00E66F72">
      <w:pPr>
        <w:pStyle w:val="BodyText"/>
        <w:contextualSpacing/>
        <w:rPr>
          <w:color w:val="0D0D0D" w:themeColor="text1" w:themeTint="F2"/>
          <w:lang w:val="en-US"/>
        </w:rPr>
      </w:pPr>
      <w:r w:rsidRPr="002D61A7">
        <w:rPr>
          <w:color w:val="0D0D0D" w:themeColor="text1" w:themeTint="F2"/>
          <w:lang w:val="en-US"/>
        </w:rPr>
        <w:t>Incident response should be documented as a structured process and illustrated in a flow diagram showing the stages of preparation, detection and analysis, containment, eradication, recovery and post‑incident review. For ransomware scenarios, runbooks should specify how to quickly identify affected systems, disconnect them from the network, switch to clean backups and communicate with stakeholders, including regulators where required. Clear roles and responsibilities are needed for the incident response team, along with defined escalation paths to senior management and the board</w:t>
      </w:r>
      <w:sdt>
        <w:sdtPr>
          <w:rPr>
            <w:color w:val="0D0D0D" w:themeColor="text1" w:themeTint="F2"/>
            <w:lang w:val="en-US"/>
          </w:rPr>
          <w:id w:val="-368226823"/>
          <w:citation/>
        </w:sdtPr>
        <w:sdtContent>
          <w:r w:rsidR="004B18B5">
            <w:rPr>
              <w:color w:val="0D0D0D" w:themeColor="text1" w:themeTint="F2"/>
              <w:lang w:val="en-US"/>
            </w:rPr>
            <w:fldChar w:fldCharType="begin"/>
          </w:r>
          <w:r w:rsidR="004B18B5">
            <w:rPr>
              <w:color w:val="0D0D0D" w:themeColor="text1" w:themeTint="F2"/>
              <w:lang w:val="en-US"/>
            </w:rPr>
            <w:instrText xml:space="preserve"> CITATION Mas23 \l</w:instrText>
          </w:r>
          <w:r>
            <w:rPr>
              <w:color w:val="0D0D0D" w:themeColor="text1" w:themeTint="F2"/>
              <w:lang w:val="en-US"/>
            </w:rPr>
            <w:instrText xml:space="preserve"> en-US </w:instrText>
          </w:r>
          <w:r w:rsidR="004B18B5">
            <w:rPr>
              <w:color w:val="0D0D0D" w:themeColor="text1" w:themeTint="F2"/>
              <w:lang w:val="en-US"/>
            </w:rPr>
            <w:fldChar w:fldCharType="separate"/>
          </w:r>
          <w:r w:rsidR="004B18B5">
            <w:rPr>
              <w:noProof/>
              <w:color w:val="0D0D0D" w:themeColor="text1" w:themeTint="F2"/>
              <w:lang w:val="en-US"/>
            </w:rPr>
            <w:t xml:space="preserve"> </w:t>
          </w:r>
          <w:r w:rsidR="004B18B5" w:rsidRPr="004B18B5">
            <w:rPr>
              <w:noProof/>
              <w:color w:val="0D0D0D" w:themeColor="text1" w:themeTint="F2"/>
              <w:lang w:val="en-US"/>
            </w:rPr>
            <w:t>[14]</w:t>
          </w:r>
          <w:r w:rsidR="004B18B5">
            <w:rPr>
              <w:color w:val="0D0D0D" w:themeColor="text1" w:themeTint="F2"/>
              <w:lang w:val="en-US"/>
            </w:rPr>
            <w:fldChar w:fldCharType="end"/>
          </w:r>
        </w:sdtContent>
      </w:sdt>
      <w:r w:rsidRPr="002D61A7">
        <w:rPr>
          <w:color w:val="0D0D0D" w:themeColor="text1" w:themeTint="F2"/>
          <w:lang w:val="en-US"/>
        </w:rPr>
        <w:t xml:space="preserve">. </w:t>
      </w:r>
      <w:r w:rsidR="00B76674" w:rsidRPr="002D61A7">
        <w:rPr>
          <w:color w:val="0D0D0D" w:themeColor="text1" w:themeTint="F2"/>
          <w:lang w:val="en-US"/>
        </w:rPr>
        <w:t xml:space="preserve">Consistent testing through simulated attacks and tabletop exercises like phishing campaigns that are provided to the monitoring dashboards </w:t>
      </w:r>
      <w:r w:rsidR="00A70CDA" w:rsidRPr="002D61A7">
        <w:rPr>
          <w:color w:val="0D0D0D" w:themeColor="text1" w:themeTint="F2"/>
          <w:lang w:val="en-US"/>
        </w:rPr>
        <w:t xml:space="preserve">will assist VTAM to refine its procedures and </w:t>
      </w:r>
      <w:r w:rsidR="00CD3B7C" w:rsidRPr="002D61A7">
        <w:rPr>
          <w:color w:val="0D0D0D" w:themeColor="text1" w:themeTint="F2"/>
          <w:lang w:val="en-US"/>
        </w:rPr>
        <w:t xml:space="preserve">improve time of response. </w:t>
      </w:r>
    </w:p>
    <w:p w14:paraId="3E71CC62" w14:textId="41598F3F" w:rsidR="009759E6" w:rsidRDefault="009759E6" w:rsidP="009759E6">
      <w:pPr>
        <w:pStyle w:val="BodyText"/>
        <w:ind w:firstLine="0pt"/>
        <w:contextualSpacing/>
        <w:rPr>
          <w:color w:val="0D0D0D" w:themeColor="text1" w:themeTint="F2"/>
          <w:lang w:val="en-US"/>
        </w:rPr>
      </w:pPr>
      <w:r w:rsidRPr="006F04E9">
        <w:rPr>
          <w:noProof/>
          <w:lang w:val="en-US" w:eastAsia="en-US"/>
        </w:rPr>
        <w:drawing>
          <wp:inline distT="0" distB="0" distL="0" distR="0" wp14:anchorId="4AABA33D" wp14:editId="25FE3C65">
            <wp:extent cx="2809240" cy="2571750"/>
            <wp:effectExtent l="0" t="0" r="0" b="0"/>
            <wp:docPr id="2089481412"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089481412" name=""/>
                    <pic:cNvPicPr/>
                  </pic:nvPicPr>
                  <pic:blipFill rotWithShape="1">
                    <a:blip r:embed="rId11"/>
                    <a:srcRect b="11.888%"/>
                    <a:stretch>
                      <a:fillRect/>
                    </a:stretch>
                  </pic:blipFill>
                  <pic:spPr bwMode="auto">
                    <a:xfrm>
                      <a:off x="0" y="0"/>
                      <a:ext cx="2812535" cy="2574766"/>
                    </a:xfrm>
                    <a:prstGeom prst="rect">
                      <a:avLst/>
                    </a:prstGeom>
                    <a:ln>
                      <a:noFill/>
                    </a:ln>
                    <a:extLst>
                      <a:ext uri="{53640926-AAD7-44D8-BBD7-CCE9431645EC}">
                        <a14:shadowObscured xmlns:a14="http://schemas.microsoft.com/office/drawing/2010/main"/>
                      </a:ext>
                    </a:extLst>
                  </pic:spPr>
                </pic:pic>
              </a:graphicData>
            </a:graphic>
          </wp:inline>
        </w:drawing>
      </w:r>
    </w:p>
    <w:p w14:paraId="6218E39C" w14:textId="3C8CBCD7" w:rsidR="009B5E4F" w:rsidRPr="00DC46BB" w:rsidRDefault="009B5E4F" w:rsidP="00DC46BB">
      <w:pPr>
        <w:pStyle w:val="Caption"/>
      </w:pPr>
      <w:r w:rsidRPr="009B5E4F">
        <w:rPr>
          <w:b/>
          <w:bCs/>
        </w:rPr>
        <w:t xml:space="preserve">Fig. </w:t>
      </w:r>
      <w:r w:rsidRPr="009B5E4F">
        <w:rPr>
          <w:b/>
          <w:bCs/>
        </w:rPr>
        <w:fldChar w:fldCharType="begin"/>
      </w:r>
      <w:r w:rsidRPr="009B5E4F">
        <w:rPr>
          <w:b/>
          <w:bCs/>
        </w:rPr>
        <w:instrText xml:space="preserve"> SEQ Fig. \* ARABIC </w:instrText>
      </w:r>
      <w:r w:rsidRPr="009B5E4F">
        <w:rPr>
          <w:b/>
          <w:bCs/>
        </w:rPr>
        <w:fldChar w:fldCharType="separate"/>
      </w:r>
      <w:r w:rsidRPr="009B5E4F">
        <w:rPr>
          <w:b/>
          <w:bCs/>
          <w:noProof/>
        </w:rPr>
        <w:t>2</w:t>
      </w:r>
      <w:r w:rsidRPr="009B5E4F">
        <w:rPr>
          <w:b/>
          <w:bCs/>
        </w:rPr>
        <w:fldChar w:fldCharType="end"/>
      </w:r>
      <w:r w:rsidRPr="009B5E4F">
        <w:t xml:space="preserve"> SIEM/SOAR‑based incident response workflow for ransomware incidents at VTAM.</w:t>
      </w:r>
    </w:p>
    <w:p w14:paraId="0AB35492" w14:textId="18EA24EF" w:rsidR="00E66F72" w:rsidRPr="00307779" w:rsidRDefault="00E66F72" w:rsidP="00E66F72">
      <w:pPr>
        <w:pStyle w:val="Heading1"/>
      </w:pPr>
      <w:r w:rsidRPr="00307779">
        <w:t>Traini</w:t>
      </w:r>
      <w:r w:rsidR="00924C7D" w:rsidRPr="00307779">
        <w:t xml:space="preserve"> </w:t>
      </w:r>
      <w:r w:rsidRPr="00307779">
        <w:t>ng and Security Culture</w:t>
      </w:r>
    </w:p>
    <w:p w14:paraId="112DEFE4" w14:textId="03D98D8E" w:rsidR="003C02E2" w:rsidRDefault="000F2795" w:rsidP="00E66F72">
      <w:pPr>
        <w:pStyle w:val="BodyText"/>
        <w:rPr>
          <w:lang w:val="en-US"/>
        </w:rPr>
      </w:pPr>
      <w:r w:rsidRPr="004B523D">
        <w:rPr>
          <w:lang w:val="en-US"/>
        </w:rPr>
        <w:t xml:space="preserve">An </w:t>
      </w:r>
      <w:r w:rsidR="004B523D" w:rsidRPr="004B523D">
        <w:rPr>
          <w:lang w:val="en-US"/>
        </w:rPr>
        <w:t>efficient</w:t>
      </w:r>
      <w:r w:rsidRPr="004B523D">
        <w:rPr>
          <w:lang w:val="en-US"/>
        </w:rPr>
        <w:t xml:space="preserve"> security and </w:t>
      </w:r>
      <w:r w:rsidR="0021437A">
        <w:rPr>
          <w:lang w:val="en-US"/>
        </w:rPr>
        <w:t xml:space="preserve">training culture </w:t>
      </w:r>
      <w:proofErr w:type="spellStart"/>
      <w:r w:rsidR="00050010">
        <w:rPr>
          <w:lang w:val="en-US"/>
        </w:rPr>
        <w:t>programme</w:t>
      </w:r>
      <w:proofErr w:type="spellEnd"/>
      <w:r w:rsidR="0021437A">
        <w:rPr>
          <w:lang w:val="en-US"/>
        </w:rPr>
        <w:t xml:space="preserve"> is required for </w:t>
      </w:r>
      <w:r w:rsidR="00EA3A13">
        <w:rPr>
          <w:lang w:val="en-US"/>
        </w:rPr>
        <w:t xml:space="preserve">VTAM </w:t>
      </w:r>
      <w:r w:rsidR="00050010">
        <w:rPr>
          <w:lang w:val="en-US"/>
        </w:rPr>
        <w:t xml:space="preserve">to address unintentional </w:t>
      </w:r>
      <w:r w:rsidR="00983FDA">
        <w:rPr>
          <w:lang w:val="en-US"/>
        </w:rPr>
        <w:t xml:space="preserve">and </w:t>
      </w:r>
      <w:r w:rsidR="00B06721">
        <w:rPr>
          <w:lang w:val="en-US"/>
        </w:rPr>
        <w:t xml:space="preserve">malicious insider </w:t>
      </w:r>
      <w:r w:rsidR="009343A9">
        <w:rPr>
          <w:lang w:val="en-US"/>
        </w:rPr>
        <w:t>threats and</w:t>
      </w:r>
      <w:r w:rsidR="008A6BD4">
        <w:rPr>
          <w:lang w:val="en-US"/>
        </w:rPr>
        <w:t xml:space="preserve"> support the </w:t>
      </w:r>
      <w:r w:rsidR="00444CC4">
        <w:rPr>
          <w:lang w:val="en-US"/>
        </w:rPr>
        <w:t>technical control in the Zero Trust framework</w:t>
      </w:r>
      <w:r w:rsidR="00A81024">
        <w:rPr>
          <w:lang w:val="en-US"/>
        </w:rPr>
        <w:t xml:space="preserve">. </w:t>
      </w:r>
      <w:r w:rsidR="00B74AD1">
        <w:rPr>
          <w:lang w:val="en-US"/>
        </w:rPr>
        <w:t xml:space="preserve">The marketing criteria indicates </w:t>
      </w:r>
      <w:r w:rsidR="00CD3030">
        <w:rPr>
          <w:lang w:val="en-US"/>
        </w:rPr>
        <w:t>training</w:t>
      </w:r>
      <w:r w:rsidR="00270DF8">
        <w:rPr>
          <w:lang w:val="en-US"/>
        </w:rPr>
        <w:t xml:space="preserve"> should go beyond </w:t>
      </w:r>
      <w:r w:rsidR="00CD3030">
        <w:rPr>
          <w:lang w:val="en-US"/>
        </w:rPr>
        <w:t>annual</w:t>
      </w:r>
      <w:r w:rsidR="00986363">
        <w:rPr>
          <w:lang w:val="en-US"/>
        </w:rPr>
        <w:t xml:space="preserve"> videos </w:t>
      </w:r>
      <w:r w:rsidR="006A7E42">
        <w:rPr>
          <w:lang w:val="en-US"/>
        </w:rPr>
        <w:t xml:space="preserve">and it should promote a </w:t>
      </w:r>
      <w:r w:rsidR="00BB1BDE">
        <w:rPr>
          <w:lang w:val="en-US"/>
        </w:rPr>
        <w:t>culture that is security</w:t>
      </w:r>
      <w:r w:rsidR="00CC484F">
        <w:rPr>
          <w:lang w:val="en-US"/>
        </w:rPr>
        <w:t>-</w:t>
      </w:r>
      <w:r w:rsidR="00C51732">
        <w:rPr>
          <w:lang w:val="en-US"/>
        </w:rPr>
        <w:t>conscious</w:t>
      </w:r>
      <w:r w:rsidR="00CC484F">
        <w:rPr>
          <w:lang w:val="en-US"/>
        </w:rPr>
        <w:t xml:space="preserve"> with the help of </w:t>
      </w:r>
      <w:r w:rsidR="00753786">
        <w:rPr>
          <w:lang w:val="en-US"/>
        </w:rPr>
        <w:t xml:space="preserve">engaging activities, </w:t>
      </w:r>
      <w:r w:rsidR="00CE7088">
        <w:rPr>
          <w:lang w:val="en-US"/>
        </w:rPr>
        <w:t xml:space="preserve">consistent and role specific content. </w:t>
      </w:r>
    </w:p>
    <w:p w14:paraId="28FF4BD2" w14:textId="7FA823C1" w:rsidR="00B40FEB" w:rsidRPr="004B523D" w:rsidRDefault="00B40FEB" w:rsidP="00E66F72">
      <w:pPr>
        <w:pStyle w:val="BodyText"/>
        <w:rPr>
          <w:lang w:val="en-US"/>
        </w:rPr>
      </w:pPr>
      <w:r>
        <w:rPr>
          <w:lang w:val="en-US"/>
        </w:rPr>
        <w:t>VTAM should adopt a</w:t>
      </w:r>
      <w:r w:rsidR="00DF69A1">
        <w:rPr>
          <w:lang w:val="en-US"/>
        </w:rPr>
        <w:t xml:space="preserve">n </w:t>
      </w:r>
      <w:r w:rsidR="006A5715">
        <w:rPr>
          <w:lang w:val="en-US"/>
        </w:rPr>
        <w:t xml:space="preserve">ongoing, structured awareness </w:t>
      </w:r>
      <w:proofErr w:type="spellStart"/>
      <w:r w:rsidR="006A5715">
        <w:rPr>
          <w:lang w:val="en-US"/>
        </w:rPr>
        <w:t>programme</w:t>
      </w:r>
      <w:proofErr w:type="spellEnd"/>
      <w:r w:rsidR="006A5715">
        <w:rPr>
          <w:lang w:val="en-US"/>
        </w:rPr>
        <w:t xml:space="preserve"> </w:t>
      </w:r>
      <w:r w:rsidR="00D07B0D">
        <w:rPr>
          <w:lang w:val="en-US"/>
        </w:rPr>
        <w:t>that is based on short e-learning modules</w:t>
      </w:r>
      <w:r w:rsidR="00A8779B">
        <w:rPr>
          <w:lang w:val="en-US"/>
        </w:rPr>
        <w:t xml:space="preserve">, </w:t>
      </w:r>
      <w:r w:rsidR="00DF1FA3">
        <w:rPr>
          <w:lang w:val="en-US"/>
        </w:rPr>
        <w:t xml:space="preserve">regular communication, workshops </w:t>
      </w:r>
      <w:r w:rsidR="00C47359">
        <w:rPr>
          <w:lang w:val="en-US"/>
        </w:rPr>
        <w:t xml:space="preserve">on existing threats </w:t>
      </w:r>
      <w:r w:rsidR="00B54630">
        <w:rPr>
          <w:lang w:val="en-US"/>
        </w:rPr>
        <w:t xml:space="preserve">like </w:t>
      </w:r>
      <w:r w:rsidR="00AC4063">
        <w:rPr>
          <w:lang w:val="en-US"/>
        </w:rPr>
        <w:t>vishing</w:t>
      </w:r>
      <w:r w:rsidR="009F4FE9">
        <w:rPr>
          <w:lang w:val="en-US"/>
        </w:rPr>
        <w:t xml:space="preserve"> </w:t>
      </w:r>
      <w:r w:rsidR="006E369E">
        <w:rPr>
          <w:lang w:val="en-US"/>
        </w:rPr>
        <w:t>phishing</w:t>
      </w:r>
      <w:r w:rsidR="002451EE">
        <w:rPr>
          <w:lang w:val="en-US"/>
        </w:rPr>
        <w:t xml:space="preserve">, supply chain compromise and </w:t>
      </w:r>
      <w:r w:rsidR="00576029">
        <w:rPr>
          <w:lang w:val="en-US"/>
        </w:rPr>
        <w:t>ransomware</w:t>
      </w:r>
      <w:r w:rsidR="00DB1470">
        <w:rPr>
          <w:lang w:val="en-US"/>
        </w:rPr>
        <w:t xml:space="preserve">. </w:t>
      </w:r>
      <w:r w:rsidR="00D73662">
        <w:rPr>
          <w:lang w:val="en-US"/>
        </w:rPr>
        <w:t xml:space="preserve">Furthermore, AI-assisted </w:t>
      </w:r>
      <w:r w:rsidR="00B3462F">
        <w:rPr>
          <w:lang w:val="en-US"/>
        </w:rPr>
        <w:t xml:space="preserve">voice phishing </w:t>
      </w:r>
      <w:r w:rsidR="000E46C0">
        <w:rPr>
          <w:lang w:val="en-US"/>
        </w:rPr>
        <w:t xml:space="preserve">and simulated phishing campaigns </w:t>
      </w:r>
      <w:r w:rsidR="007C1C5D">
        <w:rPr>
          <w:lang w:val="en-US"/>
        </w:rPr>
        <w:t xml:space="preserve">can be applied for testing staff </w:t>
      </w:r>
      <w:r w:rsidR="00AB3350">
        <w:rPr>
          <w:lang w:val="en-US"/>
        </w:rPr>
        <w:t>behavior</w:t>
      </w:r>
      <w:r w:rsidR="00177A5A">
        <w:rPr>
          <w:lang w:val="en-US"/>
        </w:rPr>
        <w:t xml:space="preserve">, </w:t>
      </w:r>
      <w:r w:rsidR="007C31E8">
        <w:rPr>
          <w:lang w:val="en-US"/>
        </w:rPr>
        <w:t xml:space="preserve">give immediate feedback </w:t>
      </w:r>
      <w:r w:rsidR="00A8242F">
        <w:rPr>
          <w:lang w:val="en-US"/>
        </w:rPr>
        <w:t xml:space="preserve">and find roles or department </w:t>
      </w:r>
      <w:r w:rsidR="000233F4">
        <w:rPr>
          <w:lang w:val="en-US"/>
        </w:rPr>
        <w:t>that need additional support</w:t>
      </w:r>
      <w:sdt>
        <w:sdtPr>
          <w:rPr>
            <w:lang w:val="en-US"/>
          </w:rPr>
          <w:id w:val="1738588762"/>
          <w:citation/>
        </w:sdtPr>
        <w:sdtContent>
          <w:r w:rsidR="00FB753D">
            <w:rPr>
              <w:lang w:val="en-US"/>
            </w:rPr>
            <w:fldChar w:fldCharType="begin"/>
          </w:r>
          <w:r w:rsidR="00FB753D">
            <w:rPr>
              <w:lang w:val="en-US"/>
            </w:rPr>
            <w:instrText xml:space="preserve"> CITATION Alv25 \l</w:instrText>
          </w:r>
          <w:r>
            <w:rPr>
              <w:lang w:val="en-US"/>
            </w:rPr>
            <w:instrText xml:space="preserve"> en-US </w:instrText>
          </w:r>
          <w:r w:rsidR="00FB753D">
            <w:rPr>
              <w:lang w:val="en-US"/>
            </w:rPr>
            <w:fldChar w:fldCharType="separate"/>
          </w:r>
          <w:r w:rsidR="00AC6433">
            <w:rPr>
              <w:noProof/>
              <w:lang w:val="en-US"/>
            </w:rPr>
            <w:t xml:space="preserve"> </w:t>
          </w:r>
          <w:r w:rsidR="00AC6433" w:rsidRPr="00AC6433">
            <w:rPr>
              <w:noProof/>
              <w:lang w:val="en-US"/>
            </w:rPr>
            <w:t>[22]</w:t>
          </w:r>
          <w:r w:rsidR="00FB753D">
            <w:rPr>
              <w:lang w:val="en-US"/>
            </w:rPr>
            <w:fldChar w:fldCharType="end"/>
          </w:r>
        </w:sdtContent>
      </w:sdt>
      <w:r w:rsidR="00D35F29">
        <w:rPr>
          <w:lang w:val="en-US"/>
        </w:rPr>
        <w:t xml:space="preserve">. </w:t>
      </w:r>
      <w:r w:rsidR="00170A61">
        <w:rPr>
          <w:lang w:val="en-US"/>
        </w:rPr>
        <w:t xml:space="preserve">Furthermore, training should </w:t>
      </w:r>
      <w:r w:rsidR="00A854BD">
        <w:rPr>
          <w:lang w:val="en-US"/>
        </w:rPr>
        <w:t xml:space="preserve">narrate the way employees can use </w:t>
      </w:r>
      <w:r w:rsidR="007A1EE1">
        <w:rPr>
          <w:lang w:val="en-US"/>
        </w:rPr>
        <w:t>to assess suspicious messages and call</w:t>
      </w:r>
      <w:r w:rsidR="00852510">
        <w:rPr>
          <w:lang w:val="en-US"/>
        </w:rPr>
        <w:t xml:space="preserve">, verify payment requests </w:t>
      </w:r>
      <w:r w:rsidR="00F73899">
        <w:rPr>
          <w:lang w:val="en-US"/>
        </w:rPr>
        <w:t xml:space="preserve">or about data </w:t>
      </w:r>
      <w:r w:rsidR="00582832">
        <w:rPr>
          <w:lang w:val="en-US"/>
        </w:rPr>
        <w:t xml:space="preserve">and </w:t>
      </w:r>
      <w:r w:rsidR="00A90979">
        <w:rPr>
          <w:lang w:val="en-US"/>
        </w:rPr>
        <w:t>approve</w:t>
      </w:r>
      <w:r w:rsidR="006760ED">
        <w:rPr>
          <w:lang w:val="en-US"/>
        </w:rPr>
        <w:t xml:space="preserve"> reporting </w:t>
      </w:r>
      <w:r w:rsidR="005C1658">
        <w:rPr>
          <w:lang w:val="en-US"/>
        </w:rPr>
        <w:t xml:space="preserve">channels for escalating </w:t>
      </w:r>
      <w:r w:rsidR="00B754FB">
        <w:rPr>
          <w:lang w:val="en-US"/>
        </w:rPr>
        <w:t xml:space="preserve">concerns in short time. </w:t>
      </w:r>
      <w:r w:rsidR="00330286">
        <w:rPr>
          <w:lang w:val="en-US"/>
        </w:rPr>
        <w:t xml:space="preserve">Role-based training is important to reflect the risk exposures and various responsibilities. </w:t>
      </w:r>
      <w:r w:rsidR="00BD6F4C">
        <w:rPr>
          <w:lang w:val="en-US"/>
        </w:rPr>
        <w:t xml:space="preserve">Front office staff need to focus on the protection of client data and they verify </w:t>
      </w:r>
      <w:r w:rsidR="00A548D3">
        <w:rPr>
          <w:lang w:val="en-US"/>
        </w:rPr>
        <w:t>instructions from customers</w:t>
      </w:r>
      <w:sdt>
        <w:sdtPr>
          <w:rPr>
            <w:lang w:val="en-US"/>
          </w:rPr>
          <w:id w:val="-761143048"/>
          <w:citation/>
        </w:sdtPr>
        <w:sdtContent>
          <w:r w:rsidR="00FB753D">
            <w:rPr>
              <w:lang w:val="en-US"/>
            </w:rPr>
            <w:fldChar w:fldCharType="begin"/>
          </w:r>
          <w:r w:rsidR="00FB753D">
            <w:rPr>
              <w:lang w:val="en-US"/>
            </w:rPr>
            <w:instrText xml:space="preserve"> CITATION Sin25 \l</w:instrText>
          </w:r>
          <w:r>
            <w:rPr>
              <w:lang w:val="en-US"/>
            </w:rPr>
            <w:instrText xml:space="preserve"> en-US </w:instrText>
          </w:r>
          <w:r w:rsidR="00FB753D">
            <w:rPr>
              <w:lang w:val="en-US"/>
            </w:rPr>
            <w:fldChar w:fldCharType="separate"/>
          </w:r>
          <w:r w:rsidR="00AC6433">
            <w:rPr>
              <w:noProof/>
              <w:lang w:val="en-US"/>
            </w:rPr>
            <w:t xml:space="preserve"> </w:t>
          </w:r>
          <w:r w:rsidR="00AC6433" w:rsidRPr="00AC6433">
            <w:rPr>
              <w:noProof/>
              <w:lang w:val="en-US"/>
            </w:rPr>
            <w:t>[12]</w:t>
          </w:r>
          <w:r w:rsidR="00FB753D">
            <w:rPr>
              <w:lang w:val="en-US"/>
            </w:rPr>
            <w:fldChar w:fldCharType="end"/>
          </w:r>
        </w:sdtContent>
      </w:sdt>
      <w:r w:rsidR="00A548D3">
        <w:rPr>
          <w:lang w:val="en-US"/>
        </w:rPr>
        <w:t xml:space="preserve">. On the other hand, finance team have to provide in-depth guidance regarding fraud detection like authorization control and indicators. Security and IT personnel need an advanced technical training regarding secure </w:t>
      </w:r>
      <w:r w:rsidR="006B5299">
        <w:rPr>
          <w:lang w:val="en-US"/>
        </w:rPr>
        <w:t>configuration;</w:t>
      </w:r>
      <w:r w:rsidR="00A548D3">
        <w:rPr>
          <w:lang w:val="en-US"/>
        </w:rPr>
        <w:t xml:space="preserve"> process of incident response and obligations </w:t>
      </w:r>
      <w:r w:rsidR="00383849">
        <w:rPr>
          <w:lang w:val="en-US"/>
        </w:rPr>
        <w:t xml:space="preserve">related to regulatory </w:t>
      </w:r>
      <w:r w:rsidR="006435D1">
        <w:rPr>
          <w:lang w:val="en-US"/>
        </w:rPr>
        <w:t>measures</w:t>
      </w:r>
      <w:r w:rsidR="00383849">
        <w:rPr>
          <w:lang w:val="en-US"/>
        </w:rPr>
        <w:t xml:space="preserve">. </w:t>
      </w:r>
      <w:r w:rsidR="007963ED">
        <w:rPr>
          <w:lang w:val="en-US"/>
        </w:rPr>
        <w:t xml:space="preserve">Board members and senior managers </w:t>
      </w:r>
      <w:r w:rsidR="003A5287">
        <w:rPr>
          <w:lang w:val="en-US"/>
        </w:rPr>
        <w:t xml:space="preserve">should </w:t>
      </w:r>
      <w:r w:rsidR="00BD2A9B">
        <w:rPr>
          <w:lang w:val="en-US"/>
        </w:rPr>
        <w:t xml:space="preserve">have focused briefings about cyber risk, </w:t>
      </w:r>
      <w:r w:rsidR="000A25F6">
        <w:rPr>
          <w:lang w:val="en-US"/>
        </w:rPr>
        <w:t>governance</w:t>
      </w:r>
      <w:r w:rsidR="00BD2A9B">
        <w:rPr>
          <w:lang w:val="en-US"/>
        </w:rPr>
        <w:t xml:space="preserve"> responsibilities and business impact </w:t>
      </w:r>
      <w:r w:rsidR="000A25F6">
        <w:rPr>
          <w:lang w:val="en-US"/>
        </w:rPr>
        <w:t xml:space="preserve">that can assist them for sponsor and model good practice. </w:t>
      </w:r>
      <w:r w:rsidR="00E64BCC">
        <w:rPr>
          <w:lang w:val="en-US"/>
        </w:rPr>
        <w:t xml:space="preserve">For a strong security culture, </w:t>
      </w:r>
      <w:r w:rsidR="00F55F84">
        <w:rPr>
          <w:lang w:val="en-US"/>
        </w:rPr>
        <w:t xml:space="preserve">VTAM need to define the metrics like incident reporting levels, phishing click rates and completion of training and use such aspects for tracking improvement over time. It can further include positive reinforcement like recognition of teams having strong positive </w:t>
      </w:r>
      <w:proofErr w:type="spellStart"/>
      <w:r w:rsidR="00F55F84">
        <w:rPr>
          <w:lang w:val="en-US"/>
        </w:rPr>
        <w:t>behaviour</w:t>
      </w:r>
      <w:proofErr w:type="spellEnd"/>
      <w:r w:rsidR="00F55F84">
        <w:rPr>
          <w:lang w:val="en-US"/>
        </w:rPr>
        <w:t xml:space="preserve"> and clear consequences for serious policy breaches. It can assist to indicate that security is a shared responsibility in the entire </w:t>
      </w:r>
      <w:r w:rsidR="00511A9B">
        <w:rPr>
          <w:lang w:val="en-US"/>
        </w:rPr>
        <w:t>organization</w:t>
      </w:r>
      <w:r w:rsidR="00F55F84">
        <w:rPr>
          <w:lang w:val="en-US"/>
        </w:rPr>
        <w:t xml:space="preserve">. </w:t>
      </w:r>
    </w:p>
    <w:p w14:paraId="0CCF9056" w14:textId="56FA3930" w:rsidR="005B2E2A" w:rsidRPr="009A5C96" w:rsidRDefault="005B2E2A" w:rsidP="005B2E2A">
      <w:pPr>
        <w:pStyle w:val="Heading1"/>
        <w:rPr>
          <w:lang w:val="en-GB"/>
        </w:rPr>
      </w:pPr>
      <w:r w:rsidRPr="009A5C96">
        <w:rPr>
          <w:lang w:val="en-GB"/>
        </w:rPr>
        <w:lastRenderedPageBreak/>
        <w:t>Conclusion</w:t>
      </w:r>
    </w:p>
    <w:p w14:paraId="01D6CC50" w14:textId="24A3C6C8" w:rsidR="009A5C96" w:rsidRPr="00C55EBA" w:rsidRDefault="009A5C96" w:rsidP="00892144">
      <w:pPr>
        <w:pStyle w:val="BodyText"/>
      </w:pPr>
      <w:r w:rsidRPr="009A5C96">
        <w:rPr>
          <w:lang w:val="en-US"/>
        </w:rPr>
        <w:t xml:space="preserve">The purpose of the paper was to examine the modern threat landscape </w:t>
      </w:r>
      <w:r>
        <w:rPr>
          <w:lang w:val="en-US"/>
        </w:rPr>
        <w:t xml:space="preserve">faced by VTAM including RaaS, supply chain compromise, AI-enabled social engineering and weaknesses due to the hybrid working and cloud adoption. </w:t>
      </w:r>
      <w:r w:rsidR="00EE6BF3">
        <w:rPr>
          <w:lang w:val="en-US"/>
        </w:rPr>
        <w:t xml:space="preserve">The study has proposed a </w:t>
      </w:r>
      <w:r w:rsidR="00D963A8">
        <w:rPr>
          <w:lang w:val="en-US"/>
        </w:rPr>
        <w:t xml:space="preserve">security framework on the basis of Zero Trust principles and it is aligned with recognized </w:t>
      </w:r>
      <w:r w:rsidR="00A50A14">
        <w:rPr>
          <w:lang w:val="en-US"/>
        </w:rPr>
        <w:t xml:space="preserve">standards </w:t>
      </w:r>
      <w:r w:rsidR="00C55EBA">
        <w:rPr>
          <w:lang w:val="en-US"/>
        </w:rPr>
        <w:t xml:space="preserve">like ISO 27001 and </w:t>
      </w:r>
      <w:r w:rsidR="00C55EBA" w:rsidRPr="00C55EBA">
        <w:rPr>
          <w:lang w:val="en-US"/>
        </w:rPr>
        <w:t>the NIST Cybersecurity Framework</w:t>
      </w:r>
      <w:r w:rsidR="00C55EBA">
        <w:rPr>
          <w:lang w:val="en-US"/>
        </w:rPr>
        <w:t xml:space="preserve">. The proposed measures including micro segmentation, strong identity management, immutable backups, CSPM and </w:t>
      </w:r>
      <w:r w:rsidR="00023DC8">
        <w:rPr>
          <w:lang w:val="en-US"/>
        </w:rPr>
        <w:t>risk-based</w:t>
      </w:r>
      <w:r w:rsidR="00C55EBA">
        <w:rPr>
          <w:lang w:val="en-US"/>
        </w:rPr>
        <w:t xml:space="preserve"> patch management are created to increase feasibility for medium sized financial organizations that cab minimizes the impact and further chances of cyber-attacks. </w:t>
      </w:r>
    </w:p>
    <w:p w14:paraId="355CFFA0" w14:textId="77777777" w:rsidR="007D4E17" w:rsidRDefault="007D4E17" w:rsidP="007D4E17">
      <w:pPr>
        <w:jc w:val="both"/>
      </w:pPr>
    </w:p>
    <w:p w14:paraId="36D245BE" w14:textId="7FB21211" w:rsidR="00B57CD6" w:rsidRPr="007D4E17" w:rsidRDefault="00B57CD6" w:rsidP="007D4E17">
      <w:pPr>
        <w:jc w:val="both"/>
      </w:pPr>
      <w:r>
        <w:t>‘#</w:t>
      </w:r>
    </w:p>
    <w:sdt>
      <w:sdtPr>
        <w:rPr>
          <w:smallCaps w:val="0"/>
          <w:noProof w:val="0"/>
        </w:rPr>
        <w:id w:val="-415862524"/>
        <w:docPartObj>
          <w:docPartGallery w:val="Bibliographies"/>
          <w:docPartUnique/>
        </w:docPartObj>
      </w:sdtPr>
      <w:sdtContent>
        <w:p w14:paraId="0F8B0839" w14:textId="6C1E3CAB" w:rsidR="007D4E17" w:rsidRPr="006D2984" w:rsidRDefault="007D4E17" w:rsidP="00FB753D">
          <w:pPr>
            <w:pStyle w:val="Heading1"/>
            <w:numPr>
              <w:ilvl w:val="0"/>
              <w:numId w:val="0"/>
            </w:numPr>
            <w:rPr>
              <w:b/>
              <w:bCs/>
            </w:rPr>
          </w:pPr>
          <w:r w:rsidRPr="006D2984">
            <w:rPr>
              <w:b/>
              <w:bCs/>
            </w:rPr>
            <w:t>References</w:t>
          </w:r>
        </w:p>
        <w:sdt>
          <w:sdtPr>
            <w:id w:val="-573587230"/>
            <w:bibliography/>
          </w:sdtPr>
          <w:sdtContent>
            <w:p w14:paraId="610C95FC" w14:textId="77777777" w:rsidR="00AC6433" w:rsidRDefault="007D4E17">
              <w:pPr>
                <w:rPr>
                  <w:noProof/>
                </w:rPr>
              </w:pPr>
              <w:r>
                <w:fldChar w:fldCharType="begin"/>
              </w:r>
              <w:r>
                <w:instrText xml:space="preserve"> BIBLIOGRAPHY </w:instrText>
              </w:r>
              <w: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409"/>
                <w:gridCol w:w="4457"/>
              </w:tblGrid>
              <w:tr w:rsidR="00AC6433" w14:paraId="441842E7" w14:textId="77777777">
                <w:trPr>
                  <w:divId w:val="1725567500"/>
                  <w:tblCellSpacing w:w="0.75pt" w:type="dxa"/>
                </w:trPr>
                <w:tc>
                  <w:tcPr>
                    <w:tcW w:w="1.0%" w:type="pct"/>
                    <w:hideMark/>
                  </w:tcPr>
                  <w:p w14:paraId="188F13EC" w14:textId="77777777" w:rsidR="00B57CD6" w:rsidRDefault="00AC6433" w:rsidP="00AC6433">
                    <w:pPr>
                      <w:pStyle w:val="Bibliography"/>
                      <w:jc w:val="start"/>
                      <w:rPr>
                        <w:noProof/>
                      </w:rPr>
                    </w:pPr>
                    <w:r>
                      <w:rPr>
                        <w:noProof/>
                      </w:rPr>
                      <w:t>[</w:t>
                    </w:r>
                  </w:p>
                  <w:p w14:paraId="5ECCBA72" w14:textId="4C19E5BB" w:rsidR="00AC6433" w:rsidRDefault="00AC6433" w:rsidP="00AC6433">
                    <w:pPr>
                      <w:pStyle w:val="Bibliography"/>
                      <w:jc w:val="start"/>
                      <w:rPr>
                        <w:noProof/>
                        <w:sz w:val="24"/>
                        <w:szCs w:val="24"/>
                      </w:rPr>
                    </w:pPr>
                    <w:r>
                      <w:rPr>
                        <w:noProof/>
                      </w:rPr>
                      <w:t xml:space="preserve">1] </w:t>
                    </w:r>
                  </w:p>
                </w:tc>
                <w:tc>
                  <w:tcPr>
                    <w:tcW w:w="0pt" w:type="dxa"/>
                    <w:hideMark/>
                  </w:tcPr>
                  <w:p w14:paraId="6F19993A" w14:textId="77777777" w:rsidR="00AC6433" w:rsidRDefault="00AC6433" w:rsidP="00AC6433">
                    <w:pPr>
                      <w:pStyle w:val="Bibliography"/>
                      <w:jc w:val="start"/>
                      <w:rPr>
                        <w:noProof/>
                      </w:rPr>
                    </w:pPr>
                    <w:r>
                      <w:rPr>
                        <w:noProof/>
                      </w:rPr>
                      <w:t xml:space="preserve">A. Adejumo and C. Ogburie, " Strengthening finance with cybersecurity: Ensuring safer digital transactions.," </w:t>
                    </w:r>
                    <w:r>
                      <w:rPr>
                        <w:i/>
                        <w:iCs/>
                        <w:noProof/>
                      </w:rPr>
                      <w:t xml:space="preserve">World Journal of Advanced Research and Reviews, 25(3), </w:t>
                    </w:r>
                    <w:r>
                      <w:rPr>
                        <w:noProof/>
                      </w:rPr>
                      <w:t xml:space="preserve">pp. 1527-1541, 2025. </w:t>
                    </w:r>
                  </w:p>
                </w:tc>
              </w:tr>
              <w:tr w:rsidR="00AC6433" w14:paraId="1D6205C7" w14:textId="77777777">
                <w:trPr>
                  <w:divId w:val="1725567500"/>
                  <w:tblCellSpacing w:w="0.75pt" w:type="dxa"/>
                </w:trPr>
                <w:tc>
                  <w:tcPr>
                    <w:tcW w:w="1.0%" w:type="pct"/>
                    <w:hideMark/>
                  </w:tcPr>
                  <w:p w14:paraId="71CB6311" w14:textId="77777777" w:rsidR="00AC6433" w:rsidRDefault="00AC6433" w:rsidP="00AC6433">
                    <w:pPr>
                      <w:pStyle w:val="Bibliography"/>
                      <w:jc w:val="start"/>
                      <w:rPr>
                        <w:noProof/>
                      </w:rPr>
                    </w:pPr>
                    <w:r>
                      <w:rPr>
                        <w:noProof/>
                      </w:rPr>
                      <w:t xml:space="preserve">[2] </w:t>
                    </w:r>
                  </w:p>
                </w:tc>
                <w:tc>
                  <w:tcPr>
                    <w:tcW w:w="0pt" w:type="dxa"/>
                    <w:hideMark/>
                  </w:tcPr>
                  <w:p w14:paraId="22A48A80" w14:textId="77777777" w:rsidR="00AC6433" w:rsidRDefault="00AC6433" w:rsidP="00AC6433">
                    <w:pPr>
                      <w:pStyle w:val="Bibliography"/>
                      <w:jc w:val="start"/>
                      <w:rPr>
                        <w:noProof/>
                      </w:rPr>
                    </w:pPr>
                    <w:r>
                      <w:rPr>
                        <w:noProof/>
                      </w:rPr>
                      <w:t xml:space="preserve">S. Satish, " A quantitative study on adoption of public cloud in financial services (Doctoral dissertation, University of the Cumberlands)," 2024. </w:t>
                    </w:r>
                  </w:p>
                </w:tc>
              </w:tr>
              <w:tr w:rsidR="00AC6433" w14:paraId="4A682459" w14:textId="77777777">
                <w:trPr>
                  <w:divId w:val="1725567500"/>
                  <w:tblCellSpacing w:w="0.75pt" w:type="dxa"/>
                </w:trPr>
                <w:tc>
                  <w:tcPr>
                    <w:tcW w:w="1.0%" w:type="pct"/>
                    <w:hideMark/>
                  </w:tcPr>
                  <w:p w14:paraId="54845C63" w14:textId="77777777" w:rsidR="00AC6433" w:rsidRDefault="00AC6433" w:rsidP="00AC6433">
                    <w:pPr>
                      <w:pStyle w:val="Bibliography"/>
                      <w:jc w:val="start"/>
                      <w:rPr>
                        <w:noProof/>
                      </w:rPr>
                    </w:pPr>
                    <w:r>
                      <w:rPr>
                        <w:noProof/>
                      </w:rPr>
                      <w:t xml:space="preserve">[3] </w:t>
                    </w:r>
                  </w:p>
                </w:tc>
                <w:tc>
                  <w:tcPr>
                    <w:tcW w:w="0pt" w:type="dxa"/>
                    <w:hideMark/>
                  </w:tcPr>
                  <w:p w14:paraId="74D92B89" w14:textId="77777777" w:rsidR="00AC6433" w:rsidRDefault="00AC6433" w:rsidP="00AC6433">
                    <w:pPr>
                      <w:pStyle w:val="Bibliography"/>
                      <w:jc w:val="start"/>
                      <w:rPr>
                        <w:noProof/>
                      </w:rPr>
                    </w:pPr>
                    <w:r>
                      <w:rPr>
                        <w:noProof/>
                      </w:rPr>
                      <w:t xml:space="preserve">T. Jabid, M. R. A. Rashid, M. H. Ferdaus, M. S. Ali, M. M. Islam, M. .. Hasan and M. Islam, Ransomware prevention strategies: Building robust cyber defenses. In Ransomware Evolution (pp. 144-171), CRC Press, 2024. </w:t>
                    </w:r>
                  </w:p>
                </w:tc>
              </w:tr>
              <w:tr w:rsidR="00AC6433" w14:paraId="00748F5F" w14:textId="77777777">
                <w:trPr>
                  <w:divId w:val="1725567500"/>
                  <w:tblCellSpacing w:w="0.75pt" w:type="dxa"/>
                </w:trPr>
                <w:tc>
                  <w:tcPr>
                    <w:tcW w:w="1.0%" w:type="pct"/>
                    <w:hideMark/>
                  </w:tcPr>
                  <w:p w14:paraId="184754A8" w14:textId="77777777" w:rsidR="00AC6433" w:rsidRDefault="00AC6433" w:rsidP="00AC6433">
                    <w:pPr>
                      <w:pStyle w:val="Bibliography"/>
                      <w:jc w:val="start"/>
                      <w:rPr>
                        <w:noProof/>
                      </w:rPr>
                    </w:pPr>
                    <w:r>
                      <w:rPr>
                        <w:noProof/>
                      </w:rPr>
                      <w:t xml:space="preserve">[4] </w:t>
                    </w:r>
                  </w:p>
                </w:tc>
                <w:tc>
                  <w:tcPr>
                    <w:tcW w:w="0pt" w:type="dxa"/>
                    <w:hideMark/>
                  </w:tcPr>
                  <w:p w14:paraId="03878135" w14:textId="77777777" w:rsidR="00AC6433" w:rsidRDefault="00AC6433" w:rsidP="00AC6433">
                    <w:pPr>
                      <w:pStyle w:val="Bibliography"/>
                      <w:jc w:val="start"/>
                      <w:rPr>
                        <w:noProof/>
                      </w:rPr>
                    </w:pPr>
                    <w:r>
                      <w:rPr>
                        <w:noProof/>
                      </w:rPr>
                      <w:t xml:space="preserve">J. Simola and T. Leppänen, "Identification of the Emerging Sources of Cybersecurity Threats. In Proceedings of the European Conference on Cyber Warfare and Security," </w:t>
                    </w:r>
                    <w:r>
                      <w:rPr>
                        <w:i/>
                        <w:iCs/>
                        <w:noProof/>
                      </w:rPr>
                      <w:t xml:space="preserve">Academic Conferences International, </w:t>
                    </w:r>
                    <w:r>
                      <w:rPr>
                        <w:noProof/>
                      </w:rPr>
                      <w:t xml:space="preserve">p. 2025. </w:t>
                    </w:r>
                  </w:p>
                </w:tc>
              </w:tr>
              <w:tr w:rsidR="00AC6433" w14:paraId="672FECA8" w14:textId="77777777">
                <w:trPr>
                  <w:divId w:val="1725567500"/>
                  <w:tblCellSpacing w:w="0.75pt" w:type="dxa"/>
                </w:trPr>
                <w:tc>
                  <w:tcPr>
                    <w:tcW w:w="1.0%" w:type="pct"/>
                    <w:hideMark/>
                  </w:tcPr>
                  <w:p w14:paraId="12ACDD12" w14:textId="77777777" w:rsidR="00AC6433" w:rsidRDefault="00AC6433" w:rsidP="00AC6433">
                    <w:pPr>
                      <w:pStyle w:val="Bibliography"/>
                      <w:jc w:val="start"/>
                      <w:rPr>
                        <w:noProof/>
                      </w:rPr>
                    </w:pPr>
                    <w:r>
                      <w:rPr>
                        <w:noProof/>
                      </w:rPr>
                      <w:t xml:space="preserve">[5] </w:t>
                    </w:r>
                  </w:p>
                </w:tc>
                <w:tc>
                  <w:tcPr>
                    <w:tcW w:w="0pt" w:type="dxa"/>
                    <w:hideMark/>
                  </w:tcPr>
                  <w:p w14:paraId="0CA9BFCE" w14:textId="77777777" w:rsidR="00AC6433" w:rsidRDefault="00AC6433" w:rsidP="00AC6433">
                    <w:pPr>
                      <w:pStyle w:val="Bibliography"/>
                      <w:jc w:val="start"/>
                      <w:rPr>
                        <w:noProof/>
                      </w:rPr>
                    </w:pPr>
                    <w:r>
                      <w:rPr>
                        <w:noProof/>
                      </w:rPr>
                      <w:t xml:space="preserve">B. Pratap and V. Singh, "The Evolving Cyber Threat Landscape: Navigating the Intersection of Cybercrime and Cybersecurity," </w:t>
                    </w:r>
                    <w:r>
                      <w:rPr>
                        <w:i/>
                        <w:iCs/>
                        <w:noProof/>
                      </w:rPr>
                      <w:t xml:space="preserve">Wordsswiggle publication, </w:t>
                    </w:r>
                    <w:r>
                      <w:rPr>
                        <w:noProof/>
                      </w:rPr>
                      <w:t xml:space="preserve">2025. </w:t>
                    </w:r>
                  </w:p>
                </w:tc>
              </w:tr>
              <w:tr w:rsidR="00AC6433" w14:paraId="05C6C6AF" w14:textId="77777777">
                <w:trPr>
                  <w:divId w:val="1725567500"/>
                  <w:tblCellSpacing w:w="0.75pt" w:type="dxa"/>
                </w:trPr>
                <w:tc>
                  <w:tcPr>
                    <w:tcW w:w="1.0%" w:type="pct"/>
                    <w:hideMark/>
                  </w:tcPr>
                  <w:p w14:paraId="3496CEAC" w14:textId="77777777" w:rsidR="00AC6433" w:rsidRDefault="00AC6433" w:rsidP="00AC6433">
                    <w:pPr>
                      <w:pStyle w:val="Bibliography"/>
                      <w:jc w:val="start"/>
                      <w:rPr>
                        <w:noProof/>
                      </w:rPr>
                    </w:pPr>
                    <w:r>
                      <w:rPr>
                        <w:noProof/>
                      </w:rPr>
                      <w:t xml:space="preserve">[6] </w:t>
                    </w:r>
                  </w:p>
                </w:tc>
                <w:tc>
                  <w:tcPr>
                    <w:tcW w:w="0pt" w:type="dxa"/>
                    <w:hideMark/>
                  </w:tcPr>
                  <w:p w14:paraId="1883725B" w14:textId="77777777" w:rsidR="00AC6433" w:rsidRDefault="00AC6433" w:rsidP="00AC6433">
                    <w:pPr>
                      <w:pStyle w:val="Bibliography"/>
                      <w:jc w:val="start"/>
                      <w:rPr>
                        <w:noProof/>
                      </w:rPr>
                    </w:pPr>
                    <w:r>
                      <w:rPr>
                        <w:noProof/>
                      </w:rPr>
                      <w:t xml:space="preserve">N. F. Syed, S. W. Shah, A. Shaghaghi, A. Anwar, Z. Baig and R. Doss, "Zero trust architecture (zta): A comprehensive survey," </w:t>
                    </w:r>
                    <w:r>
                      <w:rPr>
                        <w:i/>
                        <w:iCs/>
                        <w:noProof/>
                      </w:rPr>
                      <w:t xml:space="preserve">IEEE access, 10, </w:t>
                    </w:r>
                    <w:r>
                      <w:rPr>
                        <w:noProof/>
                      </w:rPr>
                      <w:t xml:space="preserve">pp. 57143-57179, 2022. </w:t>
                    </w:r>
                  </w:p>
                </w:tc>
              </w:tr>
              <w:tr w:rsidR="00AC6433" w14:paraId="64D6B6E7" w14:textId="77777777">
                <w:trPr>
                  <w:divId w:val="1725567500"/>
                  <w:tblCellSpacing w:w="0.75pt" w:type="dxa"/>
                </w:trPr>
                <w:tc>
                  <w:tcPr>
                    <w:tcW w:w="1.0%" w:type="pct"/>
                    <w:hideMark/>
                  </w:tcPr>
                  <w:p w14:paraId="35C0CED6" w14:textId="77777777" w:rsidR="00AC6433" w:rsidRDefault="00AC6433" w:rsidP="00AC6433">
                    <w:pPr>
                      <w:pStyle w:val="Bibliography"/>
                      <w:jc w:val="start"/>
                      <w:rPr>
                        <w:noProof/>
                      </w:rPr>
                    </w:pPr>
                    <w:r>
                      <w:rPr>
                        <w:noProof/>
                      </w:rPr>
                      <w:t xml:space="preserve">[7] </w:t>
                    </w:r>
                  </w:p>
                </w:tc>
                <w:tc>
                  <w:tcPr>
                    <w:tcW w:w="0pt" w:type="dxa"/>
                    <w:hideMark/>
                  </w:tcPr>
                  <w:p w14:paraId="40CBC87A" w14:textId="77777777" w:rsidR="00AC6433" w:rsidRDefault="00AC6433" w:rsidP="00AC6433">
                    <w:pPr>
                      <w:pStyle w:val="Bibliography"/>
                      <w:jc w:val="start"/>
                      <w:rPr>
                        <w:noProof/>
                      </w:rPr>
                    </w:pPr>
                    <w:r>
                      <w:rPr>
                        <w:noProof/>
                      </w:rPr>
                      <w:t xml:space="preserve">P. G. Perez, "Information security event management (SIEM) systems and AI for enhancing policy deployment effectiveness in intrusion detection," 2023. </w:t>
                    </w:r>
                  </w:p>
                </w:tc>
              </w:tr>
              <w:tr w:rsidR="00AC6433" w14:paraId="587DB24A" w14:textId="77777777">
                <w:trPr>
                  <w:divId w:val="1725567500"/>
                  <w:tblCellSpacing w:w="0.75pt" w:type="dxa"/>
                </w:trPr>
                <w:tc>
                  <w:tcPr>
                    <w:tcW w:w="1.0%" w:type="pct"/>
                    <w:hideMark/>
                  </w:tcPr>
                  <w:p w14:paraId="491E8400" w14:textId="77777777" w:rsidR="00AC6433" w:rsidRDefault="00AC6433" w:rsidP="00AC6433">
                    <w:pPr>
                      <w:pStyle w:val="Bibliography"/>
                      <w:jc w:val="start"/>
                      <w:rPr>
                        <w:noProof/>
                      </w:rPr>
                    </w:pPr>
                    <w:r>
                      <w:rPr>
                        <w:noProof/>
                      </w:rPr>
                      <w:t xml:space="preserve">[8] </w:t>
                    </w:r>
                  </w:p>
                  <w:p w14:paraId="1C3399CE" w14:textId="77777777" w:rsidR="00B57CD6" w:rsidRPr="00B57CD6" w:rsidRDefault="00B57CD6" w:rsidP="00B57CD6"/>
                </w:tc>
                <w:tc>
                  <w:tcPr>
                    <w:tcW w:w="0pt" w:type="dxa"/>
                    <w:hideMark/>
                  </w:tcPr>
                  <w:p w14:paraId="02A03E2B" w14:textId="77777777" w:rsidR="00AC6433" w:rsidRDefault="00AC6433" w:rsidP="00AC6433">
                    <w:pPr>
                      <w:pStyle w:val="Bibliography"/>
                      <w:jc w:val="start"/>
                      <w:rPr>
                        <w:noProof/>
                      </w:rPr>
                    </w:pPr>
                    <w:r>
                      <w:rPr>
                        <w:noProof/>
                      </w:rPr>
                      <w:t>M. Chawki, Social Engineering in the Era of AI: Unmasking the Changing Face of Cyber Threats. In Cybercrime Unveiled: Technologies for Analysing Legal Complexity (pp. 1-24), Cham: Springer Nature Switzerland, 2025, p. Cham: Springer Nature Switzerland.</w:t>
                    </w:r>
                  </w:p>
                </w:tc>
              </w:tr>
              <w:tr w:rsidR="00AC6433" w14:paraId="2FF8A6DA" w14:textId="77777777">
                <w:trPr>
                  <w:divId w:val="1725567500"/>
                  <w:tblCellSpacing w:w="0.75pt" w:type="dxa"/>
                </w:trPr>
                <w:tc>
                  <w:tcPr>
                    <w:tcW w:w="1.0%" w:type="pct"/>
                    <w:hideMark/>
                  </w:tcPr>
                  <w:p w14:paraId="692DA357" w14:textId="77777777" w:rsidR="00AC6433" w:rsidRDefault="00AC6433" w:rsidP="00AC6433">
                    <w:pPr>
                      <w:pStyle w:val="Bibliography"/>
                      <w:jc w:val="start"/>
                      <w:rPr>
                        <w:noProof/>
                      </w:rPr>
                    </w:pPr>
                    <w:r>
                      <w:rPr>
                        <w:noProof/>
                      </w:rPr>
                      <w:t xml:space="preserve">[9] </w:t>
                    </w:r>
                  </w:p>
                </w:tc>
                <w:tc>
                  <w:tcPr>
                    <w:tcW w:w="0pt" w:type="dxa"/>
                    <w:hideMark/>
                  </w:tcPr>
                  <w:p w14:paraId="16E02503" w14:textId="77777777" w:rsidR="00AC6433" w:rsidRDefault="00AC6433" w:rsidP="00AC6433">
                    <w:pPr>
                      <w:pStyle w:val="Bibliography"/>
                      <w:jc w:val="start"/>
                      <w:rPr>
                        <w:noProof/>
                      </w:rPr>
                    </w:pPr>
                    <w:r>
                      <w:rPr>
                        <w:noProof/>
                      </w:rPr>
                      <w:t xml:space="preserve">N. Taavitsainen, Trust to Exploitation: The Legal and Societal Implications of Payment Fraud and the Path Toward Stronger Protections, 2025. </w:t>
                    </w:r>
                  </w:p>
                </w:tc>
              </w:tr>
              <w:tr w:rsidR="00AC6433" w14:paraId="55C462DF" w14:textId="77777777">
                <w:trPr>
                  <w:divId w:val="1725567500"/>
                  <w:tblCellSpacing w:w="0.75pt" w:type="dxa"/>
                </w:trPr>
                <w:tc>
                  <w:tcPr>
                    <w:tcW w:w="1.0%" w:type="pct"/>
                    <w:hideMark/>
                  </w:tcPr>
                  <w:p w14:paraId="7125CCF6" w14:textId="77777777" w:rsidR="00AC6433" w:rsidRDefault="00AC6433" w:rsidP="00AC6433">
                    <w:pPr>
                      <w:pStyle w:val="Bibliography"/>
                      <w:jc w:val="start"/>
                      <w:rPr>
                        <w:noProof/>
                      </w:rPr>
                    </w:pPr>
                    <w:r>
                      <w:rPr>
                        <w:noProof/>
                      </w:rPr>
                      <w:t xml:space="preserve">[10] </w:t>
                    </w:r>
                  </w:p>
                </w:tc>
                <w:tc>
                  <w:tcPr>
                    <w:tcW w:w="0pt" w:type="dxa"/>
                    <w:hideMark/>
                  </w:tcPr>
                  <w:p w14:paraId="5234FC6A" w14:textId="77777777" w:rsidR="00AC6433" w:rsidRDefault="00AC6433" w:rsidP="00AC6433">
                    <w:pPr>
                      <w:pStyle w:val="Bibliography"/>
                      <w:jc w:val="start"/>
                      <w:rPr>
                        <w:noProof/>
                      </w:rPr>
                    </w:pPr>
                    <w:r>
                      <w:rPr>
                        <w:noProof/>
                      </w:rPr>
                      <w:t xml:space="preserve">J. I. Samuels, Unraveling the Dynamics and Impacts of Financial Sabotage: A Comprehensive Analysis, 2024. </w:t>
                    </w:r>
                  </w:p>
                </w:tc>
              </w:tr>
              <w:tr w:rsidR="00AC6433" w14:paraId="386A151E" w14:textId="77777777">
                <w:trPr>
                  <w:divId w:val="1725567500"/>
                  <w:tblCellSpacing w:w="0.75pt" w:type="dxa"/>
                </w:trPr>
                <w:tc>
                  <w:tcPr>
                    <w:tcW w:w="1.0%" w:type="pct"/>
                    <w:hideMark/>
                  </w:tcPr>
                  <w:p w14:paraId="6A11E238" w14:textId="77777777" w:rsidR="00AC6433" w:rsidRDefault="00AC6433" w:rsidP="00AC6433">
                    <w:pPr>
                      <w:pStyle w:val="Bibliography"/>
                      <w:jc w:val="start"/>
                      <w:rPr>
                        <w:noProof/>
                      </w:rPr>
                    </w:pPr>
                    <w:r>
                      <w:rPr>
                        <w:noProof/>
                      </w:rPr>
                      <w:t xml:space="preserve">[11] </w:t>
                    </w:r>
                  </w:p>
                </w:tc>
                <w:tc>
                  <w:tcPr>
                    <w:tcW w:w="0pt" w:type="dxa"/>
                    <w:hideMark/>
                  </w:tcPr>
                  <w:p w14:paraId="4B207D0C" w14:textId="77777777" w:rsidR="00AC6433" w:rsidRDefault="00AC6433" w:rsidP="00AC6433">
                    <w:pPr>
                      <w:pStyle w:val="Bibliography"/>
                      <w:jc w:val="start"/>
                      <w:rPr>
                        <w:noProof/>
                      </w:rPr>
                    </w:pPr>
                    <w:r>
                      <w:rPr>
                        <w:noProof/>
                      </w:rPr>
                      <w:t xml:space="preserve">J. Martínez and J. M. Durán, "Software supply chain attacks, a threat to global cybersecurity: SolarWinds’ case study," </w:t>
                    </w:r>
                    <w:r>
                      <w:rPr>
                        <w:i/>
                        <w:iCs/>
                        <w:noProof/>
                      </w:rPr>
                      <w:t xml:space="preserve">International Journal of Safety and Security Engineering, 11(5), </w:t>
                    </w:r>
                    <w:r>
                      <w:rPr>
                        <w:noProof/>
                      </w:rPr>
                      <w:t xml:space="preserve">pp. 537-545, 2021. </w:t>
                    </w:r>
                  </w:p>
                </w:tc>
              </w:tr>
              <w:tr w:rsidR="00AC6433" w14:paraId="3BB51F9E" w14:textId="77777777">
                <w:trPr>
                  <w:divId w:val="1725567500"/>
                  <w:tblCellSpacing w:w="0.75pt" w:type="dxa"/>
                </w:trPr>
                <w:tc>
                  <w:tcPr>
                    <w:tcW w:w="1.0%" w:type="pct"/>
                    <w:hideMark/>
                  </w:tcPr>
                  <w:p w14:paraId="58B8FEFB" w14:textId="77777777" w:rsidR="00AC6433" w:rsidRDefault="00AC6433" w:rsidP="00AC6433">
                    <w:pPr>
                      <w:pStyle w:val="Bibliography"/>
                      <w:jc w:val="start"/>
                      <w:rPr>
                        <w:noProof/>
                      </w:rPr>
                    </w:pPr>
                    <w:r>
                      <w:rPr>
                        <w:noProof/>
                      </w:rPr>
                      <w:t xml:space="preserve">[12] </w:t>
                    </w:r>
                  </w:p>
                </w:tc>
                <w:tc>
                  <w:tcPr>
                    <w:tcW w:w="0pt" w:type="dxa"/>
                    <w:hideMark/>
                  </w:tcPr>
                  <w:p w14:paraId="4C1AD047" w14:textId="77777777" w:rsidR="00AC6433" w:rsidRDefault="00AC6433" w:rsidP="00AC6433">
                    <w:pPr>
                      <w:pStyle w:val="Bibliography"/>
                      <w:jc w:val="start"/>
                      <w:rPr>
                        <w:noProof/>
                      </w:rPr>
                    </w:pPr>
                    <w:r>
                      <w:rPr>
                        <w:noProof/>
                      </w:rPr>
                      <w:t xml:space="preserve">H. Singh, Understanding and Implementing Effective Mitigation Strategies for Cybersecurity Risks in Supply Chains., Available at SSRN 5267866, 2025. </w:t>
                    </w:r>
                  </w:p>
                </w:tc>
              </w:tr>
              <w:tr w:rsidR="00AC6433" w14:paraId="5F6E406D" w14:textId="77777777">
                <w:trPr>
                  <w:divId w:val="1725567500"/>
                  <w:tblCellSpacing w:w="0.75pt" w:type="dxa"/>
                </w:trPr>
                <w:tc>
                  <w:tcPr>
                    <w:tcW w:w="1.0%" w:type="pct"/>
                    <w:hideMark/>
                  </w:tcPr>
                  <w:p w14:paraId="2E8AB27D" w14:textId="77777777" w:rsidR="00AC6433" w:rsidRDefault="00AC6433" w:rsidP="00AC6433">
                    <w:pPr>
                      <w:pStyle w:val="Bibliography"/>
                      <w:jc w:val="start"/>
                      <w:rPr>
                        <w:noProof/>
                      </w:rPr>
                    </w:pPr>
                    <w:r>
                      <w:rPr>
                        <w:noProof/>
                      </w:rPr>
                      <w:t xml:space="preserve">[13] </w:t>
                    </w:r>
                  </w:p>
                </w:tc>
                <w:tc>
                  <w:tcPr>
                    <w:tcW w:w="0pt" w:type="dxa"/>
                    <w:hideMark/>
                  </w:tcPr>
                  <w:p w14:paraId="19EE20D5" w14:textId="77777777" w:rsidR="00AC6433" w:rsidRDefault="00AC6433" w:rsidP="00AC6433">
                    <w:pPr>
                      <w:pStyle w:val="Bibliography"/>
                      <w:jc w:val="start"/>
                      <w:rPr>
                        <w:noProof/>
                      </w:rPr>
                    </w:pPr>
                    <w:r>
                      <w:rPr>
                        <w:noProof/>
                      </w:rPr>
                      <w:t xml:space="preserve">B. S. Rawal, G. Manogaran and A. Peter, Cybersecurity and identity access management, Singapore: Springer, 2023. </w:t>
                    </w:r>
                  </w:p>
                </w:tc>
              </w:tr>
              <w:tr w:rsidR="00AC6433" w14:paraId="2C332223" w14:textId="77777777">
                <w:trPr>
                  <w:divId w:val="1725567500"/>
                  <w:tblCellSpacing w:w="0.75pt" w:type="dxa"/>
                </w:trPr>
                <w:tc>
                  <w:tcPr>
                    <w:tcW w:w="1.0%" w:type="pct"/>
                    <w:hideMark/>
                  </w:tcPr>
                  <w:p w14:paraId="23AA8684" w14:textId="77777777" w:rsidR="00AC6433" w:rsidRDefault="00AC6433" w:rsidP="00AC6433">
                    <w:pPr>
                      <w:pStyle w:val="Bibliography"/>
                      <w:jc w:val="start"/>
                      <w:rPr>
                        <w:noProof/>
                      </w:rPr>
                    </w:pPr>
                    <w:r>
                      <w:rPr>
                        <w:noProof/>
                      </w:rPr>
                      <w:t xml:space="preserve">[14] </w:t>
                    </w:r>
                  </w:p>
                </w:tc>
                <w:tc>
                  <w:tcPr>
                    <w:tcW w:w="0pt" w:type="dxa"/>
                    <w:hideMark/>
                  </w:tcPr>
                  <w:p w14:paraId="5FF74586" w14:textId="77777777" w:rsidR="00AC6433" w:rsidRDefault="00AC6433" w:rsidP="00AC6433">
                    <w:pPr>
                      <w:pStyle w:val="Bibliography"/>
                      <w:jc w:val="start"/>
                      <w:rPr>
                        <w:noProof/>
                      </w:rPr>
                    </w:pPr>
                    <w:r>
                      <w:rPr>
                        <w:noProof/>
                      </w:rPr>
                      <w:t xml:space="preserve">A. E. Maseko, Remedies to reduce user susceptibility to phishing attacks (Doctoral dissertation, University of the Western Cape), 2023. </w:t>
                    </w:r>
                  </w:p>
                </w:tc>
              </w:tr>
              <w:tr w:rsidR="00AC6433" w14:paraId="5523DEE0" w14:textId="77777777">
                <w:trPr>
                  <w:divId w:val="1725567500"/>
                  <w:tblCellSpacing w:w="0.75pt" w:type="dxa"/>
                </w:trPr>
                <w:tc>
                  <w:tcPr>
                    <w:tcW w:w="1.0%" w:type="pct"/>
                    <w:hideMark/>
                  </w:tcPr>
                  <w:p w14:paraId="40B1673D" w14:textId="77777777" w:rsidR="00AC6433" w:rsidRDefault="00AC6433" w:rsidP="00AC6433">
                    <w:pPr>
                      <w:pStyle w:val="Bibliography"/>
                      <w:jc w:val="start"/>
                      <w:rPr>
                        <w:noProof/>
                      </w:rPr>
                    </w:pPr>
                    <w:r>
                      <w:rPr>
                        <w:noProof/>
                      </w:rPr>
                      <w:t xml:space="preserve">[15] </w:t>
                    </w:r>
                  </w:p>
                </w:tc>
                <w:tc>
                  <w:tcPr>
                    <w:tcW w:w="0pt" w:type="dxa"/>
                    <w:hideMark/>
                  </w:tcPr>
                  <w:p w14:paraId="70D276C9" w14:textId="77777777" w:rsidR="00AC6433" w:rsidRDefault="00AC6433" w:rsidP="00AC6433">
                    <w:pPr>
                      <w:pStyle w:val="Bibliography"/>
                      <w:jc w:val="start"/>
                      <w:rPr>
                        <w:noProof/>
                      </w:rPr>
                    </w:pPr>
                    <w:r>
                      <w:rPr>
                        <w:noProof/>
                      </w:rPr>
                      <w:t xml:space="preserve">P. C. Shekhar, Never Trust, Always Verify: Zero Trust Security Testing Framework, 2022. </w:t>
                    </w:r>
                  </w:p>
                </w:tc>
              </w:tr>
              <w:tr w:rsidR="00AC6433" w14:paraId="2482A760" w14:textId="77777777">
                <w:trPr>
                  <w:divId w:val="1725567500"/>
                  <w:tblCellSpacing w:w="0.75pt" w:type="dxa"/>
                </w:trPr>
                <w:tc>
                  <w:tcPr>
                    <w:tcW w:w="1.0%" w:type="pct"/>
                    <w:hideMark/>
                  </w:tcPr>
                  <w:p w14:paraId="5C2A19E8" w14:textId="77777777" w:rsidR="00AC6433" w:rsidRDefault="00AC6433" w:rsidP="00AC6433">
                    <w:pPr>
                      <w:pStyle w:val="Bibliography"/>
                      <w:jc w:val="start"/>
                      <w:rPr>
                        <w:noProof/>
                      </w:rPr>
                    </w:pPr>
                    <w:r>
                      <w:rPr>
                        <w:noProof/>
                      </w:rPr>
                      <w:t xml:space="preserve">[16] </w:t>
                    </w:r>
                  </w:p>
                </w:tc>
                <w:tc>
                  <w:tcPr>
                    <w:tcW w:w="0pt" w:type="dxa"/>
                    <w:hideMark/>
                  </w:tcPr>
                  <w:p w14:paraId="5630ADA6" w14:textId="77777777" w:rsidR="00AC6433" w:rsidRDefault="00AC6433" w:rsidP="00AC6433">
                    <w:pPr>
                      <w:pStyle w:val="Bibliography"/>
                      <w:jc w:val="start"/>
                      <w:rPr>
                        <w:noProof/>
                      </w:rPr>
                    </w:pPr>
                    <w:r>
                      <w:rPr>
                        <w:noProof/>
                      </w:rPr>
                      <w:t xml:space="preserve">J. Edwards, A comprehensive guide to the NIST cybersecurity framework 2.0: Strategies, implementation, and best practice, John Wiley &amp; Sons, 2024. </w:t>
                    </w:r>
                  </w:p>
                </w:tc>
              </w:tr>
              <w:tr w:rsidR="00AC6433" w14:paraId="0DAA9A13" w14:textId="77777777">
                <w:trPr>
                  <w:divId w:val="1725567500"/>
                  <w:tblCellSpacing w:w="0.75pt" w:type="dxa"/>
                </w:trPr>
                <w:tc>
                  <w:tcPr>
                    <w:tcW w:w="1.0%" w:type="pct"/>
                    <w:hideMark/>
                  </w:tcPr>
                  <w:p w14:paraId="435BE132" w14:textId="77777777" w:rsidR="00AC6433" w:rsidRDefault="00AC6433" w:rsidP="00AC6433">
                    <w:pPr>
                      <w:pStyle w:val="Bibliography"/>
                      <w:jc w:val="start"/>
                      <w:rPr>
                        <w:noProof/>
                      </w:rPr>
                    </w:pPr>
                    <w:r>
                      <w:rPr>
                        <w:noProof/>
                      </w:rPr>
                      <w:t xml:space="preserve">[17] </w:t>
                    </w:r>
                  </w:p>
                </w:tc>
                <w:tc>
                  <w:tcPr>
                    <w:tcW w:w="0pt" w:type="dxa"/>
                    <w:hideMark/>
                  </w:tcPr>
                  <w:p w14:paraId="36DB1468" w14:textId="77777777" w:rsidR="00AC6433" w:rsidRDefault="00AC6433" w:rsidP="00AC6433">
                    <w:pPr>
                      <w:pStyle w:val="Bibliography"/>
                      <w:jc w:val="start"/>
                      <w:rPr>
                        <w:noProof/>
                      </w:rPr>
                    </w:pPr>
                    <w:r>
                      <w:rPr>
                        <w:noProof/>
                      </w:rPr>
                      <w:t xml:space="preserve">S. H. Kendyala, The Role of Multi Factor Authentication in Securing Cloud Based Enterprise Applications, Available at SSRN 5074876, 2020. </w:t>
                    </w:r>
                  </w:p>
                </w:tc>
              </w:tr>
              <w:tr w:rsidR="00AC6433" w14:paraId="123D2091" w14:textId="77777777">
                <w:trPr>
                  <w:divId w:val="1725567500"/>
                  <w:tblCellSpacing w:w="0.75pt" w:type="dxa"/>
                </w:trPr>
                <w:tc>
                  <w:tcPr>
                    <w:tcW w:w="1.0%" w:type="pct"/>
                    <w:hideMark/>
                  </w:tcPr>
                  <w:p w14:paraId="64E57888" w14:textId="77777777" w:rsidR="00AC6433" w:rsidRDefault="00AC6433" w:rsidP="00AC6433">
                    <w:pPr>
                      <w:pStyle w:val="Bibliography"/>
                      <w:jc w:val="start"/>
                      <w:rPr>
                        <w:noProof/>
                      </w:rPr>
                    </w:pPr>
                    <w:r>
                      <w:rPr>
                        <w:noProof/>
                      </w:rPr>
                      <w:t xml:space="preserve">[18] </w:t>
                    </w:r>
                  </w:p>
                </w:tc>
                <w:tc>
                  <w:tcPr>
                    <w:tcW w:w="0pt" w:type="dxa"/>
                    <w:hideMark/>
                  </w:tcPr>
                  <w:p w14:paraId="524DEAFF" w14:textId="77777777" w:rsidR="00AC6433" w:rsidRDefault="00AC6433" w:rsidP="00AC6433">
                    <w:pPr>
                      <w:pStyle w:val="Bibliography"/>
                      <w:jc w:val="start"/>
                      <w:rPr>
                        <w:noProof/>
                      </w:rPr>
                    </w:pPr>
                    <w:r>
                      <w:rPr>
                        <w:noProof/>
                      </w:rPr>
                      <w:t xml:space="preserve">B. Shebaro, O. Oluwatimi and E. Bertino, " Context-based access control systems for mobile devices," </w:t>
                    </w:r>
                    <w:r>
                      <w:rPr>
                        <w:i/>
                        <w:iCs/>
                        <w:noProof/>
                      </w:rPr>
                      <w:t xml:space="preserve">IEEE Transactions on Dependable and Secure Computing, 12(2), </w:t>
                    </w:r>
                    <w:r>
                      <w:rPr>
                        <w:noProof/>
                      </w:rPr>
                      <w:t xml:space="preserve">pp. 150-163, 2014. </w:t>
                    </w:r>
                  </w:p>
                </w:tc>
              </w:tr>
              <w:tr w:rsidR="00AC6433" w14:paraId="4666CE1A" w14:textId="77777777">
                <w:trPr>
                  <w:divId w:val="1725567500"/>
                  <w:tblCellSpacing w:w="0.75pt" w:type="dxa"/>
                </w:trPr>
                <w:tc>
                  <w:tcPr>
                    <w:tcW w:w="1.0%" w:type="pct"/>
                    <w:hideMark/>
                  </w:tcPr>
                  <w:p w14:paraId="4E170BAE" w14:textId="77777777" w:rsidR="00AC6433" w:rsidRDefault="00AC6433" w:rsidP="00AC6433">
                    <w:pPr>
                      <w:pStyle w:val="Bibliography"/>
                      <w:jc w:val="start"/>
                      <w:rPr>
                        <w:noProof/>
                      </w:rPr>
                    </w:pPr>
                    <w:r>
                      <w:rPr>
                        <w:noProof/>
                      </w:rPr>
                      <w:t xml:space="preserve">[19] </w:t>
                    </w:r>
                  </w:p>
                </w:tc>
                <w:tc>
                  <w:tcPr>
                    <w:tcW w:w="0pt" w:type="dxa"/>
                    <w:hideMark/>
                  </w:tcPr>
                  <w:p w14:paraId="6527E41B" w14:textId="77777777" w:rsidR="00AC6433" w:rsidRDefault="00AC6433" w:rsidP="00AC6433">
                    <w:pPr>
                      <w:pStyle w:val="Bibliography"/>
                      <w:jc w:val="start"/>
                      <w:rPr>
                        <w:noProof/>
                      </w:rPr>
                    </w:pPr>
                    <w:r>
                      <w:rPr>
                        <w:noProof/>
                      </w:rPr>
                      <w:t xml:space="preserve">H. Singh, Strengthening Endpoint Security to Reduce Attack Vectors in Distributed Work Environments, Available at SSRN 5267844, 2025. </w:t>
                    </w:r>
                  </w:p>
                </w:tc>
              </w:tr>
              <w:tr w:rsidR="00AC6433" w14:paraId="476C1359" w14:textId="77777777">
                <w:trPr>
                  <w:divId w:val="1725567500"/>
                  <w:tblCellSpacing w:w="0.75pt" w:type="dxa"/>
                </w:trPr>
                <w:tc>
                  <w:tcPr>
                    <w:tcW w:w="1.0%" w:type="pct"/>
                    <w:hideMark/>
                  </w:tcPr>
                  <w:p w14:paraId="70FDA3AB" w14:textId="77777777" w:rsidR="00AC6433" w:rsidRDefault="00AC6433" w:rsidP="00AC6433">
                    <w:pPr>
                      <w:pStyle w:val="Bibliography"/>
                      <w:jc w:val="start"/>
                      <w:rPr>
                        <w:noProof/>
                      </w:rPr>
                    </w:pPr>
                    <w:r>
                      <w:rPr>
                        <w:noProof/>
                      </w:rPr>
                      <w:t xml:space="preserve">[20] </w:t>
                    </w:r>
                  </w:p>
                </w:tc>
                <w:tc>
                  <w:tcPr>
                    <w:tcW w:w="0pt" w:type="dxa"/>
                    <w:hideMark/>
                  </w:tcPr>
                  <w:p w14:paraId="4D7CCA5C" w14:textId="77777777" w:rsidR="00AC6433" w:rsidRDefault="00AC6433" w:rsidP="00AC6433">
                    <w:pPr>
                      <w:pStyle w:val="Bibliography"/>
                      <w:jc w:val="start"/>
                      <w:rPr>
                        <w:noProof/>
                      </w:rPr>
                    </w:pPr>
                    <w:r>
                      <w:rPr>
                        <w:noProof/>
                      </w:rPr>
                      <w:t xml:space="preserve">H. N. Nguyen and L. Cuong, "Overview Of Data Classification And Applications In Data Security," </w:t>
                    </w:r>
                    <w:r>
                      <w:rPr>
                        <w:i/>
                        <w:iCs/>
                        <w:noProof/>
                      </w:rPr>
                      <w:t xml:space="preserve">International Journal of Environmental Sciences, </w:t>
                    </w:r>
                    <w:r>
                      <w:rPr>
                        <w:noProof/>
                      </w:rPr>
                      <w:t xml:space="preserve">pp. 31-39, 2025. </w:t>
                    </w:r>
                  </w:p>
                </w:tc>
              </w:tr>
              <w:tr w:rsidR="00AC6433" w14:paraId="05A99408" w14:textId="77777777">
                <w:trPr>
                  <w:divId w:val="1725567500"/>
                  <w:tblCellSpacing w:w="0.75pt" w:type="dxa"/>
                </w:trPr>
                <w:tc>
                  <w:tcPr>
                    <w:tcW w:w="1.0%" w:type="pct"/>
                    <w:hideMark/>
                  </w:tcPr>
                  <w:p w14:paraId="182F14B4" w14:textId="77777777" w:rsidR="00AC6433" w:rsidRDefault="00AC6433" w:rsidP="00AC6433">
                    <w:pPr>
                      <w:pStyle w:val="Bibliography"/>
                      <w:jc w:val="start"/>
                      <w:rPr>
                        <w:noProof/>
                      </w:rPr>
                    </w:pPr>
                    <w:r>
                      <w:rPr>
                        <w:noProof/>
                      </w:rPr>
                      <w:t xml:space="preserve">[21] </w:t>
                    </w:r>
                  </w:p>
                </w:tc>
                <w:tc>
                  <w:tcPr>
                    <w:tcW w:w="0pt" w:type="dxa"/>
                    <w:hideMark/>
                  </w:tcPr>
                  <w:p w14:paraId="6139E8EC" w14:textId="77777777" w:rsidR="00AC6433" w:rsidRDefault="00AC6433" w:rsidP="00AC6433">
                    <w:pPr>
                      <w:pStyle w:val="Bibliography"/>
                      <w:jc w:val="start"/>
                      <w:rPr>
                        <w:noProof/>
                      </w:rPr>
                    </w:pPr>
                    <w:r>
                      <w:rPr>
                        <w:noProof/>
                      </w:rPr>
                      <w:t xml:space="preserve">Volkova, A., Niedermeier, M., Basmadjian, R., de Meer and H., " Security challenges in control network protocols: A survey," </w:t>
                    </w:r>
                    <w:r>
                      <w:rPr>
                        <w:i/>
                        <w:iCs/>
                        <w:noProof/>
                      </w:rPr>
                      <w:t xml:space="preserve">IEEE Communications Surveys &amp; Tutorials, 21(1), </w:t>
                    </w:r>
                    <w:r>
                      <w:rPr>
                        <w:noProof/>
                      </w:rPr>
                      <w:t xml:space="preserve">pp. 619-639, 2018. </w:t>
                    </w:r>
                  </w:p>
                </w:tc>
              </w:tr>
              <w:tr w:rsidR="00AC6433" w14:paraId="6CB218D3" w14:textId="77777777">
                <w:trPr>
                  <w:divId w:val="1725567500"/>
                  <w:tblCellSpacing w:w="0.75pt" w:type="dxa"/>
                </w:trPr>
                <w:tc>
                  <w:tcPr>
                    <w:tcW w:w="1.0%" w:type="pct"/>
                    <w:hideMark/>
                  </w:tcPr>
                  <w:p w14:paraId="55A0B8C4" w14:textId="77777777" w:rsidR="00AC6433" w:rsidRDefault="00AC6433" w:rsidP="00AC6433">
                    <w:pPr>
                      <w:pStyle w:val="Bibliography"/>
                      <w:jc w:val="start"/>
                      <w:rPr>
                        <w:noProof/>
                      </w:rPr>
                    </w:pPr>
                    <w:r>
                      <w:rPr>
                        <w:noProof/>
                      </w:rPr>
                      <w:t xml:space="preserve">[22] </w:t>
                    </w:r>
                  </w:p>
                </w:tc>
                <w:tc>
                  <w:tcPr>
                    <w:tcW w:w="0pt" w:type="dxa"/>
                    <w:hideMark/>
                  </w:tcPr>
                  <w:p w14:paraId="11DD2A72" w14:textId="77777777" w:rsidR="00AC6433" w:rsidRDefault="00AC6433" w:rsidP="00AC6433">
                    <w:pPr>
                      <w:pStyle w:val="Bibliography"/>
                      <w:jc w:val="start"/>
                      <w:rPr>
                        <w:noProof/>
                      </w:rPr>
                    </w:pPr>
                    <w:r>
                      <w:rPr>
                        <w:noProof/>
                      </w:rPr>
                      <w:t xml:space="preserve">S. Alvi, "8 Endpoint Security and. Handbook of AI-Driven Threat Detection and Prevention: A Holistic Approach to Security, 130," 2025. </w:t>
                    </w:r>
                  </w:p>
                </w:tc>
              </w:tr>
              <w:tr w:rsidR="00AC6433" w14:paraId="1D87D7C5" w14:textId="77777777">
                <w:trPr>
                  <w:divId w:val="1725567500"/>
                  <w:tblCellSpacing w:w="0.75pt" w:type="dxa"/>
                </w:trPr>
                <w:tc>
                  <w:tcPr>
                    <w:tcW w:w="1.0%" w:type="pct"/>
                    <w:hideMark/>
                  </w:tcPr>
                  <w:p w14:paraId="076F4673" w14:textId="77777777" w:rsidR="00AC6433" w:rsidRDefault="00AC6433" w:rsidP="00AC6433">
                    <w:pPr>
                      <w:pStyle w:val="Bibliography"/>
                      <w:jc w:val="start"/>
                      <w:rPr>
                        <w:noProof/>
                      </w:rPr>
                    </w:pPr>
                    <w:r>
                      <w:rPr>
                        <w:noProof/>
                      </w:rPr>
                      <w:t xml:space="preserve">[23] </w:t>
                    </w:r>
                  </w:p>
                </w:tc>
                <w:tc>
                  <w:tcPr>
                    <w:tcW w:w="0pt" w:type="dxa"/>
                    <w:hideMark/>
                  </w:tcPr>
                  <w:p w14:paraId="52EE5D8D" w14:textId="77777777" w:rsidR="00AC6433" w:rsidRDefault="00AC6433" w:rsidP="00AC6433">
                    <w:pPr>
                      <w:pStyle w:val="Bibliography"/>
                      <w:jc w:val="start"/>
                      <w:rPr>
                        <w:noProof/>
                      </w:rPr>
                    </w:pPr>
                    <w:r>
                      <w:rPr>
                        <w:noProof/>
                      </w:rPr>
                      <w:t xml:space="preserve">P. Garg, "Cloud security posture management: Tools and techniques," p. Available at SSRN 5357921, 2025. </w:t>
                    </w:r>
                  </w:p>
                </w:tc>
              </w:tr>
              <w:tr w:rsidR="00AC6433" w14:paraId="3796F53E" w14:textId="77777777">
                <w:trPr>
                  <w:divId w:val="1725567500"/>
                  <w:tblCellSpacing w:w="0.75pt" w:type="dxa"/>
                </w:trPr>
                <w:tc>
                  <w:tcPr>
                    <w:tcW w:w="1.0%" w:type="pct"/>
                    <w:hideMark/>
                  </w:tcPr>
                  <w:p w14:paraId="7F6D6978" w14:textId="77777777" w:rsidR="00AC6433" w:rsidRDefault="00AC6433" w:rsidP="00AC6433">
                    <w:pPr>
                      <w:pStyle w:val="Bibliography"/>
                      <w:jc w:val="start"/>
                      <w:rPr>
                        <w:noProof/>
                      </w:rPr>
                    </w:pPr>
                    <w:r>
                      <w:rPr>
                        <w:noProof/>
                      </w:rPr>
                      <w:t xml:space="preserve">[24] </w:t>
                    </w:r>
                  </w:p>
                </w:tc>
                <w:tc>
                  <w:tcPr>
                    <w:tcW w:w="0pt" w:type="dxa"/>
                    <w:hideMark/>
                  </w:tcPr>
                  <w:p w14:paraId="237416AF" w14:textId="77777777" w:rsidR="00AC6433" w:rsidRDefault="00AC6433" w:rsidP="00AC6433">
                    <w:pPr>
                      <w:pStyle w:val="Bibliography"/>
                      <w:jc w:val="start"/>
                      <w:rPr>
                        <w:noProof/>
                      </w:rPr>
                    </w:pPr>
                    <w:r>
                      <w:rPr>
                        <w:noProof/>
                      </w:rPr>
                      <w:t xml:space="preserve">C. M. Osborne and D. S. Boone, "Effective Patch Management and Government Systems," 2023. </w:t>
                    </w:r>
                  </w:p>
                </w:tc>
              </w:tr>
              <w:tr w:rsidR="00AC6433" w14:paraId="6C03966E" w14:textId="77777777">
                <w:trPr>
                  <w:divId w:val="1725567500"/>
                  <w:tblCellSpacing w:w="0.75pt" w:type="dxa"/>
                </w:trPr>
                <w:tc>
                  <w:tcPr>
                    <w:tcW w:w="1.0%" w:type="pct"/>
                    <w:hideMark/>
                  </w:tcPr>
                  <w:p w14:paraId="354B11CF" w14:textId="77777777" w:rsidR="00AC6433" w:rsidRDefault="00AC6433" w:rsidP="00AC6433">
                    <w:pPr>
                      <w:pStyle w:val="Bibliography"/>
                      <w:jc w:val="start"/>
                      <w:rPr>
                        <w:noProof/>
                      </w:rPr>
                    </w:pPr>
                    <w:r>
                      <w:rPr>
                        <w:noProof/>
                      </w:rPr>
                      <w:t xml:space="preserve">[25] </w:t>
                    </w:r>
                  </w:p>
                </w:tc>
                <w:tc>
                  <w:tcPr>
                    <w:tcW w:w="0pt" w:type="dxa"/>
                    <w:hideMark/>
                  </w:tcPr>
                  <w:p w14:paraId="1BF6F437" w14:textId="77777777" w:rsidR="00AC6433" w:rsidRDefault="00AC6433" w:rsidP="00AC6433">
                    <w:pPr>
                      <w:pStyle w:val="Bibliography"/>
                      <w:jc w:val="start"/>
                      <w:rPr>
                        <w:noProof/>
                      </w:rPr>
                    </w:pPr>
                    <w:r>
                      <w:rPr>
                        <w:noProof/>
                      </w:rPr>
                      <w:t xml:space="preserve">M. M. Ali and N. F. Mohd Zaharon, "Phishing—A cyber fraud: The types, implications and governance," </w:t>
                    </w:r>
                    <w:r>
                      <w:rPr>
                        <w:i/>
                        <w:iCs/>
                        <w:noProof/>
                      </w:rPr>
                      <w:t xml:space="preserve">International Journal of Educational Reform, 33(1), </w:t>
                    </w:r>
                    <w:r>
                      <w:rPr>
                        <w:noProof/>
                      </w:rPr>
                      <w:t xml:space="preserve">pp. 101-121, 2024. </w:t>
                    </w:r>
                  </w:p>
                </w:tc>
              </w:tr>
              <w:tr w:rsidR="00AC6433" w14:paraId="15548165" w14:textId="77777777" w:rsidTr="00AC6433">
                <w:trPr>
                  <w:divId w:val="1725567500"/>
                  <w:trHeight w:val="50"/>
                  <w:tblCellSpacing w:w="0.75pt" w:type="dxa"/>
                </w:trPr>
                <w:tc>
                  <w:tcPr>
                    <w:tcW w:w="1.0%" w:type="pct"/>
                    <w:hideMark/>
                  </w:tcPr>
                  <w:p w14:paraId="60AED97E" w14:textId="77777777" w:rsidR="00AC6433" w:rsidRDefault="00AC6433" w:rsidP="00AC6433">
                    <w:pPr>
                      <w:pStyle w:val="Bibliography"/>
                      <w:jc w:val="start"/>
                      <w:rPr>
                        <w:noProof/>
                      </w:rPr>
                    </w:pPr>
                    <w:r>
                      <w:rPr>
                        <w:noProof/>
                      </w:rPr>
                      <w:t xml:space="preserve">[26] </w:t>
                    </w:r>
                  </w:p>
                </w:tc>
                <w:tc>
                  <w:tcPr>
                    <w:tcW w:w="0pt" w:type="dxa"/>
                    <w:hideMark/>
                  </w:tcPr>
                  <w:p w14:paraId="2EDAA764" w14:textId="77777777" w:rsidR="00AC6433" w:rsidRDefault="00AC6433" w:rsidP="00AC6433">
                    <w:pPr>
                      <w:pStyle w:val="Bibliography"/>
                      <w:jc w:val="start"/>
                      <w:rPr>
                        <w:noProof/>
                      </w:rPr>
                    </w:pPr>
                    <w:r>
                      <w:rPr>
                        <w:noProof/>
                      </w:rPr>
                      <w:t xml:space="preserve">P. Enberg, "Behavior Analytics in Cyber Security," 2024. </w:t>
                    </w:r>
                  </w:p>
                </w:tc>
              </w:tr>
            </w:tbl>
            <w:p w14:paraId="65F4BFE7" w14:textId="77777777" w:rsidR="00AC6433" w:rsidRDefault="00AC6433">
              <w:pPr>
                <w:divId w:val="1725567500"/>
                <w:rPr>
                  <w:rFonts w:eastAsia="Times New Roman"/>
                  <w:noProof/>
                </w:rPr>
              </w:pPr>
            </w:p>
            <w:p w14:paraId="63C73577" w14:textId="09DC8670" w:rsidR="007D4E17" w:rsidRDefault="007D4E17" w:rsidP="00AC6433">
              <w:pPr>
                <w:jc w:val="start"/>
              </w:pPr>
              <w:r>
                <w:rPr>
                  <w:b/>
                  <w:bCs/>
                  <w:noProof/>
                </w:rPr>
                <w:fldChar w:fldCharType="end"/>
              </w:r>
            </w:p>
          </w:sdtContent>
        </w:sdt>
      </w:sdtContent>
    </w:sdt>
    <w:p w14:paraId="7C945D04" w14:textId="77777777" w:rsidR="00B57CD6" w:rsidRDefault="00B57CD6" w:rsidP="00AC6433">
      <w:pPr>
        <w:jc w:val="start"/>
      </w:pPr>
    </w:p>
    <w:p w14:paraId="3103AC91" w14:textId="75001622" w:rsidR="00B57CD6" w:rsidRDefault="00B57CD6">
      <w:pPr>
        <w:jc w:val="start"/>
      </w:pPr>
      <w:r>
        <w:br w:type="page"/>
      </w:r>
    </w:p>
    <w:p w14:paraId="1F5DFFEE" w14:textId="77777777" w:rsidR="00B57CD6" w:rsidRDefault="00B57CD6" w:rsidP="00AC6433">
      <w:pPr>
        <w:jc w:val="start"/>
      </w:pPr>
    </w:p>
    <w:p w14:paraId="31FF695C" w14:textId="32BAD4F5" w:rsidR="00954B9B" w:rsidRDefault="00B57CD6" w:rsidP="00B57CD6">
      <w:pPr>
        <w:pStyle w:val="Title"/>
        <w:spacing w:line="18pt" w:lineRule="auto"/>
        <w:jc w:val="both"/>
      </w:pPr>
      <w:r w:rsidRPr="00B57CD6">
        <w:t>A</w:t>
      </w:r>
      <w:r w:rsidRPr="00B57CD6">
        <w:t>ppendices</w:t>
      </w:r>
    </w:p>
    <w:p w14:paraId="3B69EBCC" w14:textId="77777777" w:rsidR="00B57CD6" w:rsidRPr="00B57CD6" w:rsidRDefault="00B57CD6" w:rsidP="00B57CD6">
      <w:pPr>
        <w:spacing w:line="18pt" w:lineRule="auto"/>
        <w:ind w:end="-259.95pt"/>
        <w:jc w:val="start"/>
      </w:pPr>
    </w:p>
    <w:p w14:paraId="66A4BE64" w14:textId="77777777" w:rsidR="00B57CD6" w:rsidRDefault="00B57CD6" w:rsidP="00B57CD6">
      <w:pPr>
        <w:pStyle w:val="references"/>
        <w:numPr>
          <w:ilvl w:val="0"/>
          <w:numId w:val="0"/>
        </w:numPr>
        <w:spacing w:line="18pt" w:lineRule="auto"/>
        <w:ind w:start="18pt" w:hanging="18pt"/>
        <w:rPr>
          <w:b/>
          <w:bCs/>
          <w:sz w:val="24"/>
          <w:szCs w:val="24"/>
        </w:rPr>
      </w:pPr>
      <w:r w:rsidRPr="00B57CD6">
        <w:rPr>
          <w:b/>
          <w:bCs/>
          <w:sz w:val="24"/>
          <w:szCs w:val="24"/>
        </w:rPr>
        <w:t>Presenttation</w:t>
      </w:r>
    </w:p>
    <w:p w14:paraId="079BE2D2" w14:textId="77777777" w:rsidR="00B57CD6" w:rsidRDefault="00B57CD6" w:rsidP="00B57CD6">
      <w:pPr>
        <w:pStyle w:val="references"/>
        <w:numPr>
          <w:ilvl w:val="0"/>
          <w:numId w:val="0"/>
        </w:numPr>
        <w:spacing w:line="18pt" w:lineRule="auto"/>
        <w:ind w:start="18pt" w:hanging="18pt"/>
        <w:rPr>
          <w:b/>
          <w:bCs/>
          <w:sz w:val="24"/>
          <w:szCs w:val="24"/>
        </w:rPr>
      </w:pPr>
      <w:r>
        <w:rPr>
          <w:b/>
          <w:bCs/>
          <w:sz w:val="24"/>
          <w:szCs w:val="24"/>
        </w:rPr>
        <w:drawing>
          <wp:inline distT="0" distB="0" distL="0" distR="0" wp14:anchorId="7B99ABA0" wp14:editId="44480E59">
            <wp:extent cx="3089910" cy="1737995"/>
            <wp:effectExtent l="0" t="0" r="0" b="0"/>
            <wp:docPr id="130395412" name="Picture 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30395412" name="Picture 1303954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7517F38D" wp14:editId="78BB4B63">
            <wp:extent cx="3089910" cy="1737995"/>
            <wp:effectExtent l="0" t="0" r="0" b="0"/>
            <wp:docPr id="592747680" name="Picture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92747680" name="Picture 59274768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7EB4063B" wp14:editId="3CD955BF">
            <wp:extent cx="3089910" cy="1737995"/>
            <wp:effectExtent l="0" t="0" r="0" b="0"/>
            <wp:docPr id="45982248" name="Picture 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5982248" name="Picture 4598224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70000237" wp14:editId="44FD19F3">
            <wp:extent cx="3089910" cy="1737995"/>
            <wp:effectExtent l="0" t="0" r="0" b="0"/>
            <wp:docPr id="2141099099" name="Picture 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141099099" name="Picture 214109909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77E8C71D" wp14:editId="415DC28B">
            <wp:extent cx="3089910" cy="1737995"/>
            <wp:effectExtent l="0" t="0" r="0" b="0"/>
            <wp:docPr id="215773620" name="Picture 1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15773620" name="Picture 21577362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347E9C72" wp14:editId="7FECFAC8">
            <wp:extent cx="3089910" cy="1737995"/>
            <wp:effectExtent l="0" t="0" r="0" b="0"/>
            <wp:docPr id="1505306645" name="Picture 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505306645" name="Picture 150530664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7CB86B5F" wp14:editId="2B4E8FBC">
            <wp:extent cx="3089910" cy="1737995"/>
            <wp:effectExtent l="0" t="0" r="0" b="0"/>
            <wp:docPr id="313759206" name="Picture 1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13759206" name="Picture 31375920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6149A77E" wp14:editId="64A50F73">
            <wp:extent cx="3089910" cy="1737995"/>
            <wp:effectExtent l="0" t="0" r="0" b="0"/>
            <wp:docPr id="1563216512" name="Picture 1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563216512" name="Picture 156321651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1C10FB70" wp14:editId="0C7AF8BD">
            <wp:extent cx="3089910" cy="1737995"/>
            <wp:effectExtent l="0" t="0" r="0" b="0"/>
            <wp:docPr id="1880856822" name="Picture 1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880856822" name="Picture 18808568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lastRenderedPageBreak/>
        <w:drawing>
          <wp:inline distT="0" distB="0" distL="0" distR="0" wp14:anchorId="47F30B38" wp14:editId="6EE97002">
            <wp:extent cx="3089910" cy="1737995"/>
            <wp:effectExtent l="0" t="0" r="0" b="0"/>
            <wp:docPr id="1932337007" name="Picture 1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932337007" name="Picture 193233700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423C1688" wp14:editId="71C6B3B7">
            <wp:extent cx="3089910" cy="1737995"/>
            <wp:effectExtent l="0" t="0" r="0" b="0"/>
            <wp:docPr id="1365007608" name="Picture 1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365007608" name="Picture 136500760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399D1D0D" wp14:editId="208A3958">
            <wp:extent cx="3089910" cy="1737995"/>
            <wp:effectExtent l="0" t="0" r="0" b="0"/>
            <wp:docPr id="1257620056" name="Picture 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57620056" name="Picture 125762005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r>
        <w:rPr>
          <w:b/>
          <w:bCs/>
          <w:sz w:val="24"/>
          <w:szCs w:val="24"/>
        </w:rPr>
        <w:drawing>
          <wp:inline distT="0" distB="0" distL="0" distR="0" wp14:anchorId="1B47E367" wp14:editId="646C0F0C">
            <wp:extent cx="3089910" cy="1737995"/>
            <wp:effectExtent l="0" t="0" r="0" b="0"/>
            <wp:docPr id="1610140870" name="Picture 1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610140870" name="Picture 161014087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89910" cy="1737995"/>
                    </a:xfrm>
                    <a:prstGeom prst="rect">
                      <a:avLst/>
                    </a:prstGeom>
                  </pic:spPr>
                </pic:pic>
              </a:graphicData>
            </a:graphic>
          </wp:inline>
        </w:drawing>
      </w:r>
    </w:p>
    <w:p w14:paraId="379F4D50" w14:textId="77777777" w:rsidR="00B57CD6" w:rsidRDefault="00B57CD6" w:rsidP="00B57CD6">
      <w:pPr>
        <w:pStyle w:val="references"/>
        <w:numPr>
          <w:ilvl w:val="0"/>
          <w:numId w:val="0"/>
        </w:numPr>
        <w:spacing w:line="18pt" w:lineRule="auto"/>
        <w:ind w:start="18pt" w:hanging="18pt"/>
        <w:rPr>
          <w:b/>
          <w:bCs/>
          <w:sz w:val="24"/>
          <w:szCs w:val="24"/>
        </w:rPr>
      </w:pPr>
    </w:p>
    <w:p w14:paraId="1502B1F8" w14:textId="77777777" w:rsidR="00F9012F" w:rsidRDefault="00F9012F">
      <w:pPr>
        <w:jc w:val="start"/>
        <w:rPr>
          <w:rFonts w:eastAsia="MS Mincho"/>
          <w:b/>
          <w:bCs/>
          <w:noProof/>
          <w:sz w:val="24"/>
          <w:szCs w:val="24"/>
        </w:rPr>
      </w:pPr>
      <w:r>
        <w:rPr>
          <w:b/>
          <w:bCs/>
          <w:sz w:val="24"/>
          <w:szCs w:val="24"/>
        </w:rPr>
        <w:br w:type="page"/>
      </w:r>
    </w:p>
    <w:p w14:paraId="41C602F3" w14:textId="6515EBC4" w:rsidR="00B57CD6" w:rsidRDefault="00B57CD6" w:rsidP="00B57CD6">
      <w:pPr>
        <w:pStyle w:val="references"/>
        <w:numPr>
          <w:ilvl w:val="0"/>
          <w:numId w:val="0"/>
        </w:numPr>
        <w:spacing w:line="18pt" w:lineRule="auto"/>
        <w:ind w:start="18pt" w:hanging="18pt"/>
        <w:rPr>
          <w:b/>
          <w:bCs/>
          <w:sz w:val="24"/>
          <w:szCs w:val="24"/>
        </w:rPr>
      </w:pPr>
      <w:r>
        <w:rPr>
          <w:b/>
          <w:bCs/>
          <w:sz w:val="24"/>
          <w:szCs w:val="24"/>
        </w:rPr>
        <w:lastRenderedPageBreak/>
        <w:t>Certificate</w:t>
      </w:r>
    </w:p>
    <w:p w14:paraId="11593C1D" w14:textId="306C4E64" w:rsidR="009A5D30" w:rsidRPr="00B57CD6" w:rsidRDefault="00F9012F" w:rsidP="00B57CD6">
      <w:pPr>
        <w:pStyle w:val="references"/>
        <w:numPr>
          <w:ilvl w:val="0"/>
          <w:numId w:val="0"/>
        </w:numPr>
        <w:spacing w:line="18pt" w:lineRule="auto"/>
        <w:ind w:start="18pt" w:hanging="18pt"/>
        <w:rPr>
          <w:b/>
          <w:bCs/>
          <w:sz w:val="24"/>
          <w:szCs w:val="24"/>
        </w:rPr>
      </w:pPr>
      <w:r w:rsidRPr="00F9012F">
        <w:rPr>
          <w:b/>
          <w:bCs/>
          <w:sz w:val="24"/>
          <w:szCs w:val="24"/>
        </w:rPr>
        <w:drawing>
          <wp:inline distT="0" distB="0" distL="0" distR="0" wp14:anchorId="46080ECC" wp14:editId="46FFF990">
            <wp:extent cx="3089910" cy="2093595"/>
            <wp:effectExtent l="0" t="0" r="0" b="1905"/>
            <wp:docPr id="1257457650"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57457650" name=""/>
                    <pic:cNvPicPr/>
                  </pic:nvPicPr>
                  <pic:blipFill>
                    <a:blip r:embed="rId25"/>
                    <a:stretch>
                      <a:fillRect/>
                    </a:stretch>
                  </pic:blipFill>
                  <pic:spPr>
                    <a:xfrm>
                      <a:off x="0" y="0"/>
                      <a:ext cx="3089910" cy="2093595"/>
                    </a:xfrm>
                    <a:prstGeom prst="rect">
                      <a:avLst/>
                    </a:prstGeom>
                  </pic:spPr>
                </pic:pic>
              </a:graphicData>
            </a:graphic>
          </wp:inline>
        </w:drawing>
      </w:r>
      <w:r w:rsidR="00B57CD6" w:rsidRPr="00B57CD6">
        <w:rPr>
          <w:b/>
          <w:bCs/>
          <w:sz w:val="24"/>
          <w:szCs w:val="24"/>
        </w:rPr>
        <w:br/>
      </w:r>
      <w:r w:rsidR="009A5D30" w:rsidRPr="00B57CD6">
        <w:rPr>
          <w:b/>
          <w:bCs/>
          <w:sz w:val="24"/>
          <w:szCs w:val="24"/>
        </w:rPr>
        <w:t xml:space="preserve"> </w:t>
      </w:r>
    </w:p>
    <w:sectPr w:rsidR="009A5D30" w:rsidRPr="00B57CD6" w:rsidSect="009A5D30">
      <w:type w:val="continuous"/>
      <w:pgSz w:w="595.30pt" w:h="841.90pt" w:code="9"/>
      <w:pgMar w:top="54pt" w:right="45.35pt" w:bottom="72pt" w:left="45.35pt" w:header="36pt" w:footer="36pt" w:gutter="0pt"/>
      <w:cols w:num="2"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021720C3" w14:textId="77777777" w:rsidR="006854BB" w:rsidRDefault="006854BB" w:rsidP="001A3B3D">
      <w:r>
        <w:separator/>
      </w:r>
    </w:p>
  </w:endnote>
  <w:endnote w:type="continuationSeparator" w:id="0">
    <w:p w14:paraId="4AD2FDB3" w14:textId="77777777" w:rsidR="006854BB" w:rsidRDefault="006854BB"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200247B" w:usb2="00000009" w:usb3="00000000" w:csb0="000001FF" w:csb1="00000000"/>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6137852D" w:rsidR="001A3B3D" w:rsidRPr="006F6D3D"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5C179F7E" w14:textId="77777777" w:rsidR="006854BB" w:rsidRDefault="006854BB" w:rsidP="001A3B3D">
      <w:r>
        <w:separator/>
      </w:r>
    </w:p>
  </w:footnote>
  <w:footnote w:type="continuationSeparator" w:id="0">
    <w:p w14:paraId="0D5BC7B1" w14:textId="77777777" w:rsidR="006854BB" w:rsidRDefault="006854BB"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1146287"/>
    <w:multiLevelType w:val="multilevel"/>
    <w:tmpl w:val="5B3C9DEA"/>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7"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40.50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9"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0"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1"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06118230">
    <w:abstractNumId w:val="15"/>
  </w:num>
  <w:num w:numId="2" w16cid:durableId="1882673281">
    <w:abstractNumId w:val="20"/>
  </w:num>
  <w:num w:numId="3" w16cid:durableId="1266763329">
    <w:abstractNumId w:val="14"/>
  </w:num>
  <w:num w:numId="4" w16cid:durableId="691339631">
    <w:abstractNumId w:val="17"/>
  </w:num>
  <w:num w:numId="5" w16cid:durableId="1787843311">
    <w:abstractNumId w:val="17"/>
  </w:num>
  <w:num w:numId="6" w16cid:durableId="972104160">
    <w:abstractNumId w:val="17"/>
  </w:num>
  <w:num w:numId="7" w16cid:durableId="137307995">
    <w:abstractNumId w:val="17"/>
  </w:num>
  <w:num w:numId="8" w16cid:durableId="66729796">
    <w:abstractNumId w:val="19"/>
  </w:num>
  <w:num w:numId="9" w16cid:durableId="1236819974">
    <w:abstractNumId w:val="21"/>
  </w:num>
  <w:num w:numId="10" w16cid:durableId="369033364">
    <w:abstractNumId w:val="16"/>
  </w:num>
  <w:num w:numId="11" w16cid:durableId="1917400299">
    <w:abstractNumId w:val="13"/>
  </w:num>
  <w:num w:numId="12" w16cid:durableId="731730733">
    <w:abstractNumId w:val="12"/>
  </w:num>
  <w:num w:numId="13" w16cid:durableId="76250235">
    <w:abstractNumId w:val="0"/>
  </w:num>
  <w:num w:numId="14" w16cid:durableId="1543056559">
    <w:abstractNumId w:val="10"/>
  </w:num>
  <w:num w:numId="15" w16cid:durableId="930552968">
    <w:abstractNumId w:val="8"/>
  </w:num>
  <w:num w:numId="16" w16cid:durableId="593972317">
    <w:abstractNumId w:val="7"/>
  </w:num>
  <w:num w:numId="17" w16cid:durableId="1064335685">
    <w:abstractNumId w:val="6"/>
  </w:num>
  <w:num w:numId="18" w16cid:durableId="1361512183">
    <w:abstractNumId w:val="5"/>
  </w:num>
  <w:num w:numId="19" w16cid:durableId="539707403">
    <w:abstractNumId w:val="9"/>
  </w:num>
  <w:num w:numId="20" w16cid:durableId="1315069377">
    <w:abstractNumId w:val="4"/>
  </w:num>
  <w:num w:numId="21" w16cid:durableId="864907520">
    <w:abstractNumId w:val="3"/>
  </w:num>
  <w:num w:numId="22" w16cid:durableId="1714185697">
    <w:abstractNumId w:val="2"/>
  </w:num>
  <w:num w:numId="23" w16cid:durableId="83652128">
    <w:abstractNumId w:val="1"/>
  </w:num>
  <w:num w:numId="24" w16cid:durableId="2075347415">
    <w:abstractNumId w:val="18"/>
  </w:num>
  <w:num w:numId="25" w16cid:durableId="155653320">
    <w:abstractNumId w:val="1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SzsLQwtbA0MDG2sDBS0lEKTi0uzszPAykwqQUAjdrp/iwAAAA="/>
  </w:docVars>
  <w:rsids>
    <w:rsidRoot w:val="009303D9"/>
    <w:rsid w:val="00001AD6"/>
    <w:rsid w:val="00004418"/>
    <w:rsid w:val="0001196E"/>
    <w:rsid w:val="0001480C"/>
    <w:rsid w:val="00017FFB"/>
    <w:rsid w:val="00020757"/>
    <w:rsid w:val="000227BE"/>
    <w:rsid w:val="000233F4"/>
    <w:rsid w:val="00023DC8"/>
    <w:rsid w:val="0003233C"/>
    <w:rsid w:val="0004781E"/>
    <w:rsid w:val="00050010"/>
    <w:rsid w:val="00053AFF"/>
    <w:rsid w:val="00057D67"/>
    <w:rsid w:val="00061B36"/>
    <w:rsid w:val="00064856"/>
    <w:rsid w:val="00067E1D"/>
    <w:rsid w:val="00080B91"/>
    <w:rsid w:val="00082A22"/>
    <w:rsid w:val="00082EB2"/>
    <w:rsid w:val="00086974"/>
    <w:rsid w:val="0008758A"/>
    <w:rsid w:val="000963A9"/>
    <w:rsid w:val="00097593"/>
    <w:rsid w:val="000A25F6"/>
    <w:rsid w:val="000A5D7A"/>
    <w:rsid w:val="000C0FE2"/>
    <w:rsid w:val="000C1E68"/>
    <w:rsid w:val="000D3640"/>
    <w:rsid w:val="000E2EDF"/>
    <w:rsid w:val="000E46C0"/>
    <w:rsid w:val="000E4E06"/>
    <w:rsid w:val="000F2795"/>
    <w:rsid w:val="00100BBE"/>
    <w:rsid w:val="001015CB"/>
    <w:rsid w:val="0011020C"/>
    <w:rsid w:val="001119FF"/>
    <w:rsid w:val="00116A09"/>
    <w:rsid w:val="00141FE3"/>
    <w:rsid w:val="001428AA"/>
    <w:rsid w:val="00150A26"/>
    <w:rsid w:val="00153005"/>
    <w:rsid w:val="0015320E"/>
    <w:rsid w:val="00160A06"/>
    <w:rsid w:val="00162C3F"/>
    <w:rsid w:val="00170A61"/>
    <w:rsid w:val="00177A5A"/>
    <w:rsid w:val="001840C8"/>
    <w:rsid w:val="0018730D"/>
    <w:rsid w:val="00193D89"/>
    <w:rsid w:val="00196001"/>
    <w:rsid w:val="001960E8"/>
    <w:rsid w:val="001975DC"/>
    <w:rsid w:val="001A067C"/>
    <w:rsid w:val="001A2EFD"/>
    <w:rsid w:val="001A3B3D"/>
    <w:rsid w:val="001A4153"/>
    <w:rsid w:val="001B133B"/>
    <w:rsid w:val="001B17A9"/>
    <w:rsid w:val="001B24ED"/>
    <w:rsid w:val="001B3A50"/>
    <w:rsid w:val="001B67DC"/>
    <w:rsid w:val="001B6B1F"/>
    <w:rsid w:val="001C223E"/>
    <w:rsid w:val="001C3FBE"/>
    <w:rsid w:val="001C731E"/>
    <w:rsid w:val="001E3E68"/>
    <w:rsid w:val="001E42A9"/>
    <w:rsid w:val="001E4768"/>
    <w:rsid w:val="001E47E4"/>
    <w:rsid w:val="001E54EC"/>
    <w:rsid w:val="001E5950"/>
    <w:rsid w:val="002002A4"/>
    <w:rsid w:val="00207BC2"/>
    <w:rsid w:val="0021437A"/>
    <w:rsid w:val="002154E2"/>
    <w:rsid w:val="002254A9"/>
    <w:rsid w:val="0023089A"/>
    <w:rsid w:val="00233D97"/>
    <w:rsid w:val="002347A2"/>
    <w:rsid w:val="00237F4E"/>
    <w:rsid w:val="00240518"/>
    <w:rsid w:val="002451EE"/>
    <w:rsid w:val="00255F85"/>
    <w:rsid w:val="00261728"/>
    <w:rsid w:val="00270DF8"/>
    <w:rsid w:val="0027526A"/>
    <w:rsid w:val="002850E3"/>
    <w:rsid w:val="00293E66"/>
    <w:rsid w:val="002B7855"/>
    <w:rsid w:val="002D1C77"/>
    <w:rsid w:val="002D4C88"/>
    <w:rsid w:val="002D61A7"/>
    <w:rsid w:val="003022B5"/>
    <w:rsid w:val="003035B3"/>
    <w:rsid w:val="00307779"/>
    <w:rsid w:val="00317224"/>
    <w:rsid w:val="00317EE2"/>
    <w:rsid w:val="00330286"/>
    <w:rsid w:val="00334571"/>
    <w:rsid w:val="00335F11"/>
    <w:rsid w:val="0033701A"/>
    <w:rsid w:val="00345919"/>
    <w:rsid w:val="00347405"/>
    <w:rsid w:val="00354FCF"/>
    <w:rsid w:val="00383849"/>
    <w:rsid w:val="003A0118"/>
    <w:rsid w:val="003A19E2"/>
    <w:rsid w:val="003A5287"/>
    <w:rsid w:val="003B2B40"/>
    <w:rsid w:val="003B4E04"/>
    <w:rsid w:val="003C02E2"/>
    <w:rsid w:val="003C06C8"/>
    <w:rsid w:val="003C2AB8"/>
    <w:rsid w:val="003E1306"/>
    <w:rsid w:val="003F5A08"/>
    <w:rsid w:val="0040171C"/>
    <w:rsid w:val="00404944"/>
    <w:rsid w:val="00406392"/>
    <w:rsid w:val="004133C5"/>
    <w:rsid w:val="004144B5"/>
    <w:rsid w:val="00420716"/>
    <w:rsid w:val="0042270A"/>
    <w:rsid w:val="004325FB"/>
    <w:rsid w:val="00440A1A"/>
    <w:rsid w:val="004422D8"/>
    <w:rsid w:val="004432BA"/>
    <w:rsid w:val="0044407E"/>
    <w:rsid w:val="00444CC4"/>
    <w:rsid w:val="00447BB9"/>
    <w:rsid w:val="0046031D"/>
    <w:rsid w:val="004623B6"/>
    <w:rsid w:val="00473AC9"/>
    <w:rsid w:val="00474754"/>
    <w:rsid w:val="0047628E"/>
    <w:rsid w:val="00481CF3"/>
    <w:rsid w:val="004859B9"/>
    <w:rsid w:val="004A4C0F"/>
    <w:rsid w:val="004B0D59"/>
    <w:rsid w:val="004B18B5"/>
    <w:rsid w:val="004B523D"/>
    <w:rsid w:val="004C2B6E"/>
    <w:rsid w:val="004D59EE"/>
    <w:rsid w:val="004D72B5"/>
    <w:rsid w:val="00511A9B"/>
    <w:rsid w:val="0051318D"/>
    <w:rsid w:val="005307F8"/>
    <w:rsid w:val="00551B7F"/>
    <w:rsid w:val="00552960"/>
    <w:rsid w:val="00561833"/>
    <w:rsid w:val="0056610F"/>
    <w:rsid w:val="00567F1C"/>
    <w:rsid w:val="00567FCB"/>
    <w:rsid w:val="00572CA6"/>
    <w:rsid w:val="00575BCA"/>
    <w:rsid w:val="00576029"/>
    <w:rsid w:val="00582832"/>
    <w:rsid w:val="0058761D"/>
    <w:rsid w:val="00594783"/>
    <w:rsid w:val="00594E8D"/>
    <w:rsid w:val="005A0C56"/>
    <w:rsid w:val="005A1E63"/>
    <w:rsid w:val="005A2618"/>
    <w:rsid w:val="005B0344"/>
    <w:rsid w:val="005B1BEF"/>
    <w:rsid w:val="005B2C55"/>
    <w:rsid w:val="005B2E2A"/>
    <w:rsid w:val="005B520E"/>
    <w:rsid w:val="005C1658"/>
    <w:rsid w:val="005C6DDB"/>
    <w:rsid w:val="005D08AB"/>
    <w:rsid w:val="005D751E"/>
    <w:rsid w:val="005E2800"/>
    <w:rsid w:val="00605825"/>
    <w:rsid w:val="00614550"/>
    <w:rsid w:val="006230F8"/>
    <w:rsid w:val="006435D1"/>
    <w:rsid w:val="006449B3"/>
    <w:rsid w:val="00645D22"/>
    <w:rsid w:val="00651A08"/>
    <w:rsid w:val="00654204"/>
    <w:rsid w:val="00656CBF"/>
    <w:rsid w:val="006630DB"/>
    <w:rsid w:val="00670434"/>
    <w:rsid w:val="00671174"/>
    <w:rsid w:val="006760ED"/>
    <w:rsid w:val="00676684"/>
    <w:rsid w:val="006854BB"/>
    <w:rsid w:val="00690B96"/>
    <w:rsid w:val="00697E5C"/>
    <w:rsid w:val="006A5715"/>
    <w:rsid w:val="006A5D82"/>
    <w:rsid w:val="006A5FE3"/>
    <w:rsid w:val="006A7E42"/>
    <w:rsid w:val="006B1E11"/>
    <w:rsid w:val="006B1F14"/>
    <w:rsid w:val="006B5299"/>
    <w:rsid w:val="006B6B66"/>
    <w:rsid w:val="006C111E"/>
    <w:rsid w:val="006C4398"/>
    <w:rsid w:val="006D2984"/>
    <w:rsid w:val="006D56A9"/>
    <w:rsid w:val="006D761F"/>
    <w:rsid w:val="006E369E"/>
    <w:rsid w:val="006E5760"/>
    <w:rsid w:val="006F1EEF"/>
    <w:rsid w:val="006F46D5"/>
    <w:rsid w:val="006F606B"/>
    <w:rsid w:val="006F6D3D"/>
    <w:rsid w:val="0070621E"/>
    <w:rsid w:val="00707939"/>
    <w:rsid w:val="00715BEA"/>
    <w:rsid w:val="00721963"/>
    <w:rsid w:val="00721FA8"/>
    <w:rsid w:val="00725D6A"/>
    <w:rsid w:val="00726298"/>
    <w:rsid w:val="00726661"/>
    <w:rsid w:val="00740EEA"/>
    <w:rsid w:val="00745062"/>
    <w:rsid w:val="00746163"/>
    <w:rsid w:val="00747CE7"/>
    <w:rsid w:val="00753786"/>
    <w:rsid w:val="00760580"/>
    <w:rsid w:val="007659F9"/>
    <w:rsid w:val="00767BA8"/>
    <w:rsid w:val="00782204"/>
    <w:rsid w:val="00790EA1"/>
    <w:rsid w:val="00793146"/>
    <w:rsid w:val="00794804"/>
    <w:rsid w:val="00794C95"/>
    <w:rsid w:val="007963ED"/>
    <w:rsid w:val="007A0154"/>
    <w:rsid w:val="007A1EE1"/>
    <w:rsid w:val="007B33F1"/>
    <w:rsid w:val="007B6DDA"/>
    <w:rsid w:val="007C0308"/>
    <w:rsid w:val="007C1C5D"/>
    <w:rsid w:val="007C2FF2"/>
    <w:rsid w:val="007C31E8"/>
    <w:rsid w:val="007D27BE"/>
    <w:rsid w:val="007D4E17"/>
    <w:rsid w:val="007D580C"/>
    <w:rsid w:val="007D6232"/>
    <w:rsid w:val="007E051A"/>
    <w:rsid w:val="007F1F99"/>
    <w:rsid w:val="007F3BC2"/>
    <w:rsid w:val="007F587B"/>
    <w:rsid w:val="007F768F"/>
    <w:rsid w:val="00806A0D"/>
    <w:rsid w:val="0080791D"/>
    <w:rsid w:val="00810910"/>
    <w:rsid w:val="00810EB8"/>
    <w:rsid w:val="008147B5"/>
    <w:rsid w:val="00816C20"/>
    <w:rsid w:val="008212A3"/>
    <w:rsid w:val="0082363B"/>
    <w:rsid w:val="00824423"/>
    <w:rsid w:val="00827FB9"/>
    <w:rsid w:val="00832A3C"/>
    <w:rsid w:val="00833545"/>
    <w:rsid w:val="008355E2"/>
    <w:rsid w:val="00836367"/>
    <w:rsid w:val="00852510"/>
    <w:rsid w:val="008559ED"/>
    <w:rsid w:val="00857AFD"/>
    <w:rsid w:val="00860B12"/>
    <w:rsid w:val="00863508"/>
    <w:rsid w:val="00873603"/>
    <w:rsid w:val="008807F8"/>
    <w:rsid w:val="008829F8"/>
    <w:rsid w:val="0088743C"/>
    <w:rsid w:val="00887C3B"/>
    <w:rsid w:val="00892144"/>
    <w:rsid w:val="008A2C7D"/>
    <w:rsid w:val="008A364B"/>
    <w:rsid w:val="008A6BD4"/>
    <w:rsid w:val="008B3003"/>
    <w:rsid w:val="008B5324"/>
    <w:rsid w:val="008B5EF7"/>
    <w:rsid w:val="008B6524"/>
    <w:rsid w:val="008C2F26"/>
    <w:rsid w:val="008C3799"/>
    <w:rsid w:val="008C3859"/>
    <w:rsid w:val="008C3CE2"/>
    <w:rsid w:val="008C4B23"/>
    <w:rsid w:val="008D437B"/>
    <w:rsid w:val="008D47A4"/>
    <w:rsid w:val="008E0AD8"/>
    <w:rsid w:val="008E1A2C"/>
    <w:rsid w:val="008E27EA"/>
    <w:rsid w:val="008F5EAE"/>
    <w:rsid w:val="008F6580"/>
    <w:rsid w:val="008F6E2C"/>
    <w:rsid w:val="0090099F"/>
    <w:rsid w:val="009021B7"/>
    <w:rsid w:val="00905C67"/>
    <w:rsid w:val="00905F2E"/>
    <w:rsid w:val="00912811"/>
    <w:rsid w:val="00924C7D"/>
    <w:rsid w:val="009303D9"/>
    <w:rsid w:val="00932CD9"/>
    <w:rsid w:val="00933C64"/>
    <w:rsid w:val="009343A9"/>
    <w:rsid w:val="009439A5"/>
    <w:rsid w:val="00943EE3"/>
    <w:rsid w:val="009522D4"/>
    <w:rsid w:val="00954B9B"/>
    <w:rsid w:val="00957987"/>
    <w:rsid w:val="00960CA4"/>
    <w:rsid w:val="00962AF3"/>
    <w:rsid w:val="00972203"/>
    <w:rsid w:val="00974790"/>
    <w:rsid w:val="009759E6"/>
    <w:rsid w:val="009777F0"/>
    <w:rsid w:val="00983104"/>
    <w:rsid w:val="00983FDA"/>
    <w:rsid w:val="00986363"/>
    <w:rsid w:val="009941E9"/>
    <w:rsid w:val="009A5C96"/>
    <w:rsid w:val="009A5D30"/>
    <w:rsid w:val="009B5E4F"/>
    <w:rsid w:val="009C3302"/>
    <w:rsid w:val="009C7EA3"/>
    <w:rsid w:val="009D273B"/>
    <w:rsid w:val="009D795C"/>
    <w:rsid w:val="009E1278"/>
    <w:rsid w:val="009E444D"/>
    <w:rsid w:val="009F1D79"/>
    <w:rsid w:val="009F4FE9"/>
    <w:rsid w:val="009F6AC6"/>
    <w:rsid w:val="00A059B3"/>
    <w:rsid w:val="00A10141"/>
    <w:rsid w:val="00A15350"/>
    <w:rsid w:val="00A20EE8"/>
    <w:rsid w:val="00A21A8B"/>
    <w:rsid w:val="00A2563A"/>
    <w:rsid w:val="00A310DC"/>
    <w:rsid w:val="00A33693"/>
    <w:rsid w:val="00A33AA8"/>
    <w:rsid w:val="00A342CD"/>
    <w:rsid w:val="00A5086C"/>
    <w:rsid w:val="00A50A14"/>
    <w:rsid w:val="00A53306"/>
    <w:rsid w:val="00A548D3"/>
    <w:rsid w:val="00A61321"/>
    <w:rsid w:val="00A70CDA"/>
    <w:rsid w:val="00A73B70"/>
    <w:rsid w:val="00A81024"/>
    <w:rsid w:val="00A8242F"/>
    <w:rsid w:val="00A82AD3"/>
    <w:rsid w:val="00A854BD"/>
    <w:rsid w:val="00A8779B"/>
    <w:rsid w:val="00A90432"/>
    <w:rsid w:val="00A90979"/>
    <w:rsid w:val="00AA0AE4"/>
    <w:rsid w:val="00AB0AF1"/>
    <w:rsid w:val="00AB3350"/>
    <w:rsid w:val="00AB5714"/>
    <w:rsid w:val="00AB7137"/>
    <w:rsid w:val="00AC4063"/>
    <w:rsid w:val="00AC6433"/>
    <w:rsid w:val="00AC6C52"/>
    <w:rsid w:val="00AD20A7"/>
    <w:rsid w:val="00AD4F8E"/>
    <w:rsid w:val="00AD6258"/>
    <w:rsid w:val="00AD73F8"/>
    <w:rsid w:val="00AE3409"/>
    <w:rsid w:val="00AF1480"/>
    <w:rsid w:val="00AF547A"/>
    <w:rsid w:val="00AF7369"/>
    <w:rsid w:val="00B0440B"/>
    <w:rsid w:val="00B045A5"/>
    <w:rsid w:val="00B06721"/>
    <w:rsid w:val="00B10508"/>
    <w:rsid w:val="00B11A60"/>
    <w:rsid w:val="00B13F8C"/>
    <w:rsid w:val="00B22613"/>
    <w:rsid w:val="00B22BA8"/>
    <w:rsid w:val="00B30AEE"/>
    <w:rsid w:val="00B33E3B"/>
    <w:rsid w:val="00B3462F"/>
    <w:rsid w:val="00B40FEB"/>
    <w:rsid w:val="00B44A76"/>
    <w:rsid w:val="00B4556F"/>
    <w:rsid w:val="00B46F75"/>
    <w:rsid w:val="00B504C6"/>
    <w:rsid w:val="00B54630"/>
    <w:rsid w:val="00B57CD6"/>
    <w:rsid w:val="00B64C61"/>
    <w:rsid w:val="00B7477D"/>
    <w:rsid w:val="00B74AD1"/>
    <w:rsid w:val="00B754FB"/>
    <w:rsid w:val="00B76674"/>
    <w:rsid w:val="00B768D1"/>
    <w:rsid w:val="00B76C96"/>
    <w:rsid w:val="00B82F51"/>
    <w:rsid w:val="00B879F7"/>
    <w:rsid w:val="00B921FE"/>
    <w:rsid w:val="00B95078"/>
    <w:rsid w:val="00BA1025"/>
    <w:rsid w:val="00BB15D8"/>
    <w:rsid w:val="00BB1BDE"/>
    <w:rsid w:val="00BC3420"/>
    <w:rsid w:val="00BC4F46"/>
    <w:rsid w:val="00BD2A9B"/>
    <w:rsid w:val="00BD2D84"/>
    <w:rsid w:val="00BD670B"/>
    <w:rsid w:val="00BD6F4C"/>
    <w:rsid w:val="00BE0B28"/>
    <w:rsid w:val="00BE287A"/>
    <w:rsid w:val="00BE3064"/>
    <w:rsid w:val="00BE3C2A"/>
    <w:rsid w:val="00BE3E1C"/>
    <w:rsid w:val="00BE43AB"/>
    <w:rsid w:val="00BE51C2"/>
    <w:rsid w:val="00BE7D3C"/>
    <w:rsid w:val="00BF1ABD"/>
    <w:rsid w:val="00BF5FF6"/>
    <w:rsid w:val="00BF6265"/>
    <w:rsid w:val="00C00863"/>
    <w:rsid w:val="00C0207F"/>
    <w:rsid w:val="00C11E7F"/>
    <w:rsid w:val="00C13F6E"/>
    <w:rsid w:val="00C16117"/>
    <w:rsid w:val="00C229B5"/>
    <w:rsid w:val="00C24E84"/>
    <w:rsid w:val="00C25105"/>
    <w:rsid w:val="00C2733C"/>
    <w:rsid w:val="00C3075A"/>
    <w:rsid w:val="00C321A7"/>
    <w:rsid w:val="00C356A1"/>
    <w:rsid w:val="00C35E22"/>
    <w:rsid w:val="00C47359"/>
    <w:rsid w:val="00C47C47"/>
    <w:rsid w:val="00C51732"/>
    <w:rsid w:val="00C53169"/>
    <w:rsid w:val="00C55EBA"/>
    <w:rsid w:val="00C80C88"/>
    <w:rsid w:val="00C84303"/>
    <w:rsid w:val="00C919A4"/>
    <w:rsid w:val="00C92464"/>
    <w:rsid w:val="00CA080B"/>
    <w:rsid w:val="00CA38A9"/>
    <w:rsid w:val="00CA4392"/>
    <w:rsid w:val="00CA4EE5"/>
    <w:rsid w:val="00CB3289"/>
    <w:rsid w:val="00CB5F9E"/>
    <w:rsid w:val="00CC393F"/>
    <w:rsid w:val="00CC458C"/>
    <w:rsid w:val="00CC484F"/>
    <w:rsid w:val="00CD1635"/>
    <w:rsid w:val="00CD2193"/>
    <w:rsid w:val="00CD3030"/>
    <w:rsid w:val="00CD3B7C"/>
    <w:rsid w:val="00CD53B2"/>
    <w:rsid w:val="00CD76E1"/>
    <w:rsid w:val="00CE1C74"/>
    <w:rsid w:val="00CE7088"/>
    <w:rsid w:val="00CF5F9A"/>
    <w:rsid w:val="00CF62C5"/>
    <w:rsid w:val="00CF7F90"/>
    <w:rsid w:val="00D05CE0"/>
    <w:rsid w:val="00D07B0D"/>
    <w:rsid w:val="00D100F8"/>
    <w:rsid w:val="00D114A9"/>
    <w:rsid w:val="00D2176E"/>
    <w:rsid w:val="00D27956"/>
    <w:rsid w:val="00D33FA1"/>
    <w:rsid w:val="00D35F29"/>
    <w:rsid w:val="00D6048D"/>
    <w:rsid w:val="00D61800"/>
    <w:rsid w:val="00D632BE"/>
    <w:rsid w:val="00D72D06"/>
    <w:rsid w:val="00D73662"/>
    <w:rsid w:val="00D7522C"/>
    <w:rsid w:val="00D7536F"/>
    <w:rsid w:val="00D76668"/>
    <w:rsid w:val="00D86B25"/>
    <w:rsid w:val="00D9096B"/>
    <w:rsid w:val="00D963A8"/>
    <w:rsid w:val="00DA5EBF"/>
    <w:rsid w:val="00DB1470"/>
    <w:rsid w:val="00DB27C1"/>
    <w:rsid w:val="00DC3D2C"/>
    <w:rsid w:val="00DC46BB"/>
    <w:rsid w:val="00DD7EBB"/>
    <w:rsid w:val="00DE65D8"/>
    <w:rsid w:val="00DF104E"/>
    <w:rsid w:val="00DF1D15"/>
    <w:rsid w:val="00DF1FA3"/>
    <w:rsid w:val="00DF2011"/>
    <w:rsid w:val="00DF237C"/>
    <w:rsid w:val="00DF69A1"/>
    <w:rsid w:val="00DF723E"/>
    <w:rsid w:val="00E02BB0"/>
    <w:rsid w:val="00E035D0"/>
    <w:rsid w:val="00E07383"/>
    <w:rsid w:val="00E105B4"/>
    <w:rsid w:val="00E165BC"/>
    <w:rsid w:val="00E1727D"/>
    <w:rsid w:val="00E2799C"/>
    <w:rsid w:val="00E31876"/>
    <w:rsid w:val="00E34425"/>
    <w:rsid w:val="00E45B06"/>
    <w:rsid w:val="00E50F8E"/>
    <w:rsid w:val="00E56E0B"/>
    <w:rsid w:val="00E6110E"/>
    <w:rsid w:val="00E61E12"/>
    <w:rsid w:val="00E62AC2"/>
    <w:rsid w:val="00E64BCC"/>
    <w:rsid w:val="00E66F72"/>
    <w:rsid w:val="00E734EC"/>
    <w:rsid w:val="00E7596C"/>
    <w:rsid w:val="00E878F2"/>
    <w:rsid w:val="00E91F29"/>
    <w:rsid w:val="00E9492A"/>
    <w:rsid w:val="00E95C2E"/>
    <w:rsid w:val="00EA3A13"/>
    <w:rsid w:val="00EA495C"/>
    <w:rsid w:val="00ED0149"/>
    <w:rsid w:val="00EE6BF3"/>
    <w:rsid w:val="00EF29D5"/>
    <w:rsid w:val="00EF7DE3"/>
    <w:rsid w:val="00F00E4F"/>
    <w:rsid w:val="00F03103"/>
    <w:rsid w:val="00F271DE"/>
    <w:rsid w:val="00F35830"/>
    <w:rsid w:val="00F3690E"/>
    <w:rsid w:val="00F47392"/>
    <w:rsid w:val="00F50B97"/>
    <w:rsid w:val="00F51AD0"/>
    <w:rsid w:val="00F55F84"/>
    <w:rsid w:val="00F627DA"/>
    <w:rsid w:val="00F638F8"/>
    <w:rsid w:val="00F65200"/>
    <w:rsid w:val="00F7288F"/>
    <w:rsid w:val="00F73899"/>
    <w:rsid w:val="00F845DA"/>
    <w:rsid w:val="00F847A6"/>
    <w:rsid w:val="00F9012F"/>
    <w:rsid w:val="00F9441B"/>
    <w:rsid w:val="00F970AC"/>
    <w:rsid w:val="00FA187F"/>
    <w:rsid w:val="00FA267E"/>
    <w:rsid w:val="00FA4C32"/>
    <w:rsid w:val="00FA633B"/>
    <w:rsid w:val="00FB0309"/>
    <w:rsid w:val="00FB1C41"/>
    <w:rsid w:val="00FB753D"/>
    <w:rsid w:val="00FC36A8"/>
    <w:rsid w:val="00FD3F65"/>
    <w:rsid w:val="00FD43D2"/>
    <w:rsid w:val="00FE1208"/>
    <w:rsid w:val="00FE3039"/>
    <w:rsid w:val="00FE620F"/>
    <w:rsid w:val="00FE7114"/>
    <w:rsid w:val="00FE7AFC"/>
    <w:rsid w:val="00FF4781"/>
    <w:rsid w:val="00FF5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character" w:customStyle="1" w:styleId="Heading1Char">
    <w:name w:val="Heading 1 Char"/>
    <w:basedOn w:val="DefaultParagraphFont"/>
    <w:link w:val="Heading1"/>
    <w:uiPriority w:val="9"/>
    <w:rsid w:val="007D4E17"/>
    <w:rPr>
      <w:smallCaps/>
      <w:noProof/>
    </w:rPr>
  </w:style>
  <w:style w:type="paragraph" w:styleId="Bibliography">
    <w:name w:val="Bibliography"/>
    <w:basedOn w:val="Normal"/>
    <w:next w:val="Normal"/>
    <w:uiPriority w:val="37"/>
    <w:unhideWhenUsed/>
    <w:rsid w:val="007D4E17"/>
  </w:style>
  <w:style w:type="paragraph" w:styleId="Caption">
    <w:name w:val="caption"/>
    <w:basedOn w:val="Normal"/>
    <w:next w:val="Normal"/>
    <w:autoRedefine/>
    <w:uiPriority w:val="35"/>
    <w:unhideWhenUsed/>
    <w:qFormat/>
    <w:rsid w:val="009B5E4F"/>
    <w:pPr>
      <w:keepNext/>
      <w:spacing w:after="10pt"/>
      <w:jc w:val="start"/>
    </w:pPr>
    <w:rPr>
      <w:rFonts w:eastAsiaTheme="minorHAnsi"/>
      <w:i/>
      <w:iCs/>
      <w:kern w:val="2"/>
      <w:sz w:val="22"/>
      <w:szCs w:val="18"/>
      <w14:ligatures w14:val="standardContextual"/>
    </w:rPr>
  </w:style>
  <w:style w:type="paragraph" w:customStyle="1" w:styleId="TableText">
    <w:name w:val="TableText"/>
    <w:basedOn w:val="Normal"/>
    <w:link w:val="TableTextChar"/>
    <w:autoRedefine/>
    <w:qFormat/>
    <w:rsid w:val="009B5E4F"/>
    <w:pPr>
      <w:jc w:val="start"/>
    </w:pPr>
    <w:rPr>
      <w:rFonts w:eastAsiaTheme="minorHAnsi"/>
      <w:bCs/>
      <w:kern w:val="2"/>
      <w:sz w:val="22"/>
      <w:szCs w:val="22"/>
      <w:lang w:val="en-GB"/>
      <w14:ligatures w14:val="standardContextual"/>
    </w:rPr>
  </w:style>
  <w:style w:type="character" w:customStyle="1" w:styleId="TableTextChar">
    <w:name w:val="TableText Char"/>
    <w:basedOn w:val="DefaultParagraphFont"/>
    <w:link w:val="TableText"/>
    <w:rsid w:val="009B5E4F"/>
    <w:rPr>
      <w:rFonts w:eastAsiaTheme="minorHAnsi"/>
      <w:bCs/>
      <w:kern w:val="2"/>
      <w:sz w:val="22"/>
      <w:szCs w:val="22"/>
      <w:lang w:val="en-GB"/>
      <w14:ligatures w14:val="standardContextual"/>
    </w:rPr>
  </w:style>
  <w:style w:type="table" w:styleId="TableGrid">
    <w:name w:val="Table Grid"/>
    <w:basedOn w:val="TableNormal"/>
    <w:uiPriority w:val="39"/>
    <w:rsid w:val="009B5E4F"/>
    <w:rPr>
      <w:rFonts w:asciiTheme="minorHAnsi" w:eastAsiaTheme="minorHAnsi" w:hAnsiTheme="minorHAnsi" w:cstheme="minorBidi"/>
      <w:kern w:val="2"/>
      <w:sz w:val="24"/>
      <w:szCs w:val="24"/>
      <w14:ligatures w14:val="standardContextual"/>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NoSpacing">
    <w:name w:val="No Spacing"/>
    <w:link w:val="NoSpacingChar"/>
    <w:uiPriority w:val="1"/>
    <w:qFormat/>
    <w:rsid w:val="00DA5EBF"/>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DA5EBF"/>
    <w:rPr>
      <w:rFonts w:asciiTheme="minorHAnsi" w:eastAsiaTheme="minorEastAsia" w:hAnsiTheme="minorHAnsi" w:cstheme="minorBidi"/>
      <w:sz w:val="22"/>
      <w:szCs w:val="22"/>
    </w:rPr>
  </w:style>
  <w:style w:type="paragraph" w:styleId="Title">
    <w:name w:val="Title"/>
    <w:basedOn w:val="Normal"/>
    <w:next w:val="Normal"/>
    <w:link w:val="TitleChar"/>
    <w:qFormat/>
    <w:rsid w:val="00B57CD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57CD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2">
      <w:bodyDiv w:val="1"/>
      <w:marLeft w:val="0pt"/>
      <w:marRight w:val="0pt"/>
      <w:marTop w:val="0pt"/>
      <w:marBottom w:val="0pt"/>
      <w:divBdr>
        <w:top w:val="none" w:sz="0" w:space="0" w:color="auto"/>
        <w:left w:val="none" w:sz="0" w:space="0" w:color="auto"/>
        <w:bottom w:val="none" w:sz="0" w:space="0" w:color="auto"/>
        <w:right w:val="none" w:sz="0" w:space="0" w:color="auto"/>
      </w:divBdr>
    </w:div>
    <w:div w:id="13269599">
      <w:bodyDiv w:val="1"/>
      <w:marLeft w:val="0pt"/>
      <w:marRight w:val="0pt"/>
      <w:marTop w:val="0pt"/>
      <w:marBottom w:val="0pt"/>
      <w:divBdr>
        <w:top w:val="none" w:sz="0" w:space="0" w:color="auto"/>
        <w:left w:val="none" w:sz="0" w:space="0" w:color="auto"/>
        <w:bottom w:val="none" w:sz="0" w:space="0" w:color="auto"/>
        <w:right w:val="none" w:sz="0" w:space="0" w:color="auto"/>
      </w:divBdr>
    </w:div>
    <w:div w:id="31656138">
      <w:bodyDiv w:val="1"/>
      <w:marLeft w:val="0pt"/>
      <w:marRight w:val="0pt"/>
      <w:marTop w:val="0pt"/>
      <w:marBottom w:val="0pt"/>
      <w:divBdr>
        <w:top w:val="none" w:sz="0" w:space="0" w:color="auto"/>
        <w:left w:val="none" w:sz="0" w:space="0" w:color="auto"/>
        <w:bottom w:val="none" w:sz="0" w:space="0" w:color="auto"/>
        <w:right w:val="none" w:sz="0" w:space="0" w:color="auto"/>
      </w:divBdr>
    </w:div>
    <w:div w:id="35661208">
      <w:bodyDiv w:val="1"/>
      <w:marLeft w:val="0pt"/>
      <w:marRight w:val="0pt"/>
      <w:marTop w:val="0pt"/>
      <w:marBottom w:val="0pt"/>
      <w:divBdr>
        <w:top w:val="none" w:sz="0" w:space="0" w:color="auto"/>
        <w:left w:val="none" w:sz="0" w:space="0" w:color="auto"/>
        <w:bottom w:val="none" w:sz="0" w:space="0" w:color="auto"/>
        <w:right w:val="none" w:sz="0" w:space="0" w:color="auto"/>
      </w:divBdr>
    </w:div>
    <w:div w:id="37169415">
      <w:bodyDiv w:val="1"/>
      <w:marLeft w:val="0pt"/>
      <w:marRight w:val="0pt"/>
      <w:marTop w:val="0pt"/>
      <w:marBottom w:val="0pt"/>
      <w:divBdr>
        <w:top w:val="none" w:sz="0" w:space="0" w:color="auto"/>
        <w:left w:val="none" w:sz="0" w:space="0" w:color="auto"/>
        <w:bottom w:val="none" w:sz="0" w:space="0" w:color="auto"/>
        <w:right w:val="none" w:sz="0" w:space="0" w:color="auto"/>
      </w:divBdr>
    </w:div>
    <w:div w:id="61828598">
      <w:bodyDiv w:val="1"/>
      <w:marLeft w:val="0pt"/>
      <w:marRight w:val="0pt"/>
      <w:marTop w:val="0pt"/>
      <w:marBottom w:val="0pt"/>
      <w:divBdr>
        <w:top w:val="none" w:sz="0" w:space="0" w:color="auto"/>
        <w:left w:val="none" w:sz="0" w:space="0" w:color="auto"/>
        <w:bottom w:val="none" w:sz="0" w:space="0" w:color="auto"/>
        <w:right w:val="none" w:sz="0" w:space="0" w:color="auto"/>
      </w:divBdr>
    </w:div>
    <w:div w:id="90126081">
      <w:bodyDiv w:val="1"/>
      <w:marLeft w:val="0pt"/>
      <w:marRight w:val="0pt"/>
      <w:marTop w:val="0pt"/>
      <w:marBottom w:val="0pt"/>
      <w:divBdr>
        <w:top w:val="none" w:sz="0" w:space="0" w:color="auto"/>
        <w:left w:val="none" w:sz="0" w:space="0" w:color="auto"/>
        <w:bottom w:val="none" w:sz="0" w:space="0" w:color="auto"/>
        <w:right w:val="none" w:sz="0" w:space="0" w:color="auto"/>
      </w:divBdr>
    </w:div>
    <w:div w:id="90318283">
      <w:bodyDiv w:val="1"/>
      <w:marLeft w:val="0pt"/>
      <w:marRight w:val="0pt"/>
      <w:marTop w:val="0pt"/>
      <w:marBottom w:val="0pt"/>
      <w:divBdr>
        <w:top w:val="none" w:sz="0" w:space="0" w:color="auto"/>
        <w:left w:val="none" w:sz="0" w:space="0" w:color="auto"/>
        <w:bottom w:val="none" w:sz="0" w:space="0" w:color="auto"/>
        <w:right w:val="none" w:sz="0" w:space="0" w:color="auto"/>
      </w:divBdr>
    </w:div>
    <w:div w:id="91709359">
      <w:bodyDiv w:val="1"/>
      <w:marLeft w:val="0pt"/>
      <w:marRight w:val="0pt"/>
      <w:marTop w:val="0pt"/>
      <w:marBottom w:val="0pt"/>
      <w:divBdr>
        <w:top w:val="none" w:sz="0" w:space="0" w:color="auto"/>
        <w:left w:val="none" w:sz="0" w:space="0" w:color="auto"/>
        <w:bottom w:val="none" w:sz="0" w:space="0" w:color="auto"/>
        <w:right w:val="none" w:sz="0" w:space="0" w:color="auto"/>
      </w:divBdr>
    </w:div>
    <w:div w:id="118034443">
      <w:bodyDiv w:val="1"/>
      <w:marLeft w:val="0pt"/>
      <w:marRight w:val="0pt"/>
      <w:marTop w:val="0pt"/>
      <w:marBottom w:val="0pt"/>
      <w:divBdr>
        <w:top w:val="none" w:sz="0" w:space="0" w:color="auto"/>
        <w:left w:val="none" w:sz="0" w:space="0" w:color="auto"/>
        <w:bottom w:val="none" w:sz="0" w:space="0" w:color="auto"/>
        <w:right w:val="none" w:sz="0" w:space="0" w:color="auto"/>
      </w:divBdr>
    </w:div>
    <w:div w:id="154999655">
      <w:bodyDiv w:val="1"/>
      <w:marLeft w:val="0pt"/>
      <w:marRight w:val="0pt"/>
      <w:marTop w:val="0pt"/>
      <w:marBottom w:val="0pt"/>
      <w:divBdr>
        <w:top w:val="none" w:sz="0" w:space="0" w:color="auto"/>
        <w:left w:val="none" w:sz="0" w:space="0" w:color="auto"/>
        <w:bottom w:val="none" w:sz="0" w:space="0" w:color="auto"/>
        <w:right w:val="none" w:sz="0" w:space="0" w:color="auto"/>
      </w:divBdr>
    </w:div>
    <w:div w:id="166753028">
      <w:bodyDiv w:val="1"/>
      <w:marLeft w:val="0pt"/>
      <w:marRight w:val="0pt"/>
      <w:marTop w:val="0pt"/>
      <w:marBottom w:val="0pt"/>
      <w:divBdr>
        <w:top w:val="none" w:sz="0" w:space="0" w:color="auto"/>
        <w:left w:val="none" w:sz="0" w:space="0" w:color="auto"/>
        <w:bottom w:val="none" w:sz="0" w:space="0" w:color="auto"/>
        <w:right w:val="none" w:sz="0" w:space="0" w:color="auto"/>
      </w:divBdr>
    </w:div>
    <w:div w:id="169415295">
      <w:bodyDiv w:val="1"/>
      <w:marLeft w:val="0pt"/>
      <w:marRight w:val="0pt"/>
      <w:marTop w:val="0pt"/>
      <w:marBottom w:val="0pt"/>
      <w:divBdr>
        <w:top w:val="none" w:sz="0" w:space="0" w:color="auto"/>
        <w:left w:val="none" w:sz="0" w:space="0" w:color="auto"/>
        <w:bottom w:val="none" w:sz="0" w:space="0" w:color="auto"/>
        <w:right w:val="none" w:sz="0" w:space="0" w:color="auto"/>
      </w:divBdr>
    </w:div>
    <w:div w:id="181089105">
      <w:bodyDiv w:val="1"/>
      <w:marLeft w:val="0pt"/>
      <w:marRight w:val="0pt"/>
      <w:marTop w:val="0pt"/>
      <w:marBottom w:val="0pt"/>
      <w:divBdr>
        <w:top w:val="none" w:sz="0" w:space="0" w:color="auto"/>
        <w:left w:val="none" w:sz="0" w:space="0" w:color="auto"/>
        <w:bottom w:val="none" w:sz="0" w:space="0" w:color="auto"/>
        <w:right w:val="none" w:sz="0" w:space="0" w:color="auto"/>
      </w:divBdr>
    </w:div>
    <w:div w:id="185751873">
      <w:bodyDiv w:val="1"/>
      <w:marLeft w:val="0pt"/>
      <w:marRight w:val="0pt"/>
      <w:marTop w:val="0pt"/>
      <w:marBottom w:val="0pt"/>
      <w:divBdr>
        <w:top w:val="none" w:sz="0" w:space="0" w:color="auto"/>
        <w:left w:val="none" w:sz="0" w:space="0" w:color="auto"/>
        <w:bottom w:val="none" w:sz="0" w:space="0" w:color="auto"/>
        <w:right w:val="none" w:sz="0" w:space="0" w:color="auto"/>
      </w:divBdr>
    </w:div>
    <w:div w:id="186451951">
      <w:bodyDiv w:val="1"/>
      <w:marLeft w:val="0pt"/>
      <w:marRight w:val="0pt"/>
      <w:marTop w:val="0pt"/>
      <w:marBottom w:val="0pt"/>
      <w:divBdr>
        <w:top w:val="none" w:sz="0" w:space="0" w:color="auto"/>
        <w:left w:val="none" w:sz="0" w:space="0" w:color="auto"/>
        <w:bottom w:val="none" w:sz="0" w:space="0" w:color="auto"/>
        <w:right w:val="none" w:sz="0" w:space="0" w:color="auto"/>
      </w:divBdr>
    </w:div>
    <w:div w:id="223951919">
      <w:bodyDiv w:val="1"/>
      <w:marLeft w:val="0pt"/>
      <w:marRight w:val="0pt"/>
      <w:marTop w:val="0pt"/>
      <w:marBottom w:val="0pt"/>
      <w:divBdr>
        <w:top w:val="none" w:sz="0" w:space="0" w:color="auto"/>
        <w:left w:val="none" w:sz="0" w:space="0" w:color="auto"/>
        <w:bottom w:val="none" w:sz="0" w:space="0" w:color="auto"/>
        <w:right w:val="none" w:sz="0" w:space="0" w:color="auto"/>
      </w:divBdr>
    </w:div>
    <w:div w:id="230238153">
      <w:bodyDiv w:val="1"/>
      <w:marLeft w:val="0pt"/>
      <w:marRight w:val="0pt"/>
      <w:marTop w:val="0pt"/>
      <w:marBottom w:val="0pt"/>
      <w:divBdr>
        <w:top w:val="none" w:sz="0" w:space="0" w:color="auto"/>
        <w:left w:val="none" w:sz="0" w:space="0" w:color="auto"/>
        <w:bottom w:val="none" w:sz="0" w:space="0" w:color="auto"/>
        <w:right w:val="none" w:sz="0" w:space="0" w:color="auto"/>
      </w:divBdr>
    </w:div>
    <w:div w:id="239487430">
      <w:bodyDiv w:val="1"/>
      <w:marLeft w:val="0pt"/>
      <w:marRight w:val="0pt"/>
      <w:marTop w:val="0pt"/>
      <w:marBottom w:val="0pt"/>
      <w:divBdr>
        <w:top w:val="none" w:sz="0" w:space="0" w:color="auto"/>
        <w:left w:val="none" w:sz="0" w:space="0" w:color="auto"/>
        <w:bottom w:val="none" w:sz="0" w:space="0" w:color="auto"/>
        <w:right w:val="none" w:sz="0" w:space="0" w:color="auto"/>
      </w:divBdr>
    </w:div>
    <w:div w:id="240213850">
      <w:bodyDiv w:val="1"/>
      <w:marLeft w:val="0pt"/>
      <w:marRight w:val="0pt"/>
      <w:marTop w:val="0pt"/>
      <w:marBottom w:val="0pt"/>
      <w:divBdr>
        <w:top w:val="none" w:sz="0" w:space="0" w:color="auto"/>
        <w:left w:val="none" w:sz="0" w:space="0" w:color="auto"/>
        <w:bottom w:val="none" w:sz="0" w:space="0" w:color="auto"/>
        <w:right w:val="none" w:sz="0" w:space="0" w:color="auto"/>
      </w:divBdr>
    </w:div>
    <w:div w:id="245844538">
      <w:bodyDiv w:val="1"/>
      <w:marLeft w:val="0pt"/>
      <w:marRight w:val="0pt"/>
      <w:marTop w:val="0pt"/>
      <w:marBottom w:val="0pt"/>
      <w:divBdr>
        <w:top w:val="none" w:sz="0" w:space="0" w:color="auto"/>
        <w:left w:val="none" w:sz="0" w:space="0" w:color="auto"/>
        <w:bottom w:val="none" w:sz="0" w:space="0" w:color="auto"/>
        <w:right w:val="none" w:sz="0" w:space="0" w:color="auto"/>
      </w:divBdr>
    </w:div>
    <w:div w:id="257257534">
      <w:bodyDiv w:val="1"/>
      <w:marLeft w:val="0pt"/>
      <w:marRight w:val="0pt"/>
      <w:marTop w:val="0pt"/>
      <w:marBottom w:val="0pt"/>
      <w:divBdr>
        <w:top w:val="none" w:sz="0" w:space="0" w:color="auto"/>
        <w:left w:val="none" w:sz="0" w:space="0" w:color="auto"/>
        <w:bottom w:val="none" w:sz="0" w:space="0" w:color="auto"/>
        <w:right w:val="none" w:sz="0" w:space="0" w:color="auto"/>
      </w:divBdr>
    </w:div>
    <w:div w:id="284390029">
      <w:bodyDiv w:val="1"/>
      <w:marLeft w:val="0pt"/>
      <w:marRight w:val="0pt"/>
      <w:marTop w:val="0pt"/>
      <w:marBottom w:val="0pt"/>
      <w:divBdr>
        <w:top w:val="none" w:sz="0" w:space="0" w:color="auto"/>
        <w:left w:val="none" w:sz="0" w:space="0" w:color="auto"/>
        <w:bottom w:val="none" w:sz="0" w:space="0" w:color="auto"/>
        <w:right w:val="none" w:sz="0" w:space="0" w:color="auto"/>
      </w:divBdr>
    </w:div>
    <w:div w:id="289018168">
      <w:bodyDiv w:val="1"/>
      <w:marLeft w:val="0pt"/>
      <w:marRight w:val="0pt"/>
      <w:marTop w:val="0pt"/>
      <w:marBottom w:val="0pt"/>
      <w:divBdr>
        <w:top w:val="none" w:sz="0" w:space="0" w:color="auto"/>
        <w:left w:val="none" w:sz="0" w:space="0" w:color="auto"/>
        <w:bottom w:val="none" w:sz="0" w:space="0" w:color="auto"/>
        <w:right w:val="none" w:sz="0" w:space="0" w:color="auto"/>
      </w:divBdr>
    </w:div>
    <w:div w:id="295457451">
      <w:bodyDiv w:val="1"/>
      <w:marLeft w:val="0pt"/>
      <w:marRight w:val="0pt"/>
      <w:marTop w:val="0pt"/>
      <w:marBottom w:val="0pt"/>
      <w:divBdr>
        <w:top w:val="none" w:sz="0" w:space="0" w:color="auto"/>
        <w:left w:val="none" w:sz="0" w:space="0" w:color="auto"/>
        <w:bottom w:val="none" w:sz="0" w:space="0" w:color="auto"/>
        <w:right w:val="none" w:sz="0" w:space="0" w:color="auto"/>
      </w:divBdr>
    </w:div>
    <w:div w:id="309939431">
      <w:bodyDiv w:val="1"/>
      <w:marLeft w:val="0pt"/>
      <w:marRight w:val="0pt"/>
      <w:marTop w:val="0pt"/>
      <w:marBottom w:val="0pt"/>
      <w:divBdr>
        <w:top w:val="none" w:sz="0" w:space="0" w:color="auto"/>
        <w:left w:val="none" w:sz="0" w:space="0" w:color="auto"/>
        <w:bottom w:val="none" w:sz="0" w:space="0" w:color="auto"/>
        <w:right w:val="none" w:sz="0" w:space="0" w:color="auto"/>
      </w:divBdr>
    </w:div>
    <w:div w:id="323047503">
      <w:bodyDiv w:val="1"/>
      <w:marLeft w:val="0pt"/>
      <w:marRight w:val="0pt"/>
      <w:marTop w:val="0pt"/>
      <w:marBottom w:val="0pt"/>
      <w:divBdr>
        <w:top w:val="none" w:sz="0" w:space="0" w:color="auto"/>
        <w:left w:val="none" w:sz="0" w:space="0" w:color="auto"/>
        <w:bottom w:val="none" w:sz="0" w:space="0" w:color="auto"/>
        <w:right w:val="none" w:sz="0" w:space="0" w:color="auto"/>
      </w:divBdr>
    </w:div>
    <w:div w:id="362823359">
      <w:bodyDiv w:val="1"/>
      <w:marLeft w:val="0pt"/>
      <w:marRight w:val="0pt"/>
      <w:marTop w:val="0pt"/>
      <w:marBottom w:val="0pt"/>
      <w:divBdr>
        <w:top w:val="none" w:sz="0" w:space="0" w:color="auto"/>
        <w:left w:val="none" w:sz="0" w:space="0" w:color="auto"/>
        <w:bottom w:val="none" w:sz="0" w:space="0" w:color="auto"/>
        <w:right w:val="none" w:sz="0" w:space="0" w:color="auto"/>
      </w:divBdr>
    </w:div>
    <w:div w:id="428086937">
      <w:bodyDiv w:val="1"/>
      <w:marLeft w:val="0pt"/>
      <w:marRight w:val="0pt"/>
      <w:marTop w:val="0pt"/>
      <w:marBottom w:val="0pt"/>
      <w:divBdr>
        <w:top w:val="none" w:sz="0" w:space="0" w:color="auto"/>
        <w:left w:val="none" w:sz="0" w:space="0" w:color="auto"/>
        <w:bottom w:val="none" w:sz="0" w:space="0" w:color="auto"/>
        <w:right w:val="none" w:sz="0" w:space="0" w:color="auto"/>
      </w:divBdr>
    </w:div>
    <w:div w:id="428283676">
      <w:bodyDiv w:val="1"/>
      <w:marLeft w:val="0pt"/>
      <w:marRight w:val="0pt"/>
      <w:marTop w:val="0pt"/>
      <w:marBottom w:val="0pt"/>
      <w:divBdr>
        <w:top w:val="none" w:sz="0" w:space="0" w:color="auto"/>
        <w:left w:val="none" w:sz="0" w:space="0" w:color="auto"/>
        <w:bottom w:val="none" w:sz="0" w:space="0" w:color="auto"/>
        <w:right w:val="none" w:sz="0" w:space="0" w:color="auto"/>
      </w:divBdr>
    </w:div>
    <w:div w:id="449981226">
      <w:bodyDiv w:val="1"/>
      <w:marLeft w:val="0pt"/>
      <w:marRight w:val="0pt"/>
      <w:marTop w:val="0pt"/>
      <w:marBottom w:val="0pt"/>
      <w:divBdr>
        <w:top w:val="none" w:sz="0" w:space="0" w:color="auto"/>
        <w:left w:val="none" w:sz="0" w:space="0" w:color="auto"/>
        <w:bottom w:val="none" w:sz="0" w:space="0" w:color="auto"/>
        <w:right w:val="none" w:sz="0" w:space="0" w:color="auto"/>
      </w:divBdr>
    </w:div>
    <w:div w:id="474223874">
      <w:bodyDiv w:val="1"/>
      <w:marLeft w:val="0pt"/>
      <w:marRight w:val="0pt"/>
      <w:marTop w:val="0pt"/>
      <w:marBottom w:val="0pt"/>
      <w:divBdr>
        <w:top w:val="none" w:sz="0" w:space="0" w:color="auto"/>
        <w:left w:val="none" w:sz="0" w:space="0" w:color="auto"/>
        <w:bottom w:val="none" w:sz="0" w:space="0" w:color="auto"/>
        <w:right w:val="none" w:sz="0" w:space="0" w:color="auto"/>
      </w:divBdr>
    </w:div>
    <w:div w:id="498081598">
      <w:bodyDiv w:val="1"/>
      <w:marLeft w:val="0pt"/>
      <w:marRight w:val="0pt"/>
      <w:marTop w:val="0pt"/>
      <w:marBottom w:val="0pt"/>
      <w:divBdr>
        <w:top w:val="none" w:sz="0" w:space="0" w:color="auto"/>
        <w:left w:val="none" w:sz="0" w:space="0" w:color="auto"/>
        <w:bottom w:val="none" w:sz="0" w:space="0" w:color="auto"/>
        <w:right w:val="none" w:sz="0" w:space="0" w:color="auto"/>
      </w:divBdr>
    </w:div>
    <w:div w:id="512307920">
      <w:bodyDiv w:val="1"/>
      <w:marLeft w:val="0pt"/>
      <w:marRight w:val="0pt"/>
      <w:marTop w:val="0pt"/>
      <w:marBottom w:val="0pt"/>
      <w:divBdr>
        <w:top w:val="none" w:sz="0" w:space="0" w:color="auto"/>
        <w:left w:val="none" w:sz="0" w:space="0" w:color="auto"/>
        <w:bottom w:val="none" w:sz="0" w:space="0" w:color="auto"/>
        <w:right w:val="none" w:sz="0" w:space="0" w:color="auto"/>
      </w:divBdr>
    </w:div>
    <w:div w:id="524708668">
      <w:bodyDiv w:val="1"/>
      <w:marLeft w:val="0pt"/>
      <w:marRight w:val="0pt"/>
      <w:marTop w:val="0pt"/>
      <w:marBottom w:val="0pt"/>
      <w:divBdr>
        <w:top w:val="none" w:sz="0" w:space="0" w:color="auto"/>
        <w:left w:val="none" w:sz="0" w:space="0" w:color="auto"/>
        <w:bottom w:val="none" w:sz="0" w:space="0" w:color="auto"/>
        <w:right w:val="none" w:sz="0" w:space="0" w:color="auto"/>
      </w:divBdr>
    </w:div>
    <w:div w:id="531841628">
      <w:bodyDiv w:val="1"/>
      <w:marLeft w:val="0pt"/>
      <w:marRight w:val="0pt"/>
      <w:marTop w:val="0pt"/>
      <w:marBottom w:val="0pt"/>
      <w:divBdr>
        <w:top w:val="none" w:sz="0" w:space="0" w:color="auto"/>
        <w:left w:val="none" w:sz="0" w:space="0" w:color="auto"/>
        <w:bottom w:val="none" w:sz="0" w:space="0" w:color="auto"/>
        <w:right w:val="none" w:sz="0" w:space="0" w:color="auto"/>
      </w:divBdr>
    </w:div>
    <w:div w:id="547650826">
      <w:bodyDiv w:val="1"/>
      <w:marLeft w:val="0pt"/>
      <w:marRight w:val="0pt"/>
      <w:marTop w:val="0pt"/>
      <w:marBottom w:val="0pt"/>
      <w:divBdr>
        <w:top w:val="none" w:sz="0" w:space="0" w:color="auto"/>
        <w:left w:val="none" w:sz="0" w:space="0" w:color="auto"/>
        <w:bottom w:val="none" w:sz="0" w:space="0" w:color="auto"/>
        <w:right w:val="none" w:sz="0" w:space="0" w:color="auto"/>
      </w:divBdr>
    </w:div>
    <w:div w:id="548031746">
      <w:bodyDiv w:val="1"/>
      <w:marLeft w:val="0pt"/>
      <w:marRight w:val="0pt"/>
      <w:marTop w:val="0pt"/>
      <w:marBottom w:val="0pt"/>
      <w:divBdr>
        <w:top w:val="none" w:sz="0" w:space="0" w:color="auto"/>
        <w:left w:val="none" w:sz="0" w:space="0" w:color="auto"/>
        <w:bottom w:val="none" w:sz="0" w:space="0" w:color="auto"/>
        <w:right w:val="none" w:sz="0" w:space="0" w:color="auto"/>
      </w:divBdr>
    </w:div>
    <w:div w:id="563107245">
      <w:bodyDiv w:val="1"/>
      <w:marLeft w:val="0pt"/>
      <w:marRight w:val="0pt"/>
      <w:marTop w:val="0pt"/>
      <w:marBottom w:val="0pt"/>
      <w:divBdr>
        <w:top w:val="none" w:sz="0" w:space="0" w:color="auto"/>
        <w:left w:val="none" w:sz="0" w:space="0" w:color="auto"/>
        <w:bottom w:val="none" w:sz="0" w:space="0" w:color="auto"/>
        <w:right w:val="none" w:sz="0" w:space="0" w:color="auto"/>
      </w:divBdr>
    </w:div>
    <w:div w:id="566382374">
      <w:bodyDiv w:val="1"/>
      <w:marLeft w:val="0pt"/>
      <w:marRight w:val="0pt"/>
      <w:marTop w:val="0pt"/>
      <w:marBottom w:val="0pt"/>
      <w:divBdr>
        <w:top w:val="none" w:sz="0" w:space="0" w:color="auto"/>
        <w:left w:val="none" w:sz="0" w:space="0" w:color="auto"/>
        <w:bottom w:val="none" w:sz="0" w:space="0" w:color="auto"/>
        <w:right w:val="none" w:sz="0" w:space="0" w:color="auto"/>
      </w:divBdr>
    </w:div>
    <w:div w:id="579483394">
      <w:bodyDiv w:val="1"/>
      <w:marLeft w:val="0pt"/>
      <w:marRight w:val="0pt"/>
      <w:marTop w:val="0pt"/>
      <w:marBottom w:val="0pt"/>
      <w:divBdr>
        <w:top w:val="none" w:sz="0" w:space="0" w:color="auto"/>
        <w:left w:val="none" w:sz="0" w:space="0" w:color="auto"/>
        <w:bottom w:val="none" w:sz="0" w:space="0" w:color="auto"/>
        <w:right w:val="none" w:sz="0" w:space="0" w:color="auto"/>
      </w:divBdr>
    </w:div>
    <w:div w:id="583035772">
      <w:bodyDiv w:val="1"/>
      <w:marLeft w:val="0pt"/>
      <w:marRight w:val="0pt"/>
      <w:marTop w:val="0pt"/>
      <w:marBottom w:val="0pt"/>
      <w:divBdr>
        <w:top w:val="none" w:sz="0" w:space="0" w:color="auto"/>
        <w:left w:val="none" w:sz="0" w:space="0" w:color="auto"/>
        <w:bottom w:val="none" w:sz="0" w:space="0" w:color="auto"/>
        <w:right w:val="none" w:sz="0" w:space="0" w:color="auto"/>
      </w:divBdr>
    </w:div>
    <w:div w:id="587468878">
      <w:bodyDiv w:val="1"/>
      <w:marLeft w:val="0pt"/>
      <w:marRight w:val="0pt"/>
      <w:marTop w:val="0pt"/>
      <w:marBottom w:val="0pt"/>
      <w:divBdr>
        <w:top w:val="none" w:sz="0" w:space="0" w:color="auto"/>
        <w:left w:val="none" w:sz="0" w:space="0" w:color="auto"/>
        <w:bottom w:val="none" w:sz="0" w:space="0" w:color="auto"/>
        <w:right w:val="none" w:sz="0" w:space="0" w:color="auto"/>
      </w:divBdr>
    </w:div>
    <w:div w:id="589313434">
      <w:bodyDiv w:val="1"/>
      <w:marLeft w:val="0pt"/>
      <w:marRight w:val="0pt"/>
      <w:marTop w:val="0pt"/>
      <w:marBottom w:val="0pt"/>
      <w:divBdr>
        <w:top w:val="none" w:sz="0" w:space="0" w:color="auto"/>
        <w:left w:val="none" w:sz="0" w:space="0" w:color="auto"/>
        <w:bottom w:val="none" w:sz="0" w:space="0" w:color="auto"/>
        <w:right w:val="none" w:sz="0" w:space="0" w:color="auto"/>
      </w:divBdr>
    </w:div>
    <w:div w:id="594631412">
      <w:bodyDiv w:val="1"/>
      <w:marLeft w:val="0pt"/>
      <w:marRight w:val="0pt"/>
      <w:marTop w:val="0pt"/>
      <w:marBottom w:val="0pt"/>
      <w:divBdr>
        <w:top w:val="none" w:sz="0" w:space="0" w:color="auto"/>
        <w:left w:val="none" w:sz="0" w:space="0" w:color="auto"/>
        <w:bottom w:val="none" w:sz="0" w:space="0" w:color="auto"/>
        <w:right w:val="none" w:sz="0" w:space="0" w:color="auto"/>
      </w:divBdr>
    </w:div>
    <w:div w:id="602612080">
      <w:bodyDiv w:val="1"/>
      <w:marLeft w:val="0pt"/>
      <w:marRight w:val="0pt"/>
      <w:marTop w:val="0pt"/>
      <w:marBottom w:val="0pt"/>
      <w:divBdr>
        <w:top w:val="none" w:sz="0" w:space="0" w:color="auto"/>
        <w:left w:val="none" w:sz="0" w:space="0" w:color="auto"/>
        <w:bottom w:val="none" w:sz="0" w:space="0" w:color="auto"/>
        <w:right w:val="none" w:sz="0" w:space="0" w:color="auto"/>
      </w:divBdr>
    </w:div>
    <w:div w:id="604776777">
      <w:bodyDiv w:val="1"/>
      <w:marLeft w:val="0pt"/>
      <w:marRight w:val="0pt"/>
      <w:marTop w:val="0pt"/>
      <w:marBottom w:val="0pt"/>
      <w:divBdr>
        <w:top w:val="none" w:sz="0" w:space="0" w:color="auto"/>
        <w:left w:val="none" w:sz="0" w:space="0" w:color="auto"/>
        <w:bottom w:val="none" w:sz="0" w:space="0" w:color="auto"/>
        <w:right w:val="none" w:sz="0" w:space="0" w:color="auto"/>
      </w:divBdr>
    </w:div>
    <w:div w:id="645746752">
      <w:bodyDiv w:val="1"/>
      <w:marLeft w:val="0pt"/>
      <w:marRight w:val="0pt"/>
      <w:marTop w:val="0pt"/>
      <w:marBottom w:val="0pt"/>
      <w:divBdr>
        <w:top w:val="none" w:sz="0" w:space="0" w:color="auto"/>
        <w:left w:val="none" w:sz="0" w:space="0" w:color="auto"/>
        <w:bottom w:val="none" w:sz="0" w:space="0" w:color="auto"/>
        <w:right w:val="none" w:sz="0" w:space="0" w:color="auto"/>
      </w:divBdr>
    </w:div>
    <w:div w:id="666708201">
      <w:bodyDiv w:val="1"/>
      <w:marLeft w:val="0pt"/>
      <w:marRight w:val="0pt"/>
      <w:marTop w:val="0pt"/>
      <w:marBottom w:val="0pt"/>
      <w:divBdr>
        <w:top w:val="none" w:sz="0" w:space="0" w:color="auto"/>
        <w:left w:val="none" w:sz="0" w:space="0" w:color="auto"/>
        <w:bottom w:val="none" w:sz="0" w:space="0" w:color="auto"/>
        <w:right w:val="none" w:sz="0" w:space="0" w:color="auto"/>
      </w:divBdr>
    </w:div>
    <w:div w:id="673610294">
      <w:bodyDiv w:val="1"/>
      <w:marLeft w:val="0pt"/>
      <w:marRight w:val="0pt"/>
      <w:marTop w:val="0pt"/>
      <w:marBottom w:val="0pt"/>
      <w:divBdr>
        <w:top w:val="none" w:sz="0" w:space="0" w:color="auto"/>
        <w:left w:val="none" w:sz="0" w:space="0" w:color="auto"/>
        <w:bottom w:val="none" w:sz="0" w:space="0" w:color="auto"/>
        <w:right w:val="none" w:sz="0" w:space="0" w:color="auto"/>
      </w:divBdr>
    </w:div>
    <w:div w:id="687373506">
      <w:bodyDiv w:val="1"/>
      <w:marLeft w:val="0pt"/>
      <w:marRight w:val="0pt"/>
      <w:marTop w:val="0pt"/>
      <w:marBottom w:val="0pt"/>
      <w:divBdr>
        <w:top w:val="none" w:sz="0" w:space="0" w:color="auto"/>
        <w:left w:val="none" w:sz="0" w:space="0" w:color="auto"/>
        <w:bottom w:val="none" w:sz="0" w:space="0" w:color="auto"/>
        <w:right w:val="none" w:sz="0" w:space="0" w:color="auto"/>
      </w:divBdr>
    </w:div>
    <w:div w:id="692462851">
      <w:bodyDiv w:val="1"/>
      <w:marLeft w:val="0pt"/>
      <w:marRight w:val="0pt"/>
      <w:marTop w:val="0pt"/>
      <w:marBottom w:val="0pt"/>
      <w:divBdr>
        <w:top w:val="none" w:sz="0" w:space="0" w:color="auto"/>
        <w:left w:val="none" w:sz="0" w:space="0" w:color="auto"/>
        <w:bottom w:val="none" w:sz="0" w:space="0" w:color="auto"/>
        <w:right w:val="none" w:sz="0" w:space="0" w:color="auto"/>
      </w:divBdr>
    </w:div>
    <w:div w:id="697893494">
      <w:bodyDiv w:val="1"/>
      <w:marLeft w:val="0pt"/>
      <w:marRight w:val="0pt"/>
      <w:marTop w:val="0pt"/>
      <w:marBottom w:val="0pt"/>
      <w:divBdr>
        <w:top w:val="none" w:sz="0" w:space="0" w:color="auto"/>
        <w:left w:val="none" w:sz="0" w:space="0" w:color="auto"/>
        <w:bottom w:val="none" w:sz="0" w:space="0" w:color="auto"/>
        <w:right w:val="none" w:sz="0" w:space="0" w:color="auto"/>
      </w:divBdr>
    </w:div>
    <w:div w:id="700134676">
      <w:bodyDiv w:val="1"/>
      <w:marLeft w:val="0pt"/>
      <w:marRight w:val="0pt"/>
      <w:marTop w:val="0pt"/>
      <w:marBottom w:val="0pt"/>
      <w:divBdr>
        <w:top w:val="none" w:sz="0" w:space="0" w:color="auto"/>
        <w:left w:val="none" w:sz="0" w:space="0" w:color="auto"/>
        <w:bottom w:val="none" w:sz="0" w:space="0" w:color="auto"/>
        <w:right w:val="none" w:sz="0" w:space="0" w:color="auto"/>
      </w:divBdr>
    </w:div>
    <w:div w:id="713887592">
      <w:bodyDiv w:val="1"/>
      <w:marLeft w:val="0pt"/>
      <w:marRight w:val="0pt"/>
      <w:marTop w:val="0pt"/>
      <w:marBottom w:val="0pt"/>
      <w:divBdr>
        <w:top w:val="none" w:sz="0" w:space="0" w:color="auto"/>
        <w:left w:val="none" w:sz="0" w:space="0" w:color="auto"/>
        <w:bottom w:val="none" w:sz="0" w:space="0" w:color="auto"/>
        <w:right w:val="none" w:sz="0" w:space="0" w:color="auto"/>
      </w:divBdr>
    </w:div>
    <w:div w:id="757020371">
      <w:bodyDiv w:val="1"/>
      <w:marLeft w:val="0pt"/>
      <w:marRight w:val="0pt"/>
      <w:marTop w:val="0pt"/>
      <w:marBottom w:val="0pt"/>
      <w:divBdr>
        <w:top w:val="none" w:sz="0" w:space="0" w:color="auto"/>
        <w:left w:val="none" w:sz="0" w:space="0" w:color="auto"/>
        <w:bottom w:val="none" w:sz="0" w:space="0" w:color="auto"/>
        <w:right w:val="none" w:sz="0" w:space="0" w:color="auto"/>
      </w:divBdr>
    </w:div>
    <w:div w:id="759759424">
      <w:bodyDiv w:val="1"/>
      <w:marLeft w:val="0pt"/>
      <w:marRight w:val="0pt"/>
      <w:marTop w:val="0pt"/>
      <w:marBottom w:val="0pt"/>
      <w:divBdr>
        <w:top w:val="none" w:sz="0" w:space="0" w:color="auto"/>
        <w:left w:val="none" w:sz="0" w:space="0" w:color="auto"/>
        <w:bottom w:val="none" w:sz="0" w:space="0" w:color="auto"/>
        <w:right w:val="none" w:sz="0" w:space="0" w:color="auto"/>
      </w:divBdr>
    </w:div>
    <w:div w:id="765344615">
      <w:bodyDiv w:val="1"/>
      <w:marLeft w:val="0pt"/>
      <w:marRight w:val="0pt"/>
      <w:marTop w:val="0pt"/>
      <w:marBottom w:val="0pt"/>
      <w:divBdr>
        <w:top w:val="none" w:sz="0" w:space="0" w:color="auto"/>
        <w:left w:val="none" w:sz="0" w:space="0" w:color="auto"/>
        <w:bottom w:val="none" w:sz="0" w:space="0" w:color="auto"/>
        <w:right w:val="none" w:sz="0" w:space="0" w:color="auto"/>
      </w:divBdr>
    </w:div>
    <w:div w:id="793867483">
      <w:bodyDiv w:val="1"/>
      <w:marLeft w:val="0pt"/>
      <w:marRight w:val="0pt"/>
      <w:marTop w:val="0pt"/>
      <w:marBottom w:val="0pt"/>
      <w:divBdr>
        <w:top w:val="none" w:sz="0" w:space="0" w:color="auto"/>
        <w:left w:val="none" w:sz="0" w:space="0" w:color="auto"/>
        <w:bottom w:val="none" w:sz="0" w:space="0" w:color="auto"/>
        <w:right w:val="none" w:sz="0" w:space="0" w:color="auto"/>
      </w:divBdr>
    </w:div>
    <w:div w:id="809057146">
      <w:bodyDiv w:val="1"/>
      <w:marLeft w:val="0pt"/>
      <w:marRight w:val="0pt"/>
      <w:marTop w:val="0pt"/>
      <w:marBottom w:val="0pt"/>
      <w:divBdr>
        <w:top w:val="none" w:sz="0" w:space="0" w:color="auto"/>
        <w:left w:val="none" w:sz="0" w:space="0" w:color="auto"/>
        <w:bottom w:val="none" w:sz="0" w:space="0" w:color="auto"/>
        <w:right w:val="none" w:sz="0" w:space="0" w:color="auto"/>
      </w:divBdr>
    </w:div>
    <w:div w:id="860825071">
      <w:bodyDiv w:val="1"/>
      <w:marLeft w:val="0pt"/>
      <w:marRight w:val="0pt"/>
      <w:marTop w:val="0pt"/>
      <w:marBottom w:val="0pt"/>
      <w:divBdr>
        <w:top w:val="none" w:sz="0" w:space="0" w:color="auto"/>
        <w:left w:val="none" w:sz="0" w:space="0" w:color="auto"/>
        <w:bottom w:val="none" w:sz="0" w:space="0" w:color="auto"/>
        <w:right w:val="none" w:sz="0" w:space="0" w:color="auto"/>
      </w:divBdr>
    </w:div>
    <w:div w:id="869074119">
      <w:bodyDiv w:val="1"/>
      <w:marLeft w:val="0pt"/>
      <w:marRight w:val="0pt"/>
      <w:marTop w:val="0pt"/>
      <w:marBottom w:val="0pt"/>
      <w:divBdr>
        <w:top w:val="none" w:sz="0" w:space="0" w:color="auto"/>
        <w:left w:val="none" w:sz="0" w:space="0" w:color="auto"/>
        <w:bottom w:val="none" w:sz="0" w:space="0" w:color="auto"/>
        <w:right w:val="none" w:sz="0" w:space="0" w:color="auto"/>
      </w:divBdr>
    </w:div>
    <w:div w:id="873689063">
      <w:bodyDiv w:val="1"/>
      <w:marLeft w:val="0pt"/>
      <w:marRight w:val="0pt"/>
      <w:marTop w:val="0pt"/>
      <w:marBottom w:val="0pt"/>
      <w:divBdr>
        <w:top w:val="none" w:sz="0" w:space="0" w:color="auto"/>
        <w:left w:val="none" w:sz="0" w:space="0" w:color="auto"/>
        <w:bottom w:val="none" w:sz="0" w:space="0" w:color="auto"/>
        <w:right w:val="none" w:sz="0" w:space="0" w:color="auto"/>
      </w:divBdr>
    </w:div>
    <w:div w:id="873733053">
      <w:bodyDiv w:val="1"/>
      <w:marLeft w:val="0pt"/>
      <w:marRight w:val="0pt"/>
      <w:marTop w:val="0pt"/>
      <w:marBottom w:val="0pt"/>
      <w:divBdr>
        <w:top w:val="none" w:sz="0" w:space="0" w:color="auto"/>
        <w:left w:val="none" w:sz="0" w:space="0" w:color="auto"/>
        <w:bottom w:val="none" w:sz="0" w:space="0" w:color="auto"/>
        <w:right w:val="none" w:sz="0" w:space="0" w:color="auto"/>
      </w:divBdr>
    </w:div>
    <w:div w:id="895748444">
      <w:bodyDiv w:val="1"/>
      <w:marLeft w:val="0pt"/>
      <w:marRight w:val="0pt"/>
      <w:marTop w:val="0pt"/>
      <w:marBottom w:val="0pt"/>
      <w:divBdr>
        <w:top w:val="none" w:sz="0" w:space="0" w:color="auto"/>
        <w:left w:val="none" w:sz="0" w:space="0" w:color="auto"/>
        <w:bottom w:val="none" w:sz="0" w:space="0" w:color="auto"/>
        <w:right w:val="none" w:sz="0" w:space="0" w:color="auto"/>
      </w:divBdr>
    </w:div>
    <w:div w:id="910583778">
      <w:bodyDiv w:val="1"/>
      <w:marLeft w:val="0pt"/>
      <w:marRight w:val="0pt"/>
      <w:marTop w:val="0pt"/>
      <w:marBottom w:val="0pt"/>
      <w:divBdr>
        <w:top w:val="none" w:sz="0" w:space="0" w:color="auto"/>
        <w:left w:val="none" w:sz="0" w:space="0" w:color="auto"/>
        <w:bottom w:val="none" w:sz="0" w:space="0" w:color="auto"/>
        <w:right w:val="none" w:sz="0" w:space="0" w:color="auto"/>
      </w:divBdr>
    </w:div>
    <w:div w:id="939066284">
      <w:bodyDiv w:val="1"/>
      <w:marLeft w:val="0pt"/>
      <w:marRight w:val="0pt"/>
      <w:marTop w:val="0pt"/>
      <w:marBottom w:val="0pt"/>
      <w:divBdr>
        <w:top w:val="none" w:sz="0" w:space="0" w:color="auto"/>
        <w:left w:val="none" w:sz="0" w:space="0" w:color="auto"/>
        <w:bottom w:val="none" w:sz="0" w:space="0" w:color="auto"/>
        <w:right w:val="none" w:sz="0" w:space="0" w:color="auto"/>
      </w:divBdr>
    </w:div>
    <w:div w:id="1002514539">
      <w:bodyDiv w:val="1"/>
      <w:marLeft w:val="0pt"/>
      <w:marRight w:val="0pt"/>
      <w:marTop w:val="0pt"/>
      <w:marBottom w:val="0pt"/>
      <w:divBdr>
        <w:top w:val="none" w:sz="0" w:space="0" w:color="auto"/>
        <w:left w:val="none" w:sz="0" w:space="0" w:color="auto"/>
        <w:bottom w:val="none" w:sz="0" w:space="0" w:color="auto"/>
        <w:right w:val="none" w:sz="0" w:space="0" w:color="auto"/>
      </w:divBdr>
    </w:div>
    <w:div w:id="1005591333">
      <w:bodyDiv w:val="1"/>
      <w:marLeft w:val="0pt"/>
      <w:marRight w:val="0pt"/>
      <w:marTop w:val="0pt"/>
      <w:marBottom w:val="0pt"/>
      <w:divBdr>
        <w:top w:val="none" w:sz="0" w:space="0" w:color="auto"/>
        <w:left w:val="none" w:sz="0" w:space="0" w:color="auto"/>
        <w:bottom w:val="none" w:sz="0" w:space="0" w:color="auto"/>
        <w:right w:val="none" w:sz="0" w:space="0" w:color="auto"/>
      </w:divBdr>
    </w:div>
    <w:div w:id="1018001810">
      <w:bodyDiv w:val="1"/>
      <w:marLeft w:val="0pt"/>
      <w:marRight w:val="0pt"/>
      <w:marTop w:val="0pt"/>
      <w:marBottom w:val="0pt"/>
      <w:divBdr>
        <w:top w:val="none" w:sz="0" w:space="0" w:color="auto"/>
        <w:left w:val="none" w:sz="0" w:space="0" w:color="auto"/>
        <w:bottom w:val="none" w:sz="0" w:space="0" w:color="auto"/>
        <w:right w:val="none" w:sz="0" w:space="0" w:color="auto"/>
      </w:divBdr>
    </w:div>
    <w:div w:id="1045327848">
      <w:bodyDiv w:val="1"/>
      <w:marLeft w:val="0pt"/>
      <w:marRight w:val="0pt"/>
      <w:marTop w:val="0pt"/>
      <w:marBottom w:val="0pt"/>
      <w:divBdr>
        <w:top w:val="none" w:sz="0" w:space="0" w:color="auto"/>
        <w:left w:val="none" w:sz="0" w:space="0" w:color="auto"/>
        <w:bottom w:val="none" w:sz="0" w:space="0" w:color="auto"/>
        <w:right w:val="none" w:sz="0" w:space="0" w:color="auto"/>
      </w:divBdr>
    </w:div>
    <w:div w:id="1064254863">
      <w:bodyDiv w:val="1"/>
      <w:marLeft w:val="0pt"/>
      <w:marRight w:val="0pt"/>
      <w:marTop w:val="0pt"/>
      <w:marBottom w:val="0pt"/>
      <w:divBdr>
        <w:top w:val="none" w:sz="0" w:space="0" w:color="auto"/>
        <w:left w:val="none" w:sz="0" w:space="0" w:color="auto"/>
        <w:bottom w:val="none" w:sz="0" w:space="0" w:color="auto"/>
        <w:right w:val="none" w:sz="0" w:space="0" w:color="auto"/>
      </w:divBdr>
    </w:div>
    <w:div w:id="1120149948">
      <w:bodyDiv w:val="1"/>
      <w:marLeft w:val="0pt"/>
      <w:marRight w:val="0pt"/>
      <w:marTop w:val="0pt"/>
      <w:marBottom w:val="0pt"/>
      <w:divBdr>
        <w:top w:val="none" w:sz="0" w:space="0" w:color="auto"/>
        <w:left w:val="none" w:sz="0" w:space="0" w:color="auto"/>
        <w:bottom w:val="none" w:sz="0" w:space="0" w:color="auto"/>
        <w:right w:val="none" w:sz="0" w:space="0" w:color="auto"/>
      </w:divBdr>
    </w:div>
    <w:div w:id="1157186079">
      <w:bodyDiv w:val="1"/>
      <w:marLeft w:val="0pt"/>
      <w:marRight w:val="0pt"/>
      <w:marTop w:val="0pt"/>
      <w:marBottom w:val="0pt"/>
      <w:divBdr>
        <w:top w:val="none" w:sz="0" w:space="0" w:color="auto"/>
        <w:left w:val="none" w:sz="0" w:space="0" w:color="auto"/>
        <w:bottom w:val="none" w:sz="0" w:space="0" w:color="auto"/>
        <w:right w:val="none" w:sz="0" w:space="0" w:color="auto"/>
      </w:divBdr>
    </w:div>
    <w:div w:id="1223754657">
      <w:bodyDiv w:val="1"/>
      <w:marLeft w:val="0pt"/>
      <w:marRight w:val="0pt"/>
      <w:marTop w:val="0pt"/>
      <w:marBottom w:val="0pt"/>
      <w:divBdr>
        <w:top w:val="none" w:sz="0" w:space="0" w:color="auto"/>
        <w:left w:val="none" w:sz="0" w:space="0" w:color="auto"/>
        <w:bottom w:val="none" w:sz="0" w:space="0" w:color="auto"/>
        <w:right w:val="none" w:sz="0" w:space="0" w:color="auto"/>
      </w:divBdr>
    </w:div>
    <w:div w:id="1229193699">
      <w:bodyDiv w:val="1"/>
      <w:marLeft w:val="0pt"/>
      <w:marRight w:val="0pt"/>
      <w:marTop w:val="0pt"/>
      <w:marBottom w:val="0pt"/>
      <w:divBdr>
        <w:top w:val="none" w:sz="0" w:space="0" w:color="auto"/>
        <w:left w:val="none" w:sz="0" w:space="0" w:color="auto"/>
        <w:bottom w:val="none" w:sz="0" w:space="0" w:color="auto"/>
        <w:right w:val="none" w:sz="0" w:space="0" w:color="auto"/>
      </w:divBdr>
    </w:div>
    <w:div w:id="1242257597">
      <w:bodyDiv w:val="1"/>
      <w:marLeft w:val="0pt"/>
      <w:marRight w:val="0pt"/>
      <w:marTop w:val="0pt"/>
      <w:marBottom w:val="0pt"/>
      <w:divBdr>
        <w:top w:val="none" w:sz="0" w:space="0" w:color="auto"/>
        <w:left w:val="none" w:sz="0" w:space="0" w:color="auto"/>
        <w:bottom w:val="none" w:sz="0" w:space="0" w:color="auto"/>
        <w:right w:val="none" w:sz="0" w:space="0" w:color="auto"/>
      </w:divBdr>
    </w:div>
    <w:div w:id="1266186147">
      <w:bodyDiv w:val="1"/>
      <w:marLeft w:val="0pt"/>
      <w:marRight w:val="0pt"/>
      <w:marTop w:val="0pt"/>
      <w:marBottom w:val="0pt"/>
      <w:divBdr>
        <w:top w:val="none" w:sz="0" w:space="0" w:color="auto"/>
        <w:left w:val="none" w:sz="0" w:space="0" w:color="auto"/>
        <w:bottom w:val="none" w:sz="0" w:space="0" w:color="auto"/>
        <w:right w:val="none" w:sz="0" w:space="0" w:color="auto"/>
      </w:divBdr>
    </w:div>
    <w:div w:id="1293638144">
      <w:bodyDiv w:val="1"/>
      <w:marLeft w:val="0pt"/>
      <w:marRight w:val="0pt"/>
      <w:marTop w:val="0pt"/>
      <w:marBottom w:val="0pt"/>
      <w:divBdr>
        <w:top w:val="none" w:sz="0" w:space="0" w:color="auto"/>
        <w:left w:val="none" w:sz="0" w:space="0" w:color="auto"/>
        <w:bottom w:val="none" w:sz="0" w:space="0" w:color="auto"/>
        <w:right w:val="none" w:sz="0" w:space="0" w:color="auto"/>
      </w:divBdr>
    </w:div>
    <w:div w:id="1295480619">
      <w:bodyDiv w:val="1"/>
      <w:marLeft w:val="0pt"/>
      <w:marRight w:val="0pt"/>
      <w:marTop w:val="0pt"/>
      <w:marBottom w:val="0pt"/>
      <w:divBdr>
        <w:top w:val="none" w:sz="0" w:space="0" w:color="auto"/>
        <w:left w:val="none" w:sz="0" w:space="0" w:color="auto"/>
        <w:bottom w:val="none" w:sz="0" w:space="0" w:color="auto"/>
        <w:right w:val="none" w:sz="0" w:space="0" w:color="auto"/>
      </w:divBdr>
    </w:div>
    <w:div w:id="1296369385">
      <w:bodyDiv w:val="1"/>
      <w:marLeft w:val="0pt"/>
      <w:marRight w:val="0pt"/>
      <w:marTop w:val="0pt"/>
      <w:marBottom w:val="0pt"/>
      <w:divBdr>
        <w:top w:val="none" w:sz="0" w:space="0" w:color="auto"/>
        <w:left w:val="none" w:sz="0" w:space="0" w:color="auto"/>
        <w:bottom w:val="none" w:sz="0" w:space="0" w:color="auto"/>
        <w:right w:val="none" w:sz="0" w:space="0" w:color="auto"/>
      </w:divBdr>
    </w:div>
    <w:div w:id="1322081028">
      <w:bodyDiv w:val="1"/>
      <w:marLeft w:val="0pt"/>
      <w:marRight w:val="0pt"/>
      <w:marTop w:val="0pt"/>
      <w:marBottom w:val="0pt"/>
      <w:divBdr>
        <w:top w:val="none" w:sz="0" w:space="0" w:color="auto"/>
        <w:left w:val="none" w:sz="0" w:space="0" w:color="auto"/>
        <w:bottom w:val="none" w:sz="0" w:space="0" w:color="auto"/>
        <w:right w:val="none" w:sz="0" w:space="0" w:color="auto"/>
      </w:divBdr>
    </w:div>
    <w:div w:id="1327127715">
      <w:bodyDiv w:val="1"/>
      <w:marLeft w:val="0pt"/>
      <w:marRight w:val="0pt"/>
      <w:marTop w:val="0pt"/>
      <w:marBottom w:val="0pt"/>
      <w:divBdr>
        <w:top w:val="none" w:sz="0" w:space="0" w:color="auto"/>
        <w:left w:val="none" w:sz="0" w:space="0" w:color="auto"/>
        <w:bottom w:val="none" w:sz="0" w:space="0" w:color="auto"/>
        <w:right w:val="none" w:sz="0" w:space="0" w:color="auto"/>
      </w:divBdr>
    </w:div>
    <w:div w:id="1358196594">
      <w:bodyDiv w:val="1"/>
      <w:marLeft w:val="0pt"/>
      <w:marRight w:val="0pt"/>
      <w:marTop w:val="0pt"/>
      <w:marBottom w:val="0pt"/>
      <w:divBdr>
        <w:top w:val="none" w:sz="0" w:space="0" w:color="auto"/>
        <w:left w:val="none" w:sz="0" w:space="0" w:color="auto"/>
        <w:bottom w:val="none" w:sz="0" w:space="0" w:color="auto"/>
        <w:right w:val="none" w:sz="0" w:space="0" w:color="auto"/>
      </w:divBdr>
    </w:div>
    <w:div w:id="1401752244">
      <w:bodyDiv w:val="1"/>
      <w:marLeft w:val="0pt"/>
      <w:marRight w:val="0pt"/>
      <w:marTop w:val="0pt"/>
      <w:marBottom w:val="0pt"/>
      <w:divBdr>
        <w:top w:val="none" w:sz="0" w:space="0" w:color="auto"/>
        <w:left w:val="none" w:sz="0" w:space="0" w:color="auto"/>
        <w:bottom w:val="none" w:sz="0" w:space="0" w:color="auto"/>
        <w:right w:val="none" w:sz="0" w:space="0" w:color="auto"/>
      </w:divBdr>
    </w:div>
    <w:div w:id="1449858635">
      <w:bodyDiv w:val="1"/>
      <w:marLeft w:val="0pt"/>
      <w:marRight w:val="0pt"/>
      <w:marTop w:val="0pt"/>
      <w:marBottom w:val="0pt"/>
      <w:divBdr>
        <w:top w:val="none" w:sz="0" w:space="0" w:color="auto"/>
        <w:left w:val="none" w:sz="0" w:space="0" w:color="auto"/>
        <w:bottom w:val="none" w:sz="0" w:space="0" w:color="auto"/>
        <w:right w:val="none" w:sz="0" w:space="0" w:color="auto"/>
      </w:divBdr>
    </w:div>
    <w:div w:id="1462461286">
      <w:bodyDiv w:val="1"/>
      <w:marLeft w:val="0pt"/>
      <w:marRight w:val="0pt"/>
      <w:marTop w:val="0pt"/>
      <w:marBottom w:val="0pt"/>
      <w:divBdr>
        <w:top w:val="none" w:sz="0" w:space="0" w:color="auto"/>
        <w:left w:val="none" w:sz="0" w:space="0" w:color="auto"/>
        <w:bottom w:val="none" w:sz="0" w:space="0" w:color="auto"/>
        <w:right w:val="none" w:sz="0" w:space="0" w:color="auto"/>
      </w:divBdr>
    </w:div>
    <w:div w:id="1465003715">
      <w:bodyDiv w:val="1"/>
      <w:marLeft w:val="0pt"/>
      <w:marRight w:val="0pt"/>
      <w:marTop w:val="0pt"/>
      <w:marBottom w:val="0pt"/>
      <w:divBdr>
        <w:top w:val="none" w:sz="0" w:space="0" w:color="auto"/>
        <w:left w:val="none" w:sz="0" w:space="0" w:color="auto"/>
        <w:bottom w:val="none" w:sz="0" w:space="0" w:color="auto"/>
        <w:right w:val="none" w:sz="0" w:space="0" w:color="auto"/>
      </w:divBdr>
    </w:div>
    <w:div w:id="1474785440">
      <w:bodyDiv w:val="1"/>
      <w:marLeft w:val="0pt"/>
      <w:marRight w:val="0pt"/>
      <w:marTop w:val="0pt"/>
      <w:marBottom w:val="0pt"/>
      <w:divBdr>
        <w:top w:val="none" w:sz="0" w:space="0" w:color="auto"/>
        <w:left w:val="none" w:sz="0" w:space="0" w:color="auto"/>
        <w:bottom w:val="none" w:sz="0" w:space="0" w:color="auto"/>
        <w:right w:val="none" w:sz="0" w:space="0" w:color="auto"/>
      </w:divBdr>
    </w:div>
    <w:div w:id="1474835776">
      <w:bodyDiv w:val="1"/>
      <w:marLeft w:val="0pt"/>
      <w:marRight w:val="0pt"/>
      <w:marTop w:val="0pt"/>
      <w:marBottom w:val="0pt"/>
      <w:divBdr>
        <w:top w:val="none" w:sz="0" w:space="0" w:color="auto"/>
        <w:left w:val="none" w:sz="0" w:space="0" w:color="auto"/>
        <w:bottom w:val="none" w:sz="0" w:space="0" w:color="auto"/>
        <w:right w:val="none" w:sz="0" w:space="0" w:color="auto"/>
      </w:divBdr>
    </w:div>
    <w:div w:id="1492016570">
      <w:bodyDiv w:val="1"/>
      <w:marLeft w:val="0pt"/>
      <w:marRight w:val="0pt"/>
      <w:marTop w:val="0pt"/>
      <w:marBottom w:val="0pt"/>
      <w:divBdr>
        <w:top w:val="none" w:sz="0" w:space="0" w:color="auto"/>
        <w:left w:val="none" w:sz="0" w:space="0" w:color="auto"/>
        <w:bottom w:val="none" w:sz="0" w:space="0" w:color="auto"/>
        <w:right w:val="none" w:sz="0" w:space="0" w:color="auto"/>
      </w:divBdr>
    </w:div>
    <w:div w:id="1504541798">
      <w:bodyDiv w:val="1"/>
      <w:marLeft w:val="0pt"/>
      <w:marRight w:val="0pt"/>
      <w:marTop w:val="0pt"/>
      <w:marBottom w:val="0pt"/>
      <w:divBdr>
        <w:top w:val="none" w:sz="0" w:space="0" w:color="auto"/>
        <w:left w:val="none" w:sz="0" w:space="0" w:color="auto"/>
        <w:bottom w:val="none" w:sz="0" w:space="0" w:color="auto"/>
        <w:right w:val="none" w:sz="0" w:space="0" w:color="auto"/>
      </w:divBdr>
    </w:div>
    <w:div w:id="1505779754">
      <w:bodyDiv w:val="1"/>
      <w:marLeft w:val="0pt"/>
      <w:marRight w:val="0pt"/>
      <w:marTop w:val="0pt"/>
      <w:marBottom w:val="0pt"/>
      <w:divBdr>
        <w:top w:val="none" w:sz="0" w:space="0" w:color="auto"/>
        <w:left w:val="none" w:sz="0" w:space="0" w:color="auto"/>
        <w:bottom w:val="none" w:sz="0" w:space="0" w:color="auto"/>
        <w:right w:val="none" w:sz="0" w:space="0" w:color="auto"/>
      </w:divBdr>
    </w:div>
    <w:div w:id="1522015742">
      <w:bodyDiv w:val="1"/>
      <w:marLeft w:val="0pt"/>
      <w:marRight w:val="0pt"/>
      <w:marTop w:val="0pt"/>
      <w:marBottom w:val="0pt"/>
      <w:divBdr>
        <w:top w:val="none" w:sz="0" w:space="0" w:color="auto"/>
        <w:left w:val="none" w:sz="0" w:space="0" w:color="auto"/>
        <w:bottom w:val="none" w:sz="0" w:space="0" w:color="auto"/>
        <w:right w:val="none" w:sz="0" w:space="0" w:color="auto"/>
      </w:divBdr>
    </w:div>
    <w:div w:id="1595045862">
      <w:bodyDiv w:val="1"/>
      <w:marLeft w:val="0pt"/>
      <w:marRight w:val="0pt"/>
      <w:marTop w:val="0pt"/>
      <w:marBottom w:val="0pt"/>
      <w:divBdr>
        <w:top w:val="none" w:sz="0" w:space="0" w:color="auto"/>
        <w:left w:val="none" w:sz="0" w:space="0" w:color="auto"/>
        <w:bottom w:val="none" w:sz="0" w:space="0" w:color="auto"/>
        <w:right w:val="none" w:sz="0" w:space="0" w:color="auto"/>
      </w:divBdr>
    </w:div>
    <w:div w:id="1605989440">
      <w:bodyDiv w:val="1"/>
      <w:marLeft w:val="0pt"/>
      <w:marRight w:val="0pt"/>
      <w:marTop w:val="0pt"/>
      <w:marBottom w:val="0pt"/>
      <w:divBdr>
        <w:top w:val="none" w:sz="0" w:space="0" w:color="auto"/>
        <w:left w:val="none" w:sz="0" w:space="0" w:color="auto"/>
        <w:bottom w:val="none" w:sz="0" w:space="0" w:color="auto"/>
        <w:right w:val="none" w:sz="0" w:space="0" w:color="auto"/>
      </w:divBdr>
    </w:div>
    <w:div w:id="1606184190">
      <w:bodyDiv w:val="1"/>
      <w:marLeft w:val="0pt"/>
      <w:marRight w:val="0pt"/>
      <w:marTop w:val="0pt"/>
      <w:marBottom w:val="0pt"/>
      <w:divBdr>
        <w:top w:val="none" w:sz="0" w:space="0" w:color="auto"/>
        <w:left w:val="none" w:sz="0" w:space="0" w:color="auto"/>
        <w:bottom w:val="none" w:sz="0" w:space="0" w:color="auto"/>
        <w:right w:val="none" w:sz="0" w:space="0" w:color="auto"/>
      </w:divBdr>
    </w:div>
    <w:div w:id="1607613795">
      <w:bodyDiv w:val="1"/>
      <w:marLeft w:val="0pt"/>
      <w:marRight w:val="0pt"/>
      <w:marTop w:val="0pt"/>
      <w:marBottom w:val="0pt"/>
      <w:divBdr>
        <w:top w:val="none" w:sz="0" w:space="0" w:color="auto"/>
        <w:left w:val="none" w:sz="0" w:space="0" w:color="auto"/>
        <w:bottom w:val="none" w:sz="0" w:space="0" w:color="auto"/>
        <w:right w:val="none" w:sz="0" w:space="0" w:color="auto"/>
      </w:divBdr>
    </w:div>
    <w:div w:id="1636566956">
      <w:bodyDiv w:val="1"/>
      <w:marLeft w:val="0pt"/>
      <w:marRight w:val="0pt"/>
      <w:marTop w:val="0pt"/>
      <w:marBottom w:val="0pt"/>
      <w:divBdr>
        <w:top w:val="none" w:sz="0" w:space="0" w:color="auto"/>
        <w:left w:val="none" w:sz="0" w:space="0" w:color="auto"/>
        <w:bottom w:val="none" w:sz="0" w:space="0" w:color="auto"/>
        <w:right w:val="none" w:sz="0" w:space="0" w:color="auto"/>
      </w:divBdr>
    </w:div>
    <w:div w:id="1641038967">
      <w:bodyDiv w:val="1"/>
      <w:marLeft w:val="0pt"/>
      <w:marRight w:val="0pt"/>
      <w:marTop w:val="0pt"/>
      <w:marBottom w:val="0pt"/>
      <w:divBdr>
        <w:top w:val="none" w:sz="0" w:space="0" w:color="auto"/>
        <w:left w:val="none" w:sz="0" w:space="0" w:color="auto"/>
        <w:bottom w:val="none" w:sz="0" w:space="0" w:color="auto"/>
        <w:right w:val="none" w:sz="0" w:space="0" w:color="auto"/>
      </w:divBdr>
    </w:div>
    <w:div w:id="1645155299">
      <w:bodyDiv w:val="1"/>
      <w:marLeft w:val="0pt"/>
      <w:marRight w:val="0pt"/>
      <w:marTop w:val="0pt"/>
      <w:marBottom w:val="0pt"/>
      <w:divBdr>
        <w:top w:val="none" w:sz="0" w:space="0" w:color="auto"/>
        <w:left w:val="none" w:sz="0" w:space="0" w:color="auto"/>
        <w:bottom w:val="none" w:sz="0" w:space="0" w:color="auto"/>
        <w:right w:val="none" w:sz="0" w:space="0" w:color="auto"/>
      </w:divBdr>
    </w:div>
    <w:div w:id="1660764367">
      <w:bodyDiv w:val="1"/>
      <w:marLeft w:val="0pt"/>
      <w:marRight w:val="0pt"/>
      <w:marTop w:val="0pt"/>
      <w:marBottom w:val="0pt"/>
      <w:divBdr>
        <w:top w:val="none" w:sz="0" w:space="0" w:color="auto"/>
        <w:left w:val="none" w:sz="0" w:space="0" w:color="auto"/>
        <w:bottom w:val="none" w:sz="0" w:space="0" w:color="auto"/>
        <w:right w:val="none" w:sz="0" w:space="0" w:color="auto"/>
      </w:divBdr>
    </w:div>
    <w:div w:id="1667171264">
      <w:bodyDiv w:val="1"/>
      <w:marLeft w:val="0pt"/>
      <w:marRight w:val="0pt"/>
      <w:marTop w:val="0pt"/>
      <w:marBottom w:val="0pt"/>
      <w:divBdr>
        <w:top w:val="none" w:sz="0" w:space="0" w:color="auto"/>
        <w:left w:val="none" w:sz="0" w:space="0" w:color="auto"/>
        <w:bottom w:val="none" w:sz="0" w:space="0" w:color="auto"/>
        <w:right w:val="none" w:sz="0" w:space="0" w:color="auto"/>
      </w:divBdr>
    </w:div>
    <w:div w:id="1668095004">
      <w:bodyDiv w:val="1"/>
      <w:marLeft w:val="0pt"/>
      <w:marRight w:val="0pt"/>
      <w:marTop w:val="0pt"/>
      <w:marBottom w:val="0pt"/>
      <w:divBdr>
        <w:top w:val="none" w:sz="0" w:space="0" w:color="auto"/>
        <w:left w:val="none" w:sz="0" w:space="0" w:color="auto"/>
        <w:bottom w:val="none" w:sz="0" w:space="0" w:color="auto"/>
        <w:right w:val="none" w:sz="0" w:space="0" w:color="auto"/>
      </w:divBdr>
    </w:div>
    <w:div w:id="1676809759">
      <w:bodyDiv w:val="1"/>
      <w:marLeft w:val="0pt"/>
      <w:marRight w:val="0pt"/>
      <w:marTop w:val="0pt"/>
      <w:marBottom w:val="0pt"/>
      <w:divBdr>
        <w:top w:val="none" w:sz="0" w:space="0" w:color="auto"/>
        <w:left w:val="none" w:sz="0" w:space="0" w:color="auto"/>
        <w:bottom w:val="none" w:sz="0" w:space="0" w:color="auto"/>
        <w:right w:val="none" w:sz="0" w:space="0" w:color="auto"/>
      </w:divBdr>
    </w:div>
    <w:div w:id="1683119929">
      <w:bodyDiv w:val="1"/>
      <w:marLeft w:val="0pt"/>
      <w:marRight w:val="0pt"/>
      <w:marTop w:val="0pt"/>
      <w:marBottom w:val="0pt"/>
      <w:divBdr>
        <w:top w:val="none" w:sz="0" w:space="0" w:color="auto"/>
        <w:left w:val="none" w:sz="0" w:space="0" w:color="auto"/>
        <w:bottom w:val="none" w:sz="0" w:space="0" w:color="auto"/>
        <w:right w:val="none" w:sz="0" w:space="0" w:color="auto"/>
      </w:divBdr>
    </w:div>
    <w:div w:id="1696348136">
      <w:bodyDiv w:val="1"/>
      <w:marLeft w:val="0pt"/>
      <w:marRight w:val="0pt"/>
      <w:marTop w:val="0pt"/>
      <w:marBottom w:val="0pt"/>
      <w:divBdr>
        <w:top w:val="none" w:sz="0" w:space="0" w:color="auto"/>
        <w:left w:val="none" w:sz="0" w:space="0" w:color="auto"/>
        <w:bottom w:val="none" w:sz="0" w:space="0" w:color="auto"/>
        <w:right w:val="none" w:sz="0" w:space="0" w:color="auto"/>
      </w:divBdr>
    </w:div>
    <w:div w:id="1699547921">
      <w:bodyDiv w:val="1"/>
      <w:marLeft w:val="0pt"/>
      <w:marRight w:val="0pt"/>
      <w:marTop w:val="0pt"/>
      <w:marBottom w:val="0pt"/>
      <w:divBdr>
        <w:top w:val="none" w:sz="0" w:space="0" w:color="auto"/>
        <w:left w:val="none" w:sz="0" w:space="0" w:color="auto"/>
        <w:bottom w:val="none" w:sz="0" w:space="0" w:color="auto"/>
        <w:right w:val="none" w:sz="0" w:space="0" w:color="auto"/>
      </w:divBdr>
    </w:div>
    <w:div w:id="1725567500">
      <w:bodyDiv w:val="1"/>
      <w:marLeft w:val="0pt"/>
      <w:marRight w:val="0pt"/>
      <w:marTop w:val="0pt"/>
      <w:marBottom w:val="0pt"/>
      <w:divBdr>
        <w:top w:val="none" w:sz="0" w:space="0" w:color="auto"/>
        <w:left w:val="none" w:sz="0" w:space="0" w:color="auto"/>
        <w:bottom w:val="none" w:sz="0" w:space="0" w:color="auto"/>
        <w:right w:val="none" w:sz="0" w:space="0" w:color="auto"/>
      </w:divBdr>
    </w:div>
    <w:div w:id="1746032598">
      <w:bodyDiv w:val="1"/>
      <w:marLeft w:val="0pt"/>
      <w:marRight w:val="0pt"/>
      <w:marTop w:val="0pt"/>
      <w:marBottom w:val="0pt"/>
      <w:divBdr>
        <w:top w:val="none" w:sz="0" w:space="0" w:color="auto"/>
        <w:left w:val="none" w:sz="0" w:space="0" w:color="auto"/>
        <w:bottom w:val="none" w:sz="0" w:space="0" w:color="auto"/>
        <w:right w:val="none" w:sz="0" w:space="0" w:color="auto"/>
      </w:divBdr>
    </w:div>
    <w:div w:id="1746148691">
      <w:bodyDiv w:val="1"/>
      <w:marLeft w:val="0pt"/>
      <w:marRight w:val="0pt"/>
      <w:marTop w:val="0pt"/>
      <w:marBottom w:val="0pt"/>
      <w:divBdr>
        <w:top w:val="none" w:sz="0" w:space="0" w:color="auto"/>
        <w:left w:val="none" w:sz="0" w:space="0" w:color="auto"/>
        <w:bottom w:val="none" w:sz="0" w:space="0" w:color="auto"/>
        <w:right w:val="none" w:sz="0" w:space="0" w:color="auto"/>
      </w:divBdr>
    </w:div>
    <w:div w:id="1749883232">
      <w:bodyDiv w:val="1"/>
      <w:marLeft w:val="0pt"/>
      <w:marRight w:val="0pt"/>
      <w:marTop w:val="0pt"/>
      <w:marBottom w:val="0pt"/>
      <w:divBdr>
        <w:top w:val="none" w:sz="0" w:space="0" w:color="auto"/>
        <w:left w:val="none" w:sz="0" w:space="0" w:color="auto"/>
        <w:bottom w:val="none" w:sz="0" w:space="0" w:color="auto"/>
        <w:right w:val="none" w:sz="0" w:space="0" w:color="auto"/>
      </w:divBdr>
    </w:div>
    <w:div w:id="1750076905">
      <w:bodyDiv w:val="1"/>
      <w:marLeft w:val="0pt"/>
      <w:marRight w:val="0pt"/>
      <w:marTop w:val="0pt"/>
      <w:marBottom w:val="0pt"/>
      <w:divBdr>
        <w:top w:val="none" w:sz="0" w:space="0" w:color="auto"/>
        <w:left w:val="none" w:sz="0" w:space="0" w:color="auto"/>
        <w:bottom w:val="none" w:sz="0" w:space="0" w:color="auto"/>
        <w:right w:val="none" w:sz="0" w:space="0" w:color="auto"/>
      </w:divBdr>
    </w:div>
    <w:div w:id="1796292028">
      <w:bodyDiv w:val="1"/>
      <w:marLeft w:val="0pt"/>
      <w:marRight w:val="0pt"/>
      <w:marTop w:val="0pt"/>
      <w:marBottom w:val="0pt"/>
      <w:divBdr>
        <w:top w:val="none" w:sz="0" w:space="0" w:color="auto"/>
        <w:left w:val="none" w:sz="0" w:space="0" w:color="auto"/>
        <w:bottom w:val="none" w:sz="0" w:space="0" w:color="auto"/>
        <w:right w:val="none" w:sz="0" w:space="0" w:color="auto"/>
      </w:divBdr>
    </w:div>
    <w:div w:id="1797410125">
      <w:bodyDiv w:val="1"/>
      <w:marLeft w:val="0pt"/>
      <w:marRight w:val="0pt"/>
      <w:marTop w:val="0pt"/>
      <w:marBottom w:val="0pt"/>
      <w:divBdr>
        <w:top w:val="none" w:sz="0" w:space="0" w:color="auto"/>
        <w:left w:val="none" w:sz="0" w:space="0" w:color="auto"/>
        <w:bottom w:val="none" w:sz="0" w:space="0" w:color="auto"/>
        <w:right w:val="none" w:sz="0" w:space="0" w:color="auto"/>
      </w:divBdr>
    </w:div>
    <w:div w:id="1815564512">
      <w:bodyDiv w:val="1"/>
      <w:marLeft w:val="0pt"/>
      <w:marRight w:val="0pt"/>
      <w:marTop w:val="0pt"/>
      <w:marBottom w:val="0pt"/>
      <w:divBdr>
        <w:top w:val="none" w:sz="0" w:space="0" w:color="auto"/>
        <w:left w:val="none" w:sz="0" w:space="0" w:color="auto"/>
        <w:bottom w:val="none" w:sz="0" w:space="0" w:color="auto"/>
        <w:right w:val="none" w:sz="0" w:space="0" w:color="auto"/>
      </w:divBdr>
    </w:div>
    <w:div w:id="1866212037">
      <w:bodyDiv w:val="1"/>
      <w:marLeft w:val="0pt"/>
      <w:marRight w:val="0pt"/>
      <w:marTop w:val="0pt"/>
      <w:marBottom w:val="0pt"/>
      <w:divBdr>
        <w:top w:val="none" w:sz="0" w:space="0" w:color="auto"/>
        <w:left w:val="none" w:sz="0" w:space="0" w:color="auto"/>
        <w:bottom w:val="none" w:sz="0" w:space="0" w:color="auto"/>
        <w:right w:val="none" w:sz="0" w:space="0" w:color="auto"/>
      </w:divBdr>
    </w:div>
    <w:div w:id="1880238341">
      <w:bodyDiv w:val="1"/>
      <w:marLeft w:val="0pt"/>
      <w:marRight w:val="0pt"/>
      <w:marTop w:val="0pt"/>
      <w:marBottom w:val="0pt"/>
      <w:divBdr>
        <w:top w:val="none" w:sz="0" w:space="0" w:color="auto"/>
        <w:left w:val="none" w:sz="0" w:space="0" w:color="auto"/>
        <w:bottom w:val="none" w:sz="0" w:space="0" w:color="auto"/>
        <w:right w:val="none" w:sz="0" w:space="0" w:color="auto"/>
      </w:divBdr>
    </w:div>
    <w:div w:id="1884906940">
      <w:bodyDiv w:val="1"/>
      <w:marLeft w:val="0pt"/>
      <w:marRight w:val="0pt"/>
      <w:marTop w:val="0pt"/>
      <w:marBottom w:val="0pt"/>
      <w:divBdr>
        <w:top w:val="none" w:sz="0" w:space="0" w:color="auto"/>
        <w:left w:val="none" w:sz="0" w:space="0" w:color="auto"/>
        <w:bottom w:val="none" w:sz="0" w:space="0" w:color="auto"/>
        <w:right w:val="none" w:sz="0" w:space="0" w:color="auto"/>
      </w:divBdr>
    </w:div>
    <w:div w:id="1903590525">
      <w:bodyDiv w:val="1"/>
      <w:marLeft w:val="0pt"/>
      <w:marRight w:val="0pt"/>
      <w:marTop w:val="0pt"/>
      <w:marBottom w:val="0pt"/>
      <w:divBdr>
        <w:top w:val="none" w:sz="0" w:space="0" w:color="auto"/>
        <w:left w:val="none" w:sz="0" w:space="0" w:color="auto"/>
        <w:bottom w:val="none" w:sz="0" w:space="0" w:color="auto"/>
        <w:right w:val="none" w:sz="0" w:space="0" w:color="auto"/>
      </w:divBdr>
    </w:div>
    <w:div w:id="1904825665">
      <w:bodyDiv w:val="1"/>
      <w:marLeft w:val="0pt"/>
      <w:marRight w:val="0pt"/>
      <w:marTop w:val="0pt"/>
      <w:marBottom w:val="0pt"/>
      <w:divBdr>
        <w:top w:val="none" w:sz="0" w:space="0" w:color="auto"/>
        <w:left w:val="none" w:sz="0" w:space="0" w:color="auto"/>
        <w:bottom w:val="none" w:sz="0" w:space="0" w:color="auto"/>
        <w:right w:val="none" w:sz="0" w:space="0" w:color="auto"/>
      </w:divBdr>
    </w:div>
    <w:div w:id="1912614896">
      <w:bodyDiv w:val="1"/>
      <w:marLeft w:val="0pt"/>
      <w:marRight w:val="0pt"/>
      <w:marTop w:val="0pt"/>
      <w:marBottom w:val="0pt"/>
      <w:divBdr>
        <w:top w:val="none" w:sz="0" w:space="0" w:color="auto"/>
        <w:left w:val="none" w:sz="0" w:space="0" w:color="auto"/>
        <w:bottom w:val="none" w:sz="0" w:space="0" w:color="auto"/>
        <w:right w:val="none" w:sz="0" w:space="0" w:color="auto"/>
      </w:divBdr>
    </w:div>
    <w:div w:id="1925871836">
      <w:bodyDiv w:val="1"/>
      <w:marLeft w:val="0pt"/>
      <w:marRight w:val="0pt"/>
      <w:marTop w:val="0pt"/>
      <w:marBottom w:val="0pt"/>
      <w:divBdr>
        <w:top w:val="none" w:sz="0" w:space="0" w:color="auto"/>
        <w:left w:val="none" w:sz="0" w:space="0" w:color="auto"/>
        <w:bottom w:val="none" w:sz="0" w:space="0" w:color="auto"/>
        <w:right w:val="none" w:sz="0" w:space="0" w:color="auto"/>
      </w:divBdr>
    </w:div>
    <w:div w:id="1956015676">
      <w:bodyDiv w:val="1"/>
      <w:marLeft w:val="0pt"/>
      <w:marRight w:val="0pt"/>
      <w:marTop w:val="0pt"/>
      <w:marBottom w:val="0pt"/>
      <w:divBdr>
        <w:top w:val="none" w:sz="0" w:space="0" w:color="auto"/>
        <w:left w:val="none" w:sz="0" w:space="0" w:color="auto"/>
        <w:bottom w:val="none" w:sz="0" w:space="0" w:color="auto"/>
        <w:right w:val="none" w:sz="0" w:space="0" w:color="auto"/>
      </w:divBdr>
    </w:div>
    <w:div w:id="1957521394">
      <w:bodyDiv w:val="1"/>
      <w:marLeft w:val="0pt"/>
      <w:marRight w:val="0pt"/>
      <w:marTop w:val="0pt"/>
      <w:marBottom w:val="0pt"/>
      <w:divBdr>
        <w:top w:val="none" w:sz="0" w:space="0" w:color="auto"/>
        <w:left w:val="none" w:sz="0" w:space="0" w:color="auto"/>
        <w:bottom w:val="none" w:sz="0" w:space="0" w:color="auto"/>
        <w:right w:val="none" w:sz="0" w:space="0" w:color="auto"/>
      </w:divBdr>
    </w:div>
    <w:div w:id="1963683759">
      <w:bodyDiv w:val="1"/>
      <w:marLeft w:val="0pt"/>
      <w:marRight w:val="0pt"/>
      <w:marTop w:val="0pt"/>
      <w:marBottom w:val="0pt"/>
      <w:divBdr>
        <w:top w:val="none" w:sz="0" w:space="0" w:color="auto"/>
        <w:left w:val="none" w:sz="0" w:space="0" w:color="auto"/>
        <w:bottom w:val="none" w:sz="0" w:space="0" w:color="auto"/>
        <w:right w:val="none" w:sz="0" w:space="0" w:color="auto"/>
      </w:divBdr>
    </w:div>
    <w:div w:id="1968051429">
      <w:bodyDiv w:val="1"/>
      <w:marLeft w:val="0pt"/>
      <w:marRight w:val="0pt"/>
      <w:marTop w:val="0pt"/>
      <w:marBottom w:val="0pt"/>
      <w:divBdr>
        <w:top w:val="none" w:sz="0" w:space="0" w:color="auto"/>
        <w:left w:val="none" w:sz="0" w:space="0" w:color="auto"/>
        <w:bottom w:val="none" w:sz="0" w:space="0" w:color="auto"/>
        <w:right w:val="none" w:sz="0" w:space="0" w:color="auto"/>
      </w:divBdr>
    </w:div>
    <w:div w:id="1974403575">
      <w:bodyDiv w:val="1"/>
      <w:marLeft w:val="0pt"/>
      <w:marRight w:val="0pt"/>
      <w:marTop w:val="0pt"/>
      <w:marBottom w:val="0pt"/>
      <w:divBdr>
        <w:top w:val="none" w:sz="0" w:space="0" w:color="auto"/>
        <w:left w:val="none" w:sz="0" w:space="0" w:color="auto"/>
        <w:bottom w:val="none" w:sz="0" w:space="0" w:color="auto"/>
        <w:right w:val="none" w:sz="0" w:space="0" w:color="auto"/>
      </w:divBdr>
    </w:div>
    <w:div w:id="1988975191">
      <w:bodyDiv w:val="1"/>
      <w:marLeft w:val="0pt"/>
      <w:marRight w:val="0pt"/>
      <w:marTop w:val="0pt"/>
      <w:marBottom w:val="0pt"/>
      <w:divBdr>
        <w:top w:val="none" w:sz="0" w:space="0" w:color="auto"/>
        <w:left w:val="none" w:sz="0" w:space="0" w:color="auto"/>
        <w:bottom w:val="none" w:sz="0" w:space="0" w:color="auto"/>
        <w:right w:val="none" w:sz="0" w:space="0" w:color="auto"/>
      </w:divBdr>
    </w:div>
    <w:div w:id="1993870113">
      <w:bodyDiv w:val="1"/>
      <w:marLeft w:val="0pt"/>
      <w:marRight w:val="0pt"/>
      <w:marTop w:val="0pt"/>
      <w:marBottom w:val="0pt"/>
      <w:divBdr>
        <w:top w:val="none" w:sz="0" w:space="0" w:color="auto"/>
        <w:left w:val="none" w:sz="0" w:space="0" w:color="auto"/>
        <w:bottom w:val="none" w:sz="0" w:space="0" w:color="auto"/>
        <w:right w:val="none" w:sz="0" w:space="0" w:color="auto"/>
      </w:divBdr>
    </w:div>
    <w:div w:id="2008941510">
      <w:bodyDiv w:val="1"/>
      <w:marLeft w:val="0pt"/>
      <w:marRight w:val="0pt"/>
      <w:marTop w:val="0pt"/>
      <w:marBottom w:val="0pt"/>
      <w:divBdr>
        <w:top w:val="none" w:sz="0" w:space="0" w:color="auto"/>
        <w:left w:val="none" w:sz="0" w:space="0" w:color="auto"/>
        <w:bottom w:val="none" w:sz="0" w:space="0" w:color="auto"/>
        <w:right w:val="none" w:sz="0" w:space="0" w:color="auto"/>
      </w:divBdr>
    </w:div>
    <w:div w:id="2016884418">
      <w:bodyDiv w:val="1"/>
      <w:marLeft w:val="0pt"/>
      <w:marRight w:val="0pt"/>
      <w:marTop w:val="0pt"/>
      <w:marBottom w:val="0pt"/>
      <w:divBdr>
        <w:top w:val="none" w:sz="0" w:space="0" w:color="auto"/>
        <w:left w:val="none" w:sz="0" w:space="0" w:color="auto"/>
        <w:bottom w:val="none" w:sz="0" w:space="0" w:color="auto"/>
        <w:right w:val="none" w:sz="0" w:space="0" w:color="auto"/>
      </w:divBdr>
    </w:div>
    <w:div w:id="2043166126">
      <w:bodyDiv w:val="1"/>
      <w:marLeft w:val="0pt"/>
      <w:marRight w:val="0pt"/>
      <w:marTop w:val="0pt"/>
      <w:marBottom w:val="0pt"/>
      <w:divBdr>
        <w:top w:val="none" w:sz="0" w:space="0" w:color="auto"/>
        <w:left w:val="none" w:sz="0" w:space="0" w:color="auto"/>
        <w:bottom w:val="none" w:sz="0" w:space="0" w:color="auto"/>
        <w:right w:val="none" w:sz="0" w:space="0" w:color="auto"/>
      </w:divBdr>
    </w:div>
    <w:div w:id="2061902932">
      <w:bodyDiv w:val="1"/>
      <w:marLeft w:val="0pt"/>
      <w:marRight w:val="0pt"/>
      <w:marTop w:val="0pt"/>
      <w:marBottom w:val="0pt"/>
      <w:divBdr>
        <w:top w:val="none" w:sz="0" w:space="0" w:color="auto"/>
        <w:left w:val="none" w:sz="0" w:space="0" w:color="auto"/>
        <w:bottom w:val="none" w:sz="0" w:space="0" w:color="auto"/>
        <w:right w:val="none" w:sz="0" w:space="0" w:color="auto"/>
      </w:divBdr>
    </w:div>
    <w:div w:id="2067992478">
      <w:bodyDiv w:val="1"/>
      <w:marLeft w:val="0pt"/>
      <w:marRight w:val="0pt"/>
      <w:marTop w:val="0pt"/>
      <w:marBottom w:val="0pt"/>
      <w:divBdr>
        <w:top w:val="none" w:sz="0" w:space="0" w:color="auto"/>
        <w:left w:val="none" w:sz="0" w:space="0" w:color="auto"/>
        <w:bottom w:val="none" w:sz="0" w:space="0" w:color="auto"/>
        <w:right w:val="none" w:sz="0" w:space="0" w:color="auto"/>
      </w:divBdr>
    </w:div>
    <w:div w:id="2098209008">
      <w:bodyDiv w:val="1"/>
      <w:marLeft w:val="0pt"/>
      <w:marRight w:val="0pt"/>
      <w:marTop w:val="0pt"/>
      <w:marBottom w:val="0pt"/>
      <w:divBdr>
        <w:top w:val="none" w:sz="0" w:space="0" w:color="auto"/>
        <w:left w:val="none" w:sz="0" w:space="0" w:color="auto"/>
        <w:bottom w:val="none" w:sz="0" w:space="0" w:color="auto"/>
        <w:right w:val="none" w:sz="0" w:space="0" w:color="auto"/>
      </w:divBdr>
    </w:div>
    <w:div w:id="2100448172">
      <w:bodyDiv w:val="1"/>
      <w:marLeft w:val="0pt"/>
      <w:marRight w:val="0pt"/>
      <w:marTop w:val="0pt"/>
      <w:marBottom w:val="0pt"/>
      <w:divBdr>
        <w:top w:val="none" w:sz="0" w:space="0" w:color="auto"/>
        <w:left w:val="none" w:sz="0" w:space="0" w:color="auto"/>
        <w:bottom w:val="none" w:sz="0" w:space="0" w:color="auto"/>
        <w:right w:val="none" w:sz="0" w:space="0" w:color="auto"/>
      </w:divBdr>
    </w:div>
    <w:div w:id="2112779988">
      <w:bodyDiv w:val="1"/>
      <w:marLeft w:val="0pt"/>
      <w:marRight w:val="0pt"/>
      <w:marTop w:val="0pt"/>
      <w:marBottom w:val="0pt"/>
      <w:divBdr>
        <w:top w:val="none" w:sz="0" w:space="0" w:color="auto"/>
        <w:left w:val="none" w:sz="0" w:space="0" w:color="auto"/>
        <w:bottom w:val="none" w:sz="0" w:space="0" w:color="auto"/>
        <w:right w:val="none" w:sz="0" w:space="0" w:color="auto"/>
      </w:divBdr>
    </w:div>
    <w:div w:id="2122414090">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image" Target="media/image1.png"/><Relationship Id="rId13" Type="http://purl.oclc.org/ooxml/officeDocument/relationships/image" Target="media/image5.png"/><Relationship Id="rId18" Type="http://purl.oclc.org/ooxml/officeDocument/relationships/image" Target="media/image10.png"/><Relationship Id="rId26" Type="http://purl.oclc.org/ooxml/officeDocument/relationships/fontTable" Target="fontTable.xml"/><Relationship Id="rId3" Type="http://purl.oclc.org/ooxml/officeDocument/relationships/styles" Target="styles.xml"/><Relationship Id="rId21" Type="http://purl.oclc.org/ooxml/officeDocument/relationships/image" Target="media/image13.png"/><Relationship Id="rId7" Type="http://purl.oclc.org/ooxml/officeDocument/relationships/endnotes" Target="endnotes.xml"/><Relationship Id="rId12" Type="http://purl.oclc.org/ooxml/officeDocument/relationships/image" Target="media/image4.png"/><Relationship Id="rId17" Type="http://purl.oclc.org/ooxml/officeDocument/relationships/image" Target="media/image9.png"/><Relationship Id="rId25" Type="http://purl.oclc.org/ooxml/officeDocument/relationships/image" Target="media/image17.png"/><Relationship Id="rId2" Type="http://purl.oclc.org/ooxml/officeDocument/relationships/numbering" Target="numbering.xml"/><Relationship Id="rId16" Type="http://purl.oclc.org/ooxml/officeDocument/relationships/image" Target="media/image8.png"/><Relationship Id="rId20" Type="http://purl.oclc.org/ooxml/officeDocument/relationships/image" Target="media/image12.png"/><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3.png"/><Relationship Id="rId24" Type="http://purl.oclc.org/ooxml/officeDocument/relationships/image" Target="media/image16.png"/><Relationship Id="rId5" Type="http://purl.oclc.org/ooxml/officeDocument/relationships/webSettings" Target="webSettings.xml"/><Relationship Id="rId15" Type="http://purl.oclc.org/ooxml/officeDocument/relationships/image" Target="media/image7.png"/><Relationship Id="rId23" Type="http://purl.oclc.org/ooxml/officeDocument/relationships/image" Target="media/image15.png"/><Relationship Id="rId10" Type="http://purl.oclc.org/ooxml/officeDocument/relationships/image" Target="media/image2.png"/><Relationship Id="rId19" Type="http://purl.oclc.org/ooxml/officeDocument/relationships/image" Target="media/image11.png"/><Relationship Id="rId4" Type="http://purl.oclc.org/ooxml/officeDocument/relationships/settings" Target="settings.xml"/><Relationship Id="rId9" Type="http://purl.oclc.org/ooxml/officeDocument/relationships/footer" Target="footer1.xml"/><Relationship Id="rId14" Type="http://purl.oclc.org/ooxml/officeDocument/relationships/image" Target="media/image6.png"/><Relationship Id="rId22" Type="http://purl.oclc.org/ooxml/officeDocument/relationships/image" Target="media/image14.png"/><Relationship Id="rId27" Type="http://purl.oclc.org/ooxml/officeDocument/relationships/theme" Target="theme/theme1.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Ade25</b:Tag>
    <b:SourceType>JournalArticle</b:SourceType>
    <b:Guid>{0E75A774-299A-442C-A80F-7B62487BC79C}</b:Guid>
    <b:Author>
      <b:Author>
        <b:NameList>
          <b:Person>
            <b:Last>Adejumo</b:Last>
            <b:First>A.,</b:First>
          </b:Person>
          <b:Person>
            <b:Last>Ogburie</b:Last>
            <b:First>C.</b:First>
          </b:Person>
        </b:NameList>
      </b:Author>
    </b:Author>
    <b:Title> Strengthening finance with cybersecurity: Ensuring safer digital transactions. </b:Title>
    <b:Year>2025</b:Year>
    <b:Pages>1527-1541</b:Pages>
    <b:JournalName>World Journal of Advanced Research and Reviews, 25(3)</b:JournalName>
    <b:RefOrder>1</b:RefOrder>
  </b:Source>
  <b:Source>
    <b:Tag>Sat24</b:Tag>
    <b:SourceType>JournalArticle</b:SourceType>
    <b:Guid>{4E921A31-AD54-44BA-9345-DF395EC75673}</b:Guid>
    <b:Author>
      <b:Author>
        <b:NameList>
          <b:Person>
            <b:Last>Satish</b:Last>
            <b:First>S.</b:First>
          </b:Person>
        </b:NameList>
      </b:Author>
    </b:Author>
    <b:Title> A quantitative study on adoption of public cloud in financial services (Doctoral dissertation, University of the Cumberlands)</b:Title>
    <b:Year>2024</b:Year>
    <b:RefOrder>2</b:RefOrder>
  </b:Source>
  <b:Source>
    <b:Tag>Sim</b:Tag>
    <b:SourceType>JournalArticle</b:SourceType>
    <b:Guid>{1F000126-27F2-4C37-9311-C5EEEC7424AB}</b:Guid>
    <b:Author>
      <b:Author>
        <b:NameList>
          <b:Person>
            <b:Last>Simola</b:Last>
            <b:First>J.,</b:First>
          </b:Person>
          <b:Person>
            <b:Last>Leppänen</b:Last>
            <b:First>T.</b:First>
          </b:Person>
        </b:NameList>
      </b:Author>
    </b:Author>
    <b:Title>Identification of the Emerging Sources of Cybersecurity Threats. In Proceedings of the European Conference on Cyber Warfare and Security</b:Title>
    <b:JournalName>Academic Conferences International</b:JournalName>
    <b:Pages>2025</b:Pages>
    <b:RefOrder>4</b:RefOrder>
  </b:Source>
  <b:Source>
    <b:Tag>Pra25</b:Tag>
    <b:SourceType>JournalArticle</b:SourceType>
    <b:Guid>{5FA93415-E7E3-4351-8B92-841ADAD4BF28}</b:Guid>
    <b:Author>
      <b:Author>
        <b:NameList>
          <b:Person>
            <b:Last>Pratap</b:Last>
            <b:First>B.,</b:First>
          </b:Person>
          <b:Person>
            <b:Last>Singh</b:Last>
            <b:First>V.</b:First>
          </b:Person>
        </b:NameList>
      </b:Author>
    </b:Author>
    <b:Title>The Evolving Cyber Threat Landscape: Navigating the Intersection of Cybercrime and Cybersecurity</b:Title>
    <b:JournalName>Wordsswiggle publication</b:JournalName>
    <b:Year>2025</b:Year>
    <b:RefOrder>5</b:RefOrder>
  </b:Source>
  <b:Source>
    <b:Tag>Jab24</b:Tag>
    <b:SourceType>Book</b:SourceType>
    <b:Guid>{B6A7855A-2927-4E65-8164-CC3DECCA0044}</b:Guid>
    <b:Author>
      <b:Author>
        <b:NameList>
          <b:Person>
            <b:Last>Jabid</b:Last>
            <b:First>T.,</b:First>
          </b:Person>
          <b:Person>
            <b:Last>Rashid</b:Last>
            <b:First>M.</b:First>
            <b:Middle>R. A.,</b:Middle>
          </b:Person>
          <b:Person>
            <b:Last>Ferdaus</b:Last>
            <b:First>M.</b:First>
            <b:Middle>H.,</b:Middle>
          </b:Person>
          <b:Person>
            <b:Last>Ali</b:Last>
            <b:First>M.</b:First>
            <b:Middle>S.,</b:Middle>
          </b:Person>
          <b:Person>
            <b:Last>Islam</b:Last>
            <b:First>M.</b:First>
            <b:Middle>M.,</b:Middle>
          </b:Person>
          <b:Person>
            <b:Last>Hasan</b:Last>
            <b:First>M.,</b:First>
            <b:Middle>...</b:Middle>
          </b:Person>
          <b:Person>
            <b:Last>Islam</b:Last>
            <b:First>M.</b:First>
          </b:Person>
        </b:NameList>
      </b:Author>
    </b:Author>
    <b:Title>Ransomware prevention strategies: Building robust cyber defenses. In Ransomware Evolution (pp. 144-171)</b:Title>
    <b:Year>2024</b:Year>
    <b:Publisher>CRC Press</b:Publisher>
    <b:RefOrder>3</b:RefOrder>
  </b:Source>
  <b:Source>
    <b:Tag>Sye22</b:Tag>
    <b:SourceType>JournalArticle</b:SourceType>
    <b:Guid>{507D9FA0-C9C8-43CC-8062-509908CE7B59}</b:Guid>
    <b:Author>
      <b:Author>
        <b:NameList>
          <b:Person>
            <b:Last>Syed</b:Last>
            <b:First>N.</b:First>
            <b:Middle>F.,</b:Middle>
          </b:Person>
          <b:Person>
            <b:Last>Shah</b:Last>
            <b:First>S.</b:First>
            <b:Middle>W.,</b:Middle>
          </b:Person>
          <b:Person>
            <b:Last>Shaghaghi</b:Last>
            <b:First>A.,</b:First>
          </b:Person>
          <b:Person>
            <b:Last>Anwar</b:Last>
            <b:First>A.,</b:First>
          </b:Person>
          <b:Person>
            <b:Last>Baig</b:Last>
            <b:First>Z.,</b:First>
          </b:Person>
          <b:Person>
            <b:Last>Doss</b:Last>
            <b:First>R.</b:First>
          </b:Person>
        </b:NameList>
      </b:Author>
    </b:Author>
    <b:Title>Zero trust architecture (zta): A comprehensive survey</b:Title>
    <b:Year>2022</b:Year>
    <b:JournalName>IEEE access, 10</b:JournalName>
    <b:Pages>57143-57179</b:Pages>
    <b:RefOrder>6</b:RefOrder>
  </b:Source>
  <b:Source>
    <b:Tag>Per23</b:Tag>
    <b:SourceType>JournalArticle</b:SourceType>
    <b:Guid>{5660CDFA-8800-47C7-8F64-B2E4C9B25BE6}</b:Guid>
    <b:Author>
      <b:Author>
        <b:NameList>
          <b:Person>
            <b:Last>Perez</b:Last>
            <b:First>P.</b:First>
            <b:Middle>G.</b:Middle>
          </b:Person>
        </b:NameList>
      </b:Author>
    </b:Author>
    <b:Title>Information security event management (SIEM) systems and AI for enhancing policy deployment effectiveness in intrusion detection</b:Title>
    <b:Year>2023</b:Year>
    <b:RefOrder>7</b:RefOrder>
  </b:Source>
  <b:Source>
    <b:Tag>Cha25</b:Tag>
    <b:SourceType>Book</b:SourceType>
    <b:Guid>{F1F80C83-C5FA-4027-BFA1-D3B2493A1416}</b:Guid>
    <b:Author>
      <b:Author>
        <b:NameList>
          <b:Person>
            <b:Last>Chawki</b:Last>
            <b:First>M.</b:First>
          </b:Person>
        </b:NameList>
      </b:Author>
    </b:Author>
    <b:Title>Social Engineering in the Era of AI: Unmasking the Changing Face of Cyber Threats. In Cybercrime Unveiled: Technologies for Analysing Legal Complexity (pp. 1-24)</b:Title>
    <b:Year>2025</b:Year>
    <b:Pages>Cham: Springer Nature Switzerland</b:Pages>
    <b:City>Cham</b:City>
    <b:Publisher>Springer Nature Switzerland</b:Publisher>
    <b:RefOrder>8</b:RefOrder>
  </b:Source>
  <b:Source>
    <b:Tag>Taa25</b:Tag>
    <b:SourceType>Book</b:SourceType>
    <b:Guid>{77BC389F-AA68-4219-9ABF-2F29DCD49B36}</b:Guid>
    <b:Author>
      <b:Author>
        <b:NameList>
          <b:Person>
            <b:Last>Taavitsainen</b:Last>
            <b:First>N.,</b:First>
          </b:Person>
        </b:NameList>
      </b:Author>
    </b:Author>
    <b:Title>Trust to Exploitation: The Legal and Societal Implications of Payment Fraud and the Path Toward Stronger Protections</b:Title>
    <b:Year>2025</b:Year>
    <b:RefOrder>9</b:RefOrder>
  </b:Source>
  <b:Source>
    <b:Tag>Sam24</b:Tag>
    <b:SourceType>Book</b:SourceType>
    <b:Guid>{4D899C88-7AFC-4E1D-838E-3261EBD0800A}</b:Guid>
    <b:Author>
      <b:Author>
        <b:NameList>
          <b:Person>
            <b:Last>Samuels</b:Last>
            <b:First>J.</b:First>
            <b:Middle>I.</b:Middle>
          </b:Person>
        </b:NameList>
      </b:Author>
    </b:Author>
    <b:Title>Unraveling the Dynamics and Impacts of Financial Sabotage: A Comprehensive Analysis</b:Title>
    <b:Year>2024</b:Year>
    <b:RefOrder>10</b:RefOrder>
  </b:Source>
  <b:Source>
    <b:Tag>Mar211</b:Tag>
    <b:SourceType>JournalArticle</b:SourceType>
    <b:Guid>{7DBC5045-A343-4D8E-BBE4-50F31F960CC7}</b:Guid>
    <b:Author>
      <b:Author>
        <b:NameList>
          <b:Person>
            <b:Last>Martínez</b:Last>
            <b:First>J.,</b:First>
          </b:Person>
          <b:Person>
            <b:Last>Durán</b:Last>
            <b:First>J.</b:First>
            <b:Middle>M.</b:Middle>
          </b:Person>
        </b:NameList>
      </b:Author>
    </b:Author>
    <b:Title>Software supply chain attacks, a threat to global cybersecurity: SolarWinds’ case study</b:Title>
    <b:Year>2021</b:Year>
    <b:JournalName>International Journal of Safety and Security Engineering, 11(5)</b:JournalName>
    <b:Pages>537-545</b:Pages>
    <b:RefOrder>11</b:RefOrder>
  </b:Source>
  <b:Source>
    <b:Tag>Sin25</b:Tag>
    <b:SourceType>Book</b:SourceType>
    <b:Guid>{64F00597-5E4D-4F6C-BF0B-9D15AD5D20D1}</b:Guid>
    <b:Author>
      <b:Author>
        <b:NameList>
          <b:Person>
            <b:Last>Singh</b:Last>
            <b:First>H.</b:First>
          </b:Person>
        </b:NameList>
      </b:Author>
    </b:Author>
    <b:Title>Understanding and Implementing Effective Mitigation Strategies for Cybersecurity Risks in Supply Chains.</b:Title>
    <b:Year>2025</b:Year>
    <b:Publisher>Available at SSRN 5267866</b:Publisher>
    <b:RefOrder>12</b:RefOrder>
  </b:Source>
  <b:Source>
    <b:Tag>Raw23</b:Tag>
    <b:SourceType>Book</b:SourceType>
    <b:Guid>{16E11AD4-5995-4A36-98BE-7E934DF567DA}</b:Guid>
    <b:Author>
      <b:Author>
        <b:NameList>
          <b:Person>
            <b:Last>Rawal</b:Last>
            <b:First>B.</b:First>
            <b:Middle>S.,</b:Middle>
          </b:Person>
          <b:Person>
            <b:Last>Manogaran</b:Last>
            <b:First>G.,</b:First>
          </b:Person>
          <b:Person>
            <b:Last>Peter</b:Last>
            <b:First>A.</b:First>
          </b:Person>
        </b:NameList>
      </b:Author>
    </b:Author>
    <b:Title>Cybersecurity and identity access management</b:Title>
    <b:Year>2023</b:Year>
    <b:City>Singapore</b:City>
    <b:Publisher> Springer</b:Publisher>
    <b:RefOrder>13</b:RefOrder>
  </b:Source>
  <b:Source>
    <b:Tag>Mas23</b:Tag>
    <b:SourceType>Book</b:SourceType>
    <b:Guid>{ABE3D048-1177-40E3-8E67-C61416669FC1}</b:Guid>
    <b:Author>
      <b:Author>
        <b:NameList>
          <b:Person>
            <b:Last>Maseko</b:Last>
            <b:First>A.</b:First>
            <b:Middle>E.</b:Middle>
          </b:Person>
        </b:NameList>
      </b:Author>
    </b:Author>
    <b:Title>Remedies to reduce user susceptibility to phishing attacks (Doctoral dissertation, University of the Western Cape)</b:Title>
    <b:Year>2023</b:Year>
    <b:RefOrder>14</b:RefOrder>
  </b:Source>
  <b:Source>
    <b:Tag>She22</b:Tag>
    <b:SourceType>Book</b:SourceType>
    <b:Guid>{FB527034-7C91-4317-99E9-28F1C84226C9}</b:Guid>
    <b:Author>
      <b:Author>
        <b:NameList>
          <b:Person>
            <b:Last>Shekhar</b:Last>
            <b:First>P.</b:First>
            <b:Middle>C.</b:Middle>
          </b:Person>
        </b:NameList>
      </b:Author>
    </b:Author>
    <b:Title>Never Trust, Always Verify: Zero Trust Security Testing Framework</b:Title>
    <b:Year>2022</b:Year>
    <b:RefOrder>15</b:RefOrder>
  </b:Source>
  <b:Source>
    <b:Tag>Ali241</b:Tag>
    <b:SourceType>JournalArticle</b:SourceType>
    <b:Guid>{BD8681E2-1262-4F8E-A72A-4279E2D29F8D}</b:Guid>
    <b:Author>
      <b:Author>
        <b:NameList>
          <b:Person>
            <b:Last>Ali</b:Last>
            <b:First>M.</b:First>
            <b:Middle>M.,</b:Middle>
          </b:Person>
          <b:Person>
            <b:Last>Mohd Zaharon</b:Last>
            <b:First>N.</b:First>
            <b:Middle>F.</b:Middle>
          </b:Person>
        </b:NameList>
      </b:Author>
    </b:Author>
    <b:Title>Phishing—A cyber fraud: The types, implications and governance</b:Title>
    <b:JournalName>International Journal of Educational Reform, 33(1)</b:JournalName>
    <b:Year>2024</b:Year>
    <b:Pages>101-121</b:Pages>
    <b:RefOrder>25</b:RefOrder>
  </b:Source>
  <b:Source>
    <b:Tag>Edw24</b:Tag>
    <b:SourceType>Book</b:SourceType>
    <b:Guid>{FCBCA626-06F2-48BC-BEC6-EEDBDB726369}</b:Guid>
    <b:Author>
      <b:Author>
        <b:NameList>
          <b:Person>
            <b:Last>Edwards</b:Last>
            <b:First>J.</b:First>
          </b:Person>
        </b:NameList>
      </b:Author>
    </b:Author>
    <b:Title> A comprehensive guide to the NIST cybersecurity framework 2.0: Strategies, implementation, and best practice</b:Title>
    <b:Year>2024</b:Year>
    <b:Publisher>John Wiley &amp; Sons</b:Publisher>
    <b:RefOrder>16</b:RefOrder>
  </b:Source>
  <b:Source>
    <b:Tag>Ngu25</b:Tag>
    <b:SourceType>JournalArticle</b:SourceType>
    <b:Guid>{13700D69-E8CA-4FDE-B687-872BA2C3C894}</b:Guid>
    <b:Author>
      <b:Author>
        <b:NameList>
          <b:Person>
            <b:Last>Nguyen</b:Last>
            <b:First>H.</b:First>
            <b:Middle>N.,</b:Middle>
          </b:Person>
          <b:Person>
            <b:Last>Cuong</b:Last>
            <b:First>L.</b:First>
          </b:Person>
        </b:NameList>
      </b:Author>
    </b:Author>
    <b:Title>Overview Of Data Classification And Applications In Data Security</b:Title>
    <b:Year>2025</b:Year>
    <b:JournalName>International Journal of Environmental Sciences</b:JournalName>
    <b:Pages>31-39</b:Pages>
    <b:RefOrder>20</b:RefOrder>
  </b:Source>
  <b:Source>
    <b:Tag>Ken20</b:Tag>
    <b:SourceType>Book</b:SourceType>
    <b:Guid>{A0E64F1B-6D76-42E2-9C41-65FDC803AEDA}</b:Guid>
    <b:Author>
      <b:Author>
        <b:NameList>
          <b:Person>
            <b:Last>Kendyala</b:Last>
            <b:First>S.</b:First>
            <b:Middle>H.</b:Middle>
          </b:Person>
        </b:NameList>
      </b:Author>
    </b:Author>
    <b:Title>The Role of Multi Factor Authentication in Securing Cloud Based Enterprise Applications</b:Title>
    <b:Year>2020</b:Year>
    <b:Publisher>Available at SSRN 5074876</b:Publisher>
    <b:RefOrder>17</b:RefOrder>
  </b:Source>
  <b:Source>
    <b:Tag>She14</b:Tag>
    <b:SourceType>JournalArticle</b:SourceType>
    <b:Guid>{C1DF6FC2-D969-416D-B1D6-9C5FA149BCC1}</b:Guid>
    <b:Author>
      <b:Author>
        <b:NameList>
          <b:Person>
            <b:Last>Shebaro</b:Last>
            <b:First>B.,</b:First>
          </b:Person>
          <b:Person>
            <b:Last>Oluwatimi</b:Last>
            <b:First>O.,</b:First>
          </b:Person>
          <b:Person>
            <b:Last>Bertino</b:Last>
            <b:First>E.</b:First>
          </b:Person>
        </b:NameList>
      </b:Author>
    </b:Author>
    <b:Title> Context-based access control systems for mobile devices</b:Title>
    <b:Year>2014</b:Year>
    <b:JournalName> IEEE Transactions on Dependable and Secure Computing, 12(2)</b:JournalName>
    <b:Pages>150-163</b:Pages>
    <b:RefOrder>18</b:RefOrder>
  </b:Source>
  <b:Source>
    <b:Tag>Sin251</b:Tag>
    <b:SourceType>Book</b:SourceType>
    <b:Guid>{7AAC1982-B530-4E34-A2D9-27DA75786D49}</b:Guid>
    <b:Author>
      <b:Author>
        <b:NameList>
          <b:Person>
            <b:Last>Singh</b:Last>
            <b:First>H.</b:First>
          </b:Person>
        </b:NameList>
      </b:Author>
    </b:Author>
    <b:Title>Strengthening Endpoint Security to Reduce Attack Vectors in Distributed Work Environments</b:Title>
    <b:Year>2025</b:Year>
    <b:Publisher> Available at SSRN 5267844</b:Publisher>
    <b:RefOrder>19</b:RefOrder>
  </b:Source>
  <b:Source>
    <b:Tag>Vol18</b:Tag>
    <b:SourceType>JournalArticle</b:SourceType>
    <b:Guid>{F12DF7FF-4D10-4674-BE8E-D5BCF2CAFFBA}</b:Guid>
    <b:Author>
      <b:Author>
        <b:NameList>
          <b:Person>
            <b:Last>Volkova</b:Last>
          </b:Person>
          <b:Person>
            <b:Last>A.</b:Last>
          </b:Person>
          <b:Person>
            <b:Last>Niedermeier</b:Last>
          </b:Person>
          <b:Person>
            <b:Last>M.</b:Last>
          </b:Person>
          <b:Person>
            <b:Last>Basmadjian</b:Last>
          </b:Person>
          <b:Person>
            <b:Last>R.</b:Last>
          </b:Person>
          <b:Person>
            <b:Last>de Meer</b:Last>
          </b:Person>
          <b:Person>
            <b:Last>H.</b:Last>
          </b:Person>
        </b:NameList>
      </b:Author>
    </b:Author>
    <b:Title> Security challenges in control network protocols: A survey</b:Title>
    <b:Year>2018</b:Year>
    <b:JournalName>IEEE Communications Surveys &amp; Tutorials, 21(1)</b:JournalName>
    <b:Pages>619-639</b:Pages>
    <b:RefOrder>21</b:RefOrder>
  </b:Source>
  <b:Source>
    <b:Tag>Alv25</b:Tag>
    <b:SourceType>JournalArticle</b:SourceType>
    <b:Guid>{47205AF8-87FD-4D18-89AB-008696E873F0}</b:Guid>
    <b:Author>
      <b:Author>
        <b:NameList>
          <b:Person>
            <b:Last>Alvi</b:Last>
            <b:First>S.</b:First>
          </b:Person>
        </b:NameList>
      </b:Author>
    </b:Author>
    <b:Title>8 Endpoint Security and. Handbook of AI-Driven Threat Detection and Prevention: A Holistic Approach to Security, 130</b:Title>
    <b:Year>2025</b:Year>
    <b:RefOrder>22</b:RefOrder>
  </b:Source>
  <b:Source>
    <b:Tag>Gar252</b:Tag>
    <b:SourceType>JournalArticle</b:SourceType>
    <b:Guid>{5B0F4A1B-4394-4027-8542-CCC30C224779}</b:Guid>
    <b:Author>
      <b:Author>
        <b:NameList>
          <b:Person>
            <b:Last>Garg</b:Last>
            <b:First>P.</b:First>
          </b:Person>
        </b:NameList>
      </b:Author>
    </b:Author>
    <b:Title>Cloud security posture management: Tools and techniques</b:Title>
    <b:Year>2025</b:Year>
    <b:Pages>Available at SSRN 5357921</b:Pages>
    <b:RefOrder>23</b:RefOrder>
  </b:Source>
  <b:Source>
    <b:Tag>Osb23</b:Tag>
    <b:SourceType>JournalArticle</b:SourceType>
    <b:Guid>{ED4683D5-E059-458F-A74E-392DD74C7BF5}</b:Guid>
    <b:Author>
      <b:Author>
        <b:NameList>
          <b:Person>
            <b:Last>Osborne</b:Last>
            <b:First>C.</b:First>
            <b:Middle>M.,</b:Middle>
          </b:Person>
          <b:Person>
            <b:Last>Boone</b:Last>
            <b:First>D.</b:First>
            <b:Middle>S.</b:Middle>
          </b:Person>
        </b:NameList>
      </b:Author>
    </b:Author>
    <b:Title>Effective Patch Management and Government Systems</b:Title>
    <b:Year>2023</b:Year>
    <b:RefOrder>24</b:RefOrder>
  </b:Source>
  <b:Source>
    <b:Tag>Enb24</b:Tag>
    <b:SourceType>JournalArticle</b:SourceType>
    <b:Guid>{76BC8CE0-1DD9-4D77-B331-89AC95A5E25D}</b:Guid>
    <b:Author>
      <b:Author>
        <b:NameList>
          <b:Person>
            <b:Last>Enberg</b:Last>
            <b:First>P.</b:First>
          </b:Person>
        </b:NameList>
      </b:Author>
    </b:Author>
    <b:Title>Behavior Analytics in Cyber Security</b:Title>
    <b:Year>2024</b:Year>
    <b:RefOrder>26</b:RefOrder>
  </b:Source>
</b:Sources>
</file>

<file path=customXml/itemProps1.xml><?xml version="1.0" encoding="utf-8"?>
<ds:datastoreItem xmlns:ds="http://purl.oclc.org/ooxml/officeDocument/customXml" ds:itemID="{9AE88C49-1998-4CF5-B874-7E03F31028C3}">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TotalTime>
  <Pages>8</Pages>
  <Words>3375</Words>
  <Characters>19240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Julio Miguel Abeso Ecoro</cp:lastModifiedBy>
  <cp:revision>2</cp:revision>
  <dcterms:created xsi:type="dcterms:W3CDTF">2025-12-18T12:34:00Z</dcterms:created>
  <dcterms:modified xsi:type="dcterms:W3CDTF">2025-12-18T12:34:00Z</dcterms:modified>
</cp:coreProperties>
</file>