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EA625F" w14:textId="77777777" w:rsidR="006121B7" w:rsidRDefault="006121B7" w:rsidP="006121B7">
      <w:pPr>
        <w:spacing w:after="0" w:line="360" w:lineRule="auto"/>
        <w:jc w:val="both"/>
        <w:rPr>
          <w:rFonts w:ascii="Times New Roman" w:eastAsia="Times New Roman" w:hAnsi="Times New Roman" w:cs="Times New Roman"/>
          <w:sz w:val="24"/>
          <w:szCs w:val="24"/>
        </w:rPr>
      </w:pPr>
      <w:bookmarkStart w:id="0" w:name="_Hlk27417496"/>
      <w:r>
        <w:rPr>
          <w:rFonts w:ascii="Times New Roman" w:eastAsia="Times New Roman" w:hAnsi="Times New Roman" w:cs="Times New Roman"/>
          <w:b/>
          <w:color w:val="000000"/>
          <w:sz w:val="24"/>
          <w:szCs w:val="24"/>
        </w:rPr>
        <w:t>Provide a definition of what is meant by the ‘integrity’ of evidence and using proven “stated case law” (and Statutes), in the UK justice system, identify critical cases which have impacted on the UK Criminal Justice system, influencing the outcome of specific cases.</w:t>
      </w:r>
    </w:p>
    <w:p w14:paraId="1BCCAB68" w14:textId="77777777" w:rsidR="006121B7" w:rsidRDefault="006121B7" w:rsidP="006121B7">
      <w:pPr>
        <w:spacing w:after="0" w:line="360" w:lineRule="auto"/>
        <w:rPr>
          <w:rFonts w:ascii="Times New Roman" w:eastAsia="Times New Roman" w:hAnsi="Times New Roman" w:cs="Times New Roman"/>
          <w:sz w:val="24"/>
          <w:szCs w:val="24"/>
        </w:rPr>
      </w:pPr>
    </w:p>
    <w:p w14:paraId="15D886E8" w14:textId="77777777" w:rsidR="006121B7" w:rsidRDefault="006121B7" w:rsidP="006121B7">
      <w:pPr>
        <w:spacing w:after="0" w:line="360" w:lineRule="auto"/>
        <w:jc w:val="both"/>
        <w:rPr>
          <w:rFonts w:ascii="Times New Roman" w:eastAsia="Times New Roman" w:hAnsi="Times New Roman" w:cs="Times New Roman"/>
          <w:sz w:val="24"/>
          <w:szCs w:val="24"/>
        </w:rPr>
      </w:pPr>
      <w:bookmarkStart w:id="1" w:name="_gjdgxs" w:colFirst="0" w:colLast="0"/>
      <w:bookmarkEnd w:id="1"/>
      <w:r>
        <w:rPr>
          <w:rFonts w:ascii="Times New Roman" w:eastAsia="Times New Roman" w:hAnsi="Times New Roman" w:cs="Times New Roman"/>
          <w:color w:val="000000"/>
          <w:sz w:val="24"/>
          <w:szCs w:val="24"/>
        </w:rPr>
        <w:t>This essay shall address the concept of ‘Integrity’ of evidence and how critical cases involving evidence have impacted on the UK’s criminal justice system.</w:t>
      </w:r>
      <w:r>
        <w:rPr>
          <w:rFonts w:ascii="Times New Roman" w:eastAsia="Times New Roman" w:hAnsi="Times New Roman" w:cs="Times New Roman"/>
          <w:sz w:val="24"/>
          <w:szCs w:val="24"/>
        </w:rPr>
        <w:t xml:space="preserve"> T</w:t>
      </w:r>
      <w:r>
        <w:rPr>
          <w:rFonts w:ascii="Times New Roman" w:eastAsia="Times New Roman" w:hAnsi="Times New Roman" w:cs="Times New Roman"/>
          <w:color w:val="000000"/>
          <w:sz w:val="24"/>
          <w:szCs w:val="24"/>
        </w:rPr>
        <w:t xml:space="preserve">he first part must be a clear definition of what is meant by the term integrity of evidence, secondly proven stated case law from the UK must be used to show how questions arising from the integrity of evidence has affected the Criminal Justice system, and thirdly, examples of specific cases where these changes in the criminal justice system have affected the outcome must be given. After which a conclusion shall be reached in which it will be expected to </w:t>
      </w:r>
      <w:r>
        <w:rPr>
          <w:rFonts w:ascii="Times New Roman" w:eastAsia="Times New Roman" w:hAnsi="Times New Roman" w:cs="Times New Roman"/>
          <w:sz w:val="24"/>
          <w:szCs w:val="24"/>
        </w:rPr>
        <w:t>find</w:t>
      </w:r>
      <w:r>
        <w:rPr>
          <w:rFonts w:ascii="Times New Roman" w:eastAsia="Times New Roman" w:hAnsi="Times New Roman" w:cs="Times New Roman"/>
          <w:color w:val="000000"/>
          <w:sz w:val="24"/>
          <w:szCs w:val="24"/>
        </w:rPr>
        <w:t xml:space="preserve"> that integrity of evidence is an ever-changing idea which individuals need to adapt in order to that evidence is trustworthy.</w:t>
      </w:r>
    </w:p>
    <w:p w14:paraId="2EBC28C1" w14:textId="77777777" w:rsidR="006121B7" w:rsidRDefault="006121B7" w:rsidP="006121B7">
      <w:pPr>
        <w:spacing w:after="0" w:line="360" w:lineRule="auto"/>
        <w:rPr>
          <w:rFonts w:ascii="Times New Roman" w:eastAsia="Times New Roman" w:hAnsi="Times New Roman" w:cs="Times New Roman"/>
          <w:sz w:val="24"/>
          <w:szCs w:val="24"/>
        </w:rPr>
      </w:pPr>
    </w:p>
    <w:p w14:paraId="03744FFB" w14:textId="77777777" w:rsidR="006121B7" w:rsidRDefault="006121B7" w:rsidP="006121B7">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The first section of this essay shall attempt to define what is meant by integrity of evidence, explaining the concept and how the integrity of evidence is maintained. If we dissect the phrase into the two words ‘integrity’ and ‘evidence’. Firstly, what is meant by the word ‘integrity’ is the validity and honesty</w:t>
      </w:r>
      <w:r>
        <w:rPr>
          <w:rFonts w:ascii="Times New Roman" w:eastAsia="Times New Roman" w:hAnsi="Times New Roman" w:cs="Times New Roman"/>
          <w:sz w:val="24"/>
          <w:szCs w:val="24"/>
        </w:rPr>
        <w:t xml:space="preserve">, and secondly, </w:t>
      </w:r>
      <w:r>
        <w:rPr>
          <w:rFonts w:ascii="Times New Roman" w:eastAsia="Times New Roman" w:hAnsi="Times New Roman" w:cs="Times New Roman"/>
          <w:color w:val="000000"/>
          <w:sz w:val="24"/>
          <w:szCs w:val="24"/>
        </w:rPr>
        <w:t>‘evidence’</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is purely information obtained by examination of a crime scene, suspect, victim or anywhere linked to a crime</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The information does not have to be </w:t>
      </w:r>
      <w:r>
        <w:rPr>
          <w:rFonts w:ascii="Times New Roman" w:eastAsia="Times New Roman" w:hAnsi="Times New Roman" w:cs="Times New Roman"/>
          <w:sz w:val="24"/>
          <w:szCs w:val="24"/>
        </w:rPr>
        <w:t>physical;</w:t>
      </w:r>
      <w:r>
        <w:rPr>
          <w:rFonts w:ascii="Times New Roman" w:eastAsia="Times New Roman" w:hAnsi="Times New Roman" w:cs="Times New Roman"/>
          <w:color w:val="000000"/>
          <w:sz w:val="24"/>
          <w:szCs w:val="24"/>
        </w:rPr>
        <w:t xml:space="preserve"> it can also be digital. </w:t>
      </w:r>
      <w:r w:rsidRPr="00370453">
        <w:rPr>
          <w:rFonts w:ascii="Times New Roman" w:eastAsia="Times New Roman" w:hAnsi="Times New Roman" w:cs="Times New Roman"/>
          <w:bCs/>
          <w:iCs/>
          <w:color w:val="000000"/>
          <w:sz w:val="24"/>
          <w:szCs w:val="24"/>
        </w:rPr>
        <w:t xml:space="preserve">By </w:t>
      </w:r>
      <w:r>
        <w:rPr>
          <w:rFonts w:ascii="Times New Roman" w:eastAsia="Times New Roman" w:hAnsi="Times New Roman" w:cs="Times New Roman"/>
          <w:bCs/>
          <w:iCs/>
          <w:sz w:val="24"/>
          <w:szCs w:val="24"/>
        </w:rPr>
        <w:t>being combined</w:t>
      </w:r>
      <w:r w:rsidRPr="00370453">
        <w:rPr>
          <w:rFonts w:ascii="Times New Roman" w:eastAsia="Times New Roman" w:hAnsi="Times New Roman" w:cs="Times New Roman"/>
          <w:bCs/>
          <w:iCs/>
          <w:color w:val="000000"/>
          <w:sz w:val="24"/>
          <w:szCs w:val="24"/>
        </w:rPr>
        <w:t xml:space="preserve"> these two phrases discuss how valid the evidence</w:t>
      </w:r>
      <w:r>
        <w:rPr>
          <w:rFonts w:ascii="Times New Roman" w:eastAsia="Times New Roman" w:hAnsi="Times New Roman" w:cs="Times New Roman"/>
          <w:bCs/>
          <w:iCs/>
          <w:sz w:val="24"/>
          <w:szCs w:val="24"/>
        </w:rPr>
        <w:t xml:space="preserve"> is and whether it</w:t>
      </w:r>
      <w:r w:rsidRPr="00370453">
        <w:rPr>
          <w:rFonts w:ascii="Times New Roman" w:eastAsia="Times New Roman" w:hAnsi="Times New Roman" w:cs="Times New Roman"/>
          <w:bCs/>
          <w:iCs/>
          <w:color w:val="000000"/>
          <w:sz w:val="24"/>
          <w:szCs w:val="24"/>
        </w:rPr>
        <w:t xml:space="preserve"> and can it be trusted?</w:t>
      </w:r>
      <w:r>
        <w:rPr>
          <w:rFonts w:ascii="Times New Roman" w:eastAsia="Times New Roman" w:hAnsi="Times New Roman" w:cs="Times New Roman"/>
          <w:color w:val="000000"/>
          <w:sz w:val="24"/>
          <w:szCs w:val="24"/>
        </w:rPr>
        <w:t xml:space="preserve"> This depends on the care taken when handling the evidence in order to protect it from tampering and contamination. There are many guidelines that Police and forensic examiners must adhere to when handling evidence. These guidelines appear in several forms, for example</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City of London Police: PIPCU Guide to the seizure of exhibits.</w:t>
      </w:r>
      <w:r>
        <w:rPr>
          <w:rFonts w:ascii="Times New Roman" w:eastAsia="Times New Roman" w:hAnsi="Times New Roman" w:cs="Times New Roman"/>
          <w:color w:val="000000"/>
          <w:sz w:val="24"/>
          <w:szCs w:val="24"/>
          <w:vertAlign w:val="superscript"/>
        </w:rPr>
        <w:footnoteReference w:id="1"/>
      </w:r>
      <w:r>
        <w:rPr>
          <w:rFonts w:ascii="Times New Roman" w:eastAsia="Times New Roman" w:hAnsi="Times New Roman" w:cs="Times New Roman"/>
          <w:color w:val="000000"/>
          <w:sz w:val="24"/>
          <w:szCs w:val="24"/>
        </w:rPr>
        <w:t xml:space="preserve"> The ‘Scenes of Crime Examination Best Practice Manual’ by the European Network of Forensic Science Institutes (ENFSI).</w:t>
      </w:r>
      <w:r>
        <w:rPr>
          <w:rFonts w:ascii="Times New Roman" w:eastAsia="Times New Roman" w:hAnsi="Times New Roman" w:cs="Times New Roman"/>
          <w:color w:val="000000"/>
          <w:sz w:val="24"/>
          <w:szCs w:val="24"/>
          <w:vertAlign w:val="superscript"/>
        </w:rPr>
        <w:footnoteReference w:id="2"/>
      </w:r>
      <w:r>
        <w:rPr>
          <w:rFonts w:ascii="Times New Roman" w:eastAsia="Times New Roman" w:hAnsi="Times New Roman" w:cs="Times New Roman"/>
          <w:color w:val="000000"/>
          <w:sz w:val="24"/>
          <w:szCs w:val="24"/>
        </w:rPr>
        <w:t xml:space="preserve"> Another form that guidelines may take is as a Legislation or Act</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these include; the Police and Criminal Evidence Act of 1984 (also known as PaCE) which states how Police must comply regarding their powers of seizure </w:t>
      </w:r>
      <w:r>
        <w:rPr>
          <w:rFonts w:ascii="Times New Roman" w:eastAsia="Times New Roman" w:hAnsi="Times New Roman" w:cs="Times New Roman"/>
          <w:color w:val="000000"/>
          <w:sz w:val="24"/>
          <w:szCs w:val="24"/>
        </w:rPr>
        <w:lastRenderedPageBreak/>
        <w:t>and retention of property and evidence.</w:t>
      </w:r>
      <w:r>
        <w:rPr>
          <w:rFonts w:ascii="Times New Roman" w:eastAsia="Times New Roman" w:hAnsi="Times New Roman" w:cs="Times New Roman"/>
          <w:color w:val="000000"/>
          <w:sz w:val="24"/>
          <w:szCs w:val="24"/>
          <w:vertAlign w:val="superscript"/>
        </w:rPr>
        <w:footnoteReference w:id="3"/>
      </w:r>
      <w:r>
        <w:rPr>
          <w:rFonts w:ascii="Times New Roman" w:eastAsia="Times New Roman" w:hAnsi="Times New Roman" w:cs="Times New Roman"/>
          <w:color w:val="000000"/>
          <w:sz w:val="24"/>
          <w:szCs w:val="24"/>
        </w:rPr>
        <w:t xml:space="preserve"> Another of these Acts is the Criminal Justice Act 2003 which contains rules regarding evidence.</w:t>
      </w:r>
      <w:r>
        <w:rPr>
          <w:rFonts w:ascii="Times New Roman" w:eastAsia="Times New Roman" w:hAnsi="Times New Roman" w:cs="Times New Roman"/>
          <w:color w:val="000000"/>
          <w:sz w:val="24"/>
          <w:szCs w:val="24"/>
          <w:vertAlign w:val="superscript"/>
        </w:rPr>
        <w:footnoteReference w:id="4"/>
      </w:r>
      <w:r>
        <w:rPr>
          <w:rFonts w:ascii="Times New Roman" w:eastAsia="Times New Roman" w:hAnsi="Times New Roman" w:cs="Times New Roman"/>
          <w:color w:val="000000"/>
          <w:sz w:val="24"/>
          <w:szCs w:val="24"/>
        </w:rPr>
        <w:t xml:space="preserve"> There is also a different Act that has to be considered especially during an investigation which has resulted in death, this is the Human Tissue Act 2004.</w:t>
      </w:r>
      <w:r>
        <w:rPr>
          <w:rFonts w:ascii="Times New Roman" w:eastAsia="Times New Roman" w:hAnsi="Times New Roman" w:cs="Times New Roman"/>
          <w:color w:val="000000"/>
          <w:sz w:val="24"/>
          <w:szCs w:val="24"/>
          <w:vertAlign w:val="superscript"/>
        </w:rPr>
        <w:footnoteReference w:id="5"/>
      </w:r>
    </w:p>
    <w:p w14:paraId="202CF7D3" w14:textId="77777777" w:rsidR="006121B7" w:rsidRDefault="006121B7" w:rsidP="006121B7">
      <w:pPr>
        <w:spacing w:after="0" w:line="360" w:lineRule="auto"/>
        <w:rPr>
          <w:rFonts w:ascii="Times New Roman" w:eastAsia="Times New Roman" w:hAnsi="Times New Roman" w:cs="Times New Roman"/>
          <w:sz w:val="24"/>
          <w:szCs w:val="24"/>
        </w:rPr>
      </w:pPr>
    </w:p>
    <w:p w14:paraId="782C107F" w14:textId="77777777" w:rsidR="006121B7" w:rsidRDefault="006121B7" w:rsidP="006121B7">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One of the processes that is utilised in order t</w:t>
      </w:r>
      <w:r>
        <w:rPr>
          <w:rFonts w:ascii="Times New Roman" w:eastAsia="Times New Roman" w:hAnsi="Times New Roman" w:cs="Times New Roman"/>
          <w:sz w:val="24"/>
          <w:szCs w:val="24"/>
        </w:rPr>
        <w:t>o</w:t>
      </w:r>
      <w:r>
        <w:rPr>
          <w:rFonts w:ascii="Times New Roman" w:eastAsia="Times New Roman" w:hAnsi="Times New Roman" w:cs="Times New Roman"/>
          <w:color w:val="000000"/>
          <w:sz w:val="24"/>
          <w:szCs w:val="24"/>
        </w:rPr>
        <w:t xml:space="preserve"> ensure integrity of evidence is a process called continuity, or also known as chain of custody. Continuity is “A chronological documentation of the handling of evidence throughout a criminal investigation”.</w:t>
      </w:r>
      <w:r>
        <w:rPr>
          <w:rFonts w:ascii="Times New Roman" w:eastAsia="Times New Roman" w:hAnsi="Times New Roman" w:cs="Times New Roman"/>
          <w:color w:val="000000"/>
          <w:sz w:val="24"/>
          <w:szCs w:val="24"/>
          <w:vertAlign w:val="superscript"/>
        </w:rPr>
        <w:footnoteReference w:id="6"/>
      </w:r>
      <w:r>
        <w:rPr>
          <w:rFonts w:ascii="Times New Roman" w:eastAsia="Times New Roman" w:hAnsi="Times New Roman" w:cs="Times New Roman"/>
          <w:color w:val="000000"/>
          <w:sz w:val="24"/>
          <w:szCs w:val="24"/>
        </w:rPr>
        <w:t xml:space="preserve"> During a trial both the defence and prosecution will introduce evidence in an attempt to either prove that</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either the accused is guilty (in the prosecution’s case)</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or innocent (in the defence’s case). In most trials the prosecution and defence will attempt to bring the other parties’ evidence into doubt. In order to dismiss the doubt created, the party producing the evidence must demonstrate its validity, they must also be able to display or prove that the evidence presented is the evidence collected from a crime scene or through an investigation. Continuity requires that from the instant the evidence is gathered, each transfer from individual to individual must be documented, </w:t>
      </w:r>
      <w:proofErr w:type="gramStart"/>
      <w:r>
        <w:rPr>
          <w:rFonts w:ascii="Times New Roman" w:eastAsia="Times New Roman" w:hAnsi="Times New Roman" w:cs="Times New Roman"/>
          <w:color w:val="000000"/>
          <w:sz w:val="24"/>
          <w:szCs w:val="24"/>
        </w:rPr>
        <w:t>and also</w:t>
      </w:r>
      <w:proofErr w:type="gramEnd"/>
      <w:r>
        <w:rPr>
          <w:rFonts w:ascii="Times New Roman" w:eastAsia="Times New Roman" w:hAnsi="Times New Roman" w:cs="Times New Roman"/>
          <w:color w:val="000000"/>
          <w:sz w:val="24"/>
          <w:szCs w:val="24"/>
        </w:rPr>
        <w:t xml:space="preserve"> importantly it must be provable that no person has been able to access the evidence. For example, at a scene of a murder if Police Officer ‘X’ discovers a gun, places it into an evidence bag and places a signed seal on it along with a continuity tag, on which they fill in their details, they then passes the evidence bag to Forensic Investigator ‘Y’ who firstly will sign the continuity tag and then takes the gun to the forensic laboratory and collects all evidence such as fingerprints, gunshot residue, blood cells etc. In order to collect this evidence the seal placed by Officer ‘X’ will not be broken but the bag will be opened in another location and once the evidence is gathered Investigator ‘Y’ will place their own seal over the new location where the bag was opened. This will provide proof that the evidence has not been tampered with as all seals will be fully intact and all openings on the evidence bag have been sealed correctly. Following this, Investigator ‘Y’ gives the bag to Evidence Clerk ‘Z’ who signs the continuity tag prior to storing the evidence. Therefore, when the evidence is introduced into the trial by the prosecution, if the accused or the defence question the continuity of the </w:t>
      </w:r>
      <w:r>
        <w:rPr>
          <w:rFonts w:ascii="Times New Roman" w:eastAsia="Times New Roman" w:hAnsi="Times New Roman" w:cs="Times New Roman"/>
          <w:color w:val="000000"/>
          <w:sz w:val="24"/>
          <w:szCs w:val="24"/>
        </w:rPr>
        <w:lastRenderedPageBreak/>
        <w:t>evidence, it is possible to easily prove that the gun in the evidence is the same gun that was collected from the crime scene. There are issues with this process in that if there are inconsistencies in the documentation and a gap is sh</w:t>
      </w:r>
      <w:r>
        <w:rPr>
          <w:rFonts w:ascii="Times New Roman" w:eastAsia="Times New Roman" w:hAnsi="Times New Roman" w:cs="Times New Roman"/>
          <w:sz w:val="24"/>
          <w:szCs w:val="24"/>
        </w:rPr>
        <w:t xml:space="preserve">own </w:t>
      </w:r>
      <w:r>
        <w:rPr>
          <w:rFonts w:ascii="Times New Roman" w:eastAsia="Times New Roman" w:hAnsi="Times New Roman" w:cs="Times New Roman"/>
          <w:color w:val="000000"/>
          <w:sz w:val="24"/>
          <w:szCs w:val="24"/>
        </w:rPr>
        <w:t>where it’s not possible to prove who was in possession of the evidence at a certain time, the continuity has been broken, this may result in the evidence being judged as inadmissible in the trial. This is possible even if it may simply be a clerical error and the evidence has not been tampered with. The broken continuity provides doubt over the evidence’s integrity.</w:t>
      </w:r>
      <w:r>
        <w:rPr>
          <w:rFonts w:ascii="Times New Roman" w:eastAsia="Times New Roman" w:hAnsi="Times New Roman" w:cs="Times New Roman"/>
          <w:color w:val="000000"/>
          <w:sz w:val="24"/>
          <w:szCs w:val="24"/>
          <w:vertAlign w:val="superscript"/>
        </w:rPr>
        <w:footnoteReference w:id="7"/>
      </w:r>
      <w:r>
        <w:rPr>
          <w:rFonts w:ascii="Times New Roman" w:eastAsia="Times New Roman" w:hAnsi="Times New Roman" w:cs="Times New Roman"/>
          <w:color w:val="000000"/>
          <w:sz w:val="24"/>
          <w:szCs w:val="24"/>
        </w:rPr>
        <w:t xml:space="preserve"> </w:t>
      </w:r>
    </w:p>
    <w:p w14:paraId="4D81D6D7" w14:textId="77777777" w:rsidR="006121B7" w:rsidRDefault="006121B7" w:rsidP="006121B7">
      <w:pPr>
        <w:spacing w:after="0" w:line="360" w:lineRule="auto"/>
        <w:jc w:val="both"/>
        <w:rPr>
          <w:rFonts w:ascii="Times New Roman" w:eastAsia="Times New Roman" w:hAnsi="Times New Roman" w:cs="Times New Roman"/>
          <w:sz w:val="24"/>
          <w:szCs w:val="24"/>
        </w:rPr>
      </w:pPr>
    </w:p>
    <w:p w14:paraId="091BD5F1" w14:textId="77777777" w:rsidR="006121B7" w:rsidRDefault="006121B7" w:rsidP="006121B7">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Another method which is employed by the police and forensic investigators is during an investigation of a serious nature (meaning sexual assaults, rape cases, murder investigations), is that different forensic investigators will attend different scenes, in order to avoid the possibility of cross contamination. For example, Forensic Investigator ‘X’ may attend the scene where a murder victim’s body is discovered, however, Forensic Investigator ‘X’ will not attend the address of any suspect in the case or the arrest of any suspect. Forensic Investigator ‘Y’ would attend the address of the suspect for forensic investigation and Investigator ‘Y’ would not attend the scene where the victim’s body is discovered. This would remove the possibility for cross contamination by either investigator. This also eliminates any opportunity in a trial for the defence to cast doubt over any evidence found at the accused's house or on the individual by suggesting cross contamination. In a similar situation for similar reasons in the instance of an alleged sexual assault, the victim when taken to the police station to provide a statement would be taken in an entirely different vehicle to the accused. This is to avoid any cross contamination from the police vehicle, for example, a strand of hair may coincidentally be left on the seat of the police car and if a wrongfully accused individual  was later arrested and escorted in the same vehicle, there is the possibility that the strand of hair left in the police car could be transferred to the accused’s clothing or body, and thus in a forensic investigation the accused who may be innocent could potentially be found guilty due to the hair found on his clothing through cross contamination. Also, similarly to the previous example, by escorting both the victim and suspect in different vehicles this eliminates any opportunity for the defence in a trial to attempt to create doubt over evidence found in an investigation.</w:t>
      </w:r>
    </w:p>
    <w:p w14:paraId="0BEB3E3E" w14:textId="77777777" w:rsidR="006121B7" w:rsidRDefault="006121B7" w:rsidP="006121B7">
      <w:pPr>
        <w:spacing w:after="0" w:line="360" w:lineRule="auto"/>
        <w:rPr>
          <w:rFonts w:ascii="Times New Roman" w:eastAsia="Times New Roman" w:hAnsi="Times New Roman" w:cs="Times New Roman"/>
          <w:sz w:val="24"/>
          <w:szCs w:val="24"/>
        </w:rPr>
      </w:pPr>
    </w:p>
    <w:p w14:paraId="5ABF9322" w14:textId="77777777" w:rsidR="006121B7" w:rsidRDefault="006121B7" w:rsidP="006121B7">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An example of a case that has affected the criminal justice system is the case of Sydney Malkin who was charged with breaking and entering of a flat stealing items of underwear to the value of £2 in 1956.</w:t>
      </w:r>
      <w:r>
        <w:rPr>
          <w:rFonts w:ascii="Times New Roman" w:eastAsia="Times New Roman" w:hAnsi="Times New Roman" w:cs="Times New Roman"/>
          <w:color w:val="000000"/>
          <w:sz w:val="24"/>
          <w:szCs w:val="24"/>
          <w:vertAlign w:val="superscript"/>
        </w:rPr>
        <w:footnoteReference w:id="8"/>
      </w:r>
      <w:r>
        <w:rPr>
          <w:rFonts w:ascii="Times New Roman" w:eastAsia="Times New Roman" w:hAnsi="Times New Roman" w:cs="Times New Roman"/>
          <w:color w:val="000000"/>
          <w:sz w:val="24"/>
          <w:szCs w:val="24"/>
        </w:rPr>
        <w:t xml:space="preserve"> The flat belonging to Mrs Edith Bowles was sixty foot up in the air, and thus she had not felt like she needed to lock her windows after leaving the items of clothing out to dry on her mantelpiece.</w:t>
      </w:r>
      <w:r>
        <w:rPr>
          <w:rFonts w:ascii="Times New Roman" w:eastAsia="Times New Roman" w:hAnsi="Times New Roman" w:cs="Times New Roman"/>
          <w:color w:val="000000"/>
          <w:sz w:val="24"/>
          <w:szCs w:val="24"/>
          <w:vertAlign w:val="superscript"/>
        </w:rPr>
        <w:footnoteReference w:id="9"/>
      </w:r>
      <w:r>
        <w:rPr>
          <w:rFonts w:ascii="Times New Roman" w:eastAsia="Times New Roman" w:hAnsi="Times New Roman" w:cs="Times New Roman"/>
          <w:color w:val="000000"/>
          <w:sz w:val="24"/>
          <w:szCs w:val="24"/>
        </w:rPr>
        <w:t xml:space="preserve"> The crime was reported to PC Ernest Parker by Mrs Bowles who investigated the flat and the point of entry. PC Parker recognised the </w:t>
      </w:r>
      <w:r>
        <w:rPr>
          <w:rFonts w:ascii="Times New Roman" w:eastAsia="Times New Roman" w:hAnsi="Times New Roman" w:cs="Times New Roman"/>
          <w:i/>
          <w:color w:val="000000"/>
          <w:sz w:val="24"/>
          <w:szCs w:val="24"/>
        </w:rPr>
        <w:t xml:space="preserve">Modus Operandi </w:t>
      </w:r>
      <w:r>
        <w:rPr>
          <w:rFonts w:ascii="Times New Roman" w:eastAsia="Times New Roman" w:hAnsi="Times New Roman" w:cs="Times New Roman"/>
          <w:color w:val="000000"/>
          <w:sz w:val="24"/>
          <w:szCs w:val="24"/>
        </w:rPr>
        <w:t>as that of Sydney Malkin.</w:t>
      </w:r>
      <w:r>
        <w:rPr>
          <w:rFonts w:ascii="Times New Roman" w:eastAsia="Times New Roman" w:hAnsi="Times New Roman" w:cs="Times New Roman"/>
          <w:color w:val="000000"/>
          <w:sz w:val="24"/>
          <w:szCs w:val="24"/>
          <w:vertAlign w:val="superscript"/>
        </w:rPr>
        <w:footnoteReference w:id="10"/>
      </w:r>
      <w:r>
        <w:rPr>
          <w:rFonts w:ascii="Times New Roman" w:eastAsia="Times New Roman" w:hAnsi="Times New Roman" w:cs="Times New Roman"/>
          <w:color w:val="000000"/>
          <w:sz w:val="24"/>
          <w:szCs w:val="24"/>
        </w:rPr>
        <w:t xml:space="preserve"> While this does not appear as a case that is out of the ordinary, it is not the crime or the suspect that changed the Criminal Justice system forever, but rather the capture of Malkin. Upon investigation of Mrs Bowles’ flat PC Parker discovered three footprints. The first footprint situated on a speaker cabinet, a second footprint from a left foot on the floor and thirdly a right footprint upon the television.</w:t>
      </w:r>
      <w:r>
        <w:rPr>
          <w:rFonts w:ascii="Times New Roman" w:eastAsia="Times New Roman" w:hAnsi="Times New Roman" w:cs="Times New Roman"/>
          <w:color w:val="000000"/>
          <w:sz w:val="24"/>
          <w:szCs w:val="24"/>
          <w:vertAlign w:val="superscript"/>
        </w:rPr>
        <w:footnoteReference w:id="11"/>
      </w:r>
      <w:r>
        <w:rPr>
          <w:rFonts w:ascii="Times New Roman" w:eastAsia="Times New Roman" w:hAnsi="Times New Roman" w:cs="Times New Roman"/>
          <w:color w:val="000000"/>
          <w:sz w:val="24"/>
          <w:szCs w:val="24"/>
        </w:rPr>
        <w:t xml:space="preserve"> Following Malkin’s arrest comparisons were made between the footprints found and impressions made from Malkin’s feet, these comparisons were found to be identical.</w:t>
      </w:r>
      <w:r>
        <w:rPr>
          <w:rFonts w:ascii="Times New Roman" w:eastAsia="Times New Roman" w:hAnsi="Times New Roman" w:cs="Times New Roman"/>
          <w:color w:val="000000"/>
          <w:sz w:val="24"/>
          <w:szCs w:val="24"/>
          <w:vertAlign w:val="superscript"/>
        </w:rPr>
        <w:footnoteReference w:id="12"/>
      </w:r>
      <w:r>
        <w:rPr>
          <w:rFonts w:ascii="Times New Roman" w:eastAsia="Times New Roman" w:hAnsi="Times New Roman" w:cs="Times New Roman"/>
          <w:color w:val="000000"/>
          <w:sz w:val="24"/>
          <w:szCs w:val="24"/>
        </w:rPr>
        <w:t xml:space="preserve"> During Malkin’s trial a Scotland Yard fingerprint expert Detective Superintendent Holten presented this evidence and Malkin was convicted. DS Holten also stated that despite this being the first instance of footprint evidence being used in England, “The system is used widely in countries where people go barefooted such as Africa, India, Ceylon”.</w:t>
      </w:r>
      <w:r>
        <w:rPr>
          <w:rFonts w:ascii="Times New Roman" w:eastAsia="Times New Roman" w:hAnsi="Times New Roman" w:cs="Times New Roman"/>
          <w:color w:val="000000"/>
          <w:sz w:val="24"/>
          <w:szCs w:val="24"/>
          <w:vertAlign w:val="superscript"/>
        </w:rPr>
        <w:footnoteReference w:id="13"/>
      </w:r>
      <w:r>
        <w:rPr>
          <w:rFonts w:ascii="Times New Roman" w:eastAsia="Times New Roman" w:hAnsi="Times New Roman" w:cs="Times New Roman"/>
          <w:color w:val="000000"/>
          <w:sz w:val="24"/>
          <w:szCs w:val="24"/>
        </w:rPr>
        <w:t xml:space="preserve"> This is the first instance of footprints being used in a criminal investigation in the United Kingdom which then set a precedent for future use of footprints, it also laid the foundations for future developments such as the use of shoeprints to be utilised in criminal and forensic investigations. The development of footprints being used as evidence in criminal investigations does not seem to shock or surprise in today’s environment, where computers are used and with such technology as facial recognition systems. However, it must be remembered that this occurs only 54 years following the first use of fingerprints in investigation of crime.</w:t>
      </w:r>
      <w:r>
        <w:rPr>
          <w:rFonts w:ascii="Times New Roman" w:eastAsia="Times New Roman" w:hAnsi="Times New Roman" w:cs="Times New Roman"/>
          <w:color w:val="000000"/>
          <w:sz w:val="24"/>
          <w:szCs w:val="24"/>
          <w:vertAlign w:val="superscript"/>
        </w:rPr>
        <w:footnoteReference w:id="14"/>
      </w:r>
      <w:r>
        <w:rPr>
          <w:rFonts w:ascii="Times New Roman" w:eastAsia="Times New Roman" w:hAnsi="Times New Roman" w:cs="Times New Roman"/>
          <w:color w:val="000000"/>
          <w:sz w:val="24"/>
          <w:szCs w:val="24"/>
        </w:rPr>
        <w:t xml:space="preserve"> This case also develops some 31 years prior to the first every conviction using DNA profiling.</w:t>
      </w:r>
      <w:r>
        <w:rPr>
          <w:rFonts w:ascii="Times New Roman" w:eastAsia="Times New Roman" w:hAnsi="Times New Roman" w:cs="Times New Roman"/>
          <w:color w:val="000000"/>
          <w:sz w:val="24"/>
          <w:szCs w:val="24"/>
          <w:vertAlign w:val="superscript"/>
        </w:rPr>
        <w:footnoteReference w:id="15"/>
      </w:r>
    </w:p>
    <w:p w14:paraId="027C6B8D" w14:textId="77777777" w:rsidR="006121B7" w:rsidRDefault="006121B7" w:rsidP="006121B7">
      <w:pPr>
        <w:spacing w:after="0" w:line="360" w:lineRule="auto"/>
        <w:rPr>
          <w:rFonts w:ascii="Times New Roman" w:eastAsia="Times New Roman" w:hAnsi="Times New Roman" w:cs="Times New Roman"/>
          <w:sz w:val="24"/>
          <w:szCs w:val="24"/>
        </w:rPr>
      </w:pPr>
    </w:p>
    <w:p w14:paraId="7A36BEC9" w14:textId="77777777" w:rsidR="006121B7" w:rsidRDefault="006121B7" w:rsidP="006121B7">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There have been several cases in the UK where individuals have been found guilty during a trial, however, upon appeal their sentences or convictions have been quashed, due to questionable evidence, or doubts regarding evidence. One such example of this is the case of Victor Nealon. Victor Nealon a postman from Redditch was convicted and received a discretionary life sentence in 1997 for the attempted rape of a woman after departing a nightclub.</w:t>
      </w:r>
      <w:r>
        <w:rPr>
          <w:rFonts w:ascii="Times New Roman" w:eastAsia="Times New Roman" w:hAnsi="Times New Roman" w:cs="Times New Roman"/>
          <w:color w:val="000000"/>
          <w:sz w:val="24"/>
          <w:szCs w:val="24"/>
          <w:vertAlign w:val="superscript"/>
        </w:rPr>
        <w:footnoteReference w:id="16"/>
      </w:r>
      <w:r>
        <w:rPr>
          <w:rFonts w:ascii="Times New Roman" w:eastAsia="Times New Roman" w:hAnsi="Times New Roman" w:cs="Times New Roman"/>
          <w:color w:val="000000"/>
          <w:sz w:val="24"/>
          <w:szCs w:val="24"/>
        </w:rPr>
        <w:t xml:space="preserve"> The usual length of time an offender will serve for this crime is seven years, however, Mr Nealon served 17 years as he persistently pleaded his innocence and was refused parole due to his refusal to admit guilt.</w:t>
      </w:r>
      <w:r>
        <w:rPr>
          <w:rFonts w:ascii="Times New Roman" w:eastAsia="Times New Roman" w:hAnsi="Times New Roman" w:cs="Times New Roman"/>
          <w:color w:val="000000"/>
          <w:sz w:val="24"/>
          <w:szCs w:val="24"/>
          <w:vertAlign w:val="superscript"/>
        </w:rPr>
        <w:footnoteReference w:id="17"/>
      </w:r>
      <w:r>
        <w:rPr>
          <w:rFonts w:ascii="Times New Roman" w:eastAsia="Times New Roman" w:hAnsi="Times New Roman" w:cs="Times New Roman"/>
          <w:color w:val="000000"/>
          <w:sz w:val="24"/>
          <w:szCs w:val="24"/>
        </w:rPr>
        <w:t xml:space="preserve"> Victor Nealon had previously requested that the CCRC (Criminal Cases Review Commission) investigate his case which was twice rejected.</w:t>
      </w:r>
      <w:r>
        <w:rPr>
          <w:rFonts w:ascii="Times New Roman" w:eastAsia="Times New Roman" w:hAnsi="Times New Roman" w:cs="Times New Roman"/>
          <w:color w:val="000000"/>
          <w:sz w:val="24"/>
          <w:szCs w:val="24"/>
          <w:vertAlign w:val="superscript"/>
        </w:rPr>
        <w:footnoteReference w:id="18"/>
      </w:r>
      <w:r>
        <w:rPr>
          <w:rFonts w:ascii="Times New Roman" w:eastAsia="Times New Roman" w:hAnsi="Times New Roman" w:cs="Times New Roman"/>
          <w:color w:val="000000"/>
          <w:sz w:val="24"/>
          <w:szCs w:val="24"/>
        </w:rPr>
        <w:t xml:space="preserve"> The CCRC did however prior to rejecting Nealon’s case request more information from West Mercia Police but when the CCRC were told that a file of evidence had been lost the CCRC failed to follow-up with any more questions.</w:t>
      </w:r>
      <w:r>
        <w:rPr>
          <w:rFonts w:ascii="Times New Roman" w:eastAsia="Times New Roman" w:hAnsi="Times New Roman" w:cs="Times New Roman"/>
          <w:color w:val="000000"/>
          <w:sz w:val="24"/>
          <w:szCs w:val="24"/>
          <w:vertAlign w:val="superscript"/>
        </w:rPr>
        <w:footnoteReference w:id="19"/>
      </w:r>
      <w:r>
        <w:rPr>
          <w:rFonts w:ascii="Times New Roman" w:eastAsia="Times New Roman" w:hAnsi="Times New Roman" w:cs="Times New Roman"/>
          <w:color w:val="000000"/>
          <w:sz w:val="24"/>
          <w:szCs w:val="24"/>
        </w:rPr>
        <w:t xml:space="preserve"> It is this loss of evidence file by West Mercia Police, that emphasizes the importance of continuity and how it can affect the integrity of evidence, which in turn has a large effect on the outcome of cases. Had West Mercia not lost the file of evidence it may have been possible to prove Victor Nealon was indeed the offender during his appeal. It is also open to interpretation whether West Mercia Police did in fact lose the evidence file or whether it was disposed of purposely or that losing the evidence file was a lie in order to conceal any Police misconduct or neglect. However, if the file was lost and an investigation brought into how that loss occurred the continuity would prove vitally important in discovering where and who was responsible for the loss. This is especially apt in the modern computerised environment. During the initial investigation at and trial Mr Nealon insisted that the forensic investigation team examine his and the victim’s clothing for DNA, which the Police denied.</w:t>
      </w:r>
      <w:r>
        <w:rPr>
          <w:rFonts w:ascii="Times New Roman" w:eastAsia="Times New Roman" w:hAnsi="Times New Roman" w:cs="Times New Roman"/>
          <w:color w:val="000000"/>
          <w:sz w:val="24"/>
          <w:szCs w:val="24"/>
          <w:vertAlign w:val="superscript"/>
        </w:rPr>
        <w:footnoteReference w:id="20"/>
      </w:r>
      <w:r>
        <w:rPr>
          <w:rFonts w:ascii="Times New Roman" w:eastAsia="Times New Roman" w:hAnsi="Times New Roman" w:cs="Times New Roman"/>
          <w:color w:val="000000"/>
          <w:sz w:val="24"/>
          <w:szCs w:val="24"/>
        </w:rPr>
        <w:t xml:space="preserve"> In 2013 Nealon was granted an appeal, and following the urging of Nealon’s appeal lawyers, DNA evidence on the clothing of the victim was examined and found to not </w:t>
      </w:r>
      <w:r>
        <w:rPr>
          <w:rFonts w:ascii="Times New Roman" w:eastAsia="Times New Roman" w:hAnsi="Times New Roman" w:cs="Times New Roman"/>
          <w:color w:val="000000"/>
          <w:sz w:val="24"/>
          <w:szCs w:val="24"/>
        </w:rPr>
        <w:lastRenderedPageBreak/>
        <w:t>match Victor Nealon.</w:t>
      </w:r>
      <w:r>
        <w:rPr>
          <w:rFonts w:ascii="Times New Roman" w:eastAsia="Times New Roman" w:hAnsi="Times New Roman" w:cs="Times New Roman"/>
          <w:color w:val="000000"/>
          <w:sz w:val="24"/>
          <w:szCs w:val="24"/>
          <w:vertAlign w:val="superscript"/>
        </w:rPr>
        <w:footnoteReference w:id="21"/>
      </w:r>
      <w:r>
        <w:rPr>
          <w:rFonts w:ascii="Times New Roman" w:eastAsia="Times New Roman" w:hAnsi="Times New Roman" w:cs="Times New Roman"/>
          <w:color w:val="000000"/>
          <w:sz w:val="24"/>
          <w:szCs w:val="24"/>
        </w:rPr>
        <w:t xml:space="preserve"> However, the profile of the person who the DNA did match was not stored on the National DNA Database (NDNAD). The Crown attempted to the bring the DNA evidence into doubt stating that it is possible that the DNA had come from a different source rather than the attacker. An example for this could potentially be the shop where the victim had purchased the clothes.</w:t>
      </w:r>
      <w:r>
        <w:rPr>
          <w:rFonts w:ascii="Times New Roman" w:eastAsia="Times New Roman" w:hAnsi="Times New Roman" w:cs="Times New Roman"/>
          <w:color w:val="000000"/>
          <w:sz w:val="24"/>
          <w:szCs w:val="24"/>
          <w:vertAlign w:val="superscript"/>
        </w:rPr>
        <w:footnoteReference w:id="22"/>
      </w:r>
      <w:r>
        <w:rPr>
          <w:rFonts w:ascii="Times New Roman" w:eastAsia="Times New Roman" w:hAnsi="Times New Roman" w:cs="Times New Roman"/>
          <w:color w:val="000000"/>
          <w:sz w:val="24"/>
          <w:szCs w:val="24"/>
        </w:rPr>
        <w:t xml:space="preserve"> It was then argued that the positioning of these DNA samples matched up with the description of the attack and that with the DNA being on more than one item of clothing it was highly unlikely to have come from the shop where the clothes were purchased.</w:t>
      </w:r>
      <w:r>
        <w:rPr>
          <w:rFonts w:ascii="Times New Roman" w:eastAsia="Times New Roman" w:hAnsi="Times New Roman" w:cs="Times New Roman"/>
          <w:color w:val="000000"/>
          <w:sz w:val="24"/>
          <w:szCs w:val="24"/>
          <w:vertAlign w:val="superscript"/>
        </w:rPr>
        <w:footnoteReference w:id="23"/>
      </w:r>
      <w:r>
        <w:rPr>
          <w:rFonts w:ascii="Times New Roman" w:eastAsia="Times New Roman" w:hAnsi="Times New Roman" w:cs="Times New Roman"/>
          <w:color w:val="000000"/>
          <w:sz w:val="24"/>
          <w:szCs w:val="24"/>
        </w:rPr>
        <w:t xml:space="preserve"> Mr Nealon’s conviction was quashed and he was immediately released from custody.</w:t>
      </w:r>
      <w:r>
        <w:rPr>
          <w:rFonts w:ascii="Times New Roman" w:eastAsia="Times New Roman" w:hAnsi="Times New Roman" w:cs="Times New Roman"/>
          <w:color w:val="000000"/>
          <w:sz w:val="24"/>
          <w:szCs w:val="24"/>
          <w:vertAlign w:val="superscript"/>
        </w:rPr>
        <w:footnoteReference w:id="24"/>
      </w:r>
      <w:r>
        <w:rPr>
          <w:rFonts w:ascii="Times New Roman" w:eastAsia="Times New Roman" w:hAnsi="Times New Roman" w:cs="Times New Roman"/>
          <w:color w:val="000000"/>
          <w:sz w:val="24"/>
          <w:szCs w:val="24"/>
        </w:rPr>
        <w:t xml:space="preserve"> However, the ministry for justice rejected Nealon’s claim for compensation, stating that his innocence had not been proved “beyond reasonable doubt”.</w:t>
      </w:r>
      <w:r>
        <w:rPr>
          <w:rFonts w:ascii="Times New Roman" w:eastAsia="Times New Roman" w:hAnsi="Times New Roman" w:cs="Times New Roman"/>
          <w:color w:val="000000"/>
          <w:sz w:val="24"/>
          <w:szCs w:val="24"/>
          <w:vertAlign w:val="superscript"/>
        </w:rPr>
        <w:footnoteReference w:id="25"/>
      </w:r>
      <w:r>
        <w:rPr>
          <w:rFonts w:ascii="Times New Roman" w:eastAsia="Times New Roman" w:hAnsi="Times New Roman" w:cs="Times New Roman"/>
          <w:color w:val="000000"/>
          <w:sz w:val="24"/>
          <w:szCs w:val="24"/>
        </w:rPr>
        <w:t xml:space="preserve"> Nealon’s case and appeal paved way for new legislation to be written, it discussed miscarriage of justice. It also provided a definition of what is meant and classed at miscarriage of justice with the view of deciding how and when individuals are eligible for compensation following a conviction overturn. The new definition that was written now meant an individual is now only paid compensation if there conviction reversal shows ‘beyond reasonable doubt’ that they are innocent of the offence.</w:t>
      </w:r>
      <w:r>
        <w:rPr>
          <w:rFonts w:ascii="Times New Roman" w:eastAsia="Times New Roman" w:hAnsi="Times New Roman" w:cs="Times New Roman"/>
          <w:color w:val="000000"/>
          <w:sz w:val="24"/>
          <w:szCs w:val="24"/>
          <w:vertAlign w:val="superscript"/>
        </w:rPr>
        <w:footnoteReference w:id="26"/>
      </w:r>
      <w:r>
        <w:rPr>
          <w:rFonts w:ascii="Times New Roman" w:eastAsia="Times New Roman" w:hAnsi="Times New Roman" w:cs="Times New Roman"/>
          <w:color w:val="000000"/>
          <w:sz w:val="24"/>
          <w:szCs w:val="24"/>
        </w:rPr>
        <w:t xml:space="preserve"> While this legislation did not affect the handling of evidence to ensure its validity it certainly affected the criminal justice system. </w:t>
      </w:r>
    </w:p>
    <w:p w14:paraId="21421890" w14:textId="77777777" w:rsidR="006121B7" w:rsidRDefault="006121B7" w:rsidP="006121B7">
      <w:pPr>
        <w:spacing w:after="0" w:line="360" w:lineRule="auto"/>
        <w:rPr>
          <w:rFonts w:ascii="Times New Roman" w:eastAsia="Times New Roman" w:hAnsi="Times New Roman" w:cs="Times New Roman"/>
          <w:sz w:val="24"/>
          <w:szCs w:val="24"/>
        </w:rPr>
      </w:pPr>
    </w:p>
    <w:p w14:paraId="7FB51A4F" w14:textId="77777777" w:rsidR="006121B7" w:rsidRDefault="006121B7" w:rsidP="006121B7">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A second case which found the conviction overturned due to the integrity of evidence was that of John Christopher Walsh, more commonly known as Christy Walsh. Walsh was convicted in Belfast, in 1991, for possession of explosives in the form of a coffee pot bomb. This was in connection to conflicts occurring in Northern Ireland at the time and was sentenced to 14 years.</w:t>
      </w:r>
      <w:r>
        <w:rPr>
          <w:rFonts w:ascii="Times New Roman" w:eastAsia="Times New Roman" w:hAnsi="Times New Roman" w:cs="Times New Roman"/>
          <w:color w:val="000000"/>
          <w:sz w:val="24"/>
          <w:szCs w:val="24"/>
          <w:vertAlign w:val="superscript"/>
        </w:rPr>
        <w:footnoteReference w:id="27"/>
      </w:r>
      <w:r>
        <w:rPr>
          <w:rFonts w:ascii="Times New Roman" w:eastAsia="Times New Roman" w:hAnsi="Times New Roman" w:cs="Times New Roman"/>
          <w:color w:val="000000"/>
          <w:sz w:val="24"/>
          <w:szCs w:val="24"/>
        </w:rPr>
        <w:t xml:space="preserve"> Christy Walsh served seven years in prison being released in 1998 and constantly protested his innocence throughout his imprisonment and following it.</w:t>
      </w:r>
      <w:r>
        <w:rPr>
          <w:rFonts w:ascii="Times New Roman" w:eastAsia="Times New Roman" w:hAnsi="Times New Roman" w:cs="Times New Roman"/>
          <w:color w:val="000000"/>
          <w:sz w:val="24"/>
          <w:szCs w:val="24"/>
          <w:vertAlign w:val="superscript"/>
        </w:rPr>
        <w:footnoteReference w:id="28"/>
      </w:r>
      <w:r>
        <w:rPr>
          <w:rFonts w:ascii="Times New Roman" w:eastAsia="Times New Roman" w:hAnsi="Times New Roman" w:cs="Times New Roman"/>
          <w:color w:val="000000"/>
          <w:sz w:val="24"/>
          <w:szCs w:val="24"/>
        </w:rPr>
        <w:t xml:space="preserve"> Walsh appealed his conviction while in prison in 1994 which failed and even following being released from prison in 2002 which again failed. In 2010, Walsh was granted a third appeal when the CCRC referred </w:t>
      </w:r>
      <w:r>
        <w:rPr>
          <w:rFonts w:ascii="Times New Roman" w:eastAsia="Times New Roman" w:hAnsi="Times New Roman" w:cs="Times New Roman"/>
          <w:color w:val="000000"/>
          <w:sz w:val="24"/>
          <w:szCs w:val="24"/>
        </w:rPr>
        <w:lastRenderedPageBreak/>
        <w:t>the case to the Court of Appeal of Northern Ireland. Christy Walsh’s appeal solicitors had stated that it had not been disclosed in the initial trial to Walsh’s defence team that a senior IRA member, who was far more likely to have committed the crime, had been arrested in the area that the coffee pot bomb was found on the same day as Walsh’s arrest.</w:t>
      </w:r>
      <w:r>
        <w:rPr>
          <w:rFonts w:ascii="Times New Roman" w:eastAsia="Times New Roman" w:hAnsi="Times New Roman" w:cs="Times New Roman"/>
          <w:color w:val="000000"/>
          <w:sz w:val="24"/>
          <w:szCs w:val="24"/>
          <w:vertAlign w:val="superscript"/>
        </w:rPr>
        <w:footnoteReference w:id="29"/>
      </w:r>
      <w:r>
        <w:rPr>
          <w:rFonts w:ascii="Times New Roman" w:eastAsia="Times New Roman" w:hAnsi="Times New Roman" w:cs="Times New Roman"/>
          <w:color w:val="000000"/>
          <w:sz w:val="24"/>
          <w:szCs w:val="24"/>
        </w:rPr>
        <w:t xml:space="preserve"> Another concern over the conviction that Walsh received was the doubts regarding the integrity of the fingerprint forensic evidence this was as a result of the evidence gathering techniques at the time of Christy Walsh’s arrest.</w:t>
      </w:r>
      <w:r>
        <w:rPr>
          <w:rFonts w:ascii="Times New Roman" w:eastAsia="Times New Roman" w:hAnsi="Times New Roman" w:cs="Times New Roman"/>
          <w:color w:val="000000"/>
          <w:sz w:val="24"/>
          <w:szCs w:val="24"/>
          <w:vertAlign w:val="superscript"/>
        </w:rPr>
        <w:footnoteReference w:id="30"/>
      </w:r>
      <w:r>
        <w:rPr>
          <w:rFonts w:ascii="Times New Roman" w:eastAsia="Times New Roman" w:hAnsi="Times New Roman" w:cs="Times New Roman"/>
          <w:color w:val="000000"/>
          <w:sz w:val="24"/>
          <w:szCs w:val="24"/>
        </w:rPr>
        <w:t xml:space="preserve"> There was then a third concern raised at his appeal, nine months after charging Walsh with the crime, a soldier made a claim that he had witnessed Walsh with the explosive device. Despite this, six years after the trial this soldier retracted his testimony following and investigation which found the soldier’s statement to be unlikely. When the court requested that this soldier appear in court during the appeal in order to provide an explanation of his change of story</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the prosecutor informed the court that this soldier could no longer be located. </w:t>
      </w:r>
      <w:r>
        <w:rPr>
          <w:rFonts w:ascii="Times New Roman" w:eastAsia="Times New Roman" w:hAnsi="Times New Roman" w:cs="Times New Roman"/>
          <w:sz w:val="24"/>
          <w:szCs w:val="24"/>
        </w:rPr>
        <w:t>This,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nonetheless</w:t>
      </w:r>
      <w:r>
        <w:rPr>
          <w:rFonts w:ascii="Times New Roman" w:eastAsia="Times New Roman" w:hAnsi="Times New Roman" w:cs="Times New Roman"/>
          <w:color w:val="000000"/>
          <w:sz w:val="24"/>
          <w:szCs w:val="24"/>
        </w:rPr>
        <w:t>, turned out to be false from the prosecutor as a detective served Walsh’s legal team with a report informing them of how the soldier had indeed been located. This case highlights how the integrity of evidence can still be called into question and that evidence gathering techniques (in this instance used in gathering fingerprints), must be in a constant cycle of evolution in order to ensure that validity and integrity can be ensured.</w:t>
      </w:r>
    </w:p>
    <w:p w14:paraId="61BF4C46" w14:textId="77777777" w:rsidR="006121B7" w:rsidRDefault="006121B7" w:rsidP="006121B7">
      <w:pPr>
        <w:spacing w:after="0" w:line="360" w:lineRule="auto"/>
        <w:rPr>
          <w:rFonts w:ascii="Times New Roman" w:eastAsia="Times New Roman" w:hAnsi="Times New Roman" w:cs="Times New Roman"/>
          <w:sz w:val="24"/>
          <w:szCs w:val="24"/>
        </w:rPr>
      </w:pPr>
    </w:p>
    <w:p w14:paraId="02DDF1C6" w14:textId="77777777" w:rsidR="006121B7" w:rsidRDefault="006121B7" w:rsidP="006121B7">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In conclusion to the question posed “Provide a definition of what is meant by the ‘integrity’ of evidence and using proven “stated case law” (and Statutes), in the UK justice system, identify critical cases which have impacted on the UK Criminal Justice system, influencing the outcome of specific cases”. A definition of integrity of evidence can be provided by stating that it is ensuring the validity of information gathered during an investigation, so that it can form part of a case that can be used in order prove beyond reasonable doubt, this can be either in defence or prosecution. There are several methods and techniques that investigators and Police can or must utilise in order to ensure integrity of evidence. One of these techniques is Continuity, which as discussed can be defined as “A chronological documentation of the handling of evidence throughout a criminal investigation”.</w:t>
      </w:r>
      <w:r>
        <w:rPr>
          <w:rFonts w:ascii="Times New Roman" w:eastAsia="Times New Roman" w:hAnsi="Times New Roman" w:cs="Times New Roman"/>
          <w:color w:val="000000"/>
          <w:sz w:val="24"/>
          <w:szCs w:val="24"/>
          <w:vertAlign w:val="superscript"/>
        </w:rPr>
        <w:footnoteReference w:id="31"/>
      </w:r>
      <w:r>
        <w:rPr>
          <w:rFonts w:ascii="Times New Roman" w:eastAsia="Times New Roman" w:hAnsi="Times New Roman" w:cs="Times New Roman"/>
          <w:color w:val="000000"/>
          <w:sz w:val="24"/>
          <w:szCs w:val="24"/>
        </w:rPr>
        <w:t xml:space="preserve"> Should continuity in the handling of evidence be broken then there may be reasonable doubt and the evidence and possibly even the case could be dismissed. It was discussed how the capture and use of a perpetrator's footprint at a </w:t>
      </w:r>
      <w:r>
        <w:rPr>
          <w:rFonts w:ascii="Times New Roman" w:eastAsia="Times New Roman" w:hAnsi="Times New Roman" w:cs="Times New Roman"/>
          <w:color w:val="000000"/>
          <w:sz w:val="24"/>
          <w:szCs w:val="24"/>
        </w:rPr>
        <w:lastRenderedPageBreak/>
        <w:t>crime scene set a new precedent for the use of footprints in criminal investigations and how it lay foundations for further developments in investigations carried out in the criminal justice system. It was also discussed how there has been several occurrences where the integrity of evidence has been called into doubt, this had upon appeal of a conviction resulted in the quashing of a suspect’s case. Two cases were provided as examples of this, the cases of Victor Nealon and Christy Walsh. Firstly, in Mr Nealon’s case the integrity of evidence was brought into doubt when considering the loss of an evidence file by West Mercia Police. Secondly in Mr Walsh’s case how the integrity of fingerprint evidence had been called in to question due to the evidence gathering methods the integrity of evidence regarding witness testimony was also called into question. Integrity of evidence is a consistently altering concept and investigators, police forces and legal teams must adapt and constantly evolve alongside the concept in order to ensure that evidence proves beyond reasonable doubt and in order to safeguard convictions to make sure that no guilty party remains un-convicted due doubt cast over integrity of evidence.</w:t>
      </w:r>
    </w:p>
    <w:bookmarkEnd w:id="0"/>
    <w:p w14:paraId="0F82AC18" w14:textId="01511B4E" w:rsidR="006121B7" w:rsidRDefault="006121B7"/>
    <w:p w14:paraId="1F913643" w14:textId="77777777" w:rsidR="006121B7" w:rsidRDefault="006121B7">
      <w:r>
        <w:br w:type="page"/>
      </w:r>
    </w:p>
    <w:p w14:paraId="20DB614A" w14:textId="77777777" w:rsidR="006121B7" w:rsidRDefault="006121B7" w:rsidP="006121B7">
      <w:pPr>
        <w:spacing w:line="36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lastRenderedPageBreak/>
        <w:t>Bibliography</w:t>
      </w:r>
    </w:p>
    <w:p w14:paraId="1B3014A9" w14:textId="77777777" w:rsidR="006121B7" w:rsidRDefault="006121B7" w:rsidP="006121B7">
      <w:pPr>
        <w:spacing w:after="0" w:line="240" w:lineRule="auto"/>
        <w:rPr>
          <w:rFonts w:ascii="Times New Roman" w:eastAsia="Times New Roman" w:hAnsi="Times New Roman" w:cs="Times New Roman"/>
          <w:sz w:val="23"/>
          <w:szCs w:val="23"/>
        </w:rPr>
      </w:pPr>
      <w:r>
        <w:rPr>
          <w:rFonts w:ascii="Times New Roman" w:eastAsia="Times New Roman" w:hAnsi="Times New Roman" w:cs="Times New Roman"/>
          <w:color w:val="000000"/>
          <w:sz w:val="23"/>
          <w:szCs w:val="23"/>
        </w:rPr>
        <w:t xml:space="preserve">BBC, ‘Belfast bomb accused wins court appeal’, </w:t>
      </w:r>
      <w:r>
        <w:rPr>
          <w:rFonts w:ascii="Times New Roman" w:eastAsia="Times New Roman" w:hAnsi="Times New Roman" w:cs="Times New Roman"/>
          <w:i/>
          <w:color w:val="000000"/>
          <w:sz w:val="23"/>
          <w:szCs w:val="23"/>
        </w:rPr>
        <w:t xml:space="preserve">bbc.co.uk, </w:t>
      </w:r>
      <w:r>
        <w:rPr>
          <w:rFonts w:ascii="Times New Roman" w:eastAsia="Times New Roman" w:hAnsi="Times New Roman" w:cs="Times New Roman"/>
          <w:color w:val="000000"/>
          <w:sz w:val="23"/>
          <w:szCs w:val="23"/>
        </w:rPr>
        <w:t xml:space="preserve">16 March 2010, </w:t>
      </w:r>
    </w:p>
    <w:p w14:paraId="1E955F24" w14:textId="77777777" w:rsidR="006121B7" w:rsidRDefault="006121B7" w:rsidP="006121B7">
      <w:pPr>
        <w:spacing w:after="0" w:line="240" w:lineRule="auto"/>
        <w:rPr>
          <w:rFonts w:ascii="Times New Roman" w:eastAsia="Times New Roman" w:hAnsi="Times New Roman" w:cs="Times New Roman"/>
          <w:sz w:val="23"/>
          <w:szCs w:val="23"/>
        </w:rPr>
      </w:pPr>
      <w:hyperlink r:id="rId6">
        <w:r>
          <w:rPr>
            <w:rFonts w:ascii="Times New Roman" w:eastAsia="Times New Roman" w:hAnsi="Times New Roman" w:cs="Times New Roman"/>
            <w:color w:val="0000FF"/>
            <w:sz w:val="23"/>
            <w:szCs w:val="23"/>
            <w:u w:val="single"/>
          </w:rPr>
          <w:t>http://news.bbc.co.uk/1/hi/northern_ireland/8570261.stm</w:t>
        </w:r>
      </w:hyperlink>
      <w:r>
        <w:rPr>
          <w:rFonts w:ascii="Times New Roman" w:eastAsia="Times New Roman" w:hAnsi="Times New Roman" w:cs="Times New Roman"/>
          <w:color w:val="000000"/>
          <w:sz w:val="23"/>
          <w:szCs w:val="23"/>
        </w:rPr>
        <w:t xml:space="preserve"> [Accessed 10 December 2019].</w:t>
      </w:r>
    </w:p>
    <w:p w14:paraId="636FABB3" w14:textId="77777777" w:rsidR="006121B7" w:rsidRDefault="006121B7" w:rsidP="006121B7">
      <w:pPr>
        <w:spacing w:after="0" w:line="240" w:lineRule="auto"/>
        <w:rPr>
          <w:rFonts w:ascii="Times New Roman" w:eastAsia="Times New Roman" w:hAnsi="Times New Roman" w:cs="Times New Roman"/>
          <w:sz w:val="23"/>
          <w:szCs w:val="23"/>
        </w:rPr>
      </w:pPr>
    </w:p>
    <w:p w14:paraId="4E1ADC63" w14:textId="77777777" w:rsidR="006121B7" w:rsidRDefault="006121B7" w:rsidP="006121B7">
      <w:pPr>
        <w:spacing w:after="0" w:line="240" w:lineRule="auto"/>
        <w:rPr>
          <w:rFonts w:ascii="Times New Roman" w:eastAsia="Times New Roman" w:hAnsi="Times New Roman" w:cs="Times New Roman"/>
          <w:sz w:val="23"/>
          <w:szCs w:val="23"/>
        </w:rPr>
      </w:pPr>
      <w:r>
        <w:rPr>
          <w:rFonts w:ascii="Times New Roman" w:eastAsia="Times New Roman" w:hAnsi="Times New Roman" w:cs="Times New Roman"/>
          <w:color w:val="000000"/>
          <w:sz w:val="23"/>
          <w:szCs w:val="23"/>
        </w:rPr>
        <w:t xml:space="preserve">BBC, ‘Wrongfully convicted man Victor Nealon gets apology’, </w:t>
      </w:r>
      <w:r>
        <w:rPr>
          <w:rFonts w:ascii="Times New Roman" w:eastAsia="Times New Roman" w:hAnsi="Times New Roman" w:cs="Times New Roman"/>
          <w:i/>
          <w:color w:val="000000"/>
          <w:sz w:val="23"/>
          <w:szCs w:val="23"/>
        </w:rPr>
        <w:t xml:space="preserve">bbc.co.uk, </w:t>
      </w:r>
      <w:r>
        <w:rPr>
          <w:rFonts w:ascii="Times New Roman" w:eastAsia="Times New Roman" w:hAnsi="Times New Roman" w:cs="Times New Roman"/>
          <w:color w:val="000000"/>
          <w:sz w:val="23"/>
          <w:szCs w:val="23"/>
        </w:rPr>
        <w:t>20 May 2014,</w:t>
      </w:r>
      <w:r>
        <w:rPr>
          <w:rFonts w:ascii="Times New Roman" w:eastAsia="Times New Roman" w:hAnsi="Times New Roman" w:cs="Times New Roman"/>
          <w:i/>
          <w:color w:val="000000"/>
          <w:sz w:val="23"/>
          <w:szCs w:val="23"/>
        </w:rPr>
        <w:t xml:space="preserve"> </w:t>
      </w:r>
      <w:hyperlink r:id="rId7">
        <w:r>
          <w:rPr>
            <w:rFonts w:ascii="Times New Roman" w:eastAsia="Times New Roman" w:hAnsi="Times New Roman" w:cs="Times New Roman"/>
            <w:color w:val="0000FF"/>
            <w:sz w:val="23"/>
            <w:szCs w:val="23"/>
            <w:u w:val="single"/>
          </w:rPr>
          <w:t>https://www.bbc.co.uk/news/uk-england-27468183</w:t>
        </w:r>
      </w:hyperlink>
      <w:r>
        <w:rPr>
          <w:rFonts w:ascii="Times New Roman" w:eastAsia="Times New Roman" w:hAnsi="Times New Roman" w:cs="Times New Roman"/>
          <w:color w:val="000000"/>
          <w:sz w:val="23"/>
          <w:szCs w:val="23"/>
        </w:rPr>
        <w:t xml:space="preserve"> [Accessed 10 December 2019].</w:t>
      </w:r>
    </w:p>
    <w:p w14:paraId="7785A8C3" w14:textId="77777777" w:rsidR="006121B7" w:rsidRDefault="006121B7" w:rsidP="006121B7">
      <w:pPr>
        <w:spacing w:after="0" w:line="240" w:lineRule="auto"/>
        <w:rPr>
          <w:rFonts w:ascii="Times New Roman" w:eastAsia="Times New Roman" w:hAnsi="Times New Roman" w:cs="Times New Roman"/>
          <w:sz w:val="23"/>
          <w:szCs w:val="23"/>
        </w:rPr>
      </w:pPr>
    </w:p>
    <w:p w14:paraId="5DA84922" w14:textId="77777777" w:rsidR="006121B7" w:rsidRDefault="006121B7" w:rsidP="006121B7">
      <w:pPr>
        <w:spacing w:after="0" w:line="240" w:lineRule="auto"/>
        <w:rPr>
          <w:rFonts w:ascii="Times New Roman" w:eastAsia="Times New Roman" w:hAnsi="Times New Roman" w:cs="Times New Roman"/>
          <w:sz w:val="23"/>
          <w:szCs w:val="23"/>
        </w:rPr>
      </w:pPr>
      <w:r>
        <w:rPr>
          <w:rFonts w:ascii="Times New Roman" w:eastAsia="Times New Roman" w:hAnsi="Times New Roman" w:cs="Times New Roman"/>
          <w:color w:val="000000"/>
          <w:sz w:val="23"/>
          <w:szCs w:val="23"/>
        </w:rPr>
        <w:t xml:space="preserve">Beadle, Jeremy and Ian Harrison, </w:t>
      </w:r>
      <w:r>
        <w:rPr>
          <w:rFonts w:ascii="Times New Roman" w:eastAsia="Times New Roman" w:hAnsi="Times New Roman" w:cs="Times New Roman"/>
          <w:i/>
          <w:color w:val="000000"/>
          <w:sz w:val="23"/>
          <w:szCs w:val="23"/>
        </w:rPr>
        <w:t xml:space="preserve">Firsts, Lasts and Only’s: Crime </w:t>
      </w:r>
      <w:r>
        <w:rPr>
          <w:rFonts w:ascii="Times New Roman" w:eastAsia="Times New Roman" w:hAnsi="Times New Roman" w:cs="Times New Roman"/>
          <w:color w:val="000000"/>
          <w:sz w:val="23"/>
          <w:szCs w:val="23"/>
        </w:rPr>
        <w:t>(London, Robson Books, 2007), P. 152.</w:t>
      </w:r>
    </w:p>
    <w:p w14:paraId="1C0A86C7" w14:textId="77777777" w:rsidR="006121B7" w:rsidRDefault="006121B7" w:rsidP="006121B7">
      <w:pPr>
        <w:spacing w:after="0" w:line="240" w:lineRule="auto"/>
        <w:rPr>
          <w:rFonts w:ascii="Times New Roman" w:eastAsia="Times New Roman" w:hAnsi="Times New Roman" w:cs="Times New Roman"/>
          <w:sz w:val="23"/>
          <w:szCs w:val="23"/>
        </w:rPr>
      </w:pPr>
    </w:p>
    <w:p w14:paraId="5AE14992" w14:textId="77777777" w:rsidR="006121B7" w:rsidRDefault="006121B7" w:rsidP="006121B7">
      <w:pPr>
        <w:spacing w:after="0" w:line="240" w:lineRule="auto"/>
        <w:rPr>
          <w:rFonts w:ascii="Times New Roman" w:eastAsia="Times New Roman" w:hAnsi="Times New Roman" w:cs="Times New Roman"/>
          <w:sz w:val="23"/>
          <w:szCs w:val="23"/>
        </w:rPr>
      </w:pPr>
      <w:r>
        <w:rPr>
          <w:rFonts w:ascii="Times New Roman" w:eastAsia="Times New Roman" w:hAnsi="Times New Roman" w:cs="Times New Roman"/>
          <w:color w:val="000000"/>
          <w:sz w:val="23"/>
          <w:szCs w:val="23"/>
        </w:rPr>
        <w:t xml:space="preserve">Campbell, Duncan, ‘Miscarriage of justice victims will find it harder to get compensation, lawyers say’, </w:t>
      </w:r>
      <w:r>
        <w:rPr>
          <w:rFonts w:ascii="Times New Roman" w:eastAsia="Times New Roman" w:hAnsi="Times New Roman" w:cs="Times New Roman"/>
          <w:i/>
          <w:color w:val="000000"/>
          <w:sz w:val="23"/>
          <w:szCs w:val="23"/>
        </w:rPr>
        <w:t xml:space="preserve">theguardian.com, </w:t>
      </w:r>
      <w:r>
        <w:rPr>
          <w:rFonts w:ascii="Times New Roman" w:eastAsia="Times New Roman" w:hAnsi="Times New Roman" w:cs="Times New Roman"/>
          <w:color w:val="000000"/>
          <w:sz w:val="23"/>
          <w:szCs w:val="23"/>
        </w:rPr>
        <w:t xml:space="preserve">31 December 2014, </w:t>
      </w:r>
      <w:hyperlink r:id="rId8">
        <w:r>
          <w:rPr>
            <w:rFonts w:ascii="Times New Roman" w:eastAsia="Times New Roman" w:hAnsi="Times New Roman" w:cs="Times New Roman"/>
            <w:color w:val="0000FF"/>
            <w:sz w:val="23"/>
            <w:szCs w:val="23"/>
            <w:u w:val="single"/>
          </w:rPr>
          <w:t>https://www.theguardian.com/law/2014/dec/31/miscarriage-justice-victims-compensation-victor-nealon</w:t>
        </w:r>
      </w:hyperlink>
      <w:r>
        <w:rPr>
          <w:rFonts w:ascii="Times New Roman" w:eastAsia="Times New Roman" w:hAnsi="Times New Roman" w:cs="Times New Roman"/>
          <w:color w:val="000000"/>
          <w:sz w:val="23"/>
          <w:szCs w:val="23"/>
        </w:rPr>
        <w:t xml:space="preserve"> [Accessed 11 December 2019].</w:t>
      </w:r>
    </w:p>
    <w:p w14:paraId="0FD0589C" w14:textId="77777777" w:rsidR="006121B7" w:rsidRDefault="006121B7" w:rsidP="006121B7">
      <w:pPr>
        <w:spacing w:after="0" w:line="240" w:lineRule="auto"/>
        <w:rPr>
          <w:rFonts w:ascii="Times New Roman" w:eastAsia="Times New Roman" w:hAnsi="Times New Roman" w:cs="Times New Roman"/>
          <w:sz w:val="23"/>
          <w:szCs w:val="23"/>
        </w:rPr>
      </w:pPr>
    </w:p>
    <w:p w14:paraId="46E401BC" w14:textId="77777777" w:rsidR="006121B7" w:rsidRDefault="006121B7" w:rsidP="006121B7">
      <w:pPr>
        <w:spacing w:after="0" w:line="240" w:lineRule="auto"/>
        <w:rPr>
          <w:rFonts w:ascii="Times New Roman" w:eastAsia="Times New Roman" w:hAnsi="Times New Roman" w:cs="Times New Roman"/>
          <w:sz w:val="23"/>
          <w:szCs w:val="23"/>
        </w:rPr>
      </w:pPr>
      <w:r>
        <w:rPr>
          <w:rFonts w:ascii="Times New Roman" w:eastAsia="Times New Roman" w:hAnsi="Times New Roman" w:cs="Times New Roman"/>
          <w:color w:val="000000"/>
          <w:sz w:val="23"/>
          <w:szCs w:val="23"/>
        </w:rPr>
        <w:t xml:space="preserve">City of London Police, ‘PIPCU Guide to the seizure of exhibits’, </w:t>
      </w:r>
      <w:r>
        <w:rPr>
          <w:rFonts w:ascii="Times New Roman" w:eastAsia="Times New Roman" w:hAnsi="Times New Roman" w:cs="Times New Roman"/>
          <w:i/>
          <w:color w:val="000000"/>
          <w:sz w:val="23"/>
          <w:szCs w:val="23"/>
        </w:rPr>
        <w:t xml:space="preserve">Intellectual Property Office, </w:t>
      </w:r>
      <w:r>
        <w:rPr>
          <w:rFonts w:ascii="Times New Roman" w:eastAsia="Times New Roman" w:hAnsi="Times New Roman" w:cs="Times New Roman"/>
          <w:color w:val="000000"/>
          <w:sz w:val="23"/>
          <w:szCs w:val="23"/>
        </w:rPr>
        <w:t xml:space="preserve">2017, </w:t>
      </w:r>
      <w:hyperlink r:id="rId9">
        <w:r>
          <w:rPr>
            <w:rFonts w:ascii="Times New Roman" w:eastAsia="Times New Roman" w:hAnsi="Times New Roman" w:cs="Times New Roman"/>
            <w:color w:val="0000FF"/>
            <w:sz w:val="23"/>
            <w:szCs w:val="23"/>
            <w:u w:val="single"/>
          </w:rPr>
          <w:t>https://www.cityoflondon.police.uk/advice-and-support/fraud-and-economic-crime/pipcu/Documents/PIPCU-Guide-to-seizure-of-exhibits.pdf</w:t>
        </w:r>
      </w:hyperlink>
      <w:r>
        <w:rPr>
          <w:rFonts w:ascii="Times New Roman" w:eastAsia="Times New Roman" w:hAnsi="Times New Roman" w:cs="Times New Roman"/>
          <w:color w:val="000000"/>
          <w:sz w:val="23"/>
          <w:szCs w:val="23"/>
        </w:rPr>
        <w:t xml:space="preserve"> [Accessed 11 December 2019].</w:t>
      </w:r>
    </w:p>
    <w:p w14:paraId="34235174" w14:textId="77777777" w:rsidR="006121B7" w:rsidRDefault="006121B7" w:rsidP="006121B7">
      <w:pPr>
        <w:spacing w:after="0" w:line="240" w:lineRule="auto"/>
        <w:rPr>
          <w:rFonts w:ascii="Times New Roman" w:eastAsia="Times New Roman" w:hAnsi="Times New Roman" w:cs="Times New Roman"/>
          <w:sz w:val="23"/>
          <w:szCs w:val="23"/>
        </w:rPr>
      </w:pPr>
    </w:p>
    <w:p w14:paraId="49F8A5E8" w14:textId="77777777" w:rsidR="006121B7" w:rsidRDefault="006121B7" w:rsidP="006121B7">
      <w:pPr>
        <w:spacing w:after="0" w:line="240" w:lineRule="auto"/>
        <w:rPr>
          <w:rFonts w:ascii="Times New Roman" w:eastAsia="Times New Roman" w:hAnsi="Times New Roman" w:cs="Times New Roman"/>
          <w:sz w:val="23"/>
          <w:szCs w:val="23"/>
        </w:rPr>
      </w:pPr>
      <w:r>
        <w:rPr>
          <w:rFonts w:ascii="Times New Roman" w:eastAsia="Times New Roman" w:hAnsi="Times New Roman" w:cs="Times New Roman"/>
          <w:color w:val="000000"/>
          <w:sz w:val="23"/>
          <w:szCs w:val="23"/>
        </w:rPr>
        <w:t xml:space="preserve">Cobain, Ian, ‘Killer breakthrough: the day DNA evidence first nailed a murderer’, </w:t>
      </w:r>
      <w:r>
        <w:rPr>
          <w:rFonts w:ascii="Times New Roman" w:eastAsia="Times New Roman" w:hAnsi="Times New Roman" w:cs="Times New Roman"/>
          <w:i/>
          <w:color w:val="000000"/>
          <w:sz w:val="23"/>
          <w:szCs w:val="23"/>
        </w:rPr>
        <w:t xml:space="preserve">theguardian.com, </w:t>
      </w:r>
      <w:r>
        <w:rPr>
          <w:rFonts w:ascii="Times New Roman" w:eastAsia="Times New Roman" w:hAnsi="Times New Roman" w:cs="Times New Roman"/>
          <w:color w:val="000000"/>
          <w:sz w:val="23"/>
          <w:szCs w:val="23"/>
        </w:rPr>
        <w:t>7 June 2016,</w:t>
      </w:r>
      <w:r>
        <w:rPr>
          <w:rFonts w:ascii="Times New Roman" w:eastAsia="Times New Roman" w:hAnsi="Times New Roman" w:cs="Times New Roman"/>
          <w:i/>
          <w:color w:val="000000"/>
          <w:sz w:val="23"/>
          <w:szCs w:val="23"/>
        </w:rPr>
        <w:t xml:space="preserve"> </w:t>
      </w:r>
      <w:hyperlink r:id="rId10">
        <w:r>
          <w:rPr>
            <w:rFonts w:ascii="Times New Roman" w:eastAsia="Times New Roman" w:hAnsi="Times New Roman" w:cs="Times New Roman"/>
            <w:color w:val="0000FF"/>
            <w:sz w:val="23"/>
            <w:szCs w:val="23"/>
            <w:u w:val="single"/>
          </w:rPr>
          <w:t>https://www.theguardian.com/uk-news/2016/jun/07/killer-dna-evidence-genetic-profiling-criminal-investigation</w:t>
        </w:r>
      </w:hyperlink>
      <w:r>
        <w:rPr>
          <w:rFonts w:ascii="Times New Roman" w:eastAsia="Times New Roman" w:hAnsi="Times New Roman" w:cs="Times New Roman"/>
          <w:color w:val="000000"/>
          <w:sz w:val="23"/>
          <w:szCs w:val="23"/>
        </w:rPr>
        <w:t xml:space="preserve"> [Accessed 10 December 2019].</w:t>
      </w:r>
    </w:p>
    <w:p w14:paraId="63019C28" w14:textId="77777777" w:rsidR="006121B7" w:rsidRDefault="006121B7" w:rsidP="006121B7">
      <w:pPr>
        <w:spacing w:after="0" w:line="240" w:lineRule="auto"/>
        <w:rPr>
          <w:rFonts w:ascii="Times New Roman" w:eastAsia="Times New Roman" w:hAnsi="Times New Roman" w:cs="Times New Roman"/>
          <w:sz w:val="23"/>
          <w:szCs w:val="23"/>
        </w:rPr>
      </w:pPr>
    </w:p>
    <w:p w14:paraId="4FD0936E" w14:textId="77777777" w:rsidR="006121B7" w:rsidRDefault="006121B7" w:rsidP="006121B7">
      <w:pPr>
        <w:tabs>
          <w:tab w:val="left" w:pos="3192"/>
        </w:tabs>
        <w:spacing w:after="0" w:line="240" w:lineRule="auto"/>
        <w:rPr>
          <w:rFonts w:ascii="Times New Roman" w:eastAsia="Times New Roman" w:hAnsi="Times New Roman" w:cs="Times New Roman"/>
          <w:sz w:val="23"/>
          <w:szCs w:val="23"/>
        </w:rPr>
      </w:pPr>
      <w:r>
        <w:rPr>
          <w:rFonts w:ascii="Times New Roman" w:eastAsia="Times New Roman" w:hAnsi="Times New Roman" w:cs="Times New Roman"/>
          <w:color w:val="000000"/>
          <w:sz w:val="23"/>
          <w:szCs w:val="23"/>
        </w:rPr>
        <w:t xml:space="preserve">Criminal Justice Act 2003 [Online] </w:t>
      </w:r>
      <w:hyperlink r:id="rId11">
        <w:r>
          <w:rPr>
            <w:rFonts w:ascii="Times New Roman" w:eastAsia="Times New Roman" w:hAnsi="Times New Roman" w:cs="Times New Roman"/>
            <w:color w:val="0000FF"/>
            <w:sz w:val="23"/>
            <w:szCs w:val="23"/>
            <w:u w:val="single"/>
          </w:rPr>
          <w:t>http://www.legislation.gov.uk/ukpga/2003/44/contents</w:t>
        </w:r>
      </w:hyperlink>
      <w:r>
        <w:rPr>
          <w:rFonts w:ascii="Times New Roman" w:eastAsia="Times New Roman" w:hAnsi="Times New Roman" w:cs="Times New Roman"/>
          <w:color w:val="000000"/>
          <w:sz w:val="23"/>
          <w:szCs w:val="23"/>
        </w:rPr>
        <w:t xml:space="preserve"> [Accessed 10 December 2019].</w:t>
      </w:r>
    </w:p>
    <w:p w14:paraId="0FB4C831" w14:textId="77777777" w:rsidR="006121B7" w:rsidRDefault="006121B7" w:rsidP="006121B7">
      <w:pPr>
        <w:spacing w:after="0" w:line="240" w:lineRule="auto"/>
        <w:rPr>
          <w:rFonts w:ascii="Times New Roman" w:eastAsia="Times New Roman" w:hAnsi="Times New Roman" w:cs="Times New Roman"/>
          <w:sz w:val="23"/>
          <w:szCs w:val="23"/>
        </w:rPr>
      </w:pPr>
    </w:p>
    <w:p w14:paraId="2570C27D" w14:textId="77777777" w:rsidR="006121B7" w:rsidRDefault="006121B7" w:rsidP="006121B7">
      <w:pPr>
        <w:spacing w:after="0" w:line="240" w:lineRule="auto"/>
        <w:rPr>
          <w:rFonts w:ascii="Times New Roman" w:eastAsia="Times New Roman" w:hAnsi="Times New Roman" w:cs="Times New Roman"/>
          <w:sz w:val="23"/>
          <w:szCs w:val="23"/>
        </w:rPr>
      </w:pPr>
      <w:r>
        <w:rPr>
          <w:rFonts w:ascii="Times New Roman" w:eastAsia="Times New Roman" w:hAnsi="Times New Roman" w:cs="Times New Roman"/>
          <w:color w:val="000000"/>
          <w:sz w:val="23"/>
          <w:szCs w:val="23"/>
        </w:rPr>
        <w:t xml:space="preserve">ENFSI, ‘Scenes of Crime Examination Best Practice Manual’, </w:t>
      </w:r>
      <w:r>
        <w:rPr>
          <w:rFonts w:ascii="Times New Roman" w:eastAsia="Times New Roman" w:hAnsi="Times New Roman" w:cs="Times New Roman"/>
          <w:i/>
          <w:color w:val="000000"/>
          <w:sz w:val="23"/>
          <w:szCs w:val="23"/>
        </w:rPr>
        <w:t xml:space="preserve">ENFSI, </w:t>
      </w:r>
      <w:r>
        <w:rPr>
          <w:rFonts w:ascii="Times New Roman" w:eastAsia="Times New Roman" w:hAnsi="Times New Roman" w:cs="Times New Roman"/>
          <w:color w:val="000000"/>
          <w:sz w:val="23"/>
          <w:szCs w:val="23"/>
        </w:rPr>
        <w:t xml:space="preserve">December 2012, </w:t>
      </w:r>
      <w:hyperlink r:id="rId12">
        <w:r>
          <w:rPr>
            <w:rFonts w:ascii="Times New Roman" w:eastAsia="Times New Roman" w:hAnsi="Times New Roman" w:cs="Times New Roman"/>
            <w:color w:val="0000FF"/>
            <w:sz w:val="23"/>
            <w:szCs w:val="23"/>
            <w:u w:val="single"/>
          </w:rPr>
          <w:t>http://library.college.police.uk/docs/appref/ENFSI-BPM-v1_0.pdf</w:t>
        </w:r>
      </w:hyperlink>
      <w:r>
        <w:rPr>
          <w:rFonts w:ascii="Times New Roman" w:eastAsia="Times New Roman" w:hAnsi="Times New Roman" w:cs="Times New Roman"/>
          <w:color w:val="000000"/>
          <w:sz w:val="23"/>
          <w:szCs w:val="23"/>
        </w:rPr>
        <w:t xml:space="preserve"> [Accessed 10 December 2019].</w:t>
      </w:r>
    </w:p>
    <w:p w14:paraId="71E20235" w14:textId="77777777" w:rsidR="006121B7" w:rsidRDefault="006121B7" w:rsidP="006121B7">
      <w:pPr>
        <w:tabs>
          <w:tab w:val="left" w:pos="3192"/>
        </w:tabs>
        <w:spacing w:after="0" w:line="240" w:lineRule="auto"/>
        <w:rPr>
          <w:rFonts w:ascii="Times New Roman" w:eastAsia="Times New Roman" w:hAnsi="Times New Roman" w:cs="Times New Roman"/>
          <w:sz w:val="23"/>
          <w:szCs w:val="23"/>
        </w:rPr>
      </w:pPr>
    </w:p>
    <w:p w14:paraId="067BB26E" w14:textId="77777777" w:rsidR="006121B7" w:rsidRDefault="006121B7" w:rsidP="006121B7">
      <w:pPr>
        <w:spacing w:after="0" w:line="240" w:lineRule="auto"/>
        <w:rPr>
          <w:rFonts w:ascii="Times New Roman" w:eastAsia="Times New Roman" w:hAnsi="Times New Roman" w:cs="Times New Roman"/>
          <w:sz w:val="23"/>
          <w:szCs w:val="23"/>
        </w:rPr>
      </w:pPr>
      <w:r>
        <w:rPr>
          <w:rFonts w:ascii="Times New Roman" w:eastAsia="Times New Roman" w:hAnsi="Times New Roman" w:cs="Times New Roman"/>
          <w:color w:val="000000"/>
          <w:sz w:val="23"/>
          <w:szCs w:val="23"/>
        </w:rPr>
        <w:t xml:space="preserve">Human Tissue Act 2004 [Online] </w:t>
      </w:r>
      <w:hyperlink r:id="rId13">
        <w:r>
          <w:rPr>
            <w:rFonts w:ascii="Times New Roman" w:eastAsia="Times New Roman" w:hAnsi="Times New Roman" w:cs="Times New Roman"/>
            <w:color w:val="0000FF"/>
            <w:sz w:val="23"/>
            <w:szCs w:val="23"/>
            <w:u w:val="single"/>
          </w:rPr>
          <w:t>http://www.legislation.gov.uk/ukpga/2004/30/contents</w:t>
        </w:r>
      </w:hyperlink>
      <w:r>
        <w:rPr>
          <w:rFonts w:ascii="Times New Roman" w:eastAsia="Times New Roman" w:hAnsi="Times New Roman" w:cs="Times New Roman"/>
          <w:color w:val="000000"/>
          <w:sz w:val="23"/>
          <w:szCs w:val="23"/>
        </w:rPr>
        <w:t xml:space="preserve"> [Accessed 10 December 2019].</w:t>
      </w:r>
    </w:p>
    <w:p w14:paraId="5278CD26" w14:textId="77777777" w:rsidR="006121B7" w:rsidRDefault="006121B7" w:rsidP="006121B7">
      <w:pPr>
        <w:spacing w:after="0" w:line="240" w:lineRule="auto"/>
        <w:rPr>
          <w:rFonts w:ascii="Times New Roman" w:eastAsia="Times New Roman" w:hAnsi="Times New Roman" w:cs="Times New Roman"/>
          <w:sz w:val="23"/>
          <w:szCs w:val="23"/>
        </w:rPr>
      </w:pPr>
    </w:p>
    <w:p w14:paraId="7F630491" w14:textId="77777777" w:rsidR="006121B7" w:rsidRDefault="006121B7" w:rsidP="006121B7">
      <w:pPr>
        <w:spacing w:after="0" w:line="240" w:lineRule="auto"/>
        <w:rPr>
          <w:rFonts w:ascii="Times New Roman" w:eastAsia="Times New Roman" w:hAnsi="Times New Roman" w:cs="Times New Roman"/>
          <w:sz w:val="23"/>
          <w:szCs w:val="23"/>
        </w:rPr>
      </w:pPr>
      <w:r>
        <w:rPr>
          <w:rFonts w:ascii="Times New Roman" w:eastAsia="Times New Roman" w:hAnsi="Times New Roman" w:cs="Times New Roman"/>
          <w:color w:val="000000"/>
          <w:sz w:val="23"/>
          <w:szCs w:val="23"/>
        </w:rPr>
        <w:t xml:space="preserve">Institute of Criminology, ‘Beyond Reasonable Doubt’, </w:t>
      </w:r>
      <w:r>
        <w:rPr>
          <w:rFonts w:ascii="Times New Roman" w:eastAsia="Times New Roman" w:hAnsi="Times New Roman" w:cs="Times New Roman"/>
          <w:i/>
          <w:color w:val="000000"/>
          <w:sz w:val="23"/>
          <w:szCs w:val="23"/>
        </w:rPr>
        <w:t xml:space="preserve">University of Cambridge, </w:t>
      </w:r>
      <w:r>
        <w:rPr>
          <w:rFonts w:ascii="Times New Roman" w:eastAsia="Times New Roman" w:hAnsi="Times New Roman" w:cs="Times New Roman"/>
          <w:color w:val="000000"/>
          <w:sz w:val="23"/>
          <w:szCs w:val="23"/>
        </w:rPr>
        <w:t xml:space="preserve">March 2009, </w:t>
      </w:r>
      <w:hyperlink r:id="rId14">
        <w:r>
          <w:rPr>
            <w:rFonts w:ascii="Times New Roman" w:eastAsia="Times New Roman" w:hAnsi="Times New Roman" w:cs="Times New Roman"/>
            <w:color w:val="0000FF"/>
            <w:sz w:val="23"/>
            <w:szCs w:val="23"/>
            <w:u w:val="single"/>
          </w:rPr>
          <w:t>https://www.crim.cam.ac.uk/Research/research-projects/beyond-reasonable-doubt</w:t>
        </w:r>
      </w:hyperlink>
      <w:r>
        <w:rPr>
          <w:rFonts w:ascii="Times New Roman" w:eastAsia="Times New Roman" w:hAnsi="Times New Roman" w:cs="Times New Roman"/>
          <w:color w:val="000000"/>
          <w:sz w:val="23"/>
          <w:szCs w:val="23"/>
        </w:rPr>
        <w:t xml:space="preserve"> [Accessed 10 December 2019].</w:t>
      </w:r>
    </w:p>
    <w:p w14:paraId="14B31FBF" w14:textId="77777777" w:rsidR="006121B7" w:rsidRDefault="006121B7" w:rsidP="006121B7">
      <w:pPr>
        <w:spacing w:after="0" w:line="240" w:lineRule="auto"/>
        <w:rPr>
          <w:rFonts w:ascii="Times New Roman" w:eastAsia="Times New Roman" w:hAnsi="Times New Roman" w:cs="Times New Roman"/>
          <w:sz w:val="23"/>
          <w:szCs w:val="23"/>
        </w:rPr>
      </w:pPr>
    </w:p>
    <w:p w14:paraId="36D5999C" w14:textId="77777777" w:rsidR="006121B7" w:rsidRDefault="006121B7" w:rsidP="006121B7">
      <w:pPr>
        <w:spacing w:after="0" w:line="240" w:lineRule="auto"/>
        <w:rPr>
          <w:rFonts w:ascii="Times New Roman" w:eastAsia="Times New Roman" w:hAnsi="Times New Roman" w:cs="Times New Roman"/>
          <w:sz w:val="23"/>
          <w:szCs w:val="23"/>
        </w:rPr>
      </w:pPr>
      <w:r>
        <w:rPr>
          <w:rFonts w:ascii="Times New Roman" w:eastAsia="Times New Roman" w:hAnsi="Times New Roman" w:cs="Times New Roman"/>
          <w:color w:val="000000"/>
          <w:sz w:val="23"/>
          <w:szCs w:val="23"/>
        </w:rPr>
        <w:t xml:space="preserve">Police and Criminal Evidence Act 1984 [Online] </w:t>
      </w:r>
      <w:hyperlink r:id="rId15">
        <w:r>
          <w:rPr>
            <w:rFonts w:ascii="Times New Roman" w:eastAsia="Times New Roman" w:hAnsi="Times New Roman" w:cs="Times New Roman"/>
            <w:color w:val="0000FF"/>
            <w:sz w:val="23"/>
            <w:szCs w:val="23"/>
            <w:u w:val="single"/>
          </w:rPr>
          <w:t>http://www.legislation.gov.uk/ukpga/1984/60/contents</w:t>
        </w:r>
      </w:hyperlink>
      <w:r>
        <w:rPr>
          <w:rFonts w:ascii="Times New Roman" w:eastAsia="Times New Roman" w:hAnsi="Times New Roman" w:cs="Times New Roman"/>
          <w:color w:val="000000"/>
          <w:sz w:val="23"/>
          <w:szCs w:val="23"/>
        </w:rPr>
        <w:t xml:space="preserve"> [Accessed 10 December 2019].</w:t>
      </w:r>
    </w:p>
    <w:p w14:paraId="3B72CA7E" w14:textId="77777777" w:rsidR="006121B7" w:rsidRDefault="006121B7" w:rsidP="006121B7">
      <w:pPr>
        <w:spacing w:after="0" w:line="240" w:lineRule="auto"/>
        <w:rPr>
          <w:rFonts w:ascii="Times New Roman" w:eastAsia="Times New Roman" w:hAnsi="Times New Roman" w:cs="Times New Roman"/>
          <w:sz w:val="23"/>
          <w:szCs w:val="23"/>
        </w:rPr>
      </w:pPr>
    </w:p>
    <w:p w14:paraId="3DCF0EED" w14:textId="77777777" w:rsidR="006121B7" w:rsidRDefault="006121B7" w:rsidP="006121B7">
      <w:pPr>
        <w:spacing w:after="0" w:line="240" w:lineRule="auto"/>
        <w:rPr>
          <w:rFonts w:ascii="Times New Roman" w:eastAsia="Times New Roman" w:hAnsi="Times New Roman" w:cs="Times New Roman"/>
          <w:sz w:val="23"/>
          <w:szCs w:val="23"/>
        </w:rPr>
      </w:pPr>
      <w:r>
        <w:rPr>
          <w:rFonts w:ascii="Times New Roman" w:eastAsia="Times New Roman" w:hAnsi="Times New Roman" w:cs="Times New Roman"/>
          <w:color w:val="000000"/>
          <w:sz w:val="23"/>
          <w:szCs w:val="23"/>
        </w:rPr>
        <w:t>Powell, Gary, ‘5 crimes that changed law enforcement in Britain’,</w:t>
      </w:r>
      <w:r>
        <w:rPr>
          <w:rFonts w:ascii="Times New Roman" w:eastAsia="Times New Roman" w:hAnsi="Times New Roman" w:cs="Times New Roman"/>
          <w:i/>
          <w:color w:val="000000"/>
          <w:sz w:val="23"/>
          <w:szCs w:val="23"/>
        </w:rPr>
        <w:t xml:space="preserve"> historyextra.com, </w:t>
      </w:r>
      <w:hyperlink r:id="rId16">
        <w:r>
          <w:rPr>
            <w:rFonts w:ascii="Times New Roman" w:eastAsia="Times New Roman" w:hAnsi="Times New Roman" w:cs="Times New Roman"/>
            <w:color w:val="0000FF"/>
            <w:sz w:val="23"/>
            <w:szCs w:val="23"/>
            <w:u w:val="single"/>
          </w:rPr>
          <w:t>https://www.historyextra.com/period/20th-century/historical-crimes-that-changed-british-policing-law-enforcement/</w:t>
        </w:r>
      </w:hyperlink>
      <w:r>
        <w:rPr>
          <w:rFonts w:ascii="Times New Roman" w:eastAsia="Times New Roman" w:hAnsi="Times New Roman" w:cs="Times New Roman"/>
          <w:color w:val="000000"/>
          <w:sz w:val="23"/>
          <w:szCs w:val="23"/>
        </w:rPr>
        <w:t xml:space="preserve"> [Accessed 10 December 2019].</w:t>
      </w:r>
    </w:p>
    <w:p w14:paraId="4B7C7B0E" w14:textId="77777777" w:rsidR="006121B7" w:rsidRDefault="006121B7" w:rsidP="006121B7">
      <w:pPr>
        <w:spacing w:after="0" w:line="240" w:lineRule="auto"/>
        <w:rPr>
          <w:rFonts w:ascii="Times New Roman" w:eastAsia="Times New Roman" w:hAnsi="Times New Roman" w:cs="Times New Roman"/>
          <w:sz w:val="23"/>
          <w:szCs w:val="23"/>
        </w:rPr>
      </w:pPr>
    </w:p>
    <w:p w14:paraId="0189A394" w14:textId="77777777" w:rsidR="006121B7" w:rsidRDefault="006121B7" w:rsidP="006121B7">
      <w:pPr>
        <w:spacing w:after="0" w:line="240" w:lineRule="auto"/>
        <w:rPr>
          <w:rFonts w:ascii="Times New Roman" w:eastAsia="Times New Roman" w:hAnsi="Times New Roman" w:cs="Times New Roman"/>
          <w:sz w:val="23"/>
          <w:szCs w:val="23"/>
        </w:rPr>
      </w:pPr>
      <w:r>
        <w:rPr>
          <w:rFonts w:ascii="Times New Roman" w:eastAsia="Times New Roman" w:hAnsi="Times New Roman" w:cs="Times New Roman"/>
          <w:color w:val="000000"/>
          <w:sz w:val="23"/>
          <w:szCs w:val="23"/>
        </w:rPr>
        <w:t xml:space="preserve">Topham, Gwyn, ‘Man wrongly convicted of sexual assault is freed after 17 years in jail’, </w:t>
      </w:r>
      <w:r>
        <w:rPr>
          <w:rFonts w:ascii="Times New Roman" w:eastAsia="Times New Roman" w:hAnsi="Times New Roman" w:cs="Times New Roman"/>
          <w:i/>
          <w:color w:val="000000"/>
          <w:sz w:val="23"/>
          <w:szCs w:val="23"/>
        </w:rPr>
        <w:t xml:space="preserve">theguardian.com, </w:t>
      </w:r>
      <w:r>
        <w:rPr>
          <w:rFonts w:ascii="Times New Roman" w:eastAsia="Times New Roman" w:hAnsi="Times New Roman" w:cs="Times New Roman"/>
          <w:color w:val="000000"/>
          <w:sz w:val="23"/>
          <w:szCs w:val="23"/>
        </w:rPr>
        <w:t>13 December 2013,</w:t>
      </w:r>
      <w:r>
        <w:rPr>
          <w:rFonts w:ascii="Times New Roman" w:eastAsia="Times New Roman" w:hAnsi="Times New Roman" w:cs="Times New Roman"/>
          <w:i/>
          <w:color w:val="000000"/>
          <w:sz w:val="23"/>
          <w:szCs w:val="23"/>
        </w:rPr>
        <w:t xml:space="preserve"> </w:t>
      </w:r>
      <w:hyperlink r:id="rId17">
        <w:r>
          <w:rPr>
            <w:rFonts w:ascii="Times New Roman" w:eastAsia="Times New Roman" w:hAnsi="Times New Roman" w:cs="Times New Roman"/>
            <w:color w:val="0000FF"/>
            <w:sz w:val="23"/>
            <w:szCs w:val="23"/>
            <w:u w:val="single"/>
          </w:rPr>
          <w:t>https://www.theguardian.com/uk-news/2013/dec/13/man-wrongly-convicted-sexual-assault-freed-17-years</w:t>
        </w:r>
      </w:hyperlink>
      <w:r>
        <w:rPr>
          <w:rFonts w:ascii="Times New Roman" w:eastAsia="Times New Roman" w:hAnsi="Times New Roman" w:cs="Times New Roman"/>
          <w:color w:val="000000"/>
          <w:sz w:val="23"/>
          <w:szCs w:val="23"/>
        </w:rPr>
        <w:t xml:space="preserve"> [Accessed 11 December 2019].</w:t>
      </w:r>
    </w:p>
    <w:p w14:paraId="18550FED" w14:textId="77777777" w:rsidR="006121B7" w:rsidRDefault="006121B7" w:rsidP="006121B7">
      <w:pPr>
        <w:spacing w:after="0" w:line="240" w:lineRule="auto"/>
        <w:rPr>
          <w:rFonts w:ascii="Times New Roman" w:eastAsia="Times New Roman" w:hAnsi="Times New Roman" w:cs="Times New Roman"/>
          <w:sz w:val="23"/>
          <w:szCs w:val="23"/>
        </w:rPr>
      </w:pPr>
    </w:p>
    <w:p w14:paraId="1250C28E" w14:textId="77777777" w:rsidR="006121B7" w:rsidRDefault="006121B7" w:rsidP="006121B7">
      <w:pPr>
        <w:spacing w:after="0" w:line="240" w:lineRule="auto"/>
        <w:rPr>
          <w:rFonts w:ascii="Times New Roman" w:eastAsia="Times New Roman" w:hAnsi="Times New Roman" w:cs="Times New Roman"/>
          <w:sz w:val="23"/>
          <w:szCs w:val="23"/>
        </w:rPr>
      </w:pPr>
      <w:r>
        <w:rPr>
          <w:rFonts w:ascii="Times New Roman" w:eastAsia="Times New Roman" w:hAnsi="Times New Roman" w:cs="Times New Roman"/>
          <w:color w:val="000000"/>
          <w:sz w:val="23"/>
          <w:szCs w:val="23"/>
        </w:rPr>
        <w:t xml:space="preserve">United Nations Office on Drugs and Crime, </w:t>
      </w:r>
      <w:r>
        <w:rPr>
          <w:rFonts w:ascii="Times New Roman" w:eastAsia="Times New Roman" w:hAnsi="Times New Roman" w:cs="Times New Roman"/>
          <w:i/>
          <w:color w:val="000000"/>
          <w:sz w:val="23"/>
          <w:szCs w:val="23"/>
        </w:rPr>
        <w:t xml:space="preserve">Crime Scene and physical evidence awareness for non-forensic personnel </w:t>
      </w:r>
      <w:r>
        <w:rPr>
          <w:rFonts w:ascii="Times New Roman" w:eastAsia="Times New Roman" w:hAnsi="Times New Roman" w:cs="Times New Roman"/>
          <w:color w:val="000000"/>
          <w:sz w:val="23"/>
          <w:szCs w:val="23"/>
        </w:rPr>
        <w:t>(New York, United Nations, 2009), P. 4.</w:t>
      </w:r>
    </w:p>
    <w:p w14:paraId="60F0649F" w14:textId="77777777" w:rsidR="00E042BE" w:rsidRDefault="00157B17">
      <w:bookmarkStart w:id="2" w:name="_GoBack"/>
      <w:bookmarkEnd w:id="2"/>
    </w:p>
    <w:sectPr w:rsidR="00E042B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7286EF" w14:textId="77777777" w:rsidR="00157B17" w:rsidRDefault="00157B17" w:rsidP="006121B7">
      <w:pPr>
        <w:spacing w:after="0" w:line="240" w:lineRule="auto"/>
      </w:pPr>
      <w:r>
        <w:separator/>
      </w:r>
    </w:p>
  </w:endnote>
  <w:endnote w:type="continuationSeparator" w:id="0">
    <w:p w14:paraId="5508A1FD" w14:textId="77777777" w:rsidR="00157B17" w:rsidRDefault="00157B17" w:rsidP="006121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DB3ADB" w14:textId="77777777" w:rsidR="00157B17" w:rsidRDefault="00157B17" w:rsidP="006121B7">
      <w:pPr>
        <w:spacing w:after="0" w:line="240" w:lineRule="auto"/>
      </w:pPr>
      <w:r>
        <w:separator/>
      </w:r>
    </w:p>
  </w:footnote>
  <w:footnote w:type="continuationSeparator" w:id="0">
    <w:p w14:paraId="487D1BF8" w14:textId="77777777" w:rsidR="00157B17" w:rsidRDefault="00157B17" w:rsidP="006121B7">
      <w:pPr>
        <w:spacing w:after="0" w:line="240" w:lineRule="auto"/>
      </w:pPr>
      <w:r>
        <w:continuationSeparator/>
      </w:r>
    </w:p>
  </w:footnote>
  <w:footnote w:id="1">
    <w:p w14:paraId="1790F254" w14:textId="77777777" w:rsidR="006121B7" w:rsidRDefault="006121B7" w:rsidP="006121B7">
      <w:pPr>
        <w:spacing w:after="0" w:line="240" w:lineRule="auto"/>
        <w:rPr>
          <w:sz w:val="20"/>
          <w:szCs w:val="20"/>
        </w:rPr>
      </w:pPr>
      <w:r>
        <w:rPr>
          <w:rStyle w:val="FootnoteReference"/>
        </w:rPr>
        <w:footnoteRef/>
      </w:r>
      <w:r>
        <w:rPr>
          <w:rFonts w:ascii="Calibri" w:eastAsia="Calibri" w:hAnsi="Calibri" w:cs="Calibri"/>
          <w:color w:val="000000"/>
          <w:sz w:val="20"/>
          <w:szCs w:val="20"/>
        </w:rPr>
        <w:t xml:space="preserve"> City of London Police, ‘PIPCU Guide to the seizure of exhibits’, </w:t>
      </w:r>
      <w:r>
        <w:rPr>
          <w:rFonts w:ascii="Calibri" w:eastAsia="Calibri" w:hAnsi="Calibri" w:cs="Calibri"/>
          <w:i/>
          <w:color w:val="000000"/>
          <w:sz w:val="20"/>
          <w:szCs w:val="20"/>
        </w:rPr>
        <w:t xml:space="preserve">Intellectual Property Office, </w:t>
      </w:r>
      <w:r>
        <w:rPr>
          <w:rFonts w:ascii="Calibri" w:eastAsia="Calibri" w:hAnsi="Calibri" w:cs="Calibri"/>
          <w:color w:val="000000"/>
          <w:sz w:val="20"/>
          <w:szCs w:val="20"/>
        </w:rPr>
        <w:t>2017, https://www.cityoflondon.police.uk/advice-and-support/fraud-and-economic-crime/pipcu/Documents/PIPCU-Guide-to-seizure-of-exhibits.pdf [Accessed 11 December 2019].</w:t>
      </w:r>
    </w:p>
  </w:footnote>
  <w:footnote w:id="2">
    <w:p w14:paraId="2EAD393D" w14:textId="77777777" w:rsidR="006121B7" w:rsidRDefault="006121B7" w:rsidP="006121B7">
      <w:pPr>
        <w:spacing w:after="0" w:line="240" w:lineRule="auto"/>
        <w:rPr>
          <w:sz w:val="20"/>
          <w:szCs w:val="20"/>
        </w:rPr>
      </w:pPr>
      <w:r>
        <w:rPr>
          <w:rStyle w:val="FootnoteReference"/>
        </w:rPr>
        <w:footnoteRef/>
      </w:r>
      <w:r>
        <w:rPr>
          <w:rFonts w:ascii="Calibri" w:eastAsia="Calibri" w:hAnsi="Calibri" w:cs="Calibri"/>
          <w:color w:val="000000"/>
          <w:sz w:val="20"/>
          <w:szCs w:val="20"/>
        </w:rPr>
        <w:t xml:space="preserve"> ENFSI, ‘Scenes of Crime Examination Best Practice Manual’, </w:t>
      </w:r>
      <w:r>
        <w:rPr>
          <w:rFonts w:ascii="Calibri" w:eastAsia="Calibri" w:hAnsi="Calibri" w:cs="Calibri"/>
          <w:i/>
          <w:color w:val="000000"/>
          <w:sz w:val="20"/>
          <w:szCs w:val="20"/>
        </w:rPr>
        <w:t xml:space="preserve">ENFSI, </w:t>
      </w:r>
      <w:r>
        <w:rPr>
          <w:rFonts w:ascii="Calibri" w:eastAsia="Calibri" w:hAnsi="Calibri" w:cs="Calibri"/>
          <w:color w:val="000000"/>
          <w:sz w:val="20"/>
          <w:szCs w:val="20"/>
        </w:rPr>
        <w:t>December 2012, http://library.college.police.uk/docs/appref/ENFSI-BPM-v1_0.pdf [Accessed 10 December 2019].</w:t>
      </w:r>
    </w:p>
  </w:footnote>
  <w:footnote w:id="3">
    <w:p w14:paraId="4679B6E5" w14:textId="77777777" w:rsidR="006121B7" w:rsidRDefault="006121B7" w:rsidP="006121B7">
      <w:pPr>
        <w:spacing w:after="0" w:line="240" w:lineRule="auto"/>
        <w:rPr>
          <w:sz w:val="20"/>
          <w:szCs w:val="20"/>
        </w:rPr>
      </w:pPr>
      <w:r>
        <w:rPr>
          <w:rStyle w:val="FootnoteReference"/>
        </w:rPr>
        <w:footnoteRef/>
      </w:r>
      <w:r>
        <w:rPr>
          <w:rFonts w:ascii="Calibri" w:eastAsia="Calibri" w:hAnsi="Calibri" w:cs="Calibri"/>
          <w:color w:val="000000"/>
          <w:sz w:val="20"/>
          <w:szCs w:val="20"/>
        </w:rPr>
        <w:t xml:space="preserve"> Police and Criminal Evidence Act 1984 [Online] http://www.legislation.gov.uk/ukpga/1984/60/contents [Accessed 10 December 2019].</w:t>
      </w:r>
    </w:p>
  </w:footnote>
  <w:footnote w:id="4">
    <w:p w14:paraId="466A51F2" w14:textId="77777777" w:rsidR="006121B7" w:rsidRDefault="006121B7" w:rsidP="006121B7">
      <w:pPr>
        <w:tabs>
          <w:tab w:val="left" w:pos="3192"/>
        </w:tabs>
        <w:spacing w:after="0" w:line="240" w:lineRule="auto"/>
        <w:rPr>
          <w:sz w:val="20"/>
          <w:szCs w:val="20"/>
        </w:rPr>
      </w:pPr>
      <w:r>
        <w:rPr>
          <w:rStyle w:val="FootnoteReference"/>
        </w:rPr>
        <w:footnoteRef/>
      </w:r>
      <w:r>
        <w:rPr>
          <w:rFonts w:ascii="Calibri" w:eastAsia="Calibri" w:hAnsi="Calibri" w:cs="Calibri"/>
          <w:color w:val="000000"/>
          <w:sz w:val="20"/>
          <w:szCs w:val="20"/>
        </w:rPr>
        <w:t xml:space="preserve"> Criminal Justice Act 2003 [Online] http://www.legislation.gov.uk/ukpga/2003/44/contents [Accessed 10 December 2019].</w:t>
      </w:r>
    </w:p>
  </w:footnote>
  <w:footnote w:id="5">
    <w:p w14:paraId="77D69A2F" w14:textId="77777777" w:rsidR="006121B7" w:rsidRDefault="006121B7" w:rsidP="006121B7">
      <w:pPr>
        <w:spacing w:after="0" w:line="240" w:lineRule="auto"/>
        <w:rPr>
          <w:sz w:val="20"/>
          <w:szCs w:val="20"/>
        </w:rPr>
      </w:pPr>
      <w:r>
        <w:rPr>
          <w:rStyle w:val="FootnoteReference"/>
        </w:rPr>
        <w:footnoteRef/>
      </w:r>
      <w:r>
        <w:rPr>
          <w:rFonts w:ascii="Calibri" w:eastAsia="Calibri" w:hAnsi="Calibri" w:cs="Calibri"/>
          <w:color w:val="000000"/>
          <w:sz w:val="20"/>
          <w:szCs w:val="20"/>
        </w:rPr>
        <w:t xml:space="preserve"> Human Tissue Act 2004 [Online] http://www.legislation.gov.uk/ukpga/2004/30/contents [Accessed 10 December 2019].</w:t>
      </w:r>
    </w:p>
  </w:footnote>
  <w:footnote w:id="6">
    <w:p w14:paraId="7EE60524" w14:textId="77777777" w:rsidR="006121B7" w:rsidRDefault="006121B7" w:rsidP="006121B7">
      <w:pPr>
        <w:spacing w:after="0" w:line="240" w:lineRule="auto"/>
        <w:rPr>
          <w:sz w:val="20"/>
          <w:szCs w:val="20"/>
        </w:rPr>
      </w:pPr>
      <w:r>
        <w:rPr>
          <w:rStyle w:val="FootnoteReference"/>
        </w:rPr>
        <w:footnoteRef/>
      </w:r>
      <w:r>
        <w:rPr>
          <w:rFonts w:ascii="Calibri" w:eastAsia="Calibri" w:hAnsi="Calibri" w:cs="Calibri"/>
          <w:color w:val="000000"/>
          <w:sz w:val="20"/>
          <w:szCs w:val="20"/>
        </w:rPr>
        <w:t xml:space="preserve"> United Nations Office on Drugs and Crime, </w:t>
      </w:r>
      <w:r>
        <w:rPr>
          <w:rFonts w:ascii="Calibri" w:eastAsia="Calibri" w:hAnsi="Calibri" w:cs="Calibri"/>
          <w:i/>
          <w:color w:val="000000"/>
          <w:sz w:val="20"/>
          <w:szCs w:val="20"/>
        </w:rPr>
        <w:t xml:space="preserve">Crime Scene and physical evidence awareness for non-forensic personnel </w:t>
      </w:r>
      <w:r>
        <w:rPr>
          <w:rFonts w:ascii="Calibri" w:eastAsia="Calibri" w:hAnsi="Calibri" w:cs="Calibri"/>
          <w:color w:val="000000"/>
          <w:sz w:val="20"/>
          <w:szCs w:val="20"/>
        </w:rPr>
        <w:t>(New York, United Nations, 2009), P. 4.</w:t>
      </w:r>
    </w:p>
  </w:footnote>
  <w:footnote w:id="7">
    <w:p w14:paraId="596030E2" w14:textId="77777777" w:rsidR="006121B7" w:rsidRDefault="006121B7" w:rsidP="006121B7">
      <w:pPr>
        <w:spacing w:after="0" w:line="240" w:lineRule="auto"/>
        <w:rPr>
          <w:sz w:val="20"/>
          <w:szCs w:val="20"/>
        </w:rPr>
      </w:pPr>
      <w:r>
        <w:rPr>
          <w:rStyle w:val="FootnoteReference"/>
        </w:rPr>
        <w:footnoteRef/>
      </w:r>
      <w:r>
        <w:rPr>
          <w:rFonts w:ascii="Calibri" w:eastAsia="Calibri" w:hAnsi="Calibri" w:cs="Calibri"/>
          <w:color w:val="000000"/>
          <w:sz w:val="20"/>
          <w:szCs w:val="20"/>
        </w:rPr>
        <w:t xml:space="preserve"> Institute of Criminology, ‘Beyond Reasonable Doubt’, </w:t>
      </w:r>
      <w:r>
        <w:rPr>
          <w:rFonts w:ascii="Calibri" w:eastAsia="Calibri" w:hAnsi="Calibri" w:cs="Calibri"/>
          <w:i/>
          <w:color w:val="000000"/>
          <w:sz w:val="20"/>
          <w:szCs w:val="20"/>
        </w:rPr>
        <w:t xml:space="preserve">University of Cambridge, </w:t>
      </w:r>
      <w:r>
        <w:rPr>
          <w:rFonts w:ascii="Calibri" w:eastAsia="Calibri" w:hAnsi="Calibri" w:cs="Calibri"/>
          <w:color w:val="000000"/>
          <w:sz w:val="20"/>
          <w:szCs w:val="20"/>
        </w:rPr>
        <w:t>March 2009, https://www.crim.cam.ac.uk/Research/research-projects/beyond-reasonable-doubt [Accessed 10 December 2019].</w:t>
      </w:r>
    </w:p>
  </w:footnote>
  <w:footnote w:id="8">
    <w:p w14:paraId="5A404337" w14:textId="77777777" w:rsidR="006121B7" w:rsidRDefault="006121B7" w:rsidP="006121B7">
      <w:pPr>
        <w:spacing w:after="0" w:line="240" w:lineRule="auto"/>
        <w:rPr>
          <w:sz w:val="20"/>
          <w:szCs w:val="20"/>
        </w:rPr>
      </w:pPr>
      <w:r>
        <w:rPr>
          <w:rStyle w:val="FootnoteReference"/>
        </w:rPr>
        <w:footnoteRef/>
      </w:r>
      <w:r>
        <w:rPr>
          <w:rFonts w:ascii="Calibri" w:eastAsia="Calibri" w:hAnsi="Calibri" w:cs="Calibri"/>
          <w:color w:val="000000"/>
          <w:sz w:val="20"/>
          <w:szCs w:val="20"/>
        </w:rPr>
        <w:t xml:space="preserve"> Jeremy Beadle and Ian Harrison, </w:t>
      </w:r>
      <w:r>
        <w:rPr>
          <w:rFonts w:ascii="Calibri" w:eastAsia="Calibri" w:hAnsi="Calibri" w:cs="Calibri"/>
          <w:i/>
          <w:color w:val="000000"/>
          <w:sz w:val="20"/>
          <w:szCs w:val="20"/>
        </w:rPr>
        <w:t xml:space="preserve">Firsts, Lasts and Only’s: Crime </w:t>
      </w:r>
      <w:r>
        <w:rPr>
          <w:rFonts w:ascii="Calibri" w:eastAsia="Calibri" w:hAnsi="Calibri" w:cs="Calibri"/>
          <w:color w:val="000000"/>
          <w:sz w:val="20"/>
          <w:szCs w:val="20"/>
        </w:rPr>
        <w:t>(London, Robson Books, 2007), P. 152.</w:t>
      </w:r>
    </w:p>
  </w:footnote>
  <w:footnote w:id="9">
    <w:p w14:paraId="6E5F6B25" w14:textId="77777777" w:rsidR="006121B7" w:rsidRDefault="006121B7" w:rsidP="006121B7">
      <w:pPr>
        <w:spacing w:after="0" w:line="240" w:lineRule="auto"/>
        <w:rPr>
          <w:sz w:val="20"/>
          <w:szCs w:val="20"/>
        </w:rPr>
      </w:pPr>
      <w:r>
        <w:rPr>
          <w:rStyle w:val="FootnoteReference"/>
        </w:rPr>
        <w:footnoteRef/>
      </w:r>
      <w:r>
        <w:rPr>
          <w:rFonts w:ascii="Calibri" w:eastAsia="Calibri" w:hAnsi="Calibri" w:cs="Calibri"/>
          <w:color w:val="000000"/>
          <w:sz w:val="20"/>
          <w:szCs w:val="20"/>
        </w:rPr>
        <w:t xml:space="preserve"> Ibid, P. 152.</w:t>
      </w:r>
    </w:p>
  </w:footnote>
  <w:footnote w:id="10">
    <w:p w14:paraId="5D9E664C" w14:textId="77777777" w:rsidR="006121B7" w:rsidRDefault="006121B7" w:rsidP="006121B7">
      <w:pPr>
        <w:spacing w:after="0" w:line="240" w:lineRule="auto"/>
        <w:rPr>
          <w:sz w:val="20"/>
          <w:szCs w:val="20"/>
        </w:rPr>
      </w:pPr>
      <w:r>
        <w:rPr>
          <w:rStyle w:val="FootnoteReference"/>
        </w:rPr>
        <w:footnoteRef/>
      </w:r>
      <w:r>
        <w:rPr>
          <w:rFonts w:ascii="Calibri" w:eastAsia="Calibri" w:hAnsi="Calibri" w:cs="Calibri"/>
          <w:color w:val="000000"/>
          <w:sz w:val="20"/>
          <w:szCs w:val="20"/>
        </w:rPr>
        <w:t xml:space="preserve"> Gary Powell, ‘5 crimes that changed law enforcement in Britain’,</w:t>
      </w:r>
      <w:r>
        <w:rPr>
          <w:rFonts w:ascii="Calibri" w:eastAsia="Calibri" w:hAnsi="Calibri" w:cs="Calibri"/>
          <w:i/>
          <w:color w:val="000000"/>
          <w:sz w:val="20"/>
          <w:szCs w:val="20"/>
        </w:rPr>
        <w:t xml:space="preserve"> historyextra.com, </w:t>
      </w:r>
      <w:r>
        <w:rPr>
          <w:rFonts w:ascii="Calibri" w:eastAsia="Calibri" w:hAnsi="Calibri" w:cs="Calibri"/>
          <w:color w:val="000000"/>
          <w:sz w:val="20"/>
          <w:szCs w:val="20"/>
        </w:rPr>
        <w:t>https://www.historyextra.com/period/20th-century/historical-crimes-that-changed-british-policing-law-enforcement/ [Accessed 10 December 2019]</w:t>
      </w:r>
    </w:p>
  </w:footnote>
  <w:footnote w:id="11">
    <w:p w14:paraId="20C75531" w14:textId="77777777" w:rsidR="006121B7" w:rsidRDefault="006121B7" w:rsidP="006121B7">
      <w:pPr>
        <w:spacing w:after="0" w:line="240" w:lineRule="auto"/>
        <w:rPr>
          <w:sz w:val="20"/>
          <w:szCs w:val="20"/>
        </w:rPr>
      </w:pPr>
      <w:r>
        <w:rPr>
          <w:rStyle w:val="FootnoteReference"/>
        </w:rPr>
        <w:footnoteRef/>
      </w:r>
      <w:r>
        <w:rPr>
          <w:rFonts w:ascii="Calibri" w:eastAsia="Calibri" w:hAnsi="Calibri" w:cs="Calibri"/>
          <w:color w:val="000000"/>
          <w:sz w:val="20"/>
          <w:szCs w:val="20"/>
        </w:rPr>
        <w:t xml:space="preserve"> Beadle, </w:t>
      </w:r>
      <w:r>
        <w:rPr>
          <w:rFonts w:ascii="Calibri" w:eastAsia="Calibri" w:hAnsi="Calibri" w:cs="Calibri"/>
          <w:i/>
          <w:color w:val="000000"/>
          <w:sz w:val="20"/>
          <w:szCs w:val="20"/>
        </w:rPr>
        <w:t xml:space="preserve">Firsts, Lasts and Only’s: Crime, </w:t>
      </w:r>
      <w:r>
        <w:rPr>
          <w:rFonts w:ascii="Calibri" w:eastAsia="Calibri" w:hAnsi="Calibri" w:cs="Calibri"/>
          <w:color w:val="000000"/>
          <w:sz w:val="20"/>
          <w:szCs w:val="20"/>
        </w:rPr>
        <w:t>P. 152.</w:t>
      </w:r>
    </w:p>
  </w:footnote>
  <w:footnote w:id="12">
    <w:p w14:paraId="1A1BFBA4" w14:textId="77777777" w:rsidR="006121B7" w:rsidRDefault="006121B7" w:rsidP="006121B7">
      <w:pPr>
        <w:spacing w:after="0" w:line="240" w:lineRule="auto"/>
        <w:rPr>
          <w:sz w:val="20"/>
          <w:szCs w:val="20"/>
        </w:rPr>
      </w:pPr>
      <w:r>
        <w:rPr>
          <w:rStyle w:val="FootnoteReference"/>
        </w:rPr>
        <w:footnoteRef/>
      </w:r>
      <w:r>
        <w:rPr>
          <w:rFonts w:ascii="Calibri" w:eastAsia="Calibri" w:hAnsi="Calibri" w:cs="Calibri"/>
          <w:color w:val="000000"/>
          <w:sz w:val="20"/>
          <w:szCs w:val="20"/>
        </w:rPr>
        <w:t xml:space="preserve"> Gary Powell, ‘5 crimes that changed law enforcement in Britain’,</w:t>
      </w:r>
      <w:r>
        <w:rPr>
          <w:rFonts w:ascii="Calibri" w:eastAsia="Calibri" w:hAnsi="Calibri" w:cs="Calibri"/>
          <w:i/>
          <w:color w:val="000000"/>
          <w:sz w:val="20"/>
          <w:szCs w:val="20"/>
        </w:rPr>
        <w:t xml:space="preserve"> historyextra.com, </w:t>
      </w:r>
      <w:r>
        <w:rPr>
          <w:rFonts w:ascii="Calibri" w:eastAsia="Calibri" w:hAnsi="Calibri" w:cs="Calibri"/>
          <w:color w:val="000000"/>
          <w:sz w:val="20"/>
          <w:szCs w:val="20"/>
        </w:rPr>
        <w:t>https://www.historyextra.com/period/20th-century/historical-crimes-that-changed-british-policing-law-enforcement/ [Accessed 10 December 2019]</w:t>
      </w:r>
    </w:p>
  </w:footnote>
  <w:footnote w:id="13">
    <w:p w14:paraId="3E9176F4" w14:textId="77777777" w:rsidR="006121B7" w:rsidRDefault="006121B7" w:rsidP="006121B7">
      <w:pPr>
        <w:spacing w:after="0" w:line="240" w:lineRule="auto"/>
        <w:rPr>
          <w:sz w:val="20"/>
          <w:szCs w:val="20"/>
        </w:rPr>
      </w:pPr>
      <w:r>
        <w:rPr>
          <w:rStyle w:val="FootnoteReference"/>
        </w:rPr>
        <w:footnoteRef/>
      </w:r>
      <w:r>
        <w:rPr>
          <w:rFonts w:ascii="Calibri" w:eastAsia="Calibri" w:hAnsi="Calibri" w:cs="Calibri"/>
          <w:color w:val="000000"/>
          <w:sz w:val="20"/>
          <w:szCs w:val="20"/>
        </w:rPr>
        <w:t xml:space="preserve"> Beadle, </w:t>
      </w:r>
      <w:r>
        <w:rPr>
          <w:rFonts w:ascii="Calibri" w:eastAsia="Calibri" w:hAnsi="Calibri" w:cs="Calibri"/>
          <w:i/>
          <w:color w:val="000000"/>
          <w:sz w:val="20"/>
          <w:szCs w:val="20"/>
        </w:rPr>
        <w:t xml:space="preserve">Firsts, Lasts and Only’s: Crime, </w:t>
      </w:r>
      <w:r>
        <w:rPr>
          <w:rFonts w:ascii="Calibri" w:eastAsia="Calibri" w:hAnsi="Calibri" w:cs="Calibri"/>
          <w:color w:val="000000"/>
          <w:sz w:val="20"/>
          <w:szCs w:val="20"/>
        </w:rPr>
        <w:t>P. 152.</w:t>
      </w:r>
    </w:p>
  </w:footnote>
  <w:footnote w:id="14">
    <w:p w14:paraId="6D8D4734" w14:textId="77777777" w:rsidR="006121B7" w:rsidRDefault="006121B7" w:rsidP="006121B7">
      <w:pPr>
        <w:spacing w:after="0" w:line="240" w:lineRule="auto"/>
        <w:rPr>
          <w:sz w:val="20"/>
          <w:szCs w:val="20"/>
        </w:rPr>
      </w:pPr>
      <w:r>
        <w:rPr>
          <w:rStyle w:val="FootnoteReference"/>
        </w:rPr>
        <w:footnoteRef/>
      </w:r>
      <w:r>
        <w:rPr>
          <w:rFonts w:ascii="Calibri" w:eastAsia="Calibri" w:hAnsi="Calibri" w:cs="Calibri"/>
          <w:color w:val="000000"/>
          <w:sz w:val="20"/>
          <w:szCs w:val="20"/>
        </w:rPr>
        <w:t xml:space="preserve"> Ibid.</w:t>
      </w:r>
    </w:p>
  </w:footnote>
  <w:footnote w:id="15">
    <w:p w14:paraId="5FF18A8D" w14:textId="77777777" w:rsidR="006121B7" w:rsidRDefault="006121B7" w:rsidP="006121B7">
      <w:pPr>
        <w:spacing w:after="0" w:line="240" w:lineRule="auto"/>
        <w:rPr>
          <w:sz w:val="20"/>
          <w:szCs w:val="20"/>
        </w:rPr>
      </w:pPr>
      <w:r>
        <w:rPr>
          <w:rStyle w:val="FootnoteReference"/>
        </w:rPr>
        <w:footnoteRef/>
      </w:r>
      <w:r>
        <w:rPr>
          <w:rFonts w:ascii="Calibri" w:eastAsia="Calibri" w:hAnsi="Calibri" w:cs="Calibri"/>
          <w:color w:val="000000"/>
          <w:sz w:val="20"/>
          <w:szCs w:val="20"/>
        </w:rPr>
        <w:t xml:space="preserve"> Ian Cobain, ‘Killer breakthrough: the day DNA evidence first nailed a murderer’, </w:t>
      </w:r>
      <w:r>
        <w:rPr>
          <w:rFonts w:ascii="Calibri" w:eastAsia="Calibri" w:hAnsi="Calibri" w:cs="Calibri"/>
          <w:i/>
          <w:color w:val="000000"/>
          <w:sz w:val="20"/>
          <w:szCs w:val="20"/>
        </w:rPr>
        <w:t xml:space="preserve">theguardian.com, </w:t>
      </w:r>
      <w:r>
        <w:rPr>
          <w:rFonts w:ascii="Calibri" w:eastAsia="Calibri" w:hAnsi="Calibri" w:cs="Calibri"/>
          <w:color w:val="000000"/>
          <w:sz w:val="20"/>
          <w:szCs w:val="20"/>
        </w:rPr>
        <w:t>7 June 2016, https://www.theguardian.com/uk-news/2016/jun/07/killer-dna-evidence-genetic-profiling-criminal-investigation [Accessed 10 December 2019].</w:t>
      </w:r>
    </w:p>
  </w:footnote>
  <w:footnote w:id="16">
    <w:p w14:paraId="505D3C62" w14:textId="77777777" w:rsidR="006121B7" w:rsidRDefault="006121B7" w:rsidP="006121B7">
      <w:pPr>
        <w:spacing w:after="0" w:line="240" w:lineRule="auto"/>
        <w:rPr>
          <w:sz w:val="20"/>
          <w:szCs w:val="20"/>
        </w:rPr>
      </w:pPr>
      <w:r>
        <w:rPr>
          <w:rStyle w:val="FootnoteReference"/>
        </w:rPr>
        <w:footnoteRef/>
      </w:r>
      <w:r>
        <w:rPr>
          <w:rFonts w:ascii="Calibri" w:eastAsia="Calibri" w:hAnsi="Calibri" w:cs="Calibri"/>
          <w:color w:val="000000"/>
          <w:sz w:val="20"/>
          <w:szCs w:val="20"/>
        </w:rPr>
        <w:t xml:space="preserve"> Gwyn Topham, ‘Man wrongly convicted of sexual assault is freed after 17 years in jail’, </w:t>
      </w:r>
      <w:r>
        <w:rPr>
          <w:rFonts w:ascii="Calibri" w:eastAsia="Calibri" w:hAnsi="Calibri" w:cs="Calibri"/>
          <w:i/>
          <w:color w:val="000000"/>
          <w:sz w:val="20"/>
          <w:szCs w:val="20"/>
        </w:rPr>
        <w:t xml:space="preserve">theguardian.com, </w:t>
      </w:r>
      <w:r>
        <w:rPr>
          <w:rFonts w:ascii="Calibri" w:eastAsia="Calibri" w:hAnsi="Calibri" w:cs="Calibri"/>
          <w:color w:val="000000"/>
          <w:sz w:val="20"/>
          <w:szCs w:val="20"/>
        </w:rPr>
        <w:t>13 December 2013,</w:t>
      </w:r>
      <w:r>
        <w:rPr>
          <w:rFonts w:ascii="Calibri" w:eastAsia="Calibri" w:hAnsi="Calibri" w:cs="Calibri"/>
          <w:i/>
          <w:color w:val="000000"/>
          <w:sz w:val="20"/>
          <w:szCs w:val="20"/>
        </w:rPr>
        <w:t xml:space="preserve"> </w:t>
      </w:r>
      <w:r>
        <w:rPr>
          <w:rFonts w:ascii="Calibri" w:eastAsia="Calibri" w:hAnsi="Calibri" w:cs="Calibri"/>
          <w:color w:val="000000"/>
          <w:sz w:val="20"/>
          <w:szCs w:val="20"/>
        </w:rPr>
        <w:t>https://www.theguardian.com/uk-news/2013/dec/13/man-wrongly-convicted-sexual-assault-freed-17-years [Accessed 11 December 2019].</w:t>
      </w:r>
    </w:p>
  </w:footnote>
  <w:footnote w:id="17">
    <w:p w14:paraId="23E24A6E" w14:textId="77777777" w:rsidR="006121B7" w:rsidRDefault="006121B7" w:rsidP="006121B7">
      <w:pPr>
        <w:spacing w:after="0" w:line="240" w:lineRule="auto"/>
        <w:rPr>
          <w:sz w:val="20"/>
          <w:szCs w:val="20"/>
        </w:rPr>
      </w:pPr>
      <w:r>
        <w:rPr>
          <w:rStyle w:val="FootnoteReference"/>
        </w:rPr>
        <w:footnoteRef/>
      </w:r>
      <w:r>
        <w:rPr>
          <w:rFonts w:ascii="Calibri" w:eastAsia="Calibri" w:hAnsi="Calibri" w:cs="Calibri"/>
          <w:color w:val="000000"/>
          <w:sz w:val="20"/>
          <w:szCs w:val="20"/>
        </w:rPr>
        <w:t xml:space="preserve"> Duncan Campbell, ‘Miscarriage of justice victims will find it harder to get compensation, lawyers say’, </w:t>
      </w:r>
      <w:r>
        <w:rPr>
          <w:rFonts w:ascii="Calibri" w:eastAsia="Calibri" w:hAnsi="Calibri" w:cs="Calibri"/>
          <w:i/>
          <w:color w:val="000000"/>
          <w:sz w:val="20"/>
          <w:szCs w:val="20"/>
        </w:rPr>
        <w:t xml:space="preserve">theguardian.com, </w:t>
      </w:r>
      <w:r>
        <w:rPr>
          <w:rFonts w:ascii="Calibri" w:eastAsia="Calibri" w:hAnsi="Calibri" w:cs="Calibri"/>
          <w:color w:val="000000"/>
          <w:sz w:val="20"/>
          <w:szCs w:val="20"/>
        </w:rPr>
        <w:t>31 December 2014, https://www.theguardian.com/law/2014/dec/31/miscarriage-justice-victims-compensation-victor-nealon [Accessed 11 December 2019].</w:t>
      </w:r>
    </w:p>
  </w:footnote>
  <w:footnote w:id="18">
    <w:p w14:paraId="3B4E14BC" w14:textId="77777777" w:rsidR="006121B7" w:rsidRDefault="006121B7" w:rsidP="006121B7">
      <w:pPr>
        <w:spacing w:after="0" w:line="240" w:lineRule="auto"/>
        <w:rPr>
          <w:sz w:val="20"/>
          <w:szCs w:val="20"/>
        </w:rPr>
      </w:pPr>
      <w:r>
        <w:rPr>
          <w:rStyle w:val="FootnoteReference"/>
        </w:rPr>
        <w:footnoteRef/>
      </w:r>
      <w:r>
        <w:rPr>
          <w:rFonts w:ascii="Calibri" w:eastAsia="Calibri" w:hAnsi="Calibri" w:cs="Calibri"/>
          <w:color w:val="000000"/>
          <w:sz w:val="20"/>
          <w:szCs w:val="20"/>
        </w:rPr>
        <w:t xml:space="preserve"> BBC, ‘Wrongfully convicted man Victor Nealon gets apology’, </w:t>
      </w:r>
      <w:r>
        <w:rPr>
          <w:rFonts w:ascii="Calibri" w:eastAsia="Calibri" w:hAnsi="Calibri" w:cs="Calibri"/>
          <w:i/>
          <w:color w:val="000000"/>
          <w:sz w:val="20"/>
          <w:szCs w:val="20"/>
        </w:rPr>
        <w:t xml:space="preserve">bbc.co.uk, </w:t>
      </w:r>
      <w:r>
        <w:rPr>
          <w:rFonts w:ascii="Calibri" w:eastAsia="Calibri" w:hAnsi="Calibri" w:cs="Calibri"/>
          <w:color w:val="000000"/>
          <w:sz w:val="20"/>
          <w:szCs w:val="20"/>
        </w:rPr>
        <w:t>20 May 2014,</w:t>
      </w:r>
      <w:r>
        <w:rPr>
          <w:rFonts w:ascii="Calibri" w:eastAsia="Calibri" w:hAnsi="Calibri" w:cs="Calibri"/>
          <w:i/>
          <w:color w:val="000000"/>
          <w:sz w:val="20"/>
          <w:szCs w:val="20"/>
        </w:rPr>
        <w:t xml:space="preserve"> </w:t>
      </w:r>
      <w:r>
        <w:rPr>
          <w:rFonts w:ascii="Calibri" w:eastAsia="Calibri" w:hAnsi="Calibri" w:cs="Calibri"/>
          <w:color w:val="000000"/>
          <w:sz w:val="20"/>
          <w:szCs w:val="20"/>
        </w:rPr>
        <w:t>https://www.bbc.co.uk/news/uk-england-27468183 [Accessed 10 December 2019].</w:t>
      </w:r>
    </w:p>
  </w:footnote>
  <w:footnote w:id="19">
    <w:p w14:paraId="3D7E41AB" w14:textId="77777777" w:rsidR="006121B7" w:rsidRDefault="006121B7" w:rsidP="006121B7">
      <w:pPr>
        <w:spacing w:after="0" w:line="240" w:lineRule="auto"/>
        <w:rPr>
          <w:sz w:val="20"/>
          <w:szCs w:val="20"/>
        </w:rPr>
      </w:pPr>
      <w:r>
        <w:rPr>
          <w:rStyle w:val="FootnoteReference"/>
        </w:rPr>
        <w:footnoteRef/>
      </w:r>
      <w:r>
        <w:rPr>
          <w:rFonts w:ascii="Calibri" w:eastAsia="Calibri" w:hAnsi="Calibri" w:cs="Calibri"/>
          <w:color w:val="000000"/>
          <w:sz w:val="20"/>
          <w:szCs w:val="20"/>
        </w:rPr>
        <w:t xml:space="preserve"> Ibid.</w:t>
      </w:r>
    </w:p>
  </w:footnote>
  <w:footnote w:id="20">
    <w:p w14:paraId="2FAA2100" w14:textId="77777777" w:rsidR="006121B7" w:rsidRDefault="006121B7" w:rsidP="006121B7">
      <w:pPr>
        <w:spacing w:after="0" w:line="240" w:lineRule="auto"/>
        <w:rPr>
          <w:sz w:val="20"/>
          <w:szCs w:val="20"/>
        </w:rPr>
      </w:pPr>
      <w:r>
        <w:rPr>
          <w:rStyle w:val="FootnoteReference"/>
        </w:rPr>
        <w:footnoteRef/>
      </w:r>
      <w:r>
        <w:rPr>
          <w:rFonts w:ascii="Calibri" w:eastAsia="Calibri" w:hAnsi="Calibri" w:cs="Calibri"/>
          <w:color w:val="000000"/>
          <w:sz w:val="20"/>
          <w:szCs w:val="20"/>
        </w:rPr>
        <w:t xml:space="preserve"> Gwyn Topham, ‘Man wrongly convicted of sexual assault is freed after 17 years in jail’, </w:t>
      </w:r>
      <w:r>
        <w:rPr>
          <w:rFonts w:ascii="Calibri" w:eastAsia="Calibri" w:hAnsi="Calibri" w:cs="Calibri"/>
          <w:i/>
          <w:color w:val="000000"/>
          <w:sz w:val="20"/>
          <w:szCs w:val="20"/>
        </w:rPr>
        <w:t xml:space="preserve">theguardian.com, </w:t>
      </w:r>
      <w:r>
        <w:rPr>
          <w:rFonts w:ascii="Calibri" w:eastAsia="Calibri" w:hAnsi="Calibri" w:cs="Calibri"/>
          <w:color w:val="000000"/>
          <w:sz w:val="20"/>
          <w:szCs w:val="20"/>
        </w:rPr>
        <w:t>13 December 2013,</w:t>
      </w:r>
      <w:r>
        <w:rPr>
          <w:rFonts w:ascii="Calibri" w:eastAsia="Calibri" w:hAnsi="Calibri" w:cs="Calibri"/>
          <w:i/>
          <w:color w:val="000000"/>
          <w:sz w:val="20"/>
          <w:szCs w:val="20"/>
        </w:rPr>
        <w:t xml:space="preserve"> </w:t>
      </w:r>
      <w:r>
        <w:rPr>
          <w:rFonts w:ascii="Calibri" w:eastAsia="Calibri" w:hAnsi="Calibri" w:cs="Calibri"/>
          <w:color w:val="000000"/>
          <w:sz w:val="20"/>
          <w:szCs w:val="20"/>
        </w:rPr>
        <w:t>https://www.theguardian.com/uk-news/2013/dec/13/man-wrongly-convicted-sexual-assault-freed-17-years [Accessed 11 December 2019].</w:t>
      </w:r>
    </w:p>
  </w:footnote>
  <w:footnote w:id="21">
    <w:p w14:paraId="2CC0DBB6" w14:textId="77777777" w:rsidR="006121B7" w:rsidRDefault="006121B7" w:rsidP="006121B7">
      <w:pPr>
        <w:spacing w:after="0" w:line="240" w:lineRule="auto"/>
        <w:rPr>
          <w:sz w:val="20"/>
          <w:szCs w:val="20"/>
        </w:rPr>
      </w:pPr>
      <w:r>
        <w:rPr>
          <w:rStyle w:val="FootnoteReference"/>
        </w:rPr>
        <w:footnoteRef/>
      </w:r>
      <w:r>
        <w:rPr>
          <w:rFonts w:ascii="Calibri" w:eastAsia="Calibri" w:hAnsi="Calibri" w:cs="Calibri"/>
          <w:color w:val="000000"/>
          <w:sz w:val="20"/>
          <w:szCs w:val="20"/>
        </w:rPr>
        <w:t xml:space="preserve"> Ibid.</w:t>
      </w:r>
    </w:p>
  </w:footnote>
  <w:footnote w:id="22">
    <w:p w14:paraId="7DB99F5E" w14:textId="77777777" w:rsidR="006121B7" w:rsidRDefault="006121B7" w:rsidP="006121B7">
      <w:pPr>
        <w:spacing w:after="0" w:line="240" w:lineRule="auto"/>
        <w:rPr>
          <w:sz w:val="20"/>
          <w:szCs w:val="20"/>
        </w:rPr>
      </w:pPr>
      <w:r>
        <w:rPr>
          <w:rStyle w:val="FootnoteReference"/>
        </w:rPr>
        <w:footnoteRef/>
      </w:r>
      <w:r>
        <w:rPr>
          <w:rFonts w:ascii="Calibri" w:eastAsia="Calibri" w:hAnsi="Calibri" w:cs="Calibri"/>
          <w:color w:val="000000"/>
          <w:sz w:val="20"/>
          <w:szCs w:val="20"/>
        </w:rPr>
        <w:t xml:space="preserve"> Ibid.</w:t>
      </w:r>
    </w:p>
  </w:footnote>
  <w:footnote w:id="23">
    <w:p w14:paraId="5523D993" w14:textId="77777777" w:rsidR="006121B7" w:rsidRDefault="006121B7" w:rsidP="006121B7">
      <w:pPr>
        <w:spacing w:after="0" w:line="240" w:lineRule="auto"/>
        <w:rPr>
          <w:sz w:val="20"/>
          <w:szCs w:val="20"/>
        </w:rPr>
      </w:pPr>
      <w:r>
        <w:rPr>
          <w:rStyle w:val="FootnoteReference"/>
        </w:rPr>
        <w:footnoteRef/>
      </w:r>
      <w:r>
        <w:rPr>
          <w:rFonts w:ascii="Calibri" w:eastAsia="Calibri" w:hAnsi="Calibri" w:cs="Calibri"/>
          <w:color w:val="000000"/>
          <w:sz w:val="20"/>
          <w:szCs w:val="20"/>
        </w:rPr>
        <w:t xml:space="preserve"> Ibid.</w:t>
      </w:r>
    </w:p>
  </w:footnote>
  <w:footnote w:id="24">
    <w:p w14:paraId="5B5EC321" w14:textId="77777777" w:rsidR="006121B7" w:rsidRDefault="006121B7" w:rsidP="006121B7">
      <w:pPr>
        <w:spacing w:after="0" w:line="240" w:lineRule="auto"/>
        <w:rPr>
          <w:sz w:val="20"/>
          <w:szCs w:val="20"/>
        </w:rPr>
      </w:pPr>
      <w:r>
        <w:rPr>
          <w:rStyle w:val="FootnoteReference"/>
        </w:rPr>
        <w:footnoteRef/>
      </w:r>
      <w:r>
        <w:rPr>
          <w:rFonts w:ascii="Calibri" w:eastAsia="Calibri" w:hAnsi="Calibri" w:cs="Calibri"/>
          <w:color w:val="000000"/>
          <w:sz w:val="20"/>
          <w:szCs w:val="20"/>
        </w:rPr>
        <w:t xml:space="preserve"> Duncan Campbell, ‘Miscarriage of justice victims will find it harder to get compensation, lawyers say’, </w:t>
      </w:r>
      <w:r>
        <w:rPr>
          <w:rFonts w:ascii="Calibri" w:eastAsia="Calibri" w:hAnsi="Calibri" w:cs="Calibri"/>
          <w:i/>
          <w:color w:val="000000"/>
          <w:sz w:val="20"/>
          <w:szCs w:val="20"/>
        </w:rPr>
        <w:t xml:space="preserve">theguardian.com, </w:t>
      </w:r>
      <w:r>
        <w:rPr>
          <w:rFonts w:ascii="Calibri" w:eastAsia="Calibri" w:hAnsi="Calibri" w:cs="Calibri"/>
          <w:color w:val="000000"/>
          <w:sz w:val="20"/>
          <w:szCs w:val="20"/>
        </w:rPr>
        <w:t>31 December 2014, https://www.theguardian.com/law/2014/dec/31/miscarriage-justice-victims-compensation-victor-nealon [Accessed 11 December 2019].</w:t>
      </w:r>
    </w:p>
  </w:footnote>
  <w:footnote w:id="25">
    <w:p w14:paraId="5D70A3F3" w14:textId="77777777" w:rsidR="006121B7" w:rsidRDefault="006121B7" w:rsidP="006121B7">
      <w:pPr>
        <w:spacing w:after="0" w:line="240" w:lineRule="auto"/>
        <w:rPr>
          <w:sz w:val="20"/>
          <w:szCs w:val="20"/>
        </w:rPr>
      </w:pPr>
      <w:r>
        <w:rPr>
          <w:rStyle w:val="FootnoteReference"/>
        </w:rPr>
        <w:footnoteRef/>
      </w:r>
      <w:r>
        <w:rPr>
          <w:rFonts w:ascii="Calibri" w:eastAsia="Calibri" w:hAnsi="Calibri" w:cs="Calibri"/>
          <w:color w:val="000000"/>
          <w:sz w:val="20"/>
          <w:szCs w:val="20"/>
        </w:rPr>
        <w:t xml:space="preserve"> Ibid.</w:t>
      </w:r>
    </w:p>
  </w:footnote>
  <w:footnote w:id="26">
    <w:p w14:paraId="454E8EBF" w14:textId="77777777" w:rsidR="006121B7" w:rsidRDefault="006121B7" w:rsidP="006121B7">
      <w:pPr>
        <w:spacing w:after="0" w:line="240" w:lineRule="auto"/>
        <w:rPr>
          <w:sz w:val="20"/>
          <w:szCs w:val="20"/>
        </w:rPr>
      </w:pPr>
      <w:r>
        <w:rPr>
          <w:rStyle w:val="FootnoteReference"/>
        </w:rPr>
        <w:footnoteRef/>
      </w:r>
      <w:r>
        <w:rPr>
          <w:rFonts w:ascii="Calibri" w:eastAsia="Calibri" w:hAnsi="Calibri" w:cs="Calibri"/>
          <w:color w:val="000000"/>
          <w:sz w:val="20"/>
          <w:szCs w:val="20"/>
        </w:rPr>
        <w:t xml:space="preserve"> Ibid.</w:t>
      </w:r>
    </w:p>
  </w:footnote>
  <w:footnote w:id="27">
    <w:p w14:paraId="71C71DAF" w14:textId="77777777" w:rsidR="006121B7" w:rsidRDefault="006121B7" w:rsidP="006121B7">
      <w:pPr>
        <w:spacing w:after="0" w:line="240" w:lineRule="auto"/>
        <w:rPr>
          <w:sz w:val="20"/>
          <w:szCs w:val="20"/>
        </w:rPr>
      </w:pPr>
      <w:r>
        <w:rPr>
          <w:rStyle w:val="FootnoteReference"/>
        </w:rPr>
        <w:footnoteRef/>
      </w:r>
      <w:r>
        <w:rPr>
          <w:rFonts w:ascii="Calibri" w:eastAsia="Calibri" w:hAnsi="Calibri" w:cs="Calibri"/>
          <w:color w:val="000000"/>
          <w:sz w:val="20"/>
          <w:szCs w:val="20"/>
        </w:rPr>
        <w:t xml:space="preserve"> BBC, ‘Belfast bomb accused wins court appeal’, </w:t>
      </w:r>
      <w:r>
        <w:rPr>
          <w:rFonts w:ascii="Calibri" w:eastAsia="Calibri" w:hAnsi="Calibri" w:cs="Calibri"/>
          <w:i/>
          <w:color w:val="000000"/>
          <w:sz w:val="20"/>
          <w:szCs w:val="20"/>
        </w:rPr>
        <w:t xml:space="preserve">bbc.co.uk, </w:t>
      </w:r>
      <w:r>
        <w:rPr>
          <w:rFonts w:ascii="Calibri" w:eastAsia="Calibri" w:hAnsi="Calibri" w:cs="Calibri"/>
          <w:color w:val="000000"/>
          <w:sz w:val="20"/>
          <w:szCs w:val="20"/>
        </w:rPr>
        <w:t>16 March 2010, http://news.bbc.co.uk/1/hi/northern_ireland/8570261.stm [Accessed 10 December 2019].</w:t>
      </w:r>
    </w:p>
  </w:footnote>
  <w:footnote w:id="28">
    <w:p w14:paraId="7ECABCC7" w14:textId="77777777" w:rsidR="006121B7" w:rsidRDefault="006121B7" w:rsidP="006121B7">
      <w:pPr>
        <w:spacing w:after="0" w:line="240" w:lineRule="auto"/>
        <w:rPr>
          <w:sz w:val="20"/>
          <w:szCs w:val="20"/>
        </w:rPr>
      </w:pPr>
      <w:r>
        <w:rPr>
          <w:rStyle w:val="FootnoteReference"/>
        </w:rPr>
        <w:footnoteRef/>
      </w:r>
      <w:r>
        <w:rPr>
          <w:rFonts w:ascii="Calibri" w:eastAsia="Calibri" w:hAnsi="Calibri" w:cs="Calibri"/>
          <w:color w:val="000000"/>
          <w:sz w:val="20"/>
          <w:szCs w:val="20"/>
        </w:rPr>
        <w:t xml:space="preserve"> Ibid.</w:t>
      </w:r>
    </w:p>
  </w:footnote>
  <w:footnote w:id="29">
    <w:p w14:paraId="42B92863" w14:textId="77777777" w:rsidR="006121B7" w:rsidRDefault="006121B7" w:rsidP="006121B7">
      <w:pPr>
        <w:spacing w:after="0" w:line="240" w:lineRule="auto"/>
        <w:rPr>
          <w:sz w:val="20"/>
          <w:szCs w:val="20"/>
        </w:rPr>
      </w:pPr>
      <w:r>
        <w:rPr>
          <w:rStyle w:val="FootnoteReference"/>
        </w:rPr>
        <w:footnoteRef/>
      </w:r>
      <w:r>
        <w:rPr>
          <w:rFonts w:ascii="Calibri" w:eastAsia="Calibri" w:hAnsi="Calibri" w:cs="Calibri"/>
          <w:color w:val="000000"/>
          <w:sz w:val="20"/>
          <w:szCs w:val="20"/>
        </w:rPr>
        <w:t xml:space="preserve"> Ibid.</w:t>
      </w:r>
    </w:p>
  </w:footnote>
  <w:footnote w:id="30">
    <w:p w14:paraId="544F2ED0" w14:textId="77777777" w:rsidR="006121B7" w:rsidRDefault="006121B7" w:rsidP="006121B7">
      <w:pPr>
        <w:spacing w:after="0" w:line="240" w:lineRule="auto"/>
        <w:rPr>
          <w:sz w:val="20"/>
          <w:szCs w:val="20"/>
        </w:rPr>
      </w:pPr>
      <w:r>
        <w:rPr>
          <w:rStyle w:val="FootnoteReference"/>
        </w:rPr>
        <w:footnoteRef/>
      </w:r>
      <w:r>
        <w:rPr>
          <w:rFonts w:ascii="Calibri" w:eastAsia="Calibri" w:hAnsi="Calibri" w:cs="Calibri"/>
          <w:color w:val="000000"/>
          <w:sz w:val="20"/>
          <w:szCs w:val="20"/>
        </w:rPr>
        <w:t xml:space="preserve"> Ibid.</w:t>
      </w:r>
    </w:p>
  </w:footnote>
  <w:footnote w:id="31">
    <w:p w14:paraId="7CC3BB06" w14:textId="77777777" w:rsidR="006121B7" w:rsidRDefault="006121B7" w:rsidP="006121B7">
      <w:pPr>
        <w:spacing w:after="0" w:line="240" w:lineRule="auto"/>
        <w:rPr>
          <w:sz w:val="20"/>
          <w:szCs w:val="20"/>
        </w:rPr>
      </w:pPr>
      <w:r>
        <w:rPr>
          <w:rStyle w:val="FootnoteReference"/>
        </w:rPr>
        <w:footnoteRef/>
      </w:r>
      <w:r>
        <w:rPr>
          <w:sz w:val="20"/>
          <w:szCs w:val="20"/>
        </w:rPr>
        <w:t xml:space="preserve"> </w:t>
      </w:r>
      <w:r>
        <w:t xml:space="preserve">United Nations Office on Drugs and Crime, </w:t>
      </w:r>
      <w:r>
        <w:rPr>
          <w:i/>
          <w:iCs/>
        </w:rPr>
        <w:t xml:space="preserve">Crime Scene and physical evidence awareness for non-forensic personnel </w:t>
      </w:r>
      <w:r>
        <w:t>(New York, United Nations, 2009), P. 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1B7"/>
    <w:rsid w:val="00157B17"/>
    <w:rsid w:val="003A1EB8"/>
    <w:rsid w:val="006121B7"/>
    <w:rsid w:val="007C1B94"/>
    <w:rsid w:val="00B25A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1785A"/>
  <w15:chartTrackingRefBased/>
  <w15:docId w15:val="{36635504-4F87-4819-959B-C34069A39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semiHidden/>
    <w:unhideWhenUsed/>
    <w:rsid w:val="006121B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law/2014/dec/31/miscarriage-justice-victims-compensation-victor-nealon" TargetMode="External"/><Relationship Id="rId13" Type="http://schemas.openxmlformats.org/officeDocument/2006/relationships/hyperlink" Target="http://www.legislation.gov.uk/ukpga/2004/30/contents"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bbc.co.uk/news/uk-england-27468183" TargetMode="External"/><Relationship Id="rId12" Type="http://schemas.openxmlformats.org/officeDocument/2006/relationships/hyperlink" Target="http://library.college.police.uk/docs/appref/ENFSI-BPM-v1_0.pdf" TargetMode="External"/><Relationship Id="rId17" Type="http://schemas.openxmlformats.org/officeDocument/2006/relationships/hyperlink" Target="https://www.theguardian.com/uk-news/2013/dec/13/man-wrongly-convicted-sexual-assault-freed-17-years" TargetMode="External"/><Relationship Id="rId2" Type="http://schemas.openxmlformats.org/officeDocument/2006/relationships/settings" Target="settings.xml"/><Relationship Id="rId16" Type="http://schemas.openxmlformats.org/officeDocument/2006/relationships/hyperlink" Target="https://www.historyextra.com/period/20th-century/historical-crimes-that-changed-british-policing-law-enforcement/" TargetMode="External"/><Relationship Id="rId1" Type="http://schemas.openxmlformats.org/officeDocument/2006/relationships/styles" Target="styles.xml"/><Relationship Id="rId6" Type="http://schemas.openxmlformats.org/officeDocument/2006/relationships/hyperlink" Target="http://news.bbc.co.uk/1/hi/northern_ireland/8570261.stm" TargetMode="External"/><Relationship Id="rId11" Type="http://schemas.openxmlformats.org/officeDocument/2006/relationships/hyperlink" Target="http://www.legislation.gov.uk/ukpga/2003/44/contents" TargetMode="External"/><Relationship Id="rId5" Type="http://schemas.openxmlformats.org/officeDocument/2006/relationships/endnotes" Target="endnotes.xml"/><Relationship Id="rId15" Type="http://schemas.openxmlformats.org/officeDocument/2006/relationships/hyperlink" Target="http://www.legislation.gov.uk/ukpga/1984/60/contents" TargetMode="External"/><Relationship Id="rId10" Type="http://schemas.openxmlformats.org/officeDocument/2006/relationships/hyperlink" Target="https://www.theguardian.com/uk-news/2016/jun/07/killer-dna-evidence-genetic-profiling-criminal-investigation"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cityoflondon.police.uk/advice-and-support/fraud-and-economic-crime/pipcu/Documents/PIPCU-Guide-to-seizure-of-exhibits.pdf" TargetMode="External"/><Relationship Id="rId14" Type="http://schemas.openxmlformats.org/officeDocument/2006/relationships/hyperlink" Target="https://www.crim.cam.ac.uk/Research/research-projects/beyond-reasonable-doub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9</Pages>
  <Words>3252</Words>
  <Characters>18541</Characters>
  <Application>Microsoft Office Word</Application>
  <DocSecurity>0</DocSecurity>
  <Lines>154</Lines>
  <Paragraphs>43</Paragraphs>
  <ScaleCrop>false</ScaleCrop>
  <Company/>
  <LinksUpToDate>false</LinksUpToDate>
  <CharactersWithSpaces>21750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Declan Lennon</dc:creator>
  <cp:keywords/>
  <dc:description/>
  <cp:lastModifiedBy>Declan Lennon</cp:lastModifiedBy>
  <cp:revision>1</cp:revision>
  <dcterms:created xsi:type="dcterms:W3CDTF">2019-12-16T19:37:00Z</dcterms:created>
  <dcterms:modified xsi:type="dcterms:W3CDTF">2019-12-16T19:39:00Z</dcterms:modified>
</cp:coreProperties>
</file>