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r>
        <w:rPr>
          <w:rFonts w:ascii="Times New Roman" w:cs="Times New Roman" w:hAnsi="Times New Roman"/>
        </w:rPr>
        <w:t xml:space="preserve">Programme: Business Management </w:t>
      </w:r>
    </w:p>
    <w:p>
      <w:pPr>
        <w:spacing w:line="360" w:lineRule="auto"/>
        <w:jc w:val="both"/>
        <w:rPr>
          <w:rFonts w:ascii="Times New Roman" w:cs="Times New Roman" w:hAnsi="Times New Roman"/>
        </w:rPr>
      </w:pPr>
      <w:r>
        <w:rPr>
          <w:rFonts w:ascii="Times New Roman" w:cs="Times New Roman" w:hAnsi="Times New Roman"/>
        </w:rPr>
        <w:t xml:space="preserve">Module: Project Management </w:t>
      </w:r>
    </w:p>
    <w:p>
      <w:pPr>
        <w:spacing w:line="360" w:lineRule="auto"/>
        <w:jc w:val="both"/>
        <w:rPr>
          <w:rFonts w:ascii="Times New Roman" w:cs="Times New Roman" w:hAnsi="Times New Roman"/>
        </w:rPr>
      </w:pPr>
      <w:r>
        <w:rPr>
          <w:rFonts w:ascii="Times New Roman" w:cs="Times New Roman" w:hAnsi="Times New Roman"/>
        </w:rPr>
        <w:t>Module Code: LCBB6006</w:t>
      </w:r>
    </w:p>
    <w:p>
      <w:pPr>
        <w:spacing w:line="360" w:lineRule="auto"/>
        <w:jc w:val="both"/>
        <w:rPr>
          <w:rFonts w:ascii="Times New Roman" w:cs="Times New Roman" w:hAnsi="Times New Roman"/>
        </w:rPr>
      </w:pPr>
      <w:r>
        <w:rPr>
          <w:rFonts w:ascii="Times New Roman" w:cs="Times New Roman" w:hAnsi="Times New Roman"/>
        </w:rPr>
        <w:t>Student Number: 2223870</w:t>
      </w: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center"/>
        <w:rPr>
          <w:rFonts w:ascii="Times New Roman" w:cs="Times New Roman" w:hAnsi="Times New Roman"/>
        </w:rPr>
      </w:pPr>
      <w:r>
        <w:rPr>
          <w:rFonts w:ascii="Times New Roman" w:cs="Times New Roman" w:hAnsi="Times New Roman"/>
        </w:rPr>
        <w:t>Contracting Methods in Project Management: A Comparative Analysis</w:t>
      </w: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sdt>
      <w:sdtPr>
        <w:rPr>
          <w:rFonts w:ascii="Times New Roman" w:cs="Times New Roman" w:hAnsi="Times New Roman"/>
          <w:sz w:val="24"/>
          <w:szCs w:val="24"/>
        </w:rPr>
        <w:id w:val="269301963"/>
        <w:docPartObj>
          <w:docPartGallery/>
          <w:docPartUnique/>
        </w:docPartObj>
      </w:sdtPr>
      <w:sdtContent>
        <w:p>
          <w:pPr>
            <w:pStyle w:val="22"/>
            <w:spacing w:line="360" w:lineRule="auto"/>
            <w:jc w:val="both"/>
            <w:rPr>
              <w:rFonts w:ascii="Times New Roman" w:cs="Times New Roman" w:hAnsi="Times New Roman"/>
              <w:sz w:val="24"/>
              <w:szCs w:val="24"/>
            </w:rPr>
          </w:pPr>
          <w:r>
            <w:rPr>
              <w:rFonts w:ascii="Times New Roman" w:cs="Times New Roman" w:hAnsi="Times New Roman"/>
              <w:sz w:val="24"/>
              <w:szCs w:val="24"/>
            </w:rPr>
            <w:t>Contents</w:t>
          </w:r>
        </w:p>
        <w:p>
          <w:pPr>
            <w:pStyle w:val="23"/>
            <w:tabs>
              <w:tab w:val="left" w:pos="480"/>
              <w:tab w:val="right" w:leader="dot" w:pos="9016"/>
            </w:tabs>
            <w:rPr>
              <w:rFonts w:eastAsia="等线"/>
              <w:lang w:eastAsia="en-GB"/>
            </w:rPr>
          </w:pPr>
          <w:r>
            <w:rPr>
              <w:rFonts w:ascii="Times New Roman" w:cs="Times New Roman" w:hAnsi="Times New Roman"/>
            </w:rPr>
            <w:fldChar w:fldCharType="begin"/>
          </w:r>
          <w:r>
            <w:rPr>
              <w:rFonts w:ascii="Times New Roman" w:cs="Times New Roman" w:hAnsi="Times New Roman"/>
            </w:rPr>
            <w:instrText xml:space="preserve"> TOC \o \h \z \u </w:instrText>
          </w:r>
          <w:r>
            <w:rPr>
              <w:rFonts w:ascii="Times New Roman" w:cs="Times New Roman" w:hAnsi="Times New Roman"/>
            </w:rPr>
            <w:fldChar w:fldCharType="separate"/>
          </w:r>
          <w:r>
            <w:fldChar w:fldCharType="begin"/>
          </w:r>
          <w:r>
            <w:instrText>Hyperlink \l "_Toc235558942"</w:instrText>
          </w:r>
          <w:r>
            <w:fldChar w:fldCharType="separate"/>
          </w:r>
          <w:r>
            <w:rPr>
              <w:rFonts w:ascii="Times New Roman" w:cs="Times New Roman" w:hAnsi="Times New Roman"/>
            </w:rPr>
            <w:t>1.</w:t>
          </w:r>
          <w:r>
            <w:rPr>
              <w:rFonts w:eastAsia="等线"/>
              <w:lang w:eastAsia="en-GB"/>
            </w:rPr>
            <w:tab/>
          </w:r>
          <w:r>
            <w:rPr>
              <w:rFonts w:ascii="Times New Roman" w:cs="Times New Roman" w:hAnsi="Times New Roman"/>
            </w:rPr>
            <w:t>Introduction</w:t>
          </w:r>
          <w:r>
            <w:tab/>
          </w:r>
          <w:r>
            <w:fldChar w:fldCharType="begin"/>
          </w:r>
          <w:r>
            <w:instrText xml:space="preserve"> PAGEREF _Toc235558942 \h </w:instrText>
          </w:r>
          <w:r>
            <w:fldChar w:fldCharType="separate"/>
          </w:r>
          <w:r>
            <w:t>3</w:t>
          </w:r>
          <w:r>
            <w:fldChar w:fldCharType="end"/>
          </w:r>
          <w:r>
            <w:fldChar w:fldCharType="end"/>
          </w:r>
        </w:p>
        <w:p>
          <w:pPr>
            <w:pStyle w:val="25"/>
            <w:tabs>
              <w:tab w:val="left" w:pos="720"/>
              <w:tab w:val="right" w:leader="dot" w:pos="9016"/>
            </w:tabs>
            <w:rPr>
              <w:rFonts w:eastAsia="等线"/>
              <w:lang w:eastAsia="en-GB"/>
            </w:rPr>
          </w:pPr>
          <w:r>
            <w:fldChar w:fldCharType="begin"/>
          </w:r>
          <w:r>
            <w:instrText>Hyperlink \l "_Toc235558943"</w:instrText>
          </w:r>
          <w:r>
            <w:fldChar w:fldCharType="separate"/>
          </w:r>
          <w:r>
            <w:rPr>
              <w:rFonts w:ascii="Times New Roman" w:cs="Times New Roman" w:hAnsi="Times New Roman"/>
            </w:rPr>
            <w:t>2.</w:t>
          </w:r>
          <w:r>
            <w:rPr>
              <w:rFonts w:eastAsia="等线"/>
              <w:lang w:eastAsia="en-GB"/>
            </w:rPr>
            <w:tab/>
          </w:r>
          <w:r>
            <w:rPr>
              <w:rFonts w:ascii="Times New Roman" w:cs="Times New Roman" w:hAnsi="Times New Roman"/>
            </w:rPr>
            <w:t>Project Management Contracts: Objective and Justification</w:t>
          </w:r>
          <w:r>
            <w:tab/>
          </w:r>
          <w:r>
            <w:fldChar w:fldCharType="begin"/>
          </w:r>
          <w:r>
            <w:instrText xml:space="preserve"> PAGEREF _Toc235558943 \h </w:instrText>
          </w:r>
          <w:r>
            <w:fldChar w:fldCharType="separate"/>
          </w:r>
          <w:r>
            <w:t>3</w:t>
          </w:r>
          <w:r>
            <w:fldChar w:fldCharType="end"/>
          </w:r>
          <w:r>
            <w:fldChar w:fldCharType="end"/>
          </w:r>
        </w:p>
        <w:p>
          <w:pPr>
            <w:pStyle w:val="26"/>
            <w:tabs>
              <w:tab w:val="left" w:pos="960"/>
              <w:tab w:val="right" w:leader="dot" w:pos="9016"/>
            </w:tabs>
            <w:rPr>
              <w:rFonts w:eastAsia="等线"/>
              <w:lang w:eastAsia="en-GB"/>
            </w:rPr>
          </w:pPr>
          <w:r>
            <w:fldChar w:fldCharType="begin"/>
          </w:r>
          <w:r>
            <w:instrText>Hyperlink \l "_Toc235558944"</w:instrText>
          </w:r>
          <w:r>
            <w:fldChar w:fldCharType="separate"/>
          </w:r>
          <w:r>
            <w:rPr>
              <w:rFonts w:ascii="Times New Roman" w:cs="Times New Roman" w:hAnsi="Times New Roman"/>
            </w:rPr>
            <w:t>3.</w:t>
          </w:r>
          <w:r>
            <w:rPr>
              <w:rFonts w:eastAsia="等线"/>
              <w:lang w:eastAsia="en-GB"/>
            </w:rPr>
            <w:tab/>
          </w:r>
          <w:r>
            <w:rPr>
              <w:rFonts w:ascii="Times New Roman" w:cs="Times New Roman" w:hAnsi="Times New Roman"/>
            </w:rPr>
            <w:t>Contracting Methods: Definitions, Merits and Drawbacks</w:t>
          </w:r>
          <w:r>
            <w:tab/>
          </w:r>
          <w:r>
            <w:fldChar w:fldCharType="begin"/>
          </w:r>
          <w:r>
            <w:instrText xml:space="preserve"> PAGEREF _Toc235558944 \h </w:instrText>
          </w:r>
          <w:r>
            <w:fldChar w:fldCharType="separate"/>
          </w:r>
          <w:r>
            <w:t>3</w:t>
          </w:r>
          <w:r>
            <w:fldChar w:fldCharType="end"/>
          </w:r>
          <w:r>
            <w:fldChar w:fldCharType="end"/>
          </w:r>
        </w:p>
        <w:p>
          <w:pPr>
            <w:pStyle w:val="27"/>
            <w:tabs>
              <w:tab w:val="left" w:pos="1200"/>
              <w:tab w:val="right" w:leader="dot" w:pos="9016"/>
            </w:tabs>
            <w:rPr>
              <w:rFonts w:eastAsia="等线"/>
              <w:lang w:eastAsia="en-GB"/>
            </w:rPr>
          </w:pPr>
          <w:r>
            <w:fldChar w:fldCharType="begin"/>
          </w:r>
          <w:r>
            <w:instrText>Hyperlink \l "_Toc235558945"</w:instrText>
          </w:r>
          <w:r>
            <w:fldChar w:fldCharType="separate"/>
          </w:r>
          <w:r>
            <w:rPr>
              <w:rFonts w:ascii="Times New Roman" w:cs="Times New Roman" w:hAnsi="Times New Roman"/>
            </w:rPr>
            <w:t>4.</w:t>
          </w:r>
          <w:r>
            <w:rPr>
              <w:rFonts w:eastAsia="等线"/>
              <w:lang w:eastAsia="en-GB"/>
            </w:rPr>
            <w:tab/>
          </w:r>
          <w:r>
            <w:rPr>
              <w:rFonts w:ascii="Times New Roman" w:cs="Times New Roman" w:hAnsi="Times New Roman"/>
            </w:rPr>
            <w:t>Selecting Contracting Methods</w:t>
          </w:r>
          <w:r>
            <w:tab/>
          </w:r>
          <w:r>
            <w:fldChar w:fldCharType="begin"/>
          </w:r>
          <w:r>
            <w:instrText xml:space="preserve"> PAGEREF _Toc235558945 \h </w:instrText>
          </w:r>
          <w:r>
            <w:fldChar w:fldCharType="separate"/>
          </w:r>
          <w:r>
            <w:t>8</w:t>
          </w:r>
          <w:r>
            <w:fldChar w:fldCharType="end"/>
          </w:r>
          <w:r>
            <w:fldChar w:fldCharType="end"/>
          </w:r>
        </w:p>
        <w:p>
          <w:pPr>
            <w:pStyle w:val="28"/>
            <w:tabs>
              <w:tab w:val="left" w:pos="1440"/>
              <w:tab w:val="right" w:leader="dot" w:pos="9016"/>
            </w:tabs>
            <w:rPr>
              <w:rFonts w:eastAsia="等线"/>
              <w:lang w:eastAsia="en-GB"/>
            </w:rPr>
          </w:pPr>
          <w:r>
            <w:fldChar w:fldCharType="begin"/>
          </w:r>
          <w:r>
            <w:instrText>Hyperlink \l "_Toc235558946"</w:instrText>
          </w:r>
          <w:r>
            <w:fldChar w:fldCharType="separate"/>
          </w:r>
          <w:r>
            <w:rPr>
              <w:rFonts w:ascii="Times New Roman" w:cs="Times New Roman" w:hAnsi="Times New Roman"/>
            </w:rPr>
            <w:t>5.</w:t>
          </w:r>
          <w:r>
            <w:rPr>
              <w:rFonts w:eastAsia="等线"/>
              <w:lang w:eastAsia="en-GB"/>
            </w:rPr>
            <w:tab/>
          </w:r>
          <w:r>
            <w:rPr>
              <w:rFonts w:ascii="Times New Roman" w:cs="Times New Roman" w:hAnsi="Times New Roman"/>
            </w:rPr>
            <w:t>Practical checklist for selection</w:t>
          </w:r>
          <w:r>
            <w:tab/>
          </w:r>
          <w:r>
            <w:fldChar w:fldCharType="begin"/>
          </w:r>
          <w:r>
            <w:instrText xml:space="preserve"> PAGEREF _Toc235558946 \h </w:instrText>
          </w:r>
          <w:r>
            <w:fldChar w:fldCharType="separate"/>
          </w:r>
          <w:r>
            <w:t>8</w:t>
          </w:r>
          <w:r>
            <w:fldChar w:fldCharType="end"/>
          </w:r>
          <w:r>
            <w:fldChar w:fldCharType="end"/>
          </w:r>
        </w:p>
        <w:p>
          <w:pPr>
            <w:pStyle w:val="29"/>
            <w:tabs>
              <w:tab w:val="left" w:pos="1680"/>
              <w:tab w:val="right" w:leader="dot" w:pos="9016"/>
            </w:tabs>
            <w:rPr>
              <w:rFonts w:eastAsia="等线"/>
              <w:lang w:eastAsia="en-GB"/>
            </w:rPr>
          </w:pPr>
          <w:r>
            <w:fldChar w:fldCharType="begin"/>
          </w:r>
          <w:r>
            <w:instrText>Hyperlink \l "_Toc235558947"</w:instrText>
          </w:r>
          <w:r>
            <w:fldChar w:fldCharType="separate"/>
          </w:r>
          <w:r>
            <w:rPr>
              <w:rFonts w:ascii="Times New Roman" w:cs="Times New Roman" w:hAnsi="Times New Roman"/>
            </w:rPr>
            <w:t>6.</w:t>
          </w:r>
          <w:r>
            <w:rPr>
              <w:rFonts w:eastAsia="等线"/>
              <w:lang w:eastAsia="en-GB"/>
            </w:rPr>
            <w:tab/>
          </w:r>
          <w:r>
            <w:rPr>
              <w:rFonts w:ascii="Times New Roman" w:cs="Times New Roman" w:hAnsi="Times New Roman"/>
            </w:rPr>
            <w:t>Conclusion</w:t>
          </w:r>
          <w:r>
            <w:tab/>
          </w:r>
          <w:r>
            <w:fldChar w:fldCharType="begin"/>
          </w:r>
          <w:r>
            <w:instrText xml:space="preserve"> PAGEREF _Toc235558947 \h </w:instrText>
          </w:r>
          <w:r>
            <w:fldChar w:fldCharType="separate"/>
          </w:r>
          <w:r>
            <w:t>9</w:t>
          </w:r>
          <w:r>
            <w:fldChar w:fldCharType="end"/>
          </w:r>
          <w:r>
            <w:fldChar w:fldCharType="end"/>
          </w:r>
        </w:p>
        <w:p>
          <w:pPr>
            <w:pStyle w:val="30"/>
            <w:tabs>
              <w:tab w:val="left" w:pos="1920"/>
              <w:tab w:val="right" w:leader="dot" w:pos="9016"/>
            </w:tabs>
            <w:rPr>
              <w:rFonts w:eastAsia="等线"/>
              <w:lang w:eastAsia="en-GB"/>
            </w:rPr>
          </w:pPr>
          <w:r>
            <w:fldChar w:fldCharType="begin"/>
          </w:r>
          <w:r>
            <w:instrText>Hyperlink \l "_Toc235558948"</w:instrText>
          </w:r>
          <w:r>
            <w:fldChar w:fldCharType="separate"/>
          </w:r>
          <w:r>
            <w:rPr>
              <w:rFonts w:ascii="Times New Roman" w:cs="Times New Roman" w:hAnsi="Times New Roman"/>
            </w:rPr>
            <w:t>7.</w:t>
          </w:r>
          <w:r>
            <w:rPr>
              <w:rFonts w:eastAsia="等线"/>
              <w:lang w:eastAsia="en-GB"/>
            </w:rPr>
            <w:tab/>
          </w:r>
          <w:r>
            <w:rPr>
              <w:rFonts w:ascii="Times New Roman" w:cs="Times New Roman" w:hAnsi="Times New Roman"/>
            </w:rPr>
            <w:t>References</w:t>
          </w:r>
          <w:r>
            <w:tab/>
          </w:r>
          <w:r>
            <w:fldChar w:fldCharType="begin"/>
          </w:r>
          <w:r>
            <w:instrText xml:space="preserve"> PAGEREF _Toc235558948 \h </w:instrText>
          </w:r>
          <w:r>
            <w:fldChar w:fldCharType="separate"/>
          </w:r>
          <w:r>
            <w:t>10</w:t>
          </w:r>
          <w:r>
            <w:fldChar w:fldCharType="end"/>
          </w:r>
          <w:r>
            <w:fldChar w:fldCharType="end"/>
          </w:r>
        </w:p>
        <w:p>
          <w:pPr>
            <w:spacing w:line="360" w:lineRule="auto"/>
            <w:jc w:val="both"/>
            <w:rPr>
              <w:rFonts w:ascii="Times New Roman" w:cs="Times New Roman" w:hAnsi="Times New Roman"/>
            </w:rPr>
          </w:pPr>
          <w:r>
            <w:rPr>
              <w:rFonts w:ascii="Times New Roman" w:cs="Times New Roman" w:hAnsi="Times New Roman"/>
            </w:rPr>
            <w:fldChar w:fldCharType="end"/>
          </w:r>
        </w:p>
      </w:sdtContent>
    </w:sdt>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pStyle w:val="18"/>
        <w:numPr>
          <w:ilvl w:val="0"/>
          <w:numId w:val="1"/>
        </w:numPr>
        <w:spacing w:line="360" w:lineRule="auto"/>
        <w:jc w:val="both"/>
        <w:outlineLvl w:val="0"/>
        <w:rPr>
          <w:rFonts w:ascii="Times New Roman" w:cs="Times New Roman" w:hAnsi="Times New Roman"/>
        </w:rPr>
      </w:pPr>
      <w:bookmarkStart w:id="0" w:name="_Toc235558942"/>
      <w:r>
        <w:rPr>
          <w:rFonts w:ascii="Times New Roman" w:cs="Times New Roman" w:hAnsi="Times New Roman"/>
        </w:rPr>
        <w:t>Introduction</w:t>
      </w:r>
      <w:bookmarkEnd w:id="0"/>
    </w:p>
    <w:p>
      <w:pPr>
        <w:spacing w:line="360" w:lineRule="auto"/>
        <w:jc w:val="both"/>
        <w:rPr>
          <w:rFonts w:ascii="Times New Roman" w:cs="Times New Roman" w:hAnsi="Times New Roman"/>
        </w:rPr>
      </w:pPr>
      <w:r>
        <w:rPr>
          <w:rFonts w:ascii="Times New Roman" w:cs="Times New Roman" w:hAnsi="Times New Roman"/>
        </w:rPr>
        <w:t>By dividing up duties, risks, and rewards among stakeholders, choosing a suitable contracting approach is a strategic choice that influences project outcomes. Cost certainty, schedule performance, quality, innovation, and the client's capacity to influence operations and design are all impacted by project contracting decisions (PMI, 2021). Four common contracting strategies are examined in this essay: turnkey, Multicontract, do-it-yourself, and a hybrid Multicontract + DIY model. The essay describes each method, lists its benefits and drawbacks, and places its applicability using real-world project examples. In order to inform contracting strategy that is in line with project characteristics, client capabilities, market context, and risk appetite, the goal is to give project stakeholders an organized comparison.</w:t>
      </w:r>
    </w:p>
    <w:p>
      <w:pPr>
        <w:pStyle w:val="18"/>
        <w:numPr>
          <w:ilvl w:val="0"/>
          <w:numId w:val="1"/>
        </w:numPr>
        <w:spacing w:line="360" w:lineRule="auto"/>
        <w:jc w:val="both"/>
        <w:outlineLvl w:val="1"/>
        <w:rPr>
          <w:rFonts w:ascii="Times New Roman" w:cs="Times New Roman" w:hAnsi="Times New Roman"/>
        </w:rPr>
      </w:pPr>
      <w:bookmarkStart w:id="1" w:name="_Toc235558943"/>
      <w:r>
        <w:rPr>
          <w:rFonts w:ascii="Times New Roman" w:cs="Times New Roman" w:hAnsi="Times New Roman"/>
        </w:rPr>
        <w:t>Project Management Contracts: Objective and Justification</w:t>
      </w:r>
      <w:bookmarkEnd w:id="1"/>
    </w:p>
    <w:p>
      <w:pPr>
        <w:spacing w:line="360" w:lineRule="auto"/>
        <w:jc w:val="both"/>
        <w:rPr>
          <w:rFonts w:ascii="Times New Roman" w:cs="Times New Roman" w:hAnsi="Times New Roman"/>
        </w:rPr>
      </w:pPr>
      <w:r>
        <w:rPr>
          <w:rFonts w:ascii="Times New Roman" w:cs="Times New Roman" w:hAnsi="Times New Roman"/>
        </w:rPr>
        <w:t>The methodical coordination of scope, time, cost, quality, and stakeholders to achieve predetermined goals is known as project management (PMI, 2021). By transforming project needs into legally binding commitments that specify who completes work, how performance is evaluated, and how disagreements are settled, contracts operationalize project governance. Several important tasks are carried out by the selected contracting method:</w:t>
      </w:r>
    </w:p>
    <w:p>
      <w:pPr>
        <w:spacing w:line="360" w:lineRule="auto"/>
        <w:jc w:val="both"/>
        <w:rPr>
          <w:rFonts w:ascii="Times New Roman" w:cs="Times New Roman" w:hAnsi="Times New Roman"/>
        </w:rPr>
      </w:pPr>
      <w:r>
        <w:rPr>
          <w:rFonts w:ascii="Times New Roman" w:cs="Times New Roman" w:hAnsi="Times New Roman"/>
        </w:rPr>
        <w:t>Risk allocation: Assigning accountability for unanticipated circumstances, delays, defects, and cost overruns (Nguyen&amp;Tran, 2022).</w:t>
      </w:r>
    </w:p>
    <w:p>
      <w:pPr>
        <w:spacing w:line="360" w:lineRule="auto"/>
        <w:jc w:val="both"/>
        <w:rPr>
          <w:rFonts w:ascii="Times New Roman" w:cs="Times New Roman" w:hAnsi="Times New Roman"/>
        </w:rPr>
      </w:pPr>
      <w:r>
        <w:rPr>
          <w:rFonts w:ascii="Times New Roman" w:cs="Times New Roman" w:hAnsi="Times New Roman"/>
        </w:rPr>
        <w:t>Incentive alignment: Encouraging contractors to fulfil performance, time, and cost goals (Morris &amp; Patel, 2023).</w:t>
      </w:r>
    </w:p>
    <w:p>
      <w:pPr>
        <w:spacing w:line="360" w:lineRule="auto"/>
        <w:jc w:val="both"/>
        <w:rPr>
          <w:rFonts w:ascii="Times New Roman" w:cs="Times New Roman" w:hAnsi="Times New Roman"/>
        </w:rPr>
      </w:pPr>
      <w:r>
        <w:rPr>
          <w:rFonts w:ascii="Times New Roman" w:cs="Times New Roman" w:hAnsi="Times New Roman"/>
        </w:rPr>
        <w:t>Interface management: Defining the technical and temporal interfaces that are coordinated by numerous parties (Andersson&amp;Liu, 2024).</w:t>
      </w:r>
    </w:p>
    <w:p>
      <w:pPr>
        <w:spacing w:line="360" w:lineRule="auto"/>
        <w:jc w:val="both"/>
        <w:rPr>
          <w:rFonts w:ascii="Times New Roman" w:cs="Times New Roman" w:hAnsi="Times New Roman"/>
        </w:rPr>
      </w:pPr>
      <w:r>
        <w:rPr>
          <w:rFonts w:ascii="Times New Roman" w:cs="Times New Roman" w:hAnsi="Times New Roman"/>
        </w:rPr>
        <w:t>Resource optimization: Obtaining economies of scale through integrated delivery or utilizing market capabilities in situations when the client lacks capacity (Singh et al., 2022).</w:t>
      </w:r>
    </w:p>
    <w:p>
      <w:pPr>
        <w:spacing w:line="360" w:lineRule="auto"/>
        <w:jc w:val="both"/>
        <w:rPr>
          <w:rFonts w:ascii="Times New Roman" w:cs="Times New Roman" w:hAnsi="Times New Roman"/>
        </w:rPr>
      </w:pPr>
      <w:r>
        <w:rPr>
          <w:rFonts w:ascii="Times New Roman" w:cs="Times New Roman" w:hAnsi="Times New Roman"/>
        </w:rPr>
        <w:t>When external suppliers offer better capabilities, lower costs, access to innovation, or when it makes strategic sense to transfer specific risks, clients usually decide to contract out work. On the other hand, when clients have cost-effective in-house skills, require strict control, or wish to keep institutional expertise, they retain functions internally (Hernandez&amp;Brooks, 2023).</w:t>
      </w:r>
    </w:p>
    <w:p>
      <w:pPr>
        <w:pStyle w:val="18"/>
        <w:numPr>
          <w:ilvl w:val="0"/>
          <w:numId w:val="1"/>
        </w:numPr>
        <w:spacing w:line="360" w:lineRule="auto"/>
        <w:jc w:val="both"/>
        <w:outlineLvl w:val="2"/>
        <w:rPr>
          <w:rFonts w:ascii="Times New Roman" w:cs="Times New Roman" w:hAnsi="Times New Roman"/>
        </w:rPr>
      </w:pPr>
      <w:bookmarkStart w:id="2" w:name="_Toc235558944"/>
      <w:r>
        <w:rPr>
          <w:rFonts w:ascii="Times New Roman" w:cs="Times New Roman" w:hAnsi="Times New Roman"/>
        </w:rPr>
        <w:t>Contracting Methods: Definitions, Merits and Drawbacks</w:t>
      </w:r>
      <w:bookmarkEnd w:id="2"/>
    </w:p>
    <w:p>
      <w:pPr>
        <w:spacing w:line="360" w:lineRule="auto"/>
        <w:jc w:val="both"/>
        <w:rPr>
          <w:rFonts w:ascii="Times New Roman" w:cs="Times New Roman" w:hAnsi="Times New Roman"/>
        </w:rPr>
      </w:pPr>
      <w:r>
        <w:rPr>
          <w:rFonts w:ascii="Times New Roman" w:cs="Times New Roman" w:hAnsi="Times New Roman"/>
        </w:rPr>
        <w:t xml:space="preserve">Turnkey </w:t>
      </w:r>
    </w:p>
    <w:p>
      <w:pPr>
        <w:spacing w:line="360" w:lineRule="auto"/>
        <w:jc w:val="both"/>
        <w:rPr>
          <w:rFonts w:ascii="Times New Roman" w:cs="Times New Roman" w:hAnsi="Times New Roman"/>
        </w:rPr>
      </w:pPr>
      <w:r>
        <w:rPr>
          <w:rFonts w:ascii="Times New Roman" w:cs="Times New Roman" w:hAnsi="Times New Roman"/>
        </w:rPr>
        <w:t>Turnkey contracting, also known as Design–Build (DB) or Engineering, Procurement and Construction (EPC), gives a single contractor or consortium control over design, procurement, construction, and commissioning. The contractor provides a fully functional facility that is prepared for handover, the client defines performance goals and acceptance criteria (Morris&amp;Patel, 2023).</w:t>
      </w:r>
    </w:p>
    <w:p>
      <w:pPr>
        <w:spacing w:line="360" w:lineRule="auto"/>
        <w:jc w:val="both"/>
        <w:rPr>
          <w:rFonts w:ascii="Times New Roman" w:cs="Times New Roman" w:hAnsi="Times New Roman"/>
        </w:rPr>
      </w:pPr>
      <w:r>
        <w:rPr>
          <w:rFonts w:ascii="Times New Roman" w:cs="Times New Roman" w:hAnsi="Times New Roman"/>
        </w:rPr>
        <w:t>Advantages</w:t>
      </w:r>
    </w:p>
    <w:p>
      <w:pPr>
        <w:spacing w:line="360" w:lineRule="auto"/>
        <w:jc w:val="both"/>
        <w:rPr>
          <w:rFonts w:ascii="Times New Roman" w:cs="Times New Roman" w:hAnsi="Times New Roman"/>
        </w:rPr>
      </w:pPr>
      <w:r>
        <w:rPr>
          <w:rFonts w:ascii="Times New Roman" w:cs="Times New Roman" w:hAnsi="Times New Roman"/>
        </w:rPr>
        <w:t>Single-point accountability lowers interface risk between designers and builders and streamlines dispute resolution (Taylor&amp;Osei, 2021).</w:t>
      </w:r>
    </w:p>
    <w:p>
      <w:pPr>
        <w:spacing w:line="360" w:lineRule="auto"/>
        <w:jc w:val="both"/>
        <w:rPr>
          <w:rFonts w:ascii="Times New Roman" w:cs="Times New Roman" w:hAnsi="Times New Roman"/>
        </w:rPr>
      </w:pPr>
      <w:r>
        <w:rPr>
          <w:rFonts w:ascii="Times New Roman" w:cs="Times New Roman" w:hAnsi="Times New Roman"/>
        </w:rPr>
        <w:t>Time efficiency: Design and construction overlaps are made possible by integrated delivery, which frequently results in shorter timelines (Singh et al., 2022).</w:t>
      </w:r>
    </w:p>
    <w:p>
      <w:pPr>
        <w:spacing w:line="360" w:lineRule="auto"/>
        <w:jc w:val="both"/>
        <w:rPr>
          <w:rFonts w:ascii="Times New Roman" w:cs="Times New Roman" w:hAnsi="Times New Roman"/>
        </w:rPr>
      </w:pPr>
      <w:r>
        <w:rPr>
          <w:rFonts w:ascii="Times New Roman" w:cs="Times New Roman" w:hAnsi="Times New Roman"/>
        </w:rPr>
        <w:t>Predictable client workload: lower transaction costs and less need for daily client coordination (Hernandez&amp;Brooks, 2023).</w:t>
      </w:r>
    </w:p>
    <w:p>
      <w:pPr>
        <w:spacing w:line="360" w:lineRule="auto"/>
        <w:jc w:val="both"/>
        <w:rPr>
          <w:rFonts w:ascii="Times New Roman" w:cs="Times New Roman" w:hAnsi="Times New Roman"/>
        </w:rPr>
      </w:pPr>
      <w:r>
        <w:rPr>
          <w:rFonts w:ascii="Times New Roman" w:cs="Times New Roman" w:hAnsi="Times New Roman"/>
        </w:rPr>
        <w:t>Risk transfer: When clients lack execution capabilities, the contractor bears the majority of the cost and schedule risk for execution, which can be appealing (Nguyen&amp;Tran, 2022).</w:t>
      </w:r>
    </w:p>
    <w:p>
      <w:pPr>
        <w:spacing w:line="360" w:lineRule="auto"/>
        <w:jc w:val="both"/>
        <w:rPr>
          <w:rFonts w:ascii="Times New Roman" w:cs="Times New Roman" w:hAnsi="Times New Roman"/>
        </w:rPr>
      </w:pPr>
      <w:r>
        <w:rPr>
          <w:rFonts w:ascii="Times New Roman" w:cs="Times New Roman" w:hAnsi="Times New Roman"/>
        </w:rPr>
        <w:t>Disadvantages</w:t>
      </w:r>
    </w:p>
    <w:p>
      <w:pPr>
        <w:spacing w:line="360" w:lineRule="auto"/>
        <w:jc w:val="both"/>
        <w:rPr>
          <w:rFonts w:ascii="Times New Roman" w:cs="Times New Roman" w:hAnsi="Times New Roman"/>
        </w:rPr>
      </w:pPr>
      <w:r>
        <w:rPr>
          <w:rFonts w:ascii="Times New Roman" w:cs="Times New Roman" w:hAnsi="Times New Roman"/>
        </w:rPr>
        <w:t>Reduced client involvement and control over specific design results, which can be problematic for facilities that are highly customized or mission-critical (Andersson&amp;Liu, 2024).</w:t>
      </w:r>
    </w:p>
    <w:p>
      <w:pPr>
        <w:spacing w:line="360" w:lineRule="auto"/>
        <w:jc w:val="both"/>
        <w:rPr>
          <w:rFonts w:ascii="Times New Roman" w:cs="Times New Roman" w:hAnsi="Times New Roman"/>
        </w:rPr>
      </w:pPr>
      <w:r>
        <w:rPr>
          <w:rFonts w:ascii="Times New Roman" w:cs="Times New Roman" w:hAnsi="Times New Roman"/>
        </w:rPr>
        <w:t>Contractors may charge a higher starting price in order to take on more risk and incorporate risk premiums (Kumar&amp;Reyes, 2024).</w:t>
      </w:r>
    </w:p>
    <w:p>
      <w:pPr>
        <w:spacing w:line="360" w:lineRule="auto"/>
        <w:jc w:val="both"/>
        <w:rPr>
          <w:rFonts w:ascii="Times New Roman" w:cs="Times New Roman" w:hAnsi="Times New Roman"/>
        </w:rPr>
      </w:pPr>
      <w:r>
        <w:rPr>
          <w:rFonts w:ascii="Times New Roman" w:cs="Times New Roman" w:hAnsi="Times New Roman"/>
        </w:rPr>
        <w:t>Specification difficulties: creating thorough performance-based specifications is difficult and may leave out lifespan or latent serviceability requirements (Taylor&amp;Osei, 2021).</w:t>
      </w:r>
    </w:p>
    <w:p>
      <w:pPr>
        <w:spacing w:line="360" w:lineRule="auto"/>
        <w:jc w:val="both"/>
        <w:rPr>
          <w:rFonts w:ascii="Times New Roman" w:cs="Times New Roman" w:hAnsi="Times New Roman"/>
        </w:rPr>
      </w:pPr>
      <w:r>
        <w:rPr>
          <w:rFonts w:ascii="Times New Roman" w:cs="Times New Roman" w:hAnsi="Times New Roman"/>
        </w:rPr>
        <w:t>Decreased transparency: lifetime value optimization may be impacted by clients' lack of awareness into expenses and supplier selection (Morris&amp;Patel, 2023).</w:t>
      </w:r>
    </w:p>
    <w:p>
      <w:pPr>
        <w:spacing w:line="360" w:lineRule="auto"/>
        <w:jc w:val="both"/>
        <w:rPr>
          <w:rFonts w:ascii="Times New Roman" w:cs="Times New Roman" w:hAnsi="Times New Roman"/>
        </w:rPr>
      </w:pPr>
      <w:r>
        <w:rPr>
          <w:rFonts w:ascii="Times New Roman" w:cs="Times New Roman" w:hAnsi="Times New Roman"/>
        </w:rPr>
        <w:t>Turnkey projects—such as big industrial facilities, utility substations, or typical commercial developments—are suitable when performance can be precisely defined and the client values schedule certainty and single-point responsibility. Nguyen and Tran (2022), for example. For instance, Hinkley Point C, a nuclear new build, is delivered by a single integrated consortium (EDF with significant delivery partners) that is in charge of the design, procurement, and construction stages under a principle contract model, offering single-point accountability for delivery.</w:t>
      </w:r>
    </w:p>
    <w:p>
      <w:pPr>
        <w:spacing w:line="360" w:lineRule="auto"/>
        <w:jc w:val="both"/>
        <w:rPr>
          <w:rFonts w:ascii="Times New Roman" w:cs="Times New Roman" w:hAnsi="Times New Roman"/>
        </w:rPr>
      </w:pPr>
      <w:r>
        <w:rPr>
          <w:rFonts w:ascii="Times New Roman" w:cs="Times New Roman" w:hAnsi="Times New Roman"/>
        </w:rPr>
        <w:t xml:space="preserve">Multicontract </w:t>
      </w:r>
    </w:p>
    <w:p>
      <w:pPr>
        <w:spacing w:line="360" w:lineRule="auto"/>
        <w:jc w:val="both"/>
        <w:rPr>
          <w:rFonts w:ascii="Times New Roman" w:cs="Times New Roman" w:hAnsi="Times New Roman"/>
        </w:rPr>
      </w:pPr>
      <w:r>
        <w:rPr>
          <w:rFonts w:ascii="Times New Roman" w:cs="Times New Roman" w:hAnsi="Times New Roman"/>
        </w:rPr>
        <w:t>In Multicontracting, the client enters into direct contracts with several consultants and trade contractors, each of whom is in charge of distinct packages (structural work, façade, mechanical systems, specialized equipment). Interfaces and sequencing are coordinated by the customer or a designated owner's representative (Hernandez&amp;Brooks, 2023).</w:t>
      </w:r>
    </w:p>
    <w:p>
      <w:pPr>
        <w:spacing w:line="360" w:lineRule="auto"/>
        <w:jc w:val="both"/>
        <w:rPr>
          <w:rFonts w:ascii="Times New Roman" w:cs="Times New Roman" w:hAnsi="Times New Roman"/>
        </w:rPr>
      </w:pPr>
      <w:r>
        <w:rPr>
          <w:rFonts w:ascii="Times New Roman" w:cs="Times New Roman" w:hAnsi="Times New Roman"/>
        </w:rPr>
        <w:t>Advantages</w:t>
      </w:r>
    </w:p>
    <w:p>
      <w:pPr>
        <w:spacing w:line="360" w:lineRule="auto"/>
        <w:jc w:val="both"/>
        <w:rPr>
          <w:rFonts w:ascii="Times New Roman" w:cs="Times New Roman" w:hAnsi="Times New Roman"/>
        </w:rPr>
      </w:pPr>
      <w:r>
        <w:rPr>
          <w:rFonts w:ascii="Times New Roman" w:cs="Times New Roman" w:hAnsi="Times New Roman"/>
        </w:rPr>
        <w:t>High client control: the client can choose specialized providers and influence design and quality results through direct contracting (Andersson&amp;Liu, 2024).</w:t>
      </w:r>
    </w:p>
    <w:p>
      <w:pPr>
        <w:spacing w:line="360" w:lineRule="auto"/>
        <w:jc w:val="both"/>
        <w:rPr>
          <w:rFonts w:ascii="Times New Roman" w:cs="Times New Roman" w:hAnsi="Times New Roman"/>
        </w:rPr>
      </w:pPr>
      <w:r>
        <w:rPr>
          <w:rFonts w:ascii="Times New Roman" w:cs="Times New Roman" w:hAnsi="Times New Roman"/>
        </w:rPr>
        <w:t>Potential cost benefits: competitive tenders for each package can result in savings, particularly in specialized and deep markets (Kumar&amp;Reyes, 2024).</w:t>
      </w:r>
    </w:p>
    <w:p>
      <w:pPr>
        <w:spacing w:line="360" w:lineRule="auto"/>
        <w:jc w:val="both"/>
        <w:rPr>
          <w:rFonts w:ascii="Times New Roman" w:cs="Times New Roman" w:hAnsi="Times New Roman"/>
        </w:rPr>
      </w:pPr>
      <w:r>
        <w:rPr>
          <w:rFonts w:ascii="Times New Roman" w:cs="Times New Roman" w:hAnsi="Times New Roman"/>
        </w:rPr>
        <w:t>Flexibility in package specification and procurement timing: clients can divide packages to expedite delivery through parallel procurement (Taylor&amp;Osei, 2021).</w:t>
      </w:r>
    </w:p>
    <w:p>
      <w:pPr>
        <w:spacing w:line="360" w:lineRule="auto"/>
        <w:jc w:val="both"/>
        <w:rPr>
          <w:rFonts w:ascii="Times New Roman" w:cs="Times New Roman" w:hAnsi="Times New Roman"/>
        </w:rPr>
      </w:pPr>
      <w:r>
        <w:rPr>
          <w:rFonts w:ascii="Times New Roman" w:cs="Times New Roman" w:hAnsi="Times New Roman"/>
        </w:rPr>
        <w:t>Knowledge retention: improved post-handover operations and institutional learning are fostered by active client interaction (Singh et al., 2022).</w:t>
      </w:r>
    </w:p>
    <w:p>
      <w:pPr>
        <w:spacing w:line="360" w:lineRule="auto"/>
        <w:jc w:val="both"/>
        <w:rPr>
          <w:rFonts w:ascii="Times New Roman" w:cs="Times New Roman" w:hAnsi="Times New Roman"/>
        </w:rPr>
      </w:pPr>
      <w:r>
        <w:rPr>
          <w:rFonts w:ascii="Times New Roman" w:cs="Times New Roman" w:hAnsi="Times New Roman"/>
        </w:rPr>
        <w:t>Disadvantages</w:t>
      </w:r>
    </w:p>
    <w:p>
      <w:pPr>
        <w:spacing w:line="360" w:lineRule="auto"/>
        <w:jc w:val="both"/>
        <w:rPr>
          <w:rFonts w:ascii="Times New Roman" w:cs="Times New Roman" w:hAnsi="Times New Roman"/>
        </w:rPr>
      </w:pPr>
      <w:r>
        <w:rPr>
          <w:rFonts w:ascii="Times New Roman" w:cs="Times New Roman" w:hAnsi="Times New Roman"/>
        </w:rPr>
        <w:t>Increased coordination burden: strong project management and contract administration skills are needed, and the client bears interface risk (Morris&amp;Patel, 2023).</w:t>
      </w:r>
    </w:p>
    <w:p>
      <w:pPr>
        <w:spacing w:line="360" w:lineRule="auto"/>
        <w:jc w:val="both"/>
        <w:rPr>
          <w:rFonts w:ascii="Times New Roman" w:cs="Times New Roman" w:hAnsi="Times New Roman"/>
        </w:rPr>
      </w:pPr>
      <w:r>
        <w:rPr>
          <w:rFonts w:ascii="Times New Roman" w:cs="Times New Roman" w:hAnsi="Times New Roman"/>
        </w:rPr>
        <w:t>Risks associated with fragmentation include delays and blame-shifting at package interfaces due to contractors' skewed incentives (Nguyen&amp;Tran, 2022).</w:t>
      </w:r>
    </w:p>
    <w:p>
      <w:pPr>
        <w:spacing w:line="360" w:lineRule="auto"/>
        <w:jc w:val="both"/>
        <w:rPr>
          <w:rFonts w:ascii="Times New Roman" w:cs="Times New Roman" w:hAnsi="Times New Roman"/>
        </w:rPr>
      </w:pPr>
      <w:r>
        <w:rPr>
          <w:rFonts w:ascii="Times New Roman" w:cs="Times New Roman" w:hAnsi="Times New Roman"/>
        </w:rPr>
        <w:t>Transaction costs: administrative overhead is increased by several purchases, contract discussions, and payment handling (Hernandez&amp;Brooks, 2023).</w:t>
      </w:r>
    </w:p>
    <w:p>
      <w:pPr>
        <w:spacing w:line="360" w:lineRule="auto"/>
        <w:jc w:val="both"/>
        <w:rPr>
          <w:rFonts w:ascii="Times New Roman" w:cs="Times New Roman" w:hAnsi="Times New Roman"/>
        </w:rPr>
      </w:pPr>
      <w:r>
        <w:rPr>
          <w:rFonts w:ascii="Times New Roman" w:cs="Times New Roman" w:hAnsi="Times New Roman"/>
        </w:rPr>
        <w:t>Complex dispute situations: as the unifying authority, the customer is frequently responsible for resolving disagreements between contractors (Andersson&amp;Liu, 2024).</w:t>
      </w:r>
    </w:p>
    <w:p>
      <w:pPr>
        <w:spacing w:line="360" w:lineRule="auto"/>
        <w:jc w:val="both"/>
        <w:rPr>
          <w:rFonts w:ascii="Times New Roman" w:cs="Times New Roman" w:hAnsi="Times New Roman"/>
        </w:rPr>
      </w:pPr>
      <w:r>
        <w:rPr>
          <w:rFonts w:ascii="Times New Roman" w:cs="Times New Roman" w:hAnsi="Times New Roman"/>
        </w:rPr>
        <w:t>Clients with strong PM capacity and the need to acquire specialised knowledge, such as airports, university campuses, or sizable mixed-use complexes where different disciplines need customised competence, are well suited for Multicontract (Singh et al., 2022). For the central portion of the Elizabeth Line and Crossrail, many specialised packages (tunnelling, stations, systems and fit-out) were acquired under several direct contracts with close owner coordination.</w:t>
      </w:r>
    </w:p>
    <w:p>
      <w:pPr>
        <w:spacing w:line="360" w:lineRule="auto"/>
        <w:jc w:val="both"/>
        <w:rPr>
          <w:rFonts w:ascii="Times New Roman" w:cs="Times New Roman" w:hAnsi="Times New Roman"/>
        </w:rPr>
      </w:pPr>
      <w:r>
        <w:rPr>
          <w:rFonts w:ascii="Times New Roman" w:cs="Times New Roman" w:hAnsi="Times New Roman"/>
        </w:rPr>
        <w:t xml:space="preserve">Do-It-Yourself </w:t>
      </w:r>
    </w:p>
    <w:p>
      <w:pPr>
        <w:spacing w:line="360" w:lineRule="auto"/>
        <w:jc w:val="both"/>
        <w:rPr>
          <w:rFonts w:ascii="Times New Roman" w:cs="Times New Roman" w:hAnsi="Times New Roman"/>
        </w:rPr>
      </w:pPr>
      <w:r>
        <w:rPr>
          <w:rFonts w:ascii="Times New Roman" w:cs="Times New Roman" w:hAnsi="Times New Roman"/>
        </w:rPr>
        <w:t>In Do-It-Yourself (DIY) delivery, the customer uses internal design teams, procurement officers, construction crews, and maintenance personnel to carry out a significant amount of project tasks. Only certain duties that the client is unable to complete are covered by external contracts (Hernandez&amp;Brooks, 2023).</w:t>
      </w:r>
    </w:p>
    <w:p>
      <w:pPr>
        <w:spacing w:line="360" w:lineRule="auto"/>
        <w:jc w:val="both"/>
        <w:rPr>
          <w:rFonts w:ascii="Times New Roman" w:cs="Times New Roman" w:hAnsi="Times New Roman"/>
        </w:rPr>
      </w:pPr>
      <w:r>
        <w:rPr>
          <w:rFonts w:ascii="Times New Roman" w:cs="Times New Roman" w:hAnsi="Times New Roman"/>
        </w:rPr>
        <w:t>Advantages</w:t>
      </w:r>
    </w:p>
    <w:p>
      <w:pPr>
        <w:spacing w:line="360" w:lineRule="auto"/>
        <w:jc w:val="both"/>
        <w:rPr>
          <w:rFonts w:ascii="Times New Roman" w:cs="Times New Roman" w:hAnsi="Times New Roman"/>
        </w:rPr>
      </w:pPr>
      <w:r>
        <w:rPr>
          <w:rFonts w:ascii="Times New Roman" w:cs="Times New Roman" w:hAnsi="Times New Roman"/>
        </w:rPr>
        <w:t>Maximum control: design, quality, operations, and strategic choices are all directly within the client's control (Kumar&amp;Reyes, 2024).</w:t>
      </w:r>
    </w:p>
    <w:p>
      <w:pPr>
        <w:spacing w:line="360" w:lineRule="auto"/>
        <w:jc w:val="both"/>
        <w:rPr>
          <w:rFonts w:ascii="Times New Roman" w:cs="Times New Roman" w:hAnsi="Times New Roman"/>
        </w:rPr>
      </w:pPr>
      <w:r>
        <w:rPr>
          <w:rFonts w:ascii="Times New Roman" w:cs="Times New Roman" w:hAnsi="Times New Roman"/>
        </w:rPr>
        <w:t>Potential cost savings: If internal capacity is present, minimising contractor margins and incorporating procurement into organisational procedures can reduce overall costs (Taylor&amp;Osei, 2021).</w:t>
      </w:r>
    </w:p>
    <w:p>
      <w:pPr>
        <w:spacing w:line="360" w:lineRule="auto"/>
        <w:jc w:val="both"/>
        <w:rPr>
          <w:rFonts w:ascii="Times New Roman" w:cs="Times New Roman" w:hAnsi="Times New Roman"/>
        </w:rPr>
      </w:pPr>
      <w:r>
        <w:rPr>
          <w:rFonts w:ascii="Times New Roman" w:cs="Times New Roman" w:hAnsi="Times New Roman"/>
        </w:rPr>
        <w:t>Retention of knowledge and skills: active participation guarantees organisational learning and improved post-project operations (Morris&amp;Patel, 2023).</w:t>
      </w:r>
    </w:p>
    <w:p>
      <w:pPr>
        <w:spacing w:line="360" w:lineRule="auto"/>
        <w:jc w:val="both"/>
        <w:rPr>
          <w:rFonts w:ascii="Times New Roman" w:cs="Times New Roman" w:hAnsi="Times New Roman"/>
        </w:rPr>
      </w:pPr>
      <w:r>
        <w:rPr>
          <w:rFonts w:ascii="Times New Roman" w:cs="Times New Roman" w:hAnsi="Times New Roman"/>
        </w:rPr>
        <w:t>For projects where intellectual property, security, or operational alignment are important, confidentiality and alignment are appropriate (Andersson&amp;Liu, 2024).</w:t>
      </w:r>
    </w:p>
    <w:p>
      <w:pPr>
        <w:spacing w:line="360" w:lineRule="auto"/>
        <w:jc w:val="both"/>
        <w:rPr>
          <w:rFonts w:ascii="Times New Roman" w:cs="Times New Roman" w:hAnsi="Times New Roman"/>
        </w:rPr>
      </w:pPr>
      <w:r>
        <w:rPr>
          <w:rFonts w:ascii="Times New Roman" w:cs="Times New Roman" w:hAnsi="Times New Roman"/>
        </w:rPr>
        <w:t>Disadvantages</w:t>
      </w:r>
    </w:p>
    <w:p>
      <w:pPr>
        <w:spacing w:line="360" w:lineRule="auto"/>
        <w:jc w:val="both"/>
        <w:rPr>
          <w:rFonts w:ascii="Times New Roman" w:cs="Times New Roman" w:hAnsi="Times New Roman"/>
        </w:rPr>
      </w:pPr>
      <w:r>
        <w:rPr>
          <w:rFonts w:ascii="Times New Roman" w:cs="Times New Roman" w:hAnsi="Times New Roman"/>
        </w:rPr>
        <w:t>High resource requirements: many clients lack the necessary processes, governance, and skilled personnel (Nguyen&amp;Tran, 2022).</w:t>
      </w:r>
    </w:p>
    <w:p>
      <w:pPr>
        <w:spacing w:line="360" w:lineRule="auto"/>
        <w:jc w:val="both"/>
        <w:rPr>
          <w:rFonts w:ascii="Times New Roman" w:cs="Times New Roman" w:hAnsi="Times New Roman"/>
        </w:rPr>
      </w:pPr>
      <w:r>
        <w:rPr>
          <w:rFonts w:ascii="Times New Roman" w:cs="Times New Roman" w:hAnsi="Times New Roman"/>
        </w:rPr>
        <w:t>Lack of competition and inefficiencies: When there is little market rivalry for significant portions of the task, innovation and cost-effectiveness may suffer (Singh et al., 2022).</w:t>
      </w:r>
    </w:p>
    <w:p>
      <w:pPr>
        <w:spacing w:line="360" w:lineRule="auto"/>
        <w:jc w:val="both"/>
        <w:rPr>
          <w:rFonts w:ascii="Times New Roman" w:cs="Times New Roman" w:hAnsi="Times New Roman"/>
        </w:rPr>
      </w:pPr>
      <w:r>
        <w:rPr>
          <w:rFonts w:ascii="Times New Roman" w:cs="Times New Roman" w:hAnsi="Times New Roman"/>
        </w:rPr>
        <w:t>Concentrated risk exposure: execution risks, such as unanticipated circumstances and poor performance, are entirely the client's responsibility (Hernandez&amp;Brooks, 2023).</w:t>
      </w:r>
    </w:p>
    <w:p>
      <w:pPr>
        <w:spacing w:line="360" w:lineRule="auto"/>
        <w:jc w:val="both"/>
        <w:rPr>
          <w:rFonts w:ascii="Times New Roman" w:cs="Times New Roman" w:hAnsi="Times New Roman"/>
        </w:rPr>
      </w:pPr>
      <w:r>
        <w:rPr>
          <w:rFonts w:ascii="Times New Roman" w:cs="Times New Roman" w:hAnsi="Times New Roman"/>
        </w:rPr>
        <w:t>Scalability concerns: it may not be cost-effective to maintain internal capacity for sporadic initiatives (Kumar&amp;Reyes, 2024).</w:t>
      </w:r>
    </w:p>
    <w:p>
      <w:pPr>
        <w:spacing w:line="360" w:lineRule="auto"/>
        <w:jc w:val="both"/>
        <w:rPr>
          <w:rFonts w:ascii="Times New Roman" w:cs="Times New Roman" w:hAnsi="Times New Roman"/>
        </w:rPr>
      </w:pPr>
      <w:r>
        <w:rPr>
          <w:rFonts w:ascii="Times New Roman" w:cs="Times New Roman" w:hAnsi="Times New Roman"/>
        </w:rPr>
        <w:t>When a client has robust internal teams and ongoing delivery requirements, DIY is appropriate (Morris &amp; Patel, 2023). Network Rail regularly employs internal project teams to plan, oversee, and occasionally self-deliver track renewal/regulatory work while maintaining direct control and operational expertise.</w:t>
      </w:r>
    </w:p>
    <w:p>
      <w:pPr>
        <w:spacing w:line="360" w:lineRule="auto"/>
        <w:jc w:val="both"/>
        <w:rPr>
          <w:rFonts w:ascii="Times New Roman" w:cs="Times New Roman" w:hAnsi="Times New Roman"/>
        </w:rPr>
      </w:pPr>
      <w:r>
        <w:rPr>
          <w:rFonts w:ascii="Times New Roman" w:cs="Times New Roman" w:hAnsi="Times New Roman"/>
        </w:rPr>
        <w:t>Multicontract + DIY (Hybrid Delivery)</w:t>
      </w:r>
    </w:p>
    <w:p>
      <w:pPr>
        <w:spacing w:line="360" w:lineRule="auto"/>
        <w:jc w:val="both"/>
        <w:rPr>
          <w:rFonts w:ascii="Times New Roman" w:cs="Times New Roman" w:hAnsi="Times New Roman"/>
        </w:rPr>
      </w:pPr>
      <w:r>
        <w:rPr>
          <w:rFonts w:ascii="Times New Roman" w:cs="Times New Roman" w:hAnsi="Times New Roman"/>
        </w:rPr>
        <w:t>Hybrid delivery combines several specialised contracts with customer self-performance. While outsourcing other packages to specialised contractors, the client keeps strategic or high-priority packages in-house, frequently centralising coordination through a project management office (Hernandez&amp;Brooks, 2023).</w:t>
      </w:r>
    </w:p>
    <w:p>
      <w:pPr>
        <w:spacing w:line="360" w:lineRule="auto"/>
        <w:jc w:val="both"/>
        <w:rPr>
          <w:rFonts w:ascii="Times New Roman" w:cs="Times New Roman" w:hAnsi="Times New Roman"/>
        </w:rPr>
      </w:pPr>
      <w:r>
        <w:rPr>
          <w:rFonts w:ascii="Times New Roman" w:cs="Times New Roman" w:hAnsi="Times New Roman"/>
        </w:rPr>
        <w:t>Advantages</w:t>
      </w:r>
    </w:p>
    <w:p>
      <w:pPr>
        <w:spacing w:line="360" w:lineRule="auto"/>
        <w:jc w:val="both"/>
        <w:rPr>
          <w:rFonts w:ascii="Times New Roman" w:cs="Times New Roman" w:hAnsi="Times New Roman"/>
        </w:rPr>
      </w:pPr>
      <w:r>
        <w:rPr>
          <w:rFonts w:ascii="Times New Roman" w:cs="Times New Roman" w:hAnsi="Times New Roman"/>
        </w:rPr>
        <w:t>Balanced control and expertise: market experts are used for difficult or episodic jobs, but the client maintains strategic influence over core components (Taylor&amp;Osei, 2021).</w:t>
      </w:r>
    </w:p>
    <w:p>
      <w:pPr>
        <w:spacing w:line="360" w:lineRule="auto"/>
        <w:jc w:val="both"/>
        <w:rPr>
          <w:rFonts w:ascii="Times New Roman" w:cs="Times New Roman" w:hAnsi="Times New Roman"/>
        </w:rPr>
      </w:pPr>
      <w:r>
        <w:rPr>
          <w:rFonts w:ascii="Times New Roman" w:cs="Times New Roman" w:hAnsi="Times New Roman"/>
        </w:rPr>
        <w:t>Tailored risk allocation: risks are transferred when outside knowledge is needed and kept when the client is capable (Nguyen&amp;Tran, 2022).</w:t>
      </w:r>
    </w:p>
    <w:p>
      <w:pPr>
        <w:spacing w:line="360" w:lineRule="auto"/>
        <w:jc w:val="both"/>
        <w:rPr>
          <w:rFonts w:ascii="Times New Roman" w:cs="Times New Roman" w:hAnsi="Times New Roman"/>
        </w:rPr>
      </w:pPr>
      <w:r>
        <w:rPr>
          <w:rFonts w:ascii="Times New Roman" w:cs="Times New Roman" w:hAnsi="Times New Roman"/>
        </w:rPr>
        <w:t>Operational continuity: Maintaining some functions makes it easier to integrate with client maintenance and operations (Singh et al., 2022).</w:t>
      </w:r>
    </w:p>
    <w:p>
      <w:pPr>
        <w:spacing w:line="360" w:lineRule="auto"/>
        <w:jc w:val="both"/>
        <w:rPr>
          <w:rFonts w:ascii="Times New Roman" w:cs="Times New Roman" w:hAnsi="Times New Roman"/>
        </w:rPr>
      </w:pPr>
      <w:r>
        <w:rPr>
          <w:rFonts w:ascii="Times New Roman" w:cs="Times New Roman" w:hAnsi="Times New Roman"/>
        </w:rPr>
        <w:t>Cost and schedule optimisation: although client-managed projects uphold standards, targeted outsourcing can shorten lead times for specialised goods (Kumar&amp;Reyes, 2024).</w:t>
      </w:r>
    </w:p>
    <w:p>
      <w:pPr>
        <w:spacing w:line="360" w:lineRule="auto"/>
        <w:jc w:val="both"/>
        <w:rPr>
          <w:rFonts w:ascii="Times New Roman" w:cs="Times New Roman" w:hAnsi="Times New Roman"/>
        </w:rPr>
      </w:pPr>
      <w:r>
        <w:rPr>
          <w:rFonts w:ascii="Times New Roman" w:cs="Times New Roman" w:hAnsi="Times New Roman"/>
        </w:rPr>
        <w:t>Disadvantages</w:t>
      </w:r>
    </w:p>
    <w:p>
      <w:pPr>
        <w:spacing w:line="360" w:lineRule="auto"/>
        <w:jc w:val="both"/>
        <w:rPr>
          <w:rFonts w:ascii="Times New Roman" w:cs="Times New Roman" w:hAnsi="Times New Roman"/>
        </w:rPr>
      </w:pPr>
      <w:r>
        <w:rPr>
          <w:rFonts w:ascii="Times New Roman" w:cs="Times New Roman" w:hAnsi="Times New Roman"/>
        </w:rPr>
        <w:t>Governance complexity: strong reporting, workflows, and conflict resolution procedures are necessary for managing both internal teams and numerous contractors (Andersson&amp;Liu, 2024).</w:t>
      </w:r>
    </w:p>
    <w:p>
      <w:pPr>
        <w:spacing w:line="360" w:lineRule="auto"/>
        <w:jc w:val="both"/>
        <w:rPr>
          <w:rFonts w:ascii="Times New Roman" w:cs="Times New Roman" w:hAnsi="Times New Roman"/>
        </w:rPr>
      </w:pPr>
      <w:r>
        <w:rPr>
          <w:rFonts w:ascii="Times New Roman" w:cs="Times New Roman" w:hAnsi="Times New Roman"/>
        </w:rPr>
        <w:t>Interface ambiguity: If interfaces are not clearly established, coordination risk arises from unclear role boundaries between internal teams and contractors (Morris&amp;Patel, 2023).</w:t>
      </w:r>
    </w:p>
    <w:p>
      <w:pPr>
        <w:spacing w:line="360" w:lineRule="auto"/>
        <w:jc w:val="both"/>
        <w:rPr>
          <w:rFonts w:ascii="Times New Roman" w:cs="Times New Roman" w:hAnsi="Times New Roman"/>
        </w:rPr>
      </w:pPr>
      <w:r>
        <w:rPr>
          <w:rFonts w:ascii="Times New Roman" w:cs="Times New Roman" w:hAnsi="Times New Roman"/>
        </w:rPr>
        <w:t>Resource strain: in order to manage retained packages without compromising delivery efficacy, clients must maintain adequate internal competence (Hernandez&amp;Brooks, 2023).</w:t>
      </w:r>
    </w:p>
    <w:p>
      <w:pPr>
        <w:spacing w:line="360" w:lineRule="auto"/>
        <w:jc w:val="both"/>
        <w:rPr>
          <w:rFonts w:ascii="Times New Roman" w:cs="Times New Roman" w:hAnsi="Times New Roman"/>
        </w:rPr>
      </w:pPr>
      <w:r>
        <w:rPr>
          <w:rFonts w:ascii="Times New Roman" w:cs="Times New Roman" w:hAnsi="Times New Roman"/>
        </w:rPr>
        <w:t>Possible duplication of duties: overlap in procurement or monitoring may lead to inefficiencies (Taylor&amp;Osei, 2021).</w:t>
      </w:r>
    </w:p>
    <w:p>
      <w:pPr>
        <w:spacing w:line="360" w:lineRule="auto"/>
        <w:jc w:val="both"/>
        <w:rPr>
          <w:rFonts w:ascii="Times New Roman" w:cs="Times New Roman" w:hAnsi="Times New Roman"/>
        </w:rPr>
      </w:pPr>
      <w:r>
        <w:rPr>
          <w:rFonts w:ascii="Times New Roman" w:cs="Times New Roman" w:hAnsi="Times New Roman"/>
        </w:rPr>
        <w:t>When a client wants to maintain control over key systems and operations yet requires specialised suppliers for technology or construction, hybrids are frequently used for complicated, asset-intensive projects (Nguyen &amp; Tran, 2022). Manchester Metrolink expansion (selected phases): Transport for Greater Manchester outsourced specialised systems, vehicle procurement, and signalling to specialised contractors while maintaining program control and self-managed civils/planning.</w:t>
      </w:r>
    </w:p>
    <w:p>
      <w:pPr>
        <w:pStyle w:val="18"/>
        <w:numPr>
          <w:ilvl w:val="0"/>
          <w:numId w:val="1"/>
        </w:numPr>
        <w:spacing w:line="360" w:lineRule="auto"/>
        <w:jc w:val="both"/>
        <w:outlineLvl w:val="3"/>
        <w:rPr>
          <w:rFonts w:ascii="Times New Roman" w:cs="Times New Roman" w:hAnsi="Times New Roman"/>
        </w:rPr>
      </w:pPr>
      <w:bookmarkStart w:id="3" w:name="_Toc235558945"/>
      <w:bookmarkStart w:id="4" w:name="_GoBack"/>
      <w:bookmarkEnd w:id="4"/>
      <w:r>
        <w:rPr>
          <w:rFonts w:ascii="Times New Roman" w:cs="Times New Roman" w:hAnsi="Times New Roman"/>
        </w:rPr>
        <w:t>Selecting Contracting Methods</w:t>
      </w:r>
      <w:bookmarkEnd w:id="3"/>
    </w:p>
    <w:p>
      <w:pPr>
        <w:spacing w:line="360" w:lineRule="auto"/>
        <w:jc w:val="both"/>
        <w:rPr>
          <w:rFonts w:ascii="Times New Roman" w:cs="Times New Roman" w:hAnsi="Times New Roman"/>
        </w:rPr>
      </w:pPr>
      <w:r>
        <w:rPr>
          <w:rFonts w:ascii="Times New Roman" w:cs="Times New Roman" w:hAnsi="Times New Roman"/>
        </w:rPr>
        <w:t>Project complexity and integration risk: Turnkey's single-point accountability helps lower interface failures in high integration projects with tight technical interfaces, such as data centres and petrochemical facilities. On the other hand, if the customer is able to coordinate, projects involving numerous different specialised trades may achieve superior results through Multicontracting (Singh et al., 2022).</w:t>
      </w:r>
    </w:p>
    <w:p>
      <w:pPr>
        <w:spacing w:line="360" w:lineRule="auto"/>
        <w:jc w:val="both"/>
        <w:rPr>
          <w:rFonts w:ascii="Times New Roman" w:cs="Times New Roman" w:hAnsi="Times New Roman"/>
        </w:rPr>
      </w:pPr>
      <w:r>
        <w:rPr>
          <w:rFonts w:ascii="Times New Roman" w:cs="Times New Roman" w:hAnsi="Times New Roman"/>
        </w:rPr>
        <w:t>Strategic priorities and client capability: DIY or hybrid methods may be preferred by companies with established PMOs, ongoing pipelines, and a need for knowledge retention (utilities, major contractors). Turnkey is usually preferred by clients who lack capability to transfer execution risk (Morris&amp;Patel, 2023).</w:t>
      </w:r>
    </w:p>
    <w:p>
      <w:pPr>
        <w:spacing w:line="360" w:lineRule="auto"/>
        <w:jc w:val="both"/>
        <w:rPr>
          <w:rFonts w:ascii="Times New Roman" w:cs="Times New Roman" w:hAnsi="Times New Roman"/>
        </w:rPr>
      </w:pPr>
      <w:r>
        <w:rPr>
          <w:rFonts w:ascii="Times New Roman" w:cs="Times New Roman" w:hAnsi="Times New Roman"/>
        </w:rPr>
        <w:t>Market conditions and supplier maturity: Multicontracting can increase competition and lower prices in markets with a large supply base. Despite being more expensive, turnkey may be safer in areas where skilled contractors are hard to come by (Kumar&amp;Reyes, 2024).</w:t>
      </w:r>
    </w:p>
    <w:p>
      <w:pPr>
        <w:spacing w:line="360" w:lineRule="auto"/>
        <w:jc w:val="both"/>
        <w:rPr>
          <w:rFonts w:ascii="Times New Roman" w:cs="Times New Roman" w:hAnsi="Times New Roman"/>
        </w:rPr>
      </w:pPr>
      <w:r>
        <w:rPr>
          <w:rFonts w:ascii="Times New Roman" w:cs="Times New Roman" w:hAnsi="Times New Roman"/>
        </w:rPr>
        <w:t>Trade-off between cost and control: While DIY and Multicontract maximise control but raise management expenses, turnkey delivers cost-risk transfer but diminishes customer influence. According to Taylor and Osei (2021), hybrid delivery enables complex trade-offs based on the elements that the client values most.</w:t>
      </w:r>
    </w:p>
    <w:p>
      <w:pPr>
        <w:spacing w:line="360" w:lineRule="auto"/>
        <w:jc w:val="both"/>
        <w:rPr>
          <w:rFonts w:ascii="Times New Roman" w:cs="Times New Roman" w:hAnsi="Times New Roman"/>
        </w:rPr>
      </w:pPr>
      <w:r>
        <w:rPr>
          <w:rFonts w:ascii="Times New Roman" w:cs="Times New Roman" w:hAnsi="Times New Roman"/>
        </w:rPr>
        <w:t>Contractual strategies to reduce disadvantages: Performance-based specifications, early contractor engagement (ECI), staged procurements, incentive and pain/gain share clauses, and strong governance frameworks all improve results, regardless of the delivery style. For example, engaging an owner's engineer lowers interface risk in Multicontracting, and utilising alliancing or integrated project insurance can align multi-party incentives (Andersson&amp;Liu, 2024).</w:t>
      </w:r>
    </w:p>
    <w:p>
      <w:pPr>
        <w:pStyle w:val="18"/>
        <w:numPr>
          <w:ilvl w:val="0"/>
          <w:numId w:val="1"/>
        </w:numPr>
        <w:spacing w:line="360" w:lineRule="auto"/>
        <w:jc w:val="both"/>
        <w:outlineLvl w:val="4"/>
        <w:rPr>
          <w:rFonts w:ascii="Times New Roman" w:cs="Times New Roman" w:hAnsi="Times New Roman"/>
        </w:rPr>
      </w:pPr>
      <w:bookmarkStart w:id="5" w:name="_Toc235558946"/>
      <w:r>
        <w:rPr>
          <w:rFonts w:ascii="Times New Roman" w:cs="Times New Roman" w:hAnsi="Times New Roman"/>
        </w:rPr>
        <w:t>Practical checklist for selection</w:t>
      </w:r>
      <w:bookmarkEnd w:id="5"/>
    </w:p>
    <w:p>
      <w:pPr>
        <w:spacing w:line="360" w:lineRule="auto"/>
        <w:jc w:val="both"/>
        <w:rPr>
          <w:rFonts w:ascii="Times New Roman" w:cs="Times New Roman" w:hAnsi="Times New Roman"/>
        </w:rPr>
      </w:pPr>
      <w:r>
        <w:rPr>
          <w:rFonts w:ascii="Times New Roman" w:cs="Times New Roman" w:hAnsi="Times New Roman"/>
        </w:rPr>
        <w:t>Describe the essential success variables (lifecycle performance, time, cost, and quality).</w:t>
      </w:r>
    </w:p>
    <w:p>
      <w:pPr>
        <w:spacing w:line="360" w:lineRule="auto"/>
        <w:jc w:val="both"/>
        <w:rPr>
          <w:rFonts w:ascii="Times New Roman" w:cs="Times New Roman" w:hAnsi="Times New Roman"/>
        </w:rPr>
      </w:pPr>
      <w:r>
        <w:rPr>
          <w:rFonts w:ascii="Times New Roman" w:cs="Times New Roman" w:hAnsi="Times New Roman"/>
        </w:rPr>
        <w:t>Evaluate internal capabilities (technical staff, procurement capacity, PMO maturity).</w:t>
      </w:r>
    </w:p>
    <w:p>
      <w:pPr>
        <w:spacing w:line="360" w:lineRule="auto"/>
        <w:jc w:val="both"/>
        <w:rPr>
          <w:rFonts w:ascii="Times New Roman" w:cs="Times New Roman" w:hAnsi="Times New Roman"/>
        </w:rPr>
      </w:pPr>
      <w:r>
        <w:rPr>
          <w:rFonts w:ascii="Times New Roman" w:cs="Times New Roman" w:hAnsi="Times New Roman"/>
        </w:rPr>
        <w:t>Analyse market supply (contractors' track record, speciality vendors, and competitiveness).</w:t>
      </w:r>
    </w:p>
    <w:p>
      <w:pPr>
        <w:spacing w:line="360" w:lineRule="auto"/>
        <w:jc w:val="both"/>
        <w:rPr>
          <w:rFonts w:ascii="Times New Roman" w:cs="Times New Roman" w:hAnsi="Times New Roman"/>
        </w:rPr>
      </w:pPr>
      <w:r>
        <w:rPr>
          <w:rFonts w:ascii="Times New Roman" w:cs="Times New Roman" w:hAnsi="Times New Roman"/>
        </w:rPr>
        <w:t>Determine which significant project risks to transfer or keep.</w:t>
      </w:r>
    </w:p>
    <w:p>
      <w:pPr>
        <w:spacing w:line="360" w:lineRule="auto"/>
        <w:jc w:val="both"/>
        <w:rPr>
          <w:rFonts w:ascii="Times New Roman" w:cs="Times New Roman" w:hAnsi="Times New Roman"/>
        </w:rPr>
      </w:pPr>
      <w:r>
        <w:rPr>
          <w:rFonts w:ascii="Times New Roman" w:cs="Times New Roman" w:hAnsi="Times New Roman"/>
        </w:rPr>
        <w:t>Select a contract form that guarantees enforceable performance measures and aligns incentives.</w:t>
      </w:r>
    </w:p>
    <w:p>
      <w:pPr>
        <w:spacing w:line="360" w:lineRule="auto"/>
        <w:jc w:val="both"/>
        <w:rPr>
          <w:rFonts w:ascii="Times New Roman" w:cs="Times New Roman" w:hAnsi="Times New Roman"/>
        </w:rPr>
      </w:pPr>
      <w:r>
        <w:rPr>
          <w:rFonts w:ascii="Times New Roman" w:cs="Times New Roman" w:hAnsi="Times New Roman"/>
        </w:rPr>
        <w:t>Establish dispute resolution, designate an owner's representative, and provide procedures for acceptance and verification.</w:t>
      </w:r>
    </w:p>
    <w:p>
      <w:pPr>
        <w:pStyle w:val="18"/>
        <w:numPr>
          <w:ilvl w:val="0"/>
          <w:numId w:val="1"/>
        </w:numPr>
        <w:spacing w:line="360" w:lineRule="auto"/>
        <w:jc w:val="both"/>
        <w:outlineLvl w:val="5"/>
        <w:rPr>
          <w:rFonts w:ascii="Times New Roman" w:cs="Times New Roman" w:hAnsi="Times New Roman"/>
        </w:rPr>
      </w:pPr>
      <w:bookmarkStart w:id="6" w:name="_Toc235558947"/>
      <w:r>
        <w:rPr>
          <w:rFonts w:ascii="Times New Roman" w:cs="Times New Roman" w:hAnsi="Times New Roman"/>
        </w:rPr>
        <w:t>Conclusion</w:t>
      </w:r>
      <w:bookmarkEnd w:id="6"/>
      <w:r>
        <w:rPr>
          <w:rFonts w:ascii="Times New Roman" w:cs="Times New Roman" w:hAnsi="Times New Roman"/>
        </w:rPr>
        <w:t xml:space="preserve"> </w:t>
      </w:r>
    </w:p>
    <w:p>
      <w:pPr>
        <w:spacing w:line="360" w:lineRule="auto"/>
        <w:jc w:val="both"/>
        <w:rPr>
          <w:rFonts w:ascii="Times New Roman" w:cs="Times New Roman" w:hAnsi="Times New Roman"/>
        </w:rPr>
      </w:pPr>
      <w:r>
        <w:rPr>
          <w:rFonts w:ascii="Times New Roman" w:cs="Times New Roman" w:hAnsi="Times New Roman"/>
        </w:rPr>
        <w:t>A key component of project governance that influences results throughout the project lifecycle is selecting a contracting strategy. Turnkey agreements can provide timetable certainty, concentrate accountability, and lessen the burden of client administration. These benefits are particularly important for technically complex or time-sensitive projects, but they may limit client participation on design details and incorporate higher contractor contingencies. Granular control, the opportunity to hire top-notch experts, and the possibility of cost savings through competitive package procurement are all provided by Multicontracting, nonetheless, the owner has the responsibility of interface coordination and risk mitigation, necessitating advanced project management skills. Because it improves control, operational alignment, and institutional learning, do-it-yourself delivery is appealing to companies with ongoing capital programs and robust internal teams. Its drawbacks include concentrated risk exposure and the requirement for ongoing investment in people and systems. The Multicontract + DIY hybrid increases managerial complexity and requires exact contractual demarcation and strict governance, but it allows for customised risk allocation—clients retain strategic components while utilising market experience for specialised delivery. Therefore, a thorough evaluation of organisational competence (PMO maturity, technical staff), market conditions (supplier depth, competitiveness), and project-specific drivers (complexity, important success determinants, schedule pressure) is necessary for effective selection. Regardless of the model chosen, success depends on proactive interface management, calibrated incentives, robust dispute resolution processes, and disciplined contract design (performance-based requirements, quantified acceptance criteria). The possibility of completing projects on schedule, under budget, and with the necessary quality is significantly increased when contracting decisions are supported by robust governance and in line with competence and context.</w:t>
      </w: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spacing w:line="360" w:lineRule="auto"/>
        <w:jc w:val="both"/>
        <w:rPr>
          <w:rFonts w:ascii="Times New Roman" w:cs="Times New Roman" w:hAnsi="Times New Roman"/>
        </w:rPr>
      </w:pPr>
    </w:p>
    <w:p>
      <w:pPr>
        <w:pStyle w:val="18"/>
        <w:numPr>
          <w:ilvl w:val="0"/>
          <w:numId w:val="1"/>
        </w:numPr>
        <w:spacing w:line="360" w:lineRule="auto"/>
        <w:jc w:val="both"/>
        <w:outlineLvl w:val="6"/>
        <w:rPr>
          <w:rFonts w:ascii="Times New Roman" w:cs="Times New Roman" w:hAnsi="Times New Roman"/>
        </w:rPr>
      </w:pPr>
      <w:bookmarkStart w:id="7" w:name="_Toc235558948"/>
      <w:r>
        <w:rPr>
          <w:rFonts w:ascii="Times New Roman" w:cs="Times New Roman" w:hAnsi="Times New Roman"/>
        </w:rPr>
        <w:t>References</w:t>
      </w:r>
      <w:bookmarkEnd w:id="7"/>
    </w:p>
    <w:p>
      <w:pPr>
        <w:spacing w:line="360" w:lineRule="auto"/>
        <w:jc w:val="both"/>
        <w:rPr>
          <w:rFonts w:ascii="Times New Roman" w:cs="Times New Roman" w:hAnsi="Times New Roman"/>
        </w:rPr>
      </w:pPr>
      <w:r>
        <w:rPr>
          <w:rFonts w:ascii="Times New Roman" w:cs="Times New Roman" w:hAnsi="Times New Roman"/>
        </w:rPr>
        <w:t>Andersson, P.&amp;Liu, J., 2024. Managing technical interfaces in multi‑prime construction projects. Journal of Construction Management, 30(1), pp.12–29.</w:t>
      </w:r>
    </w:p>
    <w:p>
      <w:pPr>
        <w:spacing w:line="360" w:lineRule="auto"/>
        <w:jc w:val="both"/>
        <w:rPr>
          <w:rFonts w:ascii="Times New Roman" w:cs="Times New Roman" w:hAnsi="Times New Roman"/>
        </w:rPr>
      </w:pPr>
      <w:r>
        <w:rPr>
          <w:rFonts w:ascii="Times New Roman" w:cs="Times New Roman" w:hAnsi="Times New Roman"/>
        </w:rPr>
        <w:t>Chen, Y.&amp;Mbatha, L., 2023. Market structure and procurement effectiveness: how supplier concentration shapes contracting choices. Journal of Construction Economics, 12(1), pp.58–76.</w:t>
      </w:r>
    </w:p>
    <w:p>
      <w:pPr>
        <w:spacing w:line="360" w:lineRule="auto"/>
        <w:jc w:val="both"/>
        <w:rPr>
          <w:rFonts w:ascii="Times New Roman" w:cs="Times New Roman" w:hAnsi="Times New Roman"/>
        </w:rPr>
      </w:pPr>
      <w:r>
        <w:rPr>
          <w:rFonts w:ascii="Times New Roman" w:cs="Times New Roman" w:hAnsi="Times New Roman"/>
        </w:rPr>
        <w:t>Evans, D., 2025. Incentive mechanisms and dispute resolution in multi-party projects. Arbitration and Construction Journal, 11(3), pp.209–227.</w:t>
      </w:r>
    </w:p>
    <w:p>
      <w:pPr>
        <w:spacing w:line="360" w:lineRule="auto"/>
        <w:jc w:val="both"/>
        <w:rPr>
          <w:rFonts w:ascii="Times New Roman" w:cs="Times New Roman" w:hAnsi="Times New Roman"/>
        </w:rPr>
      </w:pPr>
      <w:r>
        <w:rPr>
          <w:rFonts w:ascii="Times New Roman" w:cs="Times New Roman" w:hAnsi="Times New Roman"/>
        </w:rPr>
        <w:t>Hernandez, M.&amp;Brooks, D., 2023. Owner-led delivery: governance and capability in public infrastructure. Public Administration Review, 83(6), pp.1024–1038.</w:t>
      </w:r>
    </w:p>
    <w:p>
      <w:pPr>
        <w:spacing w:line="360" w:lineRule="auto"/>
        <w:jc w:val="both"/>
        <w:rPr>
          <w:rFonts w:ascii="Times New Roman" w:cs="Times New Roman" w:hAnsi="Times New Roman"/>
        </w:rPr>
      </w:pPr>
      <w:r>
        <w:rPr>
          <w:rFonts w:ascii="Times New Roman" w:cs="Times New Roman" w:hAnsi="Times New Roman"/>
        </w:rPr>
        <w:t>Kumar, R.&amp;Reyes, A., 2024. Risk premiums and pricing in turnkey contracts: evidence from infrastructure projects. International Journal of Construction Economics, 19(2), pp.98–117.</w:t>
      </w:r>
    </w:p>
    <w:p>
      <w:pPr>
        <w:spacing w:line="360" w:lineRule="auto"/>
        <w:jc w:val="both"/>
        <w:rPr>
          <w:rFonts w:ascii="Times New Roman" w:cs="Times New Roman" w:hAnsi="Times New Roman"/>
        </w:rPr>
      </w:pPr>
      <w:r>
        <w:rPr>
          <w:rFonts w:ascii="Times New Roman" w:cs="Times New Roman" w:hAnsi="Times New Roman"/>
        </w:rPr>
        <w:t>Lopez, G.&amp;Ahmed, R., 2024. Early contractor involvement and performance outcomes: a meta-analysis. Engineering, Construction and Architectural Management, 31(4), pp.445–463.</w:t>
      </w:r>
    </w:p>
    <w:p>
      <w:pPr>
        <w:spacing w:line="360" w:lineRule="auto"/>
        <w:jc w:val="both"/>
        <w:rPr>
          <w:rFonts w:ascii="Times New Roman" w:cs="Times New Roman" w:hAnsi="Times New Roman"/>
        </w:rPr>
      </w:pPr>
      <w:r>
        <w:rPr>
          <w:rFonts w:ascii="Times New Roman" w:cs="Times New Roman" w:hAnsi="Times New Roman"/>
        </w:rPr>
        <w:t>Miller, J., 2025. Contractual alignment in hybrid delivery models: lessons from transport and energy sectors. Journal of Project Contracting, 5(1), pp.33–54.</w:t>
      </w:r>
    </w:p>
    <w:p>
      <w:pPr>
        <w:spacing w:line="360" w:lineRule="auto"/>
        <w:jc w:val="both"/>
        <w:rPr>
          <w:rFonts w:ascii="Times New Roman" w:cs="Times New Roman" w:hAnsi="Times New Roman"/>
        </w:rPr>
      </w:pPr>
      <w:r>
        <w:rPr>
          <w:rFonts w:ascii="Times New Roman" w:cs="Times New Roman" w:hAnsi="Times New Roman"/>
        </w:rPr>
        <w:t>Morris, L.&amp;Patel, S., 2023. Contract strategy and project performance: buyer capability as a moderating factor. Project Management Review, 21(4), pp.301–322.</w:t>
      </w:r>
    </w:p>
    <w:p>
      <w:pPr>
        <w:spacing w:line="360" w:lineRule="auto"/>
        <w:jc w:val="both"/>
        <w:rPr>
          <w:rFonts w:ascii="Times New Roman" w:cs="Times New Roman" w:hAnsi="Times New Roman"/>
        </w:rPr>
      </w:pPr>
      <w:r>
        <w:rPr>
          <w:rFonts w:ascii="Times New Roman" w:cs="Times New Roman" w:hAnsi="Times New Roman"/>
        </w:rPr>
        <w:t>Nguyen, T.&amp;Tran, H., 2022. Procurement choice under uncertainty: empirical analysis of public works projects. Construction Economics and Policy, 13(3), pp.211–233.</w:t>
      </w:r>
    </w:p>
    <w:p>
      <w:pPr>
        <w:spacing w:line="360" w:lineRule="auto"/>
        <w:jc w:val="both"/>
        <w:rPr>
          <w:rFonts w:ascii="Times New Roman" w:cs="Times New Roman" w:hAnsi="Times New Roman"/>
        </w:rPr>
      </w:pPr>
      <w:r>
        <w:rPr>
          <w:rFonts w:ascii="Times New Roman" w:cs="Times New Roman" w:hAnsi="Times New Roman"/>
        </w:rPr>
        <w:t>O'Leary, S., 2022. Knowledge retention through client delivery: long‑term benefits of in‑house project teams. Journal of Infrastructure Management, 9(2), pp.140–158.</w:t>
      </w:r>
    </w:p>
    <w:p>
      <w:pPr>
        <w:spacing w:line="360" w:lineRule="auto"/>
        <w:jc w:val="both"/>
        <w:rPr>
          <w:rFonts w:ascii="Times New Roman" w:cs="Times New Roman" w:hAnsi="Times New Roman"/>
        </w:rPr>
      </w:pPr>
      <w:r>
        <w:rPr>
          <w:rFonts w:ascii="Times New Roman" w:cs="Times New Roman" w:hAnsi="Times New Roman"/>
        </w:rPr>
        <w:t>PMI (Project Management Institute), 2021. A Guide to the Project Management Body of Knowledge (PMBOK Guide) — Seventh Edition. Newtown Square, PA: PMI.</w:t>
      </w:r>
    </w:p>
    <w:p>
      <w:pPr>
        <w:spacing w:line="360" w:lineRule="auto"/>
        <w:jc w:val="both"/>
        <w:rPr>
          <w:rFonts w:ascii="Times New Roman" w:cs="Times New Roman" w:hAnsi="Times New Roman"/>
        </w:rPr>
      </w:pPr>
      <w:r>
        <w:rPr>
          <w:rFonts w:ascii="Times New Roman" w:cs="Times New Roman" w:hAnsi="Times New Roman"/>
        </w:rPr>
        <w:t>Singh, V., O'Connell, B.&amp;Choi, K., 2022. Integrated delivery for infrastructure: benefits, challenges and strategies. International Journal of Project Organisation and Management, 14(1), pp.45–66.</w:t>
      </w:r>
    </w:p>
    <w:p>
      <w:pPr>
        <w:spacing w:line="360" w:lineRule="auto"/>
        <w:jc w:val="both"/>
        <w:rPr>
          <w:rFonts w:ascii="Times New Roman" w:cs="Times New Roman" w:hAnsi="Times New Roman"/>
        </w:rPr>
      </w:pPr>
      <w:r>
        <w:rPr>
          <w:rFonts w:ascii="Times New Roman" w:cs="Times New Roman" w:hAnsi="Times New Roman"/>
        </w:rPr>
        <w:t>Taylor, E.&amp;Osei, K., 2021. Design–Build procurement: schedule benefits and specification challenges. Construction Law Journal, 37(2), pp.77–95.</w:t>
      </w:r>
    </w:p>
    <w:sectPr>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等线">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等线 Light">
    <w:panose1 w:val="00000000000000000000"/>
    <w:charset w:val="00"/>
    <w:family w:val="auto"/>
    <w:pitch w:val="variable"/>
    <w:sig w:usb0="00000000" w:usb1="00000000" w:usb2="00000000" w:usb3="00000000" w:csb0="00000000"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523E9668"/>
    <w:lvl w:ilvl="0">
      <w:start w:val="1"/>
      <w:numFmt w:val="decimal"/>
      <w:lvlRestart w:val="0"/>
      <w:lvlText w:val="%1."/>
      <w:lvlJc w:val="left"/>
      <w:pPr>
        <w:tabs>
          <w:tab w:val="num" w:pos="0"/>
        </w:tabs>
        <w:ind w:left="72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9"/>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pPr>
    <w:rPr>
      <w:rFonts w:ascii="Droid Sans" w:eastAsia="Droid Sans" w:cs="Arial"/>
      <w:kern w:val="2"/>
      <w:sz w:val="24"/>
      <w:szCs w:val="24"/>
      <w:lang w:val="en-GB" w:eastAsia="en-US" w:bidi="ar-SA"/>
    </w:rPr>
  </w:style>
  <w:style w:type="paragraph" w:styleId="1">
    <w:name w:val="heading 1"/>
    <w:basedOn w:val="0"/>
    <w:next w:val="0"/>
    <w:pPr>
      <w:keepNext/>
      <w:keepLines/>
      <w:spacing w:before="360" w:after="80"/>
      <w:outlineLvl w:val="0"/>
    </w:pPr>
    <w:rPr>
      <w:rFonts w:ascii="Droid Sans" w:eastAsia="等线 Light" w:cs="Times New Roman" w:hAnsi="Droid Sans"/>
      <w:color w:val="0F4761"/>
      <w:sz w:val="40"/>
      <w:szCs w:val="40"/>
    </w:rPr>
  </w:style>
  <w:style w:type="paragraph" w:styleId="2">
    <w:name w:val="heading 2"/>
    <w:basedOn w:val="0"/>
    <w:next w:val="0"/>
    <w:pPr>
      <w:keepNext/>
      <w:keepLines/>
      <w:spacing w:before="160" w:after="80"/>
      <w:outlineLvl w:val="1"/>
    </w:pPr>
    <w:rPr>
      <w:rFonts w:ascii="Droid Sans" w:eastAsia="等线 Light" w:cs="Times New Roman" w:hAnsi="Droid Sans"/>
      <w:color w:val="0F4761"/>
      <w:sz w:val="32"/>
      <w:szCs w:val="32"/>
    </w:rPr>
  </w:style>
  <w:style w:type="paragraph" w:styleId="3">
    <w:name w:val="heading 3"/>
    <w:basedOn w:val="0"/>
    <w:next w:val="0"/>
    <w:pPr>
      <w:keepNext/>
      <w:keepLines/>
      <w:spacing w:before="160" w:after="80"/>
      <w:outlineLvl w:val="2"/>
    </w:pPr>
    <w:rPr>
      <w:rFonts w:eastAsia="等线 Light" w:cs="Times New Roman"/>
      <w:color w:val="0F4761"/>
      <w:sz w:val="28"/>
      <w:szCs w:val="28"/>
    </w:rPr>
  </w:style>
  <w:style w:type="paragraph" w:styleId="4">
    <w:name w:val="heading 4"/>
    <w:basedOn w:val="0"/>
    <w:next w:val="0"/>
    <w:pPr>
      <w:keepNext/>
      <w:keepLines/>
      <w:spacing w:before="80" w:after="40"/>
      <w:outlineLvl w:val="3"/>
    </w:pPr>
    <w:rPr>
      <w:rFonts w:eastAsia="等线 Light" w:cs="Times New Roman"/>
      <w:i/>
      <w:iCs/>
      <w:color w:val="0F4761"/>
    </w:rPr>
  </w:style>
  <w:style w:type="paragraph" w:styleId="5">
    <w:name w:val="heading 5"/>
    <w:basedOn w:val="0"/>
    <w:next w:val="0"/>
    <w:pPr>
      <w:keepNext/>
      <w:keepLines/>
      <w:spacing w:before="80" w:after="40"/>
      <w:outlineLvl w:val="4"/>
    </w:pPr>
    <w:rPr>
      <w:rFonts w:eastAsia="等线 Light" w:cs="Times New Roman"/>
      <w:color w:val="0F4761"/>
    </w:rPr>
  </w:style>
  <w:style w:type="paragraph" w:styleId="6">
    <w:name w:val="heading 6"/>
    <w:basedOn w:val="0"/>
    <w:next w:val="0"/>
    <w:pPr>
      <w:keepNext/>
      <w:keepLines/>
      <w:spacing w:before="40" w:after="0"/>
      <w:outlineLvl w:val="5"/>
    </w:pPr>
    <w:rPr>
      <w:rFonts w:eastAsia="等线 Light" w:cs="Times New Roman"/>
      <w:i/>
      <w:iCs/>
      <w:color w:val="595959"/>
    </w:rPr>
  </w:style>
  <w:style w:type="paragraph" w:styleId="7">
    <w:name w:val="heading 7"/>
    <w:basedOn w:val="0"/>
    <w:next w:val="0"/>
    <w:pPr>
      <w:keepNext/>
      <w:keepLines/>
      <w:spacing w:before="40" w:after="0"/>
      <w:outlineLvl w:val="6"/>
    </w:pPr>
    <w:rPr>
      <w:rFonts w:eastAsia="等线 Light" w:cs="Times New Roman"/>
      <w:color w:val="595959"/>
    </w:rPr>
  </w:style>
  <w:style w:type="paragraph" w:styleId="8">
    <w:name w:val="heading 8"/>
    <w:basedOn w:val="0"/>
    <w:next w:val="0"/>
    <w:pPr>
      <w:keepNext/>
      <w:keepLines/>
      <w:spacing w:after="0"/>
      <w:outlineLvl w:val="7"/>
    </w:pPr>
    <w:rPr>
      <w:rFonts w:eastAsia="等线 Light" w:cs="Times New Roman"/>
      <w:i/>
      <w:iCs/>
      <w:color w:val="272727"/>
    </w:rPr>
  </w:style>
  <w:style w:type="paragraph" w:styleId="9">
    <w:name w:val="heading 9"/>
    <w:basedOn w:val="0"/>
    <w:next w:val="0"/>
    <w:pPr>
      <w:keepNext/>
      <w:keepLines/>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Droid Sans" w:eastAsia="等线 Light" w:cs="Times New Roman" w:hAnsi="Droid Sans"/>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0F4761"/>
    </w:rPr>
  </w:style>
  <w:style w:type="paragraph" w:customStyle="1" w:styleId="20">
    <w:name w:val="Intense Quote"/>
    <w:basedOn w:val="0"/>
    <w:next w:val="0"/>
    <w:pPr>
      <w:pBdr>
        <w:top w:val="single" w:sz="4" w:space="10" w:color="0F4761"/>
        <w:bottom w:val="single" w:sz="4" w:space="10" w:color="0F4761"/>
      </w:pBdr>
      <w:spacing w:before="360" w:after="360"/>
      <w:ind w:left="864" w:right="864"/>
      <w:jc w:val="center"/>
    </w:pPr>
    <w:rPr>
      <w:i/>
      <w:iCs/>
      <w:color w:val="0F4761"/>
    </w:rPr>
  </w:style>
  <w:style w:type="character" w:customStyle="1" w:styleId="21">
    <w:name w:val="Intense Reference"/>
    <w:basedOn w:val="10"/>
    <w:rPr>
      <w:b/>
      <w:bCs/>
      <w:caps w:val="0"/>
      <w:smallCaps/>
      <w:color w:val="0F4761"/>
      <w:spacing w:val="5"/>
    </w:rPr>
  </w:style>
  <w:style w:type="paragraph" w:customStyle="1" w:styleId="22">
    <w:name w:val="TOC Heading"/>
    <w:basedOn w:val="1"/>
    <w:next w:val="0"/>
    <w:pPr>
      <w:spacing w:before="240" w:after="0" w:line="259" w:lineRule="auto"/>
      <w:outlineLvl w:val="9"/>
    </w:pPr>
    <w:rPr>
      <w:kern w:val="0"/>
      <w:sz w:val="32"/>
      <w:szCs w:val="32"/>
      <w:lang w:val="en-US"/>
    </w:rPr>
  </w:style>
  <w:style w:type="paragraph" w:styleId="23">
    <w:name w:val="toc 1"/>
    <w:basedOn w:val="0"/>
    <w:autoRedefine/>
    <w:next w:val="0"/>
    <w:pPr>
      <w:spacing w:after="100"/>
    </w:pPr>
  </w:style>
  <w:style w:type="character" w:styleId="24">
    <w:name w:val="Hyperlink"/>
    <w:basedOn w:val="10"/>
    <w:rPr>
      <w:color w:val="467886"/>
      <w:u w:val="single"/>
    </w:rPr>
  </w:style>
  <w:style w:type="paragraph" w:styleId="25">
    <w:name w:val="toc 2"/>
    <w:basedOn w:val="0"/>
    <w:autoRedefine/>
    <w:next w:val="0"/>
    <w:pPr>
      <w:spacing w:after="100"/>
      <w:ind w:left="240"/>
    </w:pPr>
  </w:style>
  <w:style w:type="paragraph" w:styleId="26">
    <w:name w:val="toc 3"/>
    <w:basedOn w:val="0"/>
    <w:autoRedefine/>
    <w:next w:val="0"/>
    <w:pPr>
      <w:spacing w:after="100"/>
      <w:ind w:left="480"/>
    </w:pPr>
  </w:style>
  <w:style w:type="paragraph" w:styleId="27">
    <w:name w:val="toc 4"/>
    <w:basedOn w:val="0"/>
    <w:autoRedefine/>
    <w:next w:val="0"/>
    <w:pPr>
      <w:spacing w:after="100"/>
      <w:ind w:left="720"/>
    </w:pPr>
  </w:style>
  <w:style w:type="paragraph" w:styleId="28">
    <w:name w:val="toc 5"/>
    <w:basedOn w:val="0"/>
    <w:autoRedefine/>
    <w:next w:val="0"/>
    <w:pPr>
      <w:spacing w:after="100"/>
      <w:ind w:left="960"/>
    </w:pPr>
  </w:style>
  <w:style w:type="paragraph" w:styleId="29">
    <w:name w:val="toc 6"/>
    <w:basedOn w:val="0"/>
    <w:autoRedefine/>
    <w:next w:val="0"/>
    <w:pPr>
      <w:spacing w:after="100"/>
      <w:ind w:left="1200"/>
    </w:pPr>
  </w:style>
  <w:style w:type="paragraph" w:styleId="30">
    <w:name w:val="toc 7"/>
    <w:basedOn w:val="0"/>
    <w:autoRedefine/>
    <w:next w:val="0"/>
    <w:pPr>
      <w:spacing w:after="100"/>
      <w:ind w:left="144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styles" Target="styles.xml"/><Relationship Id="rId3" Type="http://schemas.openxmlformats.org/officeDocument/2006/relationships/numbering" Target="numbering.xml"/><Relationship Id="rId4" Type="http://schemas.openxmlformats.org/officeDocument/2006/relationships/fontTable" Target="fontTable.xml"/></Relationships>
</file>

<file path=docProps/app.xml><?xml version="1.0" encoding="utf-8"?>
<Properties xmlns="http://schemas.openxmlformats.org/officeDocument/2006/extended-properties">
  <Template>Normal.eit</Template>
  <TotalTime>64</TotalTime>
  <Application>Honor_Office</Application>
  <Pages>12</Pages>
  <Words>2259</Words>
  <Characters>15511</Characters>
  <Lines>324</Lines>
  <Paragraphs>105</Paragraphs>
  <CharactersWithSpaces>17650</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Octavian-George Stoica (2330278)</dc:creator>
  <cp:lastModifiedBy>HONOR Docs</cp:lastModifiedBy>
  <cp:revision>1</cp:revision>
  <dcterms:created xsi:type="dcterms:W3CDTF">2026-07-21T18:11:00Z</dcterms:created>
  <dcterms:modified xsi:type="dcterms:W3CDTF">2026-07-21T13:10:36Z</dcterms:modified>
</cp:coreProperties>
</file>