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66BCF" w14:textId="3B9F5037" w:rsidR="00C62ABF" w:rsidRPr="00C62ABF" w:rsidRDefault="00C62ABF" w:rsidP="00C62ABF">
      <w:pPr>
        <w:spacing w:line="360" w:lineRule="auto"/>
        <w:jc w:val="center"/>
        <w:rPr>
          <w:rFonts w:ascii="Arial" w:hAnsi="Arial" w:cs="Arial"/>
          <w:color w:val="000000" w:themeColor="text1"/>
          <w:sz w:val="64"/>
          <w:szCs w:val="64"/>
        </w:rPr>
      </w:pPr>
      <w:bookmarkStart w:id="0" w:name="_Hlk224491117"/>
      <w:bookmarkEnd w:id="0"/>
      <w:r w:rsidRPr="00C62ABF">
        <w:rPr>
          <w:rFonts w:ascii="Arial" w:hAnsi="Arial" w:cs="Arial"/>
          <w:color w:val="000000" w:themeColor="text1"/>
          <w:sz w:val="64"/>
          <w:szCs w:val="64"/>
        </w:rPr>
        <w:t>Student Name: Corneliu-Bogdan Dan</w:t>
      </w:r>
    </w:p>
    <w:p w14:paraId="3412A95C" w14:textId="77777777" w:rsidR="00C62ABF" w:rsidRPr="00C62ABF" w:rsidRDefault="00C62ABF" w:rsidP="00C62ABF">
      <w:pPr>
        <w:spacing w:line="360" w:lineRule="auto"/>
        <w:jc w:val="center"/>
        <w:rPr>
          <w:rFonts w:ascii="Arial" w:hAnsi="Arial" w:cs="Arial"/>
          <w:color w:val="000000" w:themeColor="text1"/>
          <w:sz w:val="64"/>
          <w:szCs w:val="64"/>
        </w:rPr>
      </w:pPr>
      <w:r>
        <w:rPr>
          <w:rFonts w:ascii="Arial" w:hAnsi="Arial" w:cs="Arial"/>
          <w:color w:val="000000" w:themeColor="text1"/>
          <w:sz w:val="64"/>
          <w:szCs w:val="64"/>
        </w:rPr>
        <w:t>Student ID: 2310378</w:t>
      </w:r>
    </w:p>
    <w:p w14:paraId="4AF7FB00" w14:textId="0C00948B" w:rsidR="00C62ABF" w:rsidRPr="00C62ABF" w:rsidRDefault="00C62ABF" w:rsidP="00C62ABF">
      <w:pPr>
        <w:spacing w:line="360" w:lineRule="auto"/>
        <w:jc w:val="center"/>
        <w:rPr>
          <w:rFonts w:ascii="Arial" w:hAnsi="Arial" w:cs="Arial"/>
          <w:color w:val="000000" w:themeColor="text1"/>
          <w:sz w:val="64"/>
          <w:szCs w:val="64"/>
        </w:rPr>
      </w:pPr>
      <w:r w:rsidRPr="00C62ABF">
        <w:rPr>
          <w:rFonts w:ascii="Arial" w:hAnsi="Arial" w:cs="Arial"/>
          <w:color w:val="000000" w:themeColor="text1"/>
          <w:sz w:val="64"/>
          <w:szCs w:val="64"/>
        </w:rPr>
        <w:t xml:space="preserve">Module: </w:t>
      </w:r>
      <w:r>
        <w:rPr>
          <w:rFonts w:ascii="Arial" w:hAnsi="Arial" w:cs="Arial"/>
          <w:color w:val="000000" w:themeColor="text1"/>
          <w:sz w:val="64"/>
          <w:szCs w:val="64"/>
        </w:rPr>
        <w:t>Management Accounting for Managers</w:t>
      </w:r>
    </w:p>
    <w:p w14:paraId="2664FAE7" w14:textId="3599F1B8" w:rsidR="00C62ABF" w:rsidRPr="00C62ABF" w:rsidRDefault="00C62ABF" w:rsidP="00C62ABF">
      <w:pPr>
        <w:spacing w:line="360" w:lineRule="auto"/>
        <w:jc w:val="center"/>
        <w:rPr>
          <w:rFonts w:ascii="Arial" w:hAnsi="Arial" w:cs="Arial"/>
          <w:color w:val="000000" w:themeColor="text1"/>
          <w:sz w:val="64"/>
          <w:szCs w:val="64"/>
          <w:lang w:val="nl-NL"/>
        </w:rPr>
      </w:pPr>
      <w:r>
        <w:rPr>
          <w:rFonts w:ascii="Arial" w:hAnsi="Arial" w:cs="Arial"/>
          <w:color w:val="000000" w:themeColor="text1"/>
          <w:sz w:val="64"/>
          <w:szCs w:val="64"/>
          <w:lang w:val="nl-NL"/>
        </w:rPr>
        <w:t>Module Code: LCBB5010</w:t>
      </w:r>
    </w:p>
    <w:p w14:paraId="0AFA49D6" w14:textId="01F1DF20" w:rsidR="00C62ABF" w:rsidRPr="00C62ABF" w:rsidRDefault="00C62ABF" w:rsidP="00C62ABF">
      <w:pPr>
        <w:spacing w:line="360" w:lineRule="auto"/>
        <w:jc w:val="center"/>
        <w:rPr>
          <w:rFonts w:ascii="Arial" w:hAnsi="Arial" w:cs="Arial"/>
          <w:sz w:val="64"/>
          <w:szCs w:val="64"/>
        </w:rPr>
      </w:pPr>
      <w:r>
        <w:rPr>
          <w:rFonts w:ascii="Arial" w:hAnsi="Arial" w:cs="Arial"/>
          <w:color w:val="000000" w:themeColor="text1"/>
          <w:sz w:val="64"/>
          <w:szCs w:val="64"/>
        </w:rPr>
        <w:t>Assignment Title: Component 1 – Individual Report</w:t>
      </w:r>
    </w:p>
    <w:p w14:paraId="3EEF4905" w14:textId="5E3A4A4B" w:rsidR="00C62ABF" w:rsidRPr="00C62ABF" w:rsidRDefault="00C62ABF" w:rsidP="00C62ABF">
      <w:pPr>
        <w:spacing w:line="360" w:lineRule="auto"/>
        <w:jc w:val="center"/>
        <w:rPr>
          <w:rFonts w:ascii="Arial" w:hAnsi="Arial" w:cs="Arial"/>
          <w:sz w:val="64"/>
          <w:szCs w:val="64"/>
          <w:shd w:val="clear" w:color="auto" w:fill="FFFFFF"/>
        </w:rPr>
      </w:pPr>
      <w:r>
        <w:rPr>
          <w:rFonts w:ascii="Arial" w:hAnsi="Arial" w:cs="Arial"/>
          <w:sz w:val="64"/>
          <w:szCs w:val="64"/>
        </w:rPr>
        <w:t>Lecturer’s Name: Babar Syed</w:t>
      </w:r>
    </w:p>
    <w:p w14:paraId="7E3BC073" w14:textId="486AF06A" w:rsidR="00B15823" w:rsidRPr="00C62ABF" w:rsidRDefault="00C62ABF" w:rsidP="00C62ABF">
      <w:pPr>
        <w:spacing w:line="360" w:lineRule="auto"/>
        <w:jc w:val="center"/>
        <w:rPr>
          <w:rFonts w:ascii="Arial" w:hAnsi="Arial" w:cs="Arial"/>
          <w:sz w:val="64"/>
          <w:szCs w:val="64"/>
        </w:rPr>
      </w:pPr>
      <w:r w:rsidRPr="00C62ABF">
        <w:rPr>
          <w:rStyle w:val="Strong"/>
          <w:rFonts w:ascii="Arial" w:hAnsi="Arial" w:cs="Arial"/>
          <w:noProof/>
          <w:color w:val="000000" w:themeColor="text1"/>
          <w:sz w:val="64"/>
          <w:szCs w:val="64"/>
        </w:rPr>
        <w:drawing>
          <wp:inline distT="0" distB="0" distL="0" distR="0" wp14:anchorId="7CE28C97" wp14:editId="2EAA66E5">
            <wp:extent cx="1095375" cy="1082998"/>
            <wp:effectExtent l="0" t="0" r="0" b="3175"/>
            <wp:docPr id="869555583"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55583" name="Picture 1" descr="A black and yellow shield with blue flower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5284" cy="1092795"/>
                    </a:xfrm>
                    <a:prstGeom prst="rect">
                      <a:avLst/>
                    </a:prstGeom>
                    <a:noFill/>
                    <a:ln>
                      <a:noFill/>
                    </a:ln>
                  </pic:spPr>
                </pic:pic>
              </a:graphicData>
            </a:graphic>
          </wp:inline>
        </w:drawing>
      </w:r>
    </w:p>
    <w:p w14:paraId="555301C0" w14:textId="77777777" w:rsidR="00B15823" w:rsidRPr="00ED5316" w:rsidRDefault="00B15823" w:rsidP="00ED5316">
      <w:pPr>
        <w:spacing w:line="360" w:lineRule="auto"/>
        <w:rPr>
          <w:rFonts w:ascii="Arial" w:hAnsi="Arial" w:cs="Arial"/>
          <w:sz w:val="32"/>
          <w:szCs w:val="32"/>
        </w:rPr>
      </w:pPr>
      <w:r w:rsidRPr="00ED5316">
        <w:rPr>
          <w:rFonts w:ascii="Arial" w:hAnsi="Arial" w:cs="Arial"/>
          <w:sz w:val="32"/>
          <w:szCs w:val="32"/>
        </w:rPr>
        <w:lastRenderedPageBreak/>
        <w:t>Table of Contents</w:t>
      </w:r>
    </w:p>
    <w:p w14:paraId="6C76F3E5" w14:textId="1AC77D77" w:rsidR="00B15823" w:rsidRPr="00ED5316" w:rsidRDefault="00B15823" w:rsidP="00ED5316">
      <w:pPr>
        <w:pStyle w:val="ListParagraph"/>
        <w:numPr>
          <w:ilvl w:val="0"/>
          <w:numId w:val="2"/>
        </w:numPr>
        <w:spacing w:line="360" w:lineRule="auto"/>
        <w:rPr>
          <w:rFonts w:ascii="Arial" w:hAnsi="Arial" w:cs="Arial"/>
          <w:sz w:val="32"/>
          <w:szCs w:val="32"/>
        </w:rPr>
      </w:pPr>
      <w:r w:rsidRPr="00ED5316">
        <w:rPr>
          <w:rFonts w:ascii="Arial" w:hAnsi="Arial" w:cs="Arial"/>
          <w:sz w:val="32"/>
          <w:szCs w:val="32"/>
        </w:rPr>
        <w:t>Introduction</w:t>
      </w:r>
    </w:p>
    <w:p w14:paraId="2A778D88" w14:textId="5D4191AF" w:rsidR="00B15823" w:rsidRPr="00ED5316" w:rsidRDefault="00B15823" w:rsidP="00ED5316">
      <w:pPr>
        <w:pStyle w:val="ListParagraph"/>
        <w:numPr>
          <w:ilvl w:val="0"/>
          <w:numId w:val="2"/>
        </w:numPr>
        <w:spacing w:line="360" w:lineRule="auto"/>
        <w:rPr>
          <w:rFonts w:ascii="Arial" w:hAnsi="Arial" w:cs="Arial"/>
          <w:sz w:val="32"/>
          <w:szCs w:val="32"/>
        </w:rPr>
      </w:pPr>
      <w:r w:rsidRPr="00ED5316">
        <w:rPr>
          <w:rFonts w:ascii="Arial" w:hAnsi="Arial" w:cs="Arial"/>
          <w:sz w:val="32"/>
          <w:szCs w:val="32"/>
        </w:rPr>
        <w:t>Cost Analysis and Business Model</w:t>
      </w:r>
    </w:p>
    <w:p w14:paraId="477D5F44" w14:textId="7BD59AAC" w:rsidR="00B15823" w:rsidRPr="00ED5316" w:rsidRDefault="00B15823" w:rsidP="00ED5316">
      <w:pPr>
        <w:pStyle w:val="ListParagraph"/>
        <w:numPr>
          <w:ilvl w:val="0"/>
          <w:numId w:val="2"/>
        </w:numPr>
        <w:spacing w:line="360" w:lineRule="auto"/>
        <w:rPr>
          <w:rFonts w:ascii="Arial" w:hAnsi="Arial" w:cs="Arial"/>
          <w:sz w:val="32"/>
          <w:szCs w:val="32"/>
        </w:rPr>
      </w:pPr>
      <w:r w:rsidRPr="00ED5316">
        <w:rPr>
          <w:rFonts w:ascii="Arial" w:hAnsi="Arial" w:cs="Arial"/>
          <w:sz w:val="32"/>
          <w:szCs w:val="32"/>
        </w:rPr>
        <w:t>Budgeting and Financial Planning</w:t>
      </w:r>
    </w:p>
    <w:p w14:paraId="2FBC8AC5" w14:textId="00099027" w:rsidR="00B15823" w:rsidRPr="00ED5316" w:rsidRDefault="00B15823" w:rsidP="00ED5316">
      <w:pPr>
        <w:pStyle w:val="ListParagraph"/>
        <w:numPr>
          <w:ilvl w:val="0"/>
          <w:numId w:val="2"/>
        </w:numPr>
        <w:spacing w:line="360" w:lineRule="auto"/>
        <w:rPr>
          <w:rFonts w:ascii="Arial" w:hAnsi="Arial" w:cs="Arial"/>
          <w:sz w:val="32"/>
          <w:szCs w:val="32"/>
        </w:rPr>
      </w:pPr>
      <w:r w:rsidRPr="00ED5316">
        <w:rPr>
          <w:rFonts w:ascii="Arial" w:hAnsi="Arial" w:cs="Arial"/>
          <w:sz w:val="32"/>
          <w:szCs w:val="32"/>
        </w:rPr>
        <w:t>Performance Measurement and Decision-Making</w:t>
      </w:r>
    </w:p>
    <w:p w14:paraId="6F2483F3" w14:textId="4B1BEEB2" w:rsidR="00B15823" w:rsidRPr="00ED5316" w:rsidRDefault="00B15823" w:rsidP="00ED5316">
      <w:pPr>
        <w:pStyle w:val="ListParagraph"/>
        <w:numPr>
          <w:ilvl w:val="0"/>
          <w:numId w:val="2"/>
        </w:numPr>
        <w:spacing w:line="360" w:lineRule="auto"/>
        <w:rPr>
          <w:rFonts w:ascii="Arial" w:hAnsi="Arial" w:cs="Arial"/>
          <w:sz w:val="32"/>
          <w:szCs w:val="32"/>
        </w:rPr>
      </w:pPr>
      <w:r w:rsidRPr="00ED5316">
        <w:rPr>
          <w:rFonts w:ascii="Arial" w:hAnsi="Arial" w:cs="Arial"/>
          <w:sz w:val="32"/>
          <w:szCs w:val="32"/>
        </w:rPr>
        <w:t>Sustainability and Ethical Considerations</w:t>
      </w:r>
    </w:p>
    <w:p w14:paraId="13D241CE" w14:textId="44013AB7" w:rsidR="00C62ABF" w:rsidRPr="00ED5316" w:rsidRDefault="00B15823" w:rsidP="00ED5316">
      <w:pPr>
        <w:pStyle w:val="ListParagraph"/>
        <w:numPr>
          <w:ilvl w:val="0"/>
          <w:numId w:val="2"/>
        </w:numPr>
        <w:spacing w:line="360" w:lineRule="auto"/>
        <w:rPr>
          <w:rFonts w:ascii="Arial" w:hAnsi="Arial" w:cs="Arial"/>
          <w:sz w:val="32"/>
          <w:szCs w:val="32"/>
        </w:rPr>
      </w:pPr>
      <w:r w:rsidRPr="00ED5316">
        <w:rPr>
          <w:rFonts w:ascii="Arial" w:hAnsi="Arial" w:cs="Arial"/>
          <w:sz w:val="32"/>
          <w:szCs w:val="32"/>
        </w:rPr>
        <w:t>Conclusion and Recommendations</w:t>
      </w:r>
    </w:p>
    <w:p w14:paraId="46F9FFD0" w14:textId="1C3D023E" w:rsidR="00B15823" w:rsidRPr="00ED5316" w:rsidRDefault="00B15823" w:rsidP="00ED5316">
      <w:pPr>
        <w:pStyle w:val="ListParagraph"/>
        <w:spacing w:line="360" w:lineRule="auto"/>
        <w:rPr>
          <w:rFonts w:ascii="Arial" w:hAnsi="Arial" w:cs="Arial"/>
          <w:sz w:val="32"/>
          <w:szCs w:val="32"/>
        </w:rPr>
      </w:pPr>
      <w:r>
        <w:rPr>
          <w:rFonts w:ascii="Arial" w:hAnsi="Arial" w:cs="Arial"/>
          <w:sz w:val="32"/>
          <w:szCs w:val="32"/>
        </w:rPr>
        <w:t>Reference List</w:t>
      </w:r>
    </w:p>
    <w:p w14:paraId="7FD7A986" w14:textId="77777777" w:rsidR="00B15823" w:rsidRPr="00C62ABF" w:rsidRDefault="00B15823" w:rsidP="00ED5316">
      <w:pPr>
        <w:spacing w:line="360" w:lineRule="auto"/>
        <w:rPr>
          <w:rFonts w:ascii="Arial" w:hAnsi="Arial" w:cs="Arial"/>
          <w:szCs w:val="32"/>
        </w:rPr>
      </w:pPr>
      <w:r w:rsidRPr="00C62ABF">
        <w:rPr>
          <w:rFonts w:ascii="Arial" w:hAnsi="Arial" w:cs="Arial"/>
          <w:szCs w:val="32"/>
        </w:rPr>
        <w:br w:type="page"/>
      </w:r>
    </w:p>
    <w:p w14:paraId="0F8F6727" w14:textId="77777777" w:rsidR="00B15823" w:rsidRPr="00A079CF" w:rsidRDefault="00B15823" w:rsidP="00C62ABF">
      <w:pPr>
        <w:spacing w:line="360" w:lineRule="auto"/>
        <w:rPr>
          <w:rFonts w:ascii="Arial" w:hAnsi="Arial" w:cs="Arial"/>
          <w:b/>
          <w:bCs/>
          <w:sz w:val="22"/>
        </w:rPr>
      </w:pPr>
      <w:r w:rsidRPr="00A079CF">
        <w:rPr>
          <w:rFonts w:ascii="Arial" w:hAnsi="Arial" w:cs="Arial"/>
          <w:b/>
          <w:bCs/>
          <w:sz w:val="22"/>
        </w:rPr>
        <w:lastRenderedPageBreak/>
        <w:t>1. Introduction</w:t>
      </w:r>
    </w:p>
    <w:p w14:paraId="0B75052F" w14:textId="30091BD3" w:rsidR="00B15823" w:rsidRPr="00A079CF" w:rsidRDefault="00B15823" w:rsidP="00C62ABF">
      <w:pPr>
        <w:spacing w:line="360" w:lineRule="auto"/>
        <w:rPr>
          <w:rFonts w:ascii="Arial" w:hAnsi="Arial" w:cs="Arial"/>
          <w:sz w:val="22"/>
        </w:rPr>
      </w:pPr>
      <w:r w:rsidRPr="00A079CF">
        <w:rPr>
          <w:rFonts w:ascii="Arial" w:hAnsi="Arial" w:cs="Arial"/>
          <w:sz w:val="22"/>
        </w:rPr>
        <w:t>Tesla, Inc. is a modern listed company operating in the electric vehicle (EV), clean energy and technology sectors. Founded in 2003, Tesla designs, manufactures, and sells electric vehicles, battery energy storage systems, solar products, charging services and related software. The company’s principal product range includes electric vehicles such as the Model 3, Model Y, Model S, Model X and Cybertruck, alongside energy products including Powerwall and Megapack. Tesla operates globally, with major manufacturing facilities in the United States, China, and Germany, and competes in a sector characterised by rapid innovation, high capital expenditure and intense price competition.</w:t>
      </w:r>
    </w:p>
    <w:p w14:paraId="23549087" w14:textId="4512F0B3" w:rsidR="00B15823" w:rsidRPr="00A079CF" w:rsidRDefault="00FD39DA" w:rsidP="00C62ABF">
      <w:pPr>
        <w:spacing w:line="360" w:lineRule="auto"/>
        <w:rPr>
          <w:rFonts w:ascii="Arial" w:hAnsi="Arial" w:cs="Arial"/>
          <w:sz w:val="22"/>
        </w:rPr>
      </w:pPr>
      <w:r w:rsidRPr="00A079CF">
        <w:rPr>
          <w:rFonts w:ascii="Arial" w:hAnsi="Arial" w:cs="Arial"/>
          <w:sz w:val="22"/>
        </w:rPr>
        <w:t xml:space="preserve">Management accounting is the use of financial and non-financial information to help managers plan, control costs, evaluate performance, prepare budgets, and make effective business decisions. It is important because it provides internal information that supports both short-term operational control and long-term strategic decision-making. Unlike financial accounting, which primarily serves external reporting requirements, management accounting supports operational and strategic managerial decisions (Atrill and McLaney, 2021). For Tesla, this is particularly relevant because the company must manage </w:t>
      </w:r>
      <w:r w:rsidR="00A079CF" w:rsidRPr="00A079CF">
        <w:rPr>
          <w:rFonts w:ascii="Arial" w:hAnsi="Arial" w:cs="Arial"/>
          <w:sz w:val="22"/>
        </w:rPr>
        <w:t>large, fixed</w:t>
      </w:r>
      <w:r w:rsidRPr="00A079CF">
        <w:rPr>
          <w:rFonts w:ascii="Arial" w:hAnsi="Arial" w:cs="Arial"/>
          <w:sz w:val="22"/>
        </w:rPr>
        <w:t xml:space="preserve"> costs, volatile material prices, innovation spending and long-term sustainability objectives. This report evaluates how Tesla uses management accounting tools and techniques to support financial decision-making through cost analysis, budgeting, performance measurement, sustainability, and ethical considerations. The focus is not only to describe Tesla's financial position, but also to explain how accounting information can be converted into practical managerial action.</w:t>
      </w:r>
    </w:p>
    <w:p w14:paraId="7E394436" w14:textId="77777777" w:rsidR="00B15823" w:rsidRPr="00A079CF" w:rsidRDefault="00B15823" w:rsidP="00C62ABF">
      <w:pPr>
        <w:spacing w:line="360" w:lineRule="auto"/>
        <w:rPr>
          <w:rFonts w:ascii="Arial" w:hAnsi="Arial" w:cs="Arial"/>
          <w:b/>
          <w:bCs/>
          <w:sz w:val="22"/>
        </w:rPr>
      </w:pPr>
      <w:r w:rsidRPr="00A079CF">
        <w:rPr>
          <w:rFonts w:ascii="Arial" w:hAnsi="Arial" w:cs="Arial"/>
          <w:b/>
          <w:bCs/>
          <w:sz w:val="22"/>
        </w:rPr>
        <w:t>2. Cost Analysis and Business Model</w:t>
      </w:r>
    </w:p>
    <w:p w14:paraId="75FABC28" w14:textId="77777777" w:rsidR="00B15823" w:rsidRPr="00A079CF" w:rsidRDefault="00B15823" w:rsidP="00C62ABF">
      <w:pPr>
        <w:spacing w:line="360" w:lineRule="auto"/>
        <w:rPr>
          <w:rFonts w:ascii="Arial" w:hAnsi="Arial" w:cs="Arial"/>
          <w:sz w:val="22"/>
        </w:rPr>
      </w:pPr>
      <w:r w:rsidRPr="00A079CF">
        <w:rPr>
          <w:rFonts w:ascii="Arial" w:hAnsi="Arial" w:cs="Arial"/>
          <w:sz w:val="22"/>
        </w:rPr>
        <w:t>Tesla's business model is built around a combination of product sales, technology integration and energy solutions. Its largest revenue stream is automotive sales, but revenue is also generated from automotive leasing, energy generation and storage, services, insurance, charging and software-enabled features. In 2024, Tesla reported total revenue of approximately $97.7 billion, which shows the scale of its operations and the need for robust cost control systems (Tesla, 2025a).</w:t>
      </w:r>
    </w:p>
    <w:p w14:paraId="2F114424" w14:textId="21D7F1B6" w:rsidR="00B15823" w:rsidRPr="00A079CF" w:rsidRDefault="00B15823" w:rsidP="00C62ABF">
      <w:pPr>
        <w:spacing w:line="360" w:lineRule="auto"/>
        <w:rPr>
          <w:rFonts w:ascii="Arial" w:hAnsi="Arial" w:cs="Arial"/>
          <w:sz w:val="22"/>
        </w:rPr>
      </w:pPr>
      <w:r w:rsidRPr="00A079CF">
        <w:rPr>
          <w:rFonts w:ascii="Arial" w:hAnsi="Arial" w:cs="Arial"/>
          <w:sz w:val="22"/>
        </w:rPr>
        <w:t xml:space="preserve">A core management accounting requirement is understanding cost behaviour. Tesla has substantial fixed costs because its operations require Gigafactories, manufacturing equipment, research and development, technology infrastructure, salaried engineering staff and </w:t>
      </w:r>
      <w:r w:rsidRPr="00A079CF">
        <w:rPr>
          <w:rFonts w:ascii="Arial" w:hAnsi="Arial" w:cs="Arial"/>
          <w:sz w:val="22"/>
        </w:rPr>
        <w:lastRenderedPageBreak/>
        <w:t xml:space="preserve">administrative support. These costs do not change directly with each additional vehicle produced in the short term. Tesla also incurs significant variable costs, including battery cells, lithium, nickel, vehicle parts, direct labour, logistics, and warranty-related costs. These costs are more </w:t>
      </w:r>
      <w:r w:rsidR="00A079CF" w:rsidRPr="00A079CF">
        <w:rPr>
          <w:rFonts w:ascii="Arial" w:hAnsi="Arial" w:cs="Arial"/>
          <w:sz w:val="22"/>
        </w:rPr>
        <w:t>linked</w:t>
      </w:r>
      <w:r w:rsidRPr="00A079CF">
        <w:rPr>
          <w:rFonts w:ascii="Arial" w:hAnsi="Arial" w:cs="Arial"/>
          <w:sz w:val="22"/>
        </w:rPr>
        <w:t xml:space="preserve"> to production and sales volume (Drury, 2018).</w:t>
      </w:r>
    </w:p>
    <w:p w14:paraId="446FEB6D" w14:textId="77777777" w:rsidR="00B15823" w:rsidRPr="00A079CF" w:rsidRDefault="00B15823" w:rsidP="00C62ABF">
      <w:pPr>
        <w:spacing w:line="360" w:lineRule="auto"/>
        <w:rPr>
          <w:rFonts w:ascii="Arial" w:hAnsi="Arial" w:cs="Arial"/>
          <w:sz w:val="22"/>
        </w:rPr>
      </w:pPr>
      <w:r w:rsidRPr="00A079CF">
        <w:rPr>
          <w:rFonts w:ascii="Arial" w:hAnsi="Arial" w:cs="Arial"/>
          <w:sz w:val="22"/>
        </w:rPr>
        <w:t>Cost classification supports Tesla's pricing, production, and investment decisions. For example, cost-volume-profit (CVP) analysis can be used to assess how changes in production volume affect profitability. Break-even analysis helps management estimate the number of units required to cover fixed costs before profit is generated. This is valuable when evaluating a new vehicle platform, a Gigafactory expansion or a new market launch (Horngren, Datar and Rajan, 2021).</w:t>
      </w:r>
    </w:p>
    <w:p w14:paraId="14A77FFA" w14:textId="77777777" w:rsidR="00B15823" w:rsidRPr="00A079CF" w:rsidRDefault="00B15823" w:rsidP="00C62ABF">
      <w:pPr>
        <w:spacing w:line="360" w:lineRule="auto"/>
        <w:rPr>
          <w:rFonts w:ascii="Arial" w:hAnsi="Arial" w:cs="Arial"/>
          <w:sz w:val="22"/>
        </w:rPr>
      </w:pPr>
      <w:r w:rsidRPr="00A079CF">
        <w:rPr>
          <w:rFonts w:ascii="Arial" w:hAnsi="Arial" w:cs="Arial"/>
          <w:sz w:val="22"/>
        </w:rPr>
        <w:t>Activity-Based Costing (ABC) is also relevant to Tesla because different vehicle models and technologies consume resources differently. ABC allocates overheads according to activities, such as engineering, battery assembly, quality control, software development and logistics. This provides more accurate cost information than a broad overhead allocation method and can support improved pricing and product mix decisions (Cooper and Kaplan, 1988).</w:t>
      </w:r>
    </w:p>
    <w:p w14:paraId="78E56951" w14:textId="11A998D1" w:rsidR="00B15823" w:rsidRPr="00A079CF" w:rsidRDefault="00B15823" w:rsidP="00C62ABF">
      <w:pPr>
        <w:spacing w:line="360" w:lineRule="auto"/>
        <w:rPr>
          <w:rFonts w:ascii="Arial" w:hAnsi="Arial" w:cs="Arial"/>
          <w:sz w:val="22"/>
        </w:rPr>
      </w:pPr>
      <w:r w:rsidRPr="00A079CF">
        <w:rPr>
          <w:rFonts w:ascii="Arial" w:hAnsi="Arial" w:cs="Arial"/>
          <w:sz w:val="22"/>
        </w:rPr>
        <w:t xml:space="preserve">Tesla's cost strategy also reflects vertical integration. By controlling more of its production process, including batteries, software and charging infrastructure, Tesla can reduce supplier dependency and improve cost visibility. This supports competitive advantage because cost leadership and differentiation can both contribute to stronger market positioning (Porter, 1985). Therefore, management accounting helps Tesla align cost control with strategic growth. Cost information also supports product life-cycle decisions. For example, management must consider whether older vehicle models should be redesigned, whether battery components should be standardised and whether production lines should be simplified. These decisions require detailed cost information because design complexity can increase overheads, reduce efficiency, and weaken margins. In this context, management accounting serves as a strategic decision-support system, rather than simply operating as a record-keeping function. </w:t>
      </w:r>
    </w:p>
    <w:p w14:paraId="01D960A4" w14:textId="77777777" w:rsidR="00A079CF" w:rsidRDefault="00A079CF" w:rsidP="00C62ABF">
      <w:pPr>
        <w:spacing w:line="360" w:lineRule="auto"/>
        <w:rPr>
          <w:rFonts w:ascii="Arial" w:hAnsi="Arial" w:cs="Arial"/>
          <w:sz w:val="22"/>
        </w:rPr>
      </w:pPr>
    </w:p>
    <w:p w14:paraId="0F2BDBB6" w14:textId="77777777" w:rsidR="00A079CF" w:rsidRDefault="00A079CF" w:rsidP="00C62ABF">
      <w:pPr>
        <w:spacing w:line="360" w:lineRule="auto"/>
        <w:rPr>
          <w:rFonts w:ascii="Arial" w:hAnsi="Arial" w:cs="Arial"/>
          <w:sz w:val="22"/>
        </w:rPr>
      </w:pPr>
    </w:p>
    <w:p w14:paraId="19C7A1DF" w14:textId="77777777" w:rsidR="00A079CF" w:rsidRDefault="00A079CF" w:rsidP="00C62ABF">
      <w:pPr>
        <w:spacing w:line="360" w:lineRule="auto"/>
        <w:rPr>
          <w:rFonts w:ascii="Arial" w:hAnsi="Arial" w:cs="Arial"/>
          <w:sz w:val="22"/>
        </w:rPr>
      </w:pPr>
    </w:p>
    <w:p w14:paraId="144ED0BC" w14:textId="77777777" w:rsidR="00A079CF" w:rsidRDefault="00A079CF" w:rsidP="00C62ABF">
      <w:pPr>
        <w:spacing w:line="360" w:lineRule="auto"/>
        <w:rPr>
          <w:rFonts w:ascii="Arial" w:hAnsi="Arial" w:cs="Arial"/>
          <w:sz w:val="22"/>
        </w:rPr>
      </w:pPr>
    </w:p>
    <w:p w14:paraId="14063DEB" w14:textId="1A99AB56" w:rsidR="00B15823" w:rsidRPr="00A079CF" w:rsidRDefault="00B15823" w:rsidP="00C62ABF">
      <w:pPr>
        <w:spacing w:line="360" w:lineRule="auto"/>
        <w:rPr>
          <w:rFonts w:ascii="Arial" w:hAnsi="Arial" w:cs="Arial"/>
          <w:sz w:val="22"/>
        </w:rPr>
      </w:pPr>
      <w:r w:rsidRPr="00A079CF">
        <w:rPr>
          <w:rFonts w:ascii="Arial" w:hAnsi="Arial" w:cs="Arial"/>
          <w:sz w:val="22"/>
        </w:rPr>
        <w:lastRenderedPageBreak/>
        <w:t>Table 1: Tesla cost classification</w:t>
      </w:r>
    </w:p>
    <w:tbl>
      <w:tblPr>
        <w:tblStyle w:val="TableGrid"/>
        <w:tblW w:w="9542" w:type="dxa"/>
        <w:jc w:val="center"/>
        <w:tblLook w:val="04A0" w:firstRow="1" w:lastRow="0" w:firstColumn="1" w:lastColumn="0" w:noHBand="0" w:noVBand="1"/>
      </w:tblPr>
      <w:tblGrid>
        <w:gridCol w:w="3180"/>
        <w:gridCol w:w="3181"/>
        <w:gridCol w:w="3181"/>
      </w:tblGrid>
      <w:tr w:rsidR="00B15823" w:rsidRPr="00A079CF" w14:paraId="49761373" w14:textId="77777777" w:rsidTr="00161170">
        <w:trPr>
          <w:trHeight w:val="332"/>
          <w:jc w:val="center"/>
        </w:trPr>
        <w:tc>
          <w:tcPr>
            <w:tcW w:w="3180" w:type="dxa"/>
            <w:vAlign w:val="center"/>
          </w:tcPr>
          <w:p w14:paraId="4E820CA7" w14:textId="77777777" w:rsidR="00B15823" w:rsidRPr="00A079CF" w:rsidRDefault="00B15823" w:rsidP="00C62ABF">
            <w:pPr>
              <w:spacing w:line="360" w:lineRule="auto"/>
              <w:rPr>
                <w:rFonts w:ascii="Arial" w:hAnsi="Arial" w:cs="Arial"/>
                <w:sz w:val="22"/>
              </w:rPr>
            </w:pPr>
            <w:r w:rsidRPr="00A079CF">
              <w:rPr>
                <w:rFonts w:ascii="Arial" w:hAnsi="Arial" w:cs="Arial"/>
                <w:sz w:val="22"/>
              </w:rPr>
              <w:t>Cost type</w:t>
            </w:r>
          </w:p>
        </w:tc>
        <w:tc>
          <w:tcPr>
            <w:tcW w:w="3181" w:type="dxa"/>
            <w:vAlign w:val="center"/>
          </w:tcPr>
          <w:p w14:paraId="6E2C49EB" w14:textId="77777777" w:rsidR="00B15823" w:rsidRPr="00A079CF" w:rsidRDefault="00B15823" w:rsidP="00C62ABF">
            <w:pPr>
              <w:spacing w:line="360" w:lineRule="auto"/>
              <w:rPr>
                <w:rFonts w:ascii="Arial" w:hAnsi="Arial" w:cs="Arial"/>
                <w:sz w:val="22"/>
              </w:rPr>
            </w:pPr>
            <w:r w:rsidRPr="00A079CF">
              <w:rPr>
                <w:rFonts w:ascii="Arial" w:hAnsi="Arial" w:cs="Arial"/>
                <w:sz w:val="22"/>
              </w:rPr>
              <w:t>Examples</w:t>
            </w:r>
          </w:p>
        </w:tc>
        <w:tc>
          <w:tcPr>
            <w:tcW w:w="3181" w:type="dxa"/>
            <w:vAlign w:val="center"/>
          </w:tcPr>
          <w:p w14:paraId="341CA1C0" w14:textId="77777777" w:rsidR="00B15823" w:rsidRPr="00A079CF" w:rsidRDefault="00B15823" w:rsidP="00C62ABF">
            <w:pPr>
              <w:spacing w:line="360" w:lineRule="auto"/>
              <w:rPr>
                <w:rFonts w:ascii="Arial" w:hAnsi="Arial" w:cs="Arial"/>
                <w:sz w:val="22"/>
              </w:rPr>
            </w:pPr>
            <w:r w:rsidRPr="00A079CF">
              <w:rPr>
                <w:rFonts w:ascii="Arial" w:hAnsi="Arial" w:cs="Arial"/>
                <w:sz w:val="22"/>
              </w:rPr>
              <w:t>Decision-making relevance</w:t>
            </w:r>
          </w:p>
        </w:tc>
      </w:tr>
      <w:tr w:rsidR="00B15823" w:rsidRPr="00A079CF" w14:paraId="7CFBC41B" w14:textId="77777777" w:rsidTr="00161170">
        <w:trPr>
          <w:trHeight w:val="1020"/>
          <w:jc w:val="center"/>
        </w:trPr>
        <w:tc>
          <w:tcPr>
            <w:tcW w:w="3180" w:type="dxa"/>
          </w:tcPr>
          <w:p w14:paraId="51D4EE4E" w14:textId="77777777" w:rsidR="00B15823" w:rsidRPr="00A079CF" w:rsidRDefault="00B15823" w:rsidP="00C62ABF">
            <w:pPr>
              <w:spacing w:line="360" w:lineRule="auto"/>
              <w:rPr>
                <w:rFonts w:ascii="Arial" w:hAnsi="Arial" w:cs="Arial"/>
                <w:sz w:val="22"/>
              </w:rPr>
            </w:pPr>
            <w:r w:rsidRPr="00A079CF">
              <w:rPr>
                <w:rFonts w:ascii="Arial" w:hAnsi="Arial" w:cs="Arial"/>
                <w:sz w:val="22"/>
              </w:rPr>
              <w:t>Fixed costs</w:t>
            </w:r>
          </w:p>
        </w:tc>
        <w:tc>
          <w:tcPr>
            <w:tcW w:w="3181" w:type="dxa"/>
          </w:tcPr>
          <w:p w14:paraId="70C703C5" w14:textId="77777777" w:rsidR="00B15823" w:rsidRPr="00A079CF" w:rsidRDefault="00B15823" w:rsidP="00C62ABF">
            <w:pPr>
              <w:spacing w:line="360" w:lineRule="auto"/>
              <w:rPr>
                <w:rFonts w:ascii="Arial" w:hAnsi="Arial" w:cs="Arial"/>
                <w:sz w:val="22"/>
              </w:rPr>
            </w:pPr>
            <w:r w:rsidRPr="00A079CF">
              <w:rPr>
                <w:rFonts w:ascii="Arial" w:hAnsi="Arial" w:cs="Arial"/>
                <w:sz w:val="22"/>
              </w:rPr>
              <w:t>Factories, machinery, R&amp;D, salaried staff, technology infrastructure</w:t>
            </w:r>
          </w:p>
        </w:tc>
        <w:tc>
          <w:tcPr>
            <w:tcW w:w="3181" w:type="dxa"/>
          </w:tcPr>
          <w:p w14:paraId="1DE889D0" w14:textId="77777777" w:rsidR="00B15823" w:rsidRPr="00A079CF" w:rsidRDefault="00B15823" w:rsidP="00C62ABF">
            <w:pPr>
              <w:spacing w:line="360" w:lineRule="auto"/>
              <w:rPr>
                <w:rFonts w:ascii="Arial" w:hAnsi="Arial" w:cs="Arial"/>
                <w:sz w:val="22"/>
              </w:rPr>
            </w:pPr>
            <w:r w:rsidRPr="00A079CF">
              <w:rPr>
                <w:rFonts w:ascii="Arial" w:hAnsi="Arial" w:cs="Arial"/>
                <w:sz w:val="22"/>
              </w:rPr>
              <w:t>Supports break-even analysis and long-term capacity planning</w:t>
            </w:r>
          </w:p>
        </w:tc>
      </w:tr>
      <w:tr w:rsidR="00B15823" w:rsidRPr="00A079CF" w14:paraId="507A2693" w14:textId="77777777" w:rsidTr="00161170">
        <w:trPr>
          <w:trHeight w:val="665"/>
          <w:jc w:val="center"/>
        </w:trPr>
        <w:tc>
          <w:tcPr>
            <w:tcW w:w="3180" w:type="dxa"/>
          </w:tcPr>
          <w:p w14:paraId="619F2DF4" w14:textId="77777777" w:rsidR="00B15823" w:rsidRPr="00A079CF" w:rsidRDefault="00B15823" w:rsidP="00C62ABF">
            <w:pPr>
              <w:spacing w:line="360" w:lineRule="auto"/>
              <w:rPr>
                <w:rFonts w:ascii="Arial" w:hAnsi="Arial" w:cs="Arial"/>
                <w:sz w:val="22"/>
              </w:rPr>
            </w:pPr>
            <w:r w:rsidRPr="00A079CF">
              <w:rPr>
                <w:rFonts w:ascii="Arial" w:hAnsi="Arial" w:cs="Arial"/>
                <w:sz w:val="22"/>
              </w:rPr>
              <w:t>Variable costs</w:t>
            </w:r>
          </w:p>
        </w:tc>
        <w:tc>
          <w:tcPr>
            <w:tcW w:w="3181" w:type="dxa"/>
          </w:tcPr>
          <w:p w14:paraId="32B2C415" w14:textId="68B71D9C" w:rsidR="00B15823" w:rsidRPr="00A079CF" w:rsidRDefault="00B15823" w:rsidP="00C62ABF">
            <w:pPr>
              <w:spacing w:line="360" w:lineRule="auto"/>
              <w:rPr>
                <w:rFonts w:ascii="Arial" w:hAnsi="Arial" w:cs="Arial"/>
                <w:sz w:val="22"/>
              </w:rPr>
            </w:pPr>
            <w:r w:rsidRPr="00A079CF">
              <w:rPr>
                <w:rFonts w:ascii="Arial" w:hAnsi="Arial" w:cs="Arial"/>
                <w:sz w:val="22"/>
              </w:rPr>
              <w:t>Battery materials, components, direct labour, logistics</w:t>
            </w:r>
          </w:p>
        </w:tc>
        <w:tc>
          <w:tcPr>
            <w:tcW w:w="3181" w:type="dxa"/>
          </w:tcPr>
          <w:p w14:paraId="0F191653" w14:textId="77777777" w:rsidR="00B15823" w:rsidRPr="00A079CF" w:rsidRDefault="00B15823" w:rsidP="00C62ABF">
            <w:pPr>
              <w:spacing w:line="360" w:lineRule="auto"/>
              <w:rPr>
                <w:rFonts w:ascii="Arial" w:hAnsi="Arial" w:cs="Arial"/>
                <w:sz w:val="22"/>
              </w:rPr>
            </w:pPr>
            <w:r w:rsidRPr="00A079CF">
              <w:rPr>
                <w:rFonts w:ascii="Arial" w:hAnsi="Arial" w:cs="Arial"/>
                <w:sz w:val="22"/>
              </w:rPr>
              <w:t>Supports pricing, margin control and production planning</w:t>
            </w:r>
          </w:p>
        </w:tc>
      </w:tr>
    </w:tbl>
    <w:p w14:paraId="7926A69F" w14:textId="77777777" w:rsidR="00B15823" w:rsidRPr="00A079CF" w:rsidRDefault="00B15823" w:rsidP="00C62ABF">
      <w:pPr>
        <w:spacing w:line="360" w:lineRule="auto"/>
        <w:rPr>
          <w:rFonts w:ascii="Arial" w:hAnsi="Arial" w:cs="Arial"/>
          <w:sz w:val="22"/>
        </w:rPr>
      </w:pPr>
      <w:r w:rsidRPr="00A079CF">
        <w:rPr>
          <w:rFonts w:ascii="Arial" w:hAnsi="Arial" w:cs="Arial"/>
          <w:sz w:val="22"/>
        </w:rPr>
        <w:t>Source: adapted from Drury (2018) and Tesla (2025a).</w:t>
      </w:r>
    </w:p>
    <w:p w14:paraId="5AD31E11" w14:textId="77777777" w:rsidR="00B15823" w:rsidRPr="00A079CF" w:rsidRDefault="00B15823" w:rsidP="00C62ABF">
      <w:pPr>
        <w:spacing w:line="360" w:lineRule="auto"/>
        <w:rPr>
          <w:rFonts w:ascii="Arial" w:hAnsi="Arial" w:cs="Arial"/>
          <w:b/>
          <w:bCs/>
          <w:sz w:val="22"/>
        </w:rPr>
      </w:pPr>
      <w:r w:rsidRPr="00A079CF">
        <w:rPr>
          <w:rFonts w:ascii="Arial" w:hAnsi="Arial" w:cs="Arial"/>
          <w:b/>
          <w:bCs/>
          <w:sz w:val="22"/>
        </w:rPr>
        <w:t>3. Budgeting and Financial Planning</w:t>
      </w:r>
    </w:p>
    <w:p w14:paraId="70355933" w14:textId="652AF235" w:rsidR="00B15823" w:rsidRPr="00A079CF" w:rsidRDefault="00B15823" w:rsidP="00C62ABF">
      <w:pPr>
        <w:spacing w:line="360" w:lineRule="auto"/>
        <w:rPr>
          <w:rFonts w:ascii="Arial" w:hAnsi="Arial" w:cs="Arial"/>
          <w:sz w:val="22"/>
        </w:rPr>
      </w:pPr>
      <w:r w:rsidRPr="00A079CF">
        <w:rPr>
          <w:rFonts w:ascii="Arial" w:hAnsi="Arial" w:cs="Arial"/>
          <w:sz w:val="22"/>
        </w:rPr>
        <w:t>Budgeting is a key management accounting tool used to plan operations, allocate resources, and control expenditure. Tesla's business model requires major investment in factories, product development, artificial intelligence, energy storage and charging infrastructure. Without structured budgeting, management would find it difficult to prioritise projects and maintain financial discipline.</w:t>
      </w:r>
    </w:p>
    <w:p w14:paraId="49ABF05D" w14:textId="067C4D55" w:rsidR="00B15823" w:rsidRPr="00A079CF" w:rsidRDefault="00B15823" w:rsidP="00C62ABF">
      <w:pPr>
        <w:spacing w:line="360" w:lineRule="auto"/>
        <w:rPr>
          <w:rFonts w:ascii="Arial" w:hAnsi="Arial" w:cs="Arial"/>
          <w:sz w:val="22"/>
        </w:rPr>
      </w:pPr>
      <w:r w:rsidRPr="00A079CF">
        <w:rPr>
          <w:rFonts w:ascii="Arial" w:hAnsi="Arial" w:cs="Arial"/>
          <w:sz w:val="22"/>
        </w:rPr>
        <w:t xml:space="preserve">Tesla's operating expenses illustrate the importance of budgeting. Tesla’s 2024 financial results show research and development expenditure of approximately $4.5 billion, while selling, general and administrative expenses amounted to around $5.2 billion, producing total operating expenses of approximately $9.7 billion (Tesla, 2025a). These figures reflect continued investment in innovation, automation, AI, </w:t>
      </w:r>
      <w:r w:rsidR="00A079CF" w:rsidRPr="00A079CF">
        <w:rPr>
          <w:rFonts w:ascii="Arial" w:hAnsi="Arial" w:cs="Arial"/>
          <w:sz w:val="22"/>
        </w:rPr>
        <w:t>robotics,</w:t>
      </w:r>
      <w:r w:rsidRPr="00A079CF">
        <w:rPr>
          <w:rFonts w:ascii="Arial" w:hAnsi="Arial" w:cs="Arial"/>
          <w:sz w:val="22"/>
        </w:rPr>
        <w:t xml:space="preserve"> and product development. Budgeting enables Tesla to allocate spending across competing priorities while protecting liquidity and profitability.</w:t>
      </w:r>
    </w:p>
    <w:p w14:paraId="6430FCEB" w14:textId="392DAAE0" w:rsidR="00B15823" w:rsidRPr="00A079CF" w:rsidRDefault="00B15823" w:rsidP="00C62ABF">
      <w:pPr>
        <w:spacing w:line="360" w:lineRule="auto"/>
        <w:rPr>
          <w:rFonts w:ascii="Arial" w:hAnsi="Arial" w:cs="Arial"/>
          <w:sz w:val="22"/>
        </w:rPr>
      </w:pPr>
      <w:r w:rsidRPr="00A079CF">
        <w:rPr>
          <w:rFonts w:ascii="Arial" w:hAnsi="Arial" w:cs="Arial"/>
          <w:sz w:val="22"/>
        </w:rPr>
        <w:t>Internal factors influencing Tesla's budgets include production targets, R&amp;D programmes, factory utilisation, workforce planning and product launches. For example, scaling production of the Cybertruck and developing future lower-cost vehicles require significant capital and operating budgets. External factors include inflation, interest rates, raw material prices, foreign exchange movements and competitive pressure from other EV manufacturers. These external variables make forecasting more difficult and require flexible planning systems.</w:t>
      </w:r>
    </w:p>
    <w:p w14:paraId="4663BB1B" w14:textId="3E765FEB" w:rsidR="00B15823" w:rsidRPr="00A079CF" w:rsidRDefault="00B15823" w:rsidP="00C62ABF">
      <w:pPr>
        <w:spacing w:line="360" w:lineRule="auto"/>
        <w:rPr>
          <w:rFonts w:ascii="Arial" w:hAnsi="Arial" w:cs="Arial"/>
          <w:sz w:val="22"/>
        </w:rPr>
      </w:pPr>
      <w:r w:rsidRPr="00A079CF">
        <w:rPr>
          <w:rFonts w:ascii="Arial" w:hAnsi="Arial" w:cs="Arial"/>
          <w:sz w:val="22"/>
        </w:rPr>
        <w:t xml:space="preserve">Variance analysis supports financial control by comparing actual results with budgeted targets. If </w:t>
      </w:r>
      <w:r w:rsidR="00A079CF" w:rsidRPr="00A079CF">
        <w:rPr>
          <w:rFonts w:ascii="Arial" w:hAnsi="Arial" w:cs="Arial"/>
          <w:sz w:val="22"/>
        </w:rPr>
        <w:t>labor</w:t>
      </w:r>
      <w:r w:rsidRPr="00A079CF">
        <w:rPr>
          <w:rFonts w:ascii="Arial" w:hAnsi="Arial" w:cs="Arial"/>
          <w:sz w:val="22"/>
        </w:rPr>
        <w:t xml:space="preserve">, </w:t>
      </w:r>
      <w:r w:rsidR="00A079CF" w:rsidRPr="00A079CF">
        <w:rPr>
          <w:rFonts w:ascii="Arial" w:hAnsi="Arial" w:cs="Arial"/>
          <w:sz w:val="22"/>
        </w:rPr>
        <w:t>materials,</w:t>
      </w:r>
      <w:r w:rsidRPr="00A079CF">
        <w:rPr>
          <w:rFonts w:ascii="Arial" w:hAnsi="Arial" w:cs="Arial"/>
          <w:sz w:val="22"/>
        </w:rPr>
        <w:t xml:space="preserve"> or logistics costs exceed budget, managers can investigate the cause and </w:t>
      </w:r>
      <w:r w:rsidRPr="00A079CF">
        <w:rPr>
          <w:rFonts w:ascii="Arial" w:hAnsi="Arial" w:cs="Arial"/>
          <w:sz w:val="22"/>
        </w:rPr>
        <w:lastRenderedPageBreak/>
        <w:t>take corrective action. This is important in automotive manufacturing because small cost variances can become financially significant at high production volumes (Seal et al., 2019).</w:t>
      </w:r>
    </w:p>
    <w:p w14:paraId="7B0DDEAF" w14:textId="0E4B66F2" w:rsidR="00B15823" w:rsidRPr="00A079CF" w:rsidRDefault="00B15823" w:rsidP="00C62ABF">
      <w:pPr>
        <w:spacing w:line="360" w:lineRule="auto"/>
        <w:rPr>
          <w:rFonts w:ascii="Arial" w:hAnsi="Arial" w:cs="Arial"/>
          <w:sz w:val="22"/>
        </w:rPr>
      </w:pPr>
      <w:r w:rsidRPr="00A079CF">
        <w:rPr>
          <w:rFonts w:ascii="Arial" w:hAnsi="Arial" w:cs="Arial"/>
          <w:sz w:val="22"/>
        </w:rPr>
        <w:t xml:space="preserve">Capital budgeting is also crucial for Tesla. Techniques such as Net Present Value (NPV), Internal Rate of Return (IRR) and Payback Period can be used to evaluate major investment decisions, including new Gigafactories, battery facilities or AI infrastructure. These techniques support decisions </w:t>
      </w:r>
      <w:r w:rsidR="00BF304A" w:rsidRPr="00A079CF">
        <w:rPr>
          <w:rFonts w:ascii="Arial" w:hAnsi="Arial" w:cs="Arial"/>
          <w:sz w:val="22"/>
        </w:rPr>
        <w:t xml:space="preserve">by assessing whether the anticipated future cash flows are sufficient to justify the initial investment expenditure </w:t>
      </w:r>
      <w:r w:rsidRPr="00A079CF">
        <w:rPr>
          <w:rFonts w:ascii="Arial" w:hAnsi="Arial" w:cs="Arial"/>
          <w:sz w:val="22"/>
        </w:rPr>
        <w:t>(Kaplan and Atkinson, 2015). Effective budgeting enables Tesla to maintain short-term financial discipline while supporting long-term strategic investment. Budgeting also supports coordination between departments. Production, procurement, finance, research and development, and sales departments must operate from aligned assumptions regarding demand, capacity, and cost. If production forecasts are unrealistic, Tesla may hold excessive inventory or fail to meet customer demand. If R&amp;D budgets are underfunded, long-term innovation may be weakened. A well-designed budgeting process reduces these risks by linking operational plans to financial targets.</w:t>
      </w:r>
    </w:p>
    <w:p w14:paraId="5E24E4A5" w14:textId="77777777" w:rsidR="00B15823" w:rsidRPr="00A079CF" w:rsidRDefault="00B15823" w:rsidP="00C62ABF">
      <w:pPr>
        <w:spacing w:line="360" w:lineRule="auto"/>
        <w:rPr>
          <w:rFonts w:ascii="Arial" w:hAnsi="Arial" w:cs="Arial"/>
          <w:b/>
          <w:bCs/>
          <w:sz w:val="22"/>
        </w:rPr>
      </w:pPr>
      <w:r w:rsidRPr="00A079CF">
        <w:rPr>
          <w:rFonts w:ascii="Arial" w:hAnsi="Arial" w:cs="Arial"/>
          <w:b/>
          <w:bCs/>
          <w:sz w:val="22"/>
        </w:rPr>
        <w:t>4. Performance Measurement and Decision-Making</w:t>
      </w:r>
    </w:p>
    <w:p w14:paraId="48647E8F" w14:textId="77777777" w:rsidR="00B15823" w:rsidRPr="00A079CF" w:rsidRDefault="00B15823" w:rsidP="00C62ABF">
      <w:pPr>
        <w:spacing w:line="360" w:lineRule="auto"/>
        <w:rPr>
          <w:rFonts w:ascii="Arial" w:hAnsi="Arial" w:cs="Arial"/>
          <w:sz w:val="22"/>
        </w:rPr>
      </w:pPr>
      <w:r w:rsidRPr="00A079CF">
        <w:rPr>
          <w:rFonts w:ascii="Arial" w:hAnsi="Arial" w:cs="Arial"/>
          <w:sz w:val="22"/>
        </w:rPr>
        <w:t>For Tesla, performance measurement should show how operating activity is translated into financial outcomes. Management accounting data helps managers track whether sales growth is supported by efficient production and controlled expenditure. Financial KPIs such as revenue movement, gross margin, operating margin, operating expenses and return on investment indicate profitability and cost discipline (Bhimani et al., 2019). A margin reduction, for example, may suggest price pressure, higher battery material costs, under-utilised capacity or additional spending on development and administration.</w:t>
      </w:r>
    </w:p>
    <w:p w14:paraId="52580E03" w14:textId="4DA6C5E1" w:rsidR="00B15823" w:rsidRPr="00A079CF" w:rsidRDefault="00B15823" w:rsidP="00C62ABF">
      <w:pPr>
        <w:spacing w:line="360" w:lineRule="auto"/>
        <w:rPr>
          <w:rFonts w:ascii="Arial" w:hAnsi="Arial" w:cs="Arial"/>
          <w:sz w:val="22"/>
        </w:rPr>
      </w:pPr>
      <w:r w:rsidRPr="00A079CF">
        <w:rPr>
          <w:rFonts w:ascii="Arial" w:hAnsi="Arial" w:cs="Arial"/>
          <w:sz w:val="22"/>
        </w:rPr>
        <w:t>Non-financial measures are needed because Tesla's performance is not fully explained by profit figures. Output, deliveries, capacity utilisation, product quality, energy storage deployments and software adoption show whether the business model is scaling effectively. In 2024, Tesla produced about 1.77 million vehicles and delivered about 1.79 million vehicles (Tesla, 2025c). This information helps managers compare production planning with customer demand and identify whether inventory, factory performance or market conditions require management action.</w:t>
      </w:r>
    </w:p>
    <w:p w14:paraId="171E6FAB" w14:textId="77777777" w:rsidR="00B15823" w:rsidRPr="00A079CF" w:rsidRDefault="00B15823" w:rsidP="00C62ABF">
      <w:pPr>
        <w:spacing w:line="360" w:lineRule="auto"/>
        <w:rPr>
          <w:rFonts w:ascii="Arial" w:hAnsi="Arial" w:cs="Arial"/>
          <w:sz w:val="22"/>
        </w:rPr>
      </w:pPr>
      <w:r w:rsidRPr="00A079CF">
        <w:rPr>
          <w:rFonts w:ascii="Arial" w:hAnsi="Arial" w:cs="Arial"/>
          <w:sz w:val="22"/>
        </w:rPr>
        <w:t xml:space="preserve">The Balanced Scorecard is appropriate because it brings these measures together. Kaplan and Norton (1992) argue that performance should be considered from several perspectives rather </w:t>
      </w:r>
      <w:r w:rsidRPr="00A079CF">
        <w:rPr>
          <w:rFonts w:ascii="Arial" w:hAnsi="Arial" w:cs="Arial"/>
          <w:sz w:val="22"/>
        </w:rPr>
        <w:lastRenderedPageBreak/>
        <w:t>than from financial results alone. For Tesla, this means linking profitability with customer demand, internal process efficiency, innovation capability and sustainability outcomes. This approach is useful because short-term cost savings may look positive financially but could weaken quality, brand reputation or future product development.</w:t>
      </w:r>
    </w:p>
    <w:p w14:paraId="05AEC027" w14:textId="77777777" w:rsidR="00B15823" w:rsidRPr="00A079CF" w:rsidRDefault="00B15823" w:rsidP="00C62ABF">
      <w:pPr>
        <w:spacing w:line="360" w:lineRule="auto"/>
        <w:rPr>
          <w:rFonts w:ascii="Arial" w:hAnsi="Arial" w:cs="Arial"/>
          <w:sz w:val="22"/>
        </w:rPr>
      </w:pPr>
      <w:r w:rsidRPr="00A079CF">
        <w:rPr>
          <w:rFonts w:ascii="Arial" w:hAnsi="Arial" w:cs="Arial"/>
          <w:sz w:val="22"/>
        </w:rPr>
        <w:t>Benchmarking gives further context. By comparing margins, production efficiency, delivery trends and innovation outcomes with other EV and automotive firms, Tesla can identify areas where its performance is strong and areas where improvement is needed (Hansen, Mowen and Heitger, 2021). These comparisons can support decisions on pricing, cost reduction, factory improvement, supplier negotiations and future investment.</w:t>
      </w:r>
    </w:p>
    <w:p w14:paraId="1C0E4128" w14:textId="470D528F" w:rsidR="00B15823" w:rsidRPr="00A079CF" w:rsidRDefault="00B15823" w:rsidP="00C62ABF">
      <w:pPr>
        <w:spacing w:line="360" w:lineRule="auto"/>
        <w:rPr>
          <w:rFonts w:ascii="Arial" w:hAnsi="Arial" w:cs="Arial"/>
          <w:sz w:val="22"/>
        </w:rPr>
      </w:pPr>
      <w:r w:rsidRPr="00A079CF">
        <w:rPr>
          <w:rFonts w:ascii="Arial" w:hAnsi="Arial" w:cs="Arial"/>
          <w:sz w:val="22"/>
        </w:rPr>
        <w:t xml:space="preserve">KPI analysis should influence real decisions. If operating margin falls, managers may review production methods, purchasing costs or discretionary spending. If delivery data shows stronger demand, additional capacity or market investment may be justified. Performance measures also create accountability because factory teams can be assessed on output, </w:t>
      </w:r>
      <w:r w:rsidR="00A079CF" w:rsidRPr="00A079CF">
        <w:rPr>
          <w:rFonts w:ascii="Arial" w:hAnsi="Arial" w:cs="Arial"/>
          <w:sz w:val="22"/>
        </w:rPr>
        <w:t>defects,</w:t>
      </w:r>
      <w:r w:rsidRPr="00A079CF">
        <w:rPr>
          <w:rFonts w:ascii="Arial" w:hAnsi="Arial" w:cs="Arial"/>
          <w:sz w:val="22"/>
        </w:rPr>
        <w:t xml:space="preserve"> and unit cost, while senior managers can be judged through margin, cash flow and strategic growth. However, Tesla should avoid placing too much emphasis on quarterly results because innovation and sustainability require longer-term investment.</w:t>
      </w:r>
    </w:p>
    <w:p w14:paraId="69E65CB7" w14:textId="77777777" w:rsidR="00B15823" w:rsidRPr="00A079CF" w:rsidRDefault="00B15823" w:rsidP="00C62ABF">
      <w:pPr>
        <w:spacing w:line="360" w:lineRule="auto"/>
        <w:rPr>
          <w:rFonts w:ascii="Arial" w:hAnsi="Arial" w:cs="Arial"/>
          <w:sz w:val="22"/>
        </w:rPr>
      </w:pPr>
      <w:r w:rsidRPr="00A079CF">
        <w:rPr>
          <w:rFonts w:ascii="Arial" w:hAnsi="Arial" w:cs="Arial"/>
          <w:sz w:val="22"/>
        </w:rPr>
        <w:t>Table 2: Tesla performance measures</w:t>
      </w:r>
    </w:p>
    <w:tbl>
      <w:tblPr>
        <w:tblStyle w:val="TableGrid"/>
        <w:tblW w:w="0" w:type="auto"/>
        <w:jc w:val="center"/>
        <w:tblLook w:val="04A0" w:firstRow="1" w:lastRow="0" w:firstColumn="1" w:lastColumn="0" w:noHBand="0" w:noVBand="1"/>
      </w:tblPr>
      <w:tblGrid>
        <w:gridCol w:w="3116"/>
        <w:gridCol w:w="3117"/>
        <w:gridCol w:w="3117"/>
      </w:tblGrid>
      <w:tr w:rsidR="00B15823" w:rsidRPr="00A079CF" w14:paraId="0D5E91DC" w14:textId="77777777" w:rsidTr="00161170">
        <w:trPr>
          <w:jc w:val="center"/>
        </w:trPr>
        <w:tc>
          <w:tcPr>
            <w:tcW w:w="3120" w:type="dxa"/>
          </w:tcPr>
          <w:p w14:paraId="457FD9BB" w14:textId="77777777" w:rsidR="00B15823" w:rsidRPr="00A079CF" w:rsidRDefault="00B15823" w:rsidP="00C62ABF">
            <w:pPr>
              <w:spacing w:line="360" w:lineRule="auto"/>
              <w:rPr>
                <w:rFonts w:ascii="Arial" w:hAnsi="Arial" w:cs="Arial"/>
                <w:sz w:val="22"/>
              </w:rPr>
            </w:pPr>
            <w:r w:rsidRPr="00A079CF">
              <w:rPr>
                <w:rFonts w:ascii="Arial" w:hAnsi="Arial" w:cs="Arial"/>
                <w:sz w:val="22"/>
              </w:rPr>
              <w:t>KPI</w:t>
            </w:r>
          </w:p>
        </w:tc>
        <w:tc>
          <w:tcPr>
            <w:tcW w:w="3120" w:type="dxa"/>
          </w:tcPr>
          <w:p w14:paraId="54D0C16F" w14:textId="77777777" w:rsidR="00B15823" w:rsidRPr="00A079CF" w:rsidRDefault="00B15823" w:rsidP="00C62ABF">
            <w:pPr>
              <w:spacing w:line="360" w:lineRule="auto"/>
              <w:rPr>
                <w:rFonts w:ascii="Arial" w:hAnsi="Arial" w:cs="Arial"/>
                <w:sz w:val="22"/>
              </w:rPr>
            </w:pPr>
            <w:r w:rsidRPr="00A079CF">
              <w:rPr>
                <w:rFonts w:ascii="Arial" w:hAnsi="Arial" w:cs="Arial"/>
                <w:sz w:val="22"/>
              </w:rPr>
              <w:t>Category</w:t>
            </w:r>
          </w:p>
        </w:tc>
        <w:tc>
          <w:tcPr>
            <w:tcW w:w="3120" w:type="dxa"/>
          </w:tcPr>
          <w:p w14:paraId="6799ABBE" w14:textId="77777777" w:rsidR="00B15823" w:rsidRPr="00A079CF" w:rsidRDefault="00B15823" w:rsidP="00C62ABF">
            <w:pPr>
              <w:spacing w:line="360" w:lineRule="auto"/>
              <w:rPr>
                <w:rFonts w:ascii="Arial" w:hAnsi="Arial" w:cs="Arial"/>
                <w:sz w:val="22"/>
              </w:rPr>
            </w:pPr>
            <w:r w:rsidRPr="00A079CF">
              <w:rPr>
                <w:rFonts w:ascii="Arial" w:hAnsi="Arial" w:cs="Arial"/>
                <w:sz w:val="22"/>
              </w:rPr>
              <w:t>Decision-making use</w:t>
            </w:r>
          </w:p>
        </w:tc>
      </w:tr>
      <w:tr w:rsidR="00B15823" w:rsidRPr="00A079CF" w14:paraId="7AA67752" w14:textId="77777777" w:rsidTr="00161170">
        <w:trPr>
          <w:jc w:val="center"/>
        </w:trPr>
        <w:tc>
          <w:tcPr>
            <w:tcW w:w="3120" w:type="dxa"/>
          </w:tcPr>
          <w:p w14:paraId="000E65BD" w14:textId="77777777" w:rsidR="00B15823" w:rsidRPr="00A079CF" w:rsidRDefault="00B15823" w:rsidP="00C62ABF">
            <w:pPr>
              <w:spacing w:line="360" w:lineRule="auto"/>
              <w:rPr>
                <w:rFonts w:ascii="Arial" w:hAnsi="Arial" w:cs="Arial"/>
                <w:sz w:val="22"/>
              </w:rPr>
            </w:pPr>
            <w:r w:rsidRPr="00A079CF">
              <w:rPr>
                <w:rFonts w:ascii="Arial" w:hAnsi="Arial" w:cs="Arial"/>
                <w:sz w:val="22"/>
              </w:rPr>
              <w:t>Revenue movement</w:t>
            </w:r>
          </w:p>
        </w:tc>
        <w:tc>
          <w:tcPr>
            <w:tcW w:w="3120" w:type="dxa"/>
          </w:tcPr>
          <w:p w14:paraId="4361BBB5" w14:textId="77777777" w:rsidR="00B15823" w:rsidRPr="00A079CF" w:rsidRDefault="00B15823" w:rsidP="00C62ABF">
            <w:pPr>
              <w:spacing w:line="360" w:lineRule="auto"/>
              <w:rPr>
                <w:rFonts w:ascii="Arial" w:hAnsi="Arial" w:cs="Arial"/>
                <w:sz w:val="22"/>
              </w:rPr>
            </w:pPr>
            <w:r w:rsidRPr="00A079CF">
              <w:rPr>
                <w:rFonts w:ascii="Arial" w:hAnsi="Arial" w:cs="Arial"/>
                <w:sz w:val="22"/>
              </w:rPr>
              <w:t>Financial</w:t>
            </w:r>
          </w:p>
        </w:tc>
        <w:tc>
          <w:tcPr>
            <w:tcW w:w="3120" w:type="dxa"/>
          </w:tcPr>
          <w:p w14:paraId="176AE381" w14:textId="77777777" w:rsidR="00B15823" w:rsidRPr="00A079CF" w:rsidRDefault="00B15823" w:rsidP="00C62ABF">
            <w:pPr>
              <w:spacing w:line="360" w:lineRule="auto"/>
              <w:rPr>
                <w:rFonts w:ascii="Arial" w:hAnsi="Arial" w:cs="Arial"/>
                <w:sz w:val="22"/>
              </w:rPr>
            </w:pPr>
            <w:r w:rsidRPr="00A079CF">
              <w:rPr>
                <w:rFonts w:ascii="Arial" w:hAnsi="Arial" w:cs="Arial"/>
                <w:sz w:val="22"/>
              </w:rPr>
              <w:t>Indicates whether sales expansion is being sustained.</w:t>
            </w:r>
          </w:p>
        </w:tc>
      </w:tr>
      <w:tr w:rsidR="00B15823" w:rsidRPr="00A079CF" w14:paraId="26EAAB23" w14:textId="77777777" w:rsidTr="00161170">
        <w:trPr>
          <w:jc w:val="center"/>
        </w:trPr>
        <w:tc>
          <w:tcPr>
            <w:tcW w:w="3120" w:type="dxa"/>
          </w:tcPr>
          <w:p w14:paraId="5F3C6C1D" w14:textId="77777777" w:rsidR="00B15823" w:rsidRPr="00A079CF" w:rsidRDefault="00B15823" w:rsidP="00C62ABF">
            <w:pPr>
              <w:spacing w:line="360" w:lineRule="auto"/>
              <w:rPr>
                <w:rFonts w:ascii="Arial" w:hAnsi="Arial" w:cs="Arial"/>
                <w:sz w:val="22"/>
              </w:rPr>
            </w:pPr>
            <w:r w:rsidRPr="00A079CF">
              <w:rPr>
                <w:rFonts w:ascii="Arial" w:hAnsi="Arial" w:cs="Arial"/>
                <w:sz w:val="22"/>
              </w:rPr>
              <w:t>Gross profit margin</w:t>
            </w:r>
          </w:p>
        </w:tc>
        <w:tc>
          <w:tcPr>
            <w:tcW w:w="3120" w:type="dxa"/>
          </w:tcPr>
          <w:p w14:paraId="2C0C80F5" w14:textId="77777777" w:rsidR="00B15823" w:rsidRPr="00A079CF" w:rsidRDefault="00B15823" w:rsidP="00C62ABF">
            <w:pPr>
              <w:spacing w:line="360" w:lineRule="auto"/>
              <w:rPr>
                <w:rFonts w:ascii="Arial" w:hAnsi="Arial" w:cs="Arial"/>
                <w:sz w:val="22"/>
              </w:rPr>
            </w:pPr>
            <w:r w:rsidRPr="00A079CF">
              <w:rPr>
                <w:rFonts w:ascii="Arial" w:hAnsi="Arial" w:cs="Arial"/>
                <w:sz w:val="22"/>
              </w:rPr>
              <w:t>Financial</w:t>
            </w:r>
          </w:p>
        </w:tc>
        <w:tc>
          <w:tcPr>
            <w:tcW w:w="3120" w:type="dxa"/>
          </w:tcPr>
          <w:p w14:paraId="76BC0A79" w14:textId="77777777" w:rsidR="00B15823" w:rsidRPr="00A079CF" w:rsidRDefault="00B15823" w:rsidP="00C62ABF">
            <w:pPr>
              <w:spacing w:line="360" w:lineRule="auto"/>
              <w:rPr>
                <w:rFonts w:ascii="Arial" w:hAnsi="Arial" w:cs="Arial"/>
                <w:sz w:val="22"/>
              </w:rPr>
            </w:pPr>
            <w:r w:rsidRPr="00A079CF">
              <w:rPr>
                <w:rFonts w:ascii="Arial" w:hAnsi="Arial" w:cs="Arial"/>
                <w:sz w:val="22"/>
              </w:rPr>
              <w:t>Shows production cost pressure and pricing impact.</w:t>
            </w:r>
          </w:p>
        </w:tc>
      </w:tr>
      <w:tr w:rsidR="00B15823" w:rsidRPr="00A079CF" w14:paraId="29FE4635" w14:textId="77777777" w:rsidTr="00161170">
        <w:trPr>
          <w:jc w:val="center"/>
        </w:trPr>
        <w:tc>
          <w:tcPr>
            <w:tcW w:w="3120" w:type="dxa"/>
          </w:tcPr>
          <w:p w14:paraId="13B415D7" w14:textId="77777777" w:rsidR="00B15823" w:rsidRPr="00A079CF" w:rsidRDefault="00B15823" w:rsidP="00C62ABF">
            <w:pPr>
              <w:spacing w:line="360" w:lineRule="auto"/>
              <w:rPr>
                <w:rFonts w:ascii="Arial" w:hAnsi="Arial" w:cs="Arial"/>
                <w:sz w:val="22"/>
              </w:rPr>
            </w:pPr>
            <w:r w:rsidRPr="00A079CF">
              <w:rPr>
                <w:rFonts w:ascii="Arial" w:hAnsi="Arial" w:cs="Arial"/>
                <w:sz w:val="22"/>
              </w:rPr>
              <w:t>Operating margin</w:t>
            </w:r>
          </w:p>
        </w:tc>
        <w:tc>
          <w:tcPr>
            <w:tcW w:w="3120" w:type="dxa"/>
          </w:tcPr>
          <w:p w14:paraId="7EB68E73" w14:textId="77777777" w:rsidR="00B15823" w:rsidRPr="00A079CF" w:rsidRDefault="00B15823" w:rsidP="00C62ABF">
            <w:pPr>
              <w:spacing w:line="360" w:lineRule="auto"/>
              <w:rPr>
                <w:rFonts w:ascii="Arial" w:hAnsi="Arial" w:cs="Arial"/>
                <w:sz w:val="22"/>
              </w:rPr>
            </w:pPr>
            <w:r w:rsidRPr="00A079CF">
              <w:rPr>
                <w:rFonts w:ascii="Arial" w:hAnsi="Arial" w:cs="Arial"/>
                <w:sz w:val="22"/>
              </w:rPr>
              <w:t>Financial</w:t>
            </w:r>
          </w:p>
        </w:tc>
        <w:tc>
          <w:tcPr>
            <w:tcW w:w="3120" w:type="dxa"/>
          </w:tcPr>
          <w:p w14:paraId="3C83DE91" w14:textId="77777777" w:rsidR="00B15823" w:rsidRPr="00A079CF" w:rsidRDefault="00B15823" w:rsidP="00C62ABF">
            <w:pPr>
              <w:spacing w:line="360" w:lineRule="auto"/>
              <w:rPr>
                <w:rFonts w:ascii="Arial" w:hAnsi="Arial" w:cs="Arial"/>
                <w:sz w:val="22"/>
              </w:rPr>
            </w:pPr>
            <w:r w:rsidRPr="00A079CF">
              <w:rPr>
                <w:rFonts w:ascii="Arial" w:hAnsi="Arial" w:cs="Arial"/>
                <w:sz w:val="22"/>
              </w:rPr>
              <w:t>Assesses profitability after R&amp;D and administration costs.</w:t>
            </w:r>
          </w:p>
        </w:tc>
      </w:tr>
      <w:tr w:rsidR="00B15823" w:rsidRPr="00A079CF" w14:paraId="2EF06E07" w14:textId="77777777" w:rsidTr="00161170">
        <w:trPr>
          <w:jc w:val="center"/>
        </w:trPr>
        <w:tc>
          <w:tcPr>
            <w:tcW w:w="3120" w:type="dxa"/>
          </w:tcPr>
          <w:p w14:paraId="1AD81774" w14:textId="77777777" w:rsidR="00B15823" w:rsidRPr="00A079CF" w:rsidRDefault="00B15823" w:rsidP="00C62ABF">
            <w:pPr>
              <w:spacing w:line="360" w:lineRule="auto"/>
              <w:rPr>
                <w:rFonts w:ascii="Arial" w:hAnsi="Arial" w:cs="Arial"/>
                <w:sz w:val="22"/>
              </w:rPr>
            </w:pPr>
            <w:r w:rsidRPr="00A079CF">
              <w:rPr>
                <w:rFonts w:ascii="Arial" w:hAnsi="Arial" w:cs="Arial"/>
                <w:sz w:val="22"/>
              </w:rPr>
              <w:t>Vehicle deliveries</w:t>
            </w:r>
          </w:p>
        </w:tc>
        <w:tc>
          <w:tcPr>
            <w:tcW w:w="3120" w:type="dxa"/>
          </w:tcPr>
          <w:p w14:paraId="6F087975" w14:textId="77777777" w:rsidR="00B15823" w:rsidRPr="00A079CF" w:rsidRDefault="00B15823" w:rsidP="00C62ABF">
            <w:pPr>
              <w:spacing w:line="360" w:lineRule="auto"/>
              <w:rPr>
                <w:rFonts w:ascii="Arial" w:hAnsi="Arial" w:cs="Arial"/>
                <w:sz w:val="22"/>
              </w:rPr>
            </w:pPr>
            <w:r w:rsidRPr="00A079CF">
              <w:rPr>
                <w:rFonts w:ascii="Arial" w:hAnsi="Arial" w:cs="Arial"/>
                <w:sz w:val="22"/>
              </w:rPr>
              <w:t>Operational</w:t>
            </w:r>
          </w:p>
        </w:tc>
        <w:tc>
          <w:tcPr>
            <w:tcW w:w="3120" w:type="dxa"/>
          </w:tcPr>
          <w:p w14:paraId="33285FD0" w14:textId="77777777" w:rsidR="00B15823" w:rsidRPr="00A079CF" w:rsidRDefault="00B15823" w:rsidP="00C62ABF">
            <w:pPr>
              <w:spacing w:line="360" w:lineRule="auto"/>
              <w:rPr>
                <w:rFonts w:ascii="Arial" w:hAnsi="Arial" w:cs="Arial"/>
                <w:sz w:val="22"/>
              </w:rPr>
            </w:pPr>
            <w:r w:rsidRPr="00A079CF">
              <w:rPr>
                <w:rFonts w:ascii="Arial" w:hAnsi="Arial" w:cs="Arial"/>
                <w:sz w:val="22"/>
              </w:rPr>
              <w:t>Measures customer demand and sales execution.</w:t>
            </w:r>
          </w:p>
        </w:tc>
      </w:tr>
      <w:tr w:rsidR="00B15823" w:rsidRPr="00A079CF" w14:paraId="04CCF9E8" w14:textId="77777777" w:rsidTr="00161170">
        <w:trPr>
          <w:jc w:val="center"/>
        </w:trPr>
        <w:tc>
          <w:tcPr>
            <w:tcW w:w="3120" w:type="dxa"/>
          </w:tcPr>
          <w:p w14:paraId="58B9D69D" w14:textId="77777777" w:rsidR="00B15823" w:rsidRPr="00A079CF" w:rsidRDefault="00B15823" w:rsidP="00C62ABF">
            <w:pPr>
              <w:spacing w:line="360" w:lineRule="auto"/>
              <w:rPr>
                <w:rFonts w:ascii="Arial" w:hAnsi="Arial" w:cs="Arial"/>
                <w:sz w:val="22"/>
              </w:rPr>
            </w:pPr>
            <w:r w:rsidRPr="00A079CF">
              <w:rPr>
                <w:rFonts w:ascii="Arial" w:hAnsi="Arial" w:cs="Arial"/>
                <w:sz w:val="22"/>
              </w:rPr>
              <w:lastRenderedPageBreak/>
              <w:t>Production volume</w:t>
            </w:r>
          </w:p>
        </w:tc>
        <w:tc>
          <w:tcPr>
            <w:tcW w:w="3120" w:type="dxa"/>
          </w:tcPr>
          <w:p w14:paraId="6C6B173B" w14:textId="77777777" w:rsidR="00B15823" w:rsidRPr="00A079CF" w:rsidRDefault="00B15823" w:rsidP="00C62ABF">
            <w:pPr>
              <w:spacing w:line="360" w:lineRule="auto"/>
              <w:rPr>
                <w:rFonts w:ascii="Arial" w:hAnsi="Arial" w:cs="Arial"/>
                <w:sz w:val="22"/>
              </w:rPr>
            </w:pPr>
            <w:r w:rsidRPr="00A079CF">
              <w:rPr>
                <w:rFonts w:ascii="Arial" w:hAnsi="Arial" w:cs="Arial"/>
                <w:sz w:val="22"/>
              </w:rPr>
              <w:t>Operational</w:t>
            </w:r>
          </w:p>
        </w:tc>
        <w:tc>
          <w:tcPr>
            <w:tcW w:w="3120" w:type="dxa"/>
          </w:tcPr>
          <w:p w14:paraId="6367163C" w14:textId="77777777" w:rsidR="00B15823" w:rsidRPr="00A079CF" w:rsidRDefault="00B15823" w:rsidP="00C62ABF">
            <w:pPr>
              <w:spacing w:line="360" w:lineRule="auto"/>
              <w:rPr>
                <w:rFonts w:ascii="Arial" w:hAnsi="Arial" w:cs="Arial"/>
                <w:sz w:val="22"/>
              </w:rPr>
            </w:pPr>
            <w:r w:rsidRPr="00A079CF">
              <w:rPr>
                <w:rFonts w:ascii="Arial" w:hAnsi="Arial" w:cs="Arial"/>
                <w:sz w:val="22"/>
              </w:rPr>
              <w:t>Tracks factory output and capacity use.</w:t>
            </w:r>
          </w:p>
        </w:tc>
      </w:tr>
    </w:tbl>
    <w:p w14:paraId="469BE14B" w14:textId="77777777" w:rsidR="00B15823" w:rsidRPr="00A079CF" w:rsidRDefault="00B15823" w:rsidP="00C62ABF">
      <w:pPr>
        <w:spacing w:line="360" w:lineRule="auto"/>
        <w:rPr>
          <w:rFonts w:ascii="Arial" w:hAnsi="Arial" w:cs="Arial"/>
          <w:sz w:val="22"/>
        </w:rPr>
      </w:pPr>
      <w:r w:rsidRPr="00A079CF">
        <w:rPr>
          <w:rFonts w:ascii="Arial" w:hAnsi="Arial" w:cs="Arial"/>
          <w:sz w:val="22"/>
        </w:rPr>
        <w:t>Source: adapted from Tesla (2025a; 2025c), Bhimani et al. (2019) and Kaplan and Norton (1992).</w:t>
      </w:r>
    </w:p>
    <w:p w14:paraId="651ED3EF" w14:textId="77777777" w:rsidR="00B15823" w:rsidRPr="00A079CF" w:rsidRDefault="00B15823" w:rsidP="00C62ABF">
      <w:pPr>
        <w:spacing w:line="360" w:lineRule="auto"/>
        <w:rPr>
          <w:rFonts w:ascii="Arial" w:hAnsi="Arial" w:cs="Arial"/>
          <w:sz w:val="22"/>
        </w:rPr>
      </w:pPr>
    </w:p>
    <w:p w14:paraId="6AB561EC" w14:textId="77777777" w:rsidR="00B15823" w:rsidRPr="00A079CF" w:rsidRDefault="00B15823" w:rsidP="00C62ABF">
      <w:pPr>
        <w:spacing w:line="360" w:lineRule="auto"/>
        <w:rPr>
          <w:rFonts w:ascii="Arial" w:hAnsi="Arial" w:cs="Arial"/>
          <w:b/>
          <w:bCs/>
          <w:sz w:val="22"/>
        </w:rPr>
      </w:pPr>
      <w:r w:rsidRPr="00A079CF">
        <w:rPr>
          <w:rFonts w:ascii="Arial" w:hAnsi="Arial" w:cs="Arial"/>
          <w:b/>
          <w:bCs/>
          <w:sz w:val="22"/>
        </w:rPr>
        <w:t>5. Sustainability and Ethical Considerations</w:t>
      </w:r>
    </w:p>
    <w:p w14:paraId="4B7A7C5E" w14:textId="77777777" w:rsidR="00B15823" w:rsidRPr="00A079CF" w:rsidRDefault="00B15823" w:rsidP="00C62ABF">
      <w:pPr>
        <w:spacing w:line="360" w:lineRule="auto"/>
        <w:rPr>
          <w:rFonts w:ascii="Arial" w:hAnsi="Arial" w:cs="Arial"/>
          <w:sz w:val="22"/>
        </w:rPr>
      </w:pPr>
      <w:r w:rsidRPr="00A079CF">
        <w:rPr>
          <w:rFonts w:ascii="Arial" w:hAnsi="Arial" w:cs="Arial"/>
          <w:sz w:val="22"/>
        </w:rPr>
        <w:t>Sustainability is central to Tesla's corporate identity. The company's mission focuses on accelerating the transition to sustainable energy through electric vehicles, renewable energy, and battery storage. Management accounting supports this mission by integrating sustainability considerations into budgeting, investment appraisal and performance reporting.</w:t>
      </w:r>
    </w:p>
    <w:p w14:paraId="3501EFA0" w14:textId="787C47D9" w:rsidR="00B15823" w:rsidRPr="00A079CF" w:rsidRDefault="00B15823" w:rsidP="00C62ABF">
      <w:pPr>
        <w:spacing w:line="360" w:lineRule="auto"/>
        <w:rPr>
          <w:rFonts w:ascii="Arial" w:hAnsi="Arial" w:cs="Arial"/>
          <w:sz w:val="22"/>
        </w:rPr>
      </w:pPr>
      <w:r w:rsidRPr="00A079CF">
        <w:rPr>
          <w:rFonts w:ascii="Arial" w:hAnsi="Arial" w:cs="Arial"/>
          <w:sz w:val="22"/>
        </w:rPr>
        <w:t>Sustainable management accounting extends traditional financial analysis by considering environmental and social impacts. This is important because modern organisations are increasingly judged not only on profitability but also on stakeholder value, emissions reduction, responsible sourcing and ethical conduct (Oncioiu et al., 2020). Tesla's sustainability-related decisions include investment in battery recycling, renewable energy, energy storage systems and lower-emission transport solutions.</w:t>
      </w:r>
    </w:p>
    <w:p w14:paraId="26529FEC" w14:textId="77777777" w:rsidR="00B15823" w:rsidRPr="00A079CF" w:rsidRDefault="00B15823" w:rsidP="00C62ABF">
      <w:pPr>
        <w:spacing w:line="360" w:lineRule="auto"/>
        <w:rPr>
          <w:rFonts w:ascii="Arial" w:hAnsi="Arial" w:cs="Arial"/>
          <w:sz w:val="22"/>
        </w:rPr>
      </w:pPr>
      <w:r w:rsidRPr="00A079CF">
        <w:rPr>
          <w:rFonts w:ascii="Arial" w:hAnsi="Arial" w:cs="Arial"/>
          <w:sz w:val="22"/>
        </w:rPr>
        <w:t>Environmental KPIs can help Tesla measure whether sustainability objectives are being achieved. Relevant indicators include energy storage deployments, emissions avoided by customers, renewable energy use, battery recycling rates and supply-chain traceability. Tesla's Impact Report is therefore a useful source of non-financial information alongside traditional financial reports (Tesla, 2025b). The International Energy Agency (2025) also highlights that global EV adoption continues to expand, increasing the strategic importance of clean transport and battery infrastructure.</w:t>
      </w:r>
    </w:p>
    <w:p w14:paraId="4ACDEF8F" w14:textId="0BC22425" w:rsidR="00B15823" w:rsidRPr="00A079CF" w:rsidRDefault="00B15823" w:rsidP="00C62ABF">
      <w:pPr>
        <w:spacing w:line="360" w:lineRule="auto"/>
        <w:rPr>
          <w:rFonts w:ascii="Arial" w:hAnsi="Arial" w:cs="Arial"/>
          <w:sz w:val="22"/>
        </w:rPr>
      </w:pPr>
      <w:r w:rsidRPr="00A079CF">
        <w:rPr>
          <w:rFonts w:ascii="Arial" w:hAnsi="Arial" w:cs="Arial"/>
          <w:sz w:val="22"/>
        </w:rPr>
        <w:t>Ethical considerations are also relevant to cost management and pricing. Tesla must balance affordability, profitability, and stakeholder expectations. Price reductions may support wider EV adoption, but they can also reduce margins and pressure suppliers or employees if not managed responsibly. Similarly, cost control should not undermine employee safety, labour standards or product quality.</w:t>
      </w:r>
    </w:p>
    <w:p w14:paraId="596C1E15" w14:textId="1D6C09AC" w:rsidR="00B15823" w:rsidRPr="00A079CF" w:rsidRDefault="00B15823" w:rsidP="00C62ABF">
      <w:pPr>
        <w:spacing w:line="360" w:lineRule="auto"/>
        <w:rPr>
          <w:rFonts w:ascii="Arial" w:hAnsi="Arial" w:cs="Arial"/>
          <w:sz w:val="22"/>
        </w:rPr>
      </w:pPr>
      <w:r w:rsidRPr="00A079CF">
        <w:rPr>
          <w:rFonts w:ascii="Arial" w:hAnsi="Arial" w:cs="Arial"/>
          <w:sz w:val="22"/>
        </w:rPr>
        <w:t xml:space="preserve">Management accounting can support ethical decision-making by making trade-offs visible. For example, investment appraisal can compare short-term cost savings with long-term reputational, </w:t>
      </w:r>
      <w:r w:rsidR="00A079CF" w:rsidRPr="00A079CF">
        <w:rPr>
          <w:rFonts w:ascii="Arial" w:hAnsi="Arial" w:cs="Arial"/>
          <w:sz w:val="22"/>
        </w:rPr>
        <w:lastRenderedPageBreak/>
        <w:t>environmental,</w:t>
      </w:r>
      <w:r w:rsidRPr="00A079CF">
        <w:rPr>
          <w:rFonts w:ascii="Arial" w:hAnsi="Arial" w:cs="Arial"/>
          <w:sz w:val="22"/>
        </w:rPr>
        <w:t xml:space="preserve"> and operational risks. CIMA (2024) highlights that management accounting should assist responsible decision-making and contribute to long-term value creation. For Tesla, this means that sustainability and ethics should not be treated as separate from financial decision-making, but as part of the wider strategic control system. Ethical pricing is also relevant. Tesla has used price adjustments to stimulate demand and defend market share, but aggressive discounting can affect resale values, customer perceptions and profitability. Management accounting can help evaluate these trade-offs by modelling the </w:t>
      </w:r>
      <w:r w:rsidR="00A079CF" w:rsidRPr="00A079CF">
        <w:rPr>
          <w:rFonts w:ascii="Arial" w:hAnsi="Arial" w:cs="Arial"/>
          <w:sz w:val="22"/>
        </w:rPr>
        <w:t>budgetary impact</w:t>
      </w:r>
      <w:r w:rsidRPr="00A079CF">
        <w:rPr>
          <w:rFonts w:ascii="Arial" w:hAnsi="Arial" w:cs="Arial"/>
          <w:sz w:val="22"/>
        </w:rPr>
        <w:t xml:space="preserve"> of different pricing scenarios. Similarly, responsible sourcing of battery materials requires managers to balance cost efficiency with supply-chain ethics. This shows that ethical decision-making has both reputational and financial consequences.</w:t>
      </w:r>
    </w:p>
    <w:p w14:paraId="23CB035E" w14:textId="77777777" w:rsidR="00B15823" w:rsidRPr="00A079CF" w:rsidRDefault="00B15823" w:rsidP="00C62ABF">
      <w:pPr>
        <w:spacing w:line="360" w:lineRule="auto"/>
        <w:rPr>
          <w:rFonts w:ascii="Arial" w:hAnsi="Arial" w:cs="Arial"/>
          <w:sz w:val="22"/>
        </w:rPr>
      </w:pPr>
    </w:p>
    <w:p w14:paraId="3E4CEAAA" w14:textId="77777777" w:rsidR="00B15823" w:rsidRPr="00A079CF" w:rsidRDefault="00B15823" w:rsidP="00C62ABF">
      <w:pPr>
        <w:spacing w:line="360" w:lineRule="auto"/>
        <w:rPr>
          <w:rFonts w:ascii="Arial" w:hAnsi="Arial" w:cs="Arial"/>
          <w:b/>
          <w:bCs/>
          <w:sz w:val="22"/>
        </w:rPr>
      </w:pPr>
      <w:r w:rsidRPr="00A079CF">
        <w:rPr>
          <w:rFonts w:ascii="Arial" w:hAnsi="Arial" w:cs="Arial"/>
          <w:b/>
          <w:bCs/>
          <w:sz w:val="22"/>
        </w:rPr>
        <w:t>6. Conclusion and Recommendations</w:t>
      </w:r>
    </w:p>
    <w:p w14:paraId="27D35A78" w14:textId="13EC9D31" w:rsidR="00B15823" w:rsidRPr="00A079CF" w:rsidRDefault="00B15823" w:rsidP="00C62ABF">
      <w:pPr>
        <w:spacing w:line="360" w:lineRule="auto"/>
        <w:rPr>
          <w:rFonts w:ascii="Arial" w:hAnsi="Arial" w:cs="Arial"/>
          <w:sz w:val="22"/>
        </w:rPr>
      </w:pPr>
      <w:r w:rsidRPr="00A079CF">
        <w:rPr>
          <w:rFonts w:ascii="Arial" w:hAnsi="Arial" w:cs="Arial"/>
          <w:sz w:val="22"/>
        </w:rPr>
        <w:t>Tesla demonstrates how management accounting tools and techniques support financial decision-making in a modern listed company. Cost classification, CVP analysis, break-even analysis and Activity-Based Costing help Tesla understand cost behaviour and improve pricing, production, and investment decisions. Budgeting, variance analysis and capital appraisal support resource allocation and financial control. Performance measurement using financial and non-financial KPIs helps management evaluate operations, innovation, customer demand and sustainability outcomes.</w:t>
      </w:r>
    </w:p>
    <w:p w14:paraId="724277D8" w14:textId="3AB11683" w:rsidR="00B15823" w:rsidRPr="00A079CF" w:rsidRDefault="00B15823" w:rsidP="00C62ABF">
      <w:pPr>
        <w:spacing w:line="360" w:lineRule="auto"/>
        <w:rPr>
          <w:rFonts w:ascii="Arial" w:hAnsi="Arial" w:cs="Arial"/>
          <w:sz w:val="22"/>
        </w:rPr>
      </w:pPr>
      <w:r w:rsidRPr="00A079CF">
        <w:rPr>
          <w:rFonts w:ascii="Arial" w:hAnsi="Arial" w:cs="Arial"/>
          <w:sz w:val="22"/>
        </w:rPr>
        <w:t xml:space="preserve">Three recommendations are proposed. First, Tesla should expand the use of the ABC method to improve cost allocation accuracy across vehicle models, battery production and software activities. Second, Tesla should strengthen predictive budgeting through analytics and scenario planning to improve responses to inflation, material price volatility and demand uncertainty. Third, Tesla should integrate sustainability KPIs more formally into management reports so that environmental performance is considered alongside financial results. These improvements would strengthen Tesla's decision-making framework and support long-term strategic value creation. Overall, Tesla's case demonstrates that management accounting is not limited to internal cost reports. It is a strategic capability that links financial information, operational </w:t>
      </w:r>
      <w:r w:rsidR="00A079CF" w:rsidRPr="00A079CF">
        <w:rPr>
          <w:rFonts w:ascii="Arial" w:hAnsi="Arial" w:cs="Arial"/>
          <w:sz w:val="22"/>
        </w:rPr>
        <w:t>activity,</w:t>
      </w:r>
      <w:r w:rsidRPr="00A079CF">
        <w:rPr>
          <w:rFonts w:ascii="Arial" w:hAnsi="Arial" w:cs="Arial"/>
          <w:sz w:val="22"/>
        </w:rPr>
        <w:t xml:space="preserve"> and corporate objectives. In a fast-moving industry such as electric vehicles, this capability is essential for maintaining competitiveness and managing uncertainty.</w:t>
      </w:r>
    </w:p>
    <w:p w14:paraId="7AFC99E5" w14:textId="77777777" w:rsidR="00B15823" w:rsidRPr="00A079CF" w:rsidRDefault="00B15823" w:rsidP="00C62ABF">
      <w:pPr>
        <w:spacing w:line="360" w:lineRule="auto"/>
        <w:rPr>
          <w:rFonts w:ascii="Arial" w:hAnsi="Arial" w:cs="Arial"/>
          <w:sz w:val="22"/>
        </w:rPr>
      </w:pPr>
      <w:r w:rsidRPr="00A079CF">
        <w:rPr>
          <w:rFonts w:ascii="Arial" w:hAnsi="Arial" w:cs="Arial"/>
          <w:sz w:val="22"/>
        </w:rPr>
        <w:br w:type="page"/>
      </w:r>
    </w:p>
    <w:p w14:paraId="47A8CCEB" w14:textId="7846A495" w:rsidR="00B15823" w:rsidRPr="00A079CF" w:rsidRDefault="00B15823" w:rsidP="00C62ABF">
      <w:pPr>
        <w:spacing w:line="360" w:lineRule="auto"/>
        <w:rPr>
          <w:rFonts w:ascii="Arial" w:hAnsi="Arial" w:cs="Arial"/>
          <w:b/>
          <w:bCs/>
          <w:sz w:val="22"/>
        </w:rPr>
      </w:pPr>
      <w:r w:rsidRPr="00A079CF">
        <w:rPr>
          <w:rFonts w:ascii="Arial" w:hAnsi="Arial" w:cs="Arial"/>
          <w:b/>
          <w:bCs/>
          <w:sz w:val="22"/>
        </w:rPr>
        <w:lastRenderedPageBreak/>
        <w:t>Reference</w:t>
      </w:r>
      <w:r w:rsidR="0089135C" w:rsidRPr="00A079CF">
        <w:rPr>
          <w:rFonts w:ascii="Arial" w:hAnsi="Arial" w:cs="Arial"/>
          <w:b/>
          <w:bCs/>
          <w:sz w:val="22"/>
        </w:rPr>
        <w:t xml:space="preserve"> List</w:t>
      </w:r>
    </w:p>
    <w:p w14:paraId="31CA2E69" w14:textId="7E3B3CCB" w:rsidR="00B15823" w:rsidRPr="00A079CF" w:rsidRDefault="00B15823" w:rsidP="00C62ABF">
      <w:pPr>
        <w:spacing w:line="360" w:lineRule="auto"/>
        <w:rPr>
          <w:rFonts w:ascii="Arial" w:hAnsi="Arial" w:cs="Arial"/>
          <w:sz w:val="22"/>
        </w:rPr>
      </w:pPr>
      <w:r w:rsidRPr="00A079CF">
        <w:rPr>
          <w:rFonts w:ascii="Arial" w:hAnsi="Arial" w:cs="Arial"/>
          <w:sz w:val="22"/>
        </w:rPr>
        <w:t>Atrill, P. and McLaney, E. (2021) Management Accounting for Decision Makers. 10th edn. Harlow: Pearson.</w:t>
      </w:r>
    </w:p>
    <w:p w14:paraId="34634039" w14:textId="096742AA" w:rsidR="00B15823" w:rsidRPr="00A079CF" w:rsidRDefault="00B15823" w:rsidP="00C62ABF">
      <w:pPr>
        <w:spacing w:line="360" w:lineRule="auto"/>
        <w:rPr>
          <w:rFonts w:ascii="Arial" w:hAnsi="Arial" w:cs="Arial"/>
          <w:sz w:val="22"/>
        </w:rPr>
      </w:pPr>
      <w:r w:rsidRPr="00A079CF">
        <w:rPr>
          <w:rFonts w:ascii="Arial" w:hAnsi="Arial" w:cs="Arial"/>
          <w:sz w:val="22"/>
        </w:rPr>
        <w:t>Bhimani, A., Horngren, C.T., Datar, S.M. and Rajan, M.V. (2019) Management and Cost Accounting. 7th edn. Harlow: Pearson.</w:t>
      </w:r>
    </w:p>
    <w:p w14:paraId="5EA38885" w14:textId="77777777" w:rsidR="00B15823" w:rsidRPr="00A079CF" w:rsidRDefault="00B15823" w:rsidP="00C62ABF">
      <w:pPr>
        <w:spacing w:line="360" w:lineRule="auto"/>
        <w:rPr>
          <w:rFonts w:ascii="Arial" w:hAnsi="Arial" w:cs="Arial"/>
          <w:sz w:val="22"/>
        </w:rPr>
      </w:pPr>
      <w:r w:rsidRPr="00A079CF">
        <w:rPr>
          <w:rFonts w:ascii="Arial" w:hAnsi="Arial" w:cs="Arial"/>
          <w:sz w:val="22"/>
        </w:rPr>
        <w:t>Chartered Institute of Management Accountants (CIMA) (2024) Management Accounting Tools and Techniques. London: CIMA.</w:t>
      </w:r>
    </w:p>
    <w:p w14:paraId="42B950E6" w14:textId="77777777" w:rsidR="00B15823" w:rsidRPr="00A079CF" w:rsidRDefault="00B15823" w:rsidP="00C62ABF">
      <w:pPr>
        <w:spacing w:line="360" w:lineRule="auto"/>
        <w:rPr>
          <w:rFonts w:ascii="Arial" w:hAnsi="Arial" w:cs="Arial"/>
          <w:sz w:val="22"/>
        </w:rPr>
      </w:pPr>
      <w:r w:rsidRPr="00A079CF">
        <w:rPr>
          <w:rFonts w:ascii="Arial" w:hAnsi="Arial" w:cs="Arial"/>
          <w:sz w:val="22"/>
        </w:rPr>
        <w:t>Cooper, R. and Kaplan, R.S. (1988) 'Measure Costs Right: Make the Right Decisions', Harvard Business Review, 66(5), pp. 96-103.</w:t>
      </w:r>
    </w:p>
    <w:p w14:paraId="5A6167B0" w14:textId="07343C33" w:rsidR="00B15823" w:rsidRPr="00A079CF" w:rsidRDefault="00B15823" w:rsidP="00C62ABF">
      <w:pPr>
        <w:spacing w:line="360" w:lineRule="auto"/>
        <w:rPr>
          <w:rFonts w:ascii="Arial" w:hAnsi="Arial" w:cs="Arial"/>
          <w:sz w:val="22"/>
        </w:rPr>
      </w:pPr>
      <w:r w:rsidRPr="00A079CF">
        <w:rPr>
          <w:rFonts w:ascii="Arial" w:hAnsi="Arial" w:cs="Arial"/>
          <w:sz w:val="22"/>
        </w:rPr>
        <w:t>Drury, C. (2018) Management and Cost Accounting. 10th edn. London: Cengage Learning.</w:t>
      </w:r>
    </w:p>
    <w:p w14:paraId="65D3A67F" w14:textId="5C69DB41" w:rsidR="00B15823" w:rsidRPr="00A079CF" w:rsidRDefault="00B15823" w:rsidP="00C62ABF">
      <w:pPr>
        <w:spacing w:line="360" w:lineRule="auto"/>
        <w:rPr>
          <w:rFonts w:ascii="Arial" w:hAnsi="Arial" w:cs="Arial"/>
          <w:sz w:val="22"/>
        </w:rPr>
      </w:pPr>
      <w:r w:rsidRPr="00A079CF">
        <w:rPr>
          <w:rFonts w:ascii="Arial" w:hAnsi="Arial" w:cs="Arial"/>
          <w:sz w:val="22"/>
        </w:rPr>
        <w:t>Hansen, D.R., Mowen, M.M. and Heitger, D.L. (2021) Cornerstones of Cost Management. 5th edn. Boston: Cengage Learning.</w:t>
      </w:r>
    </w:p>
    <w:p w14:paraId="03A754FF" w14:textId="71D67576" w:rsidR="00B15823" w:rsidRPr="00A079CF" w:rsidRDefault="00B15823" w:rsidP="00C62ABF">
      <w:pPr>
        <w:spacing w:line="360" w:lineRule="auto"/>
        <w:rPr>
          <w:rFonts w:ascii="Arial" w:hAnsi="Arial" w:cs="Arial"/>
          <w:sz w:val="22"/>
        </w:rPr>
      </w:pPr>
      <w:r w:rsidRPr="00A079CF">
        <w:rPr>
          <w:rFonts w:ascii="Arial" w:hAnsi="Arial" w:cs="Arial"/>
          <w:sz w:val="22"/>
        </w:rPr>
        <w:t>Horngren, C.T., Datar, S.M. and Rajan, M.V. (2021) Cost Accounting: A Managerial Emphasis. 17th edn. Harlow: Pearson.</w:t>
      </w:r>
    </w:p>
    <w:p w14:paraId="45745B9B" w14:textId="77777777" w:rsidR="00B15823" w:rsidRPr="00A079CF" w:rsidRDefault="00B15823" w:rsidP="00C62ABF">
      <w:pPr>
        <w:spacing w:line="360" w:lineRule="auto"/>
        <w:rPr>
          <w:rFonts w:ascii="Arial" w:hAnsi="Arial" w:cs="Arial"/>
          <w:sz w:val="22"/>
        </w:rPr>
      </w:pPr>
      <w:r w:rsidRPr="00A079CF">
        <w:rPr>
          <w:rFonts w:ascii="Arial" w:hAnsi="Arial" w:cs="Arial"/>
          <w:sz w:val="22"/>
        </w:rPr>
        <w:t>International Energy Agency (IEA) (2025) Global EV Outlook 2025. Paris: IEA.</w:t>
      </w:r>
    </w:p>
    <w:p w14:paraId="1BEB2027" w14:textId="77777777" w:rsidR="00B15823" w:rsidRPr="00A079CF" w:rsidRDefault="00B15823" w:rsidP="00C62ABF">
      <w:pPr>
        <w:spacing w:line="360" w:lineRule="auto"/>
        <w:rPr>
          <w:rFonts w:ascii="Arial" w:hAnsi="Arial" w:cs="Arial"/>
          <w:sz w:val="22"/>
        </w:rPr>
      </w:pPr>
      <w:r w:rsidRPr="00A079CF">
        <w:rPr>
          <w:rFonts w:ascii="Arial" w:hAnsi="Arial" w:cs="Arial"/>
          <w:sz w:val="22"/>
        </w:rPr>
        <w:t>Johnson, H.T. and Kaplan, R.S. (1987) Relevance Lost: The Rise and Fall of Management Accounting. Boston: Harvard Business School Press.</w:t>
      </w:r>
    </w:p>
    <w:p w14:paraId="263D3FA7" w14:textId="77777777" w:rsidR="00B15823" w:rsidRPr="00A079CF" w:rsidRDefault="00B15823" w:rsidP="00C62ABF">
      <w:pPr>
        <w:spacing w:line="360" w:lineRule="auto"/>
        <w:rPr>
          <w:rFonts w:ascii="Arial" w:hAnsi="Arial" w:cs="Arial"/>
          <w:sz w:val="22"/>
        </w:rPr>
      </w:pPr>
      <w:r w:rsidRPr="00A079CF">
        <w:rPr>
          <w:rFonts w:ascii="Arial" w:hAnsi="Arial" w:cs="Arial"/>
          <w:sz w:val="22"/>
        </w:rPr>
        <w:t>Kaplan, R.S. and Atkinson, A.A. (2015) Advanced Management Accounting. 3rd edn. Harlow: Pearson.</w:t>
      </w:r>
    </w:p>
    <w:p w14:paraId="16BFA816" w14:textId="77777777" w:rsidR="00B15823" w:rsidRPr="00A079CF" w:rsidRDefault="00B15823" w:rsidP="00C62ABF">
      <w:pPr>
        <w:spacing w:line="360" w:lineRule="auto"/>
        <w:rPr>
          <w:rFonts w:ascii="Arial" w:hAnsi="Arial" w:cs="Arial"/>
          <w:sz w:val="22"/>
        </w:rPr>
      </w:pPr>
      <w:r w:rsidRPr="00A079CF">
        <w:rPr>
          <w:rFonts w:ascii="Arial" w:hAnsi="Arial" w:cs="Arial"/>
          <w:sz w:val="22"/>
        </w:rPr>
        <w:t>Kaplan, R.S. and Norton, D.P. (1992) 'The Balanced Scorecard: Measures that Drive Performance', Harvard Business Review, 70(1), pp. 71-79.</w:t>
      </w:r>
    </w:p>
    <w:p w14:paraId="51A0133B" w14:textId="77777777" w:rsidR="00B15823" w:rsidRPr="00A079CF" w:rsidRDefault="00B15823" w:rsidP="00C62ABF">
      <w:pPr>
        <w:spacing w:line="360" w:lineRule="auto"/>
        <w:rPr>
          <w:rFonts w:ascii="Arial" w:hAnsi="Arial" w:cs="Arial"/>
          <w:sz w:val="22"/>
        </w:rPr>
      </w:pPr>
      <w:r w:rsidRPr="00A079CF">
        <w:rPr>
          <w:rFonts w:ascii="Arial" w:hAnsi="Arial" w:cs="Arial"/>
          <w:sz w:val="22"/>
        </w:rPr>
        <w:t>Mangram, M.E. (2012) 'The globalization of Tesla Motors: a strategic marketing plan analysis', Journal of Strategic Marketing, 20(4), pp. 289-312.</w:t>
      </w:r>
    </w:p>
    <w:p w14:paraId="050EA3F7" w14:textId="77777777" w:rsidR="00B15823" w:rsidRPr="00A079CF" w:rsidRDefault="00B15823" w:rsidP="00C62ABF">
      <w:pPr>
        <w:spacing w:line="360" w:lineRule="auto"/>
        <w:rPr>
          <w:rFonts w:ascii="Arial" w:hAnsi="Arial" w:cs="Arial"/>
          <w:sz w:val="22"/>
        </w:rPr>
      </w:pPr>
      <w:r w:rsidRPr="00A079CF">
        <w:rPr>
          <w:rFonts w:ascii="Arial" w:hAnsi="Arial" w:cs="Arial"/>
          <w:sz w:val="22"/>
        </w:rPr>
        <w:t>Oncioiu, I., Cokins, G., Capusneanu, S. and Topor, D.I. (2020) Management Accounting Standards for Sustainable Business Practices. Hershey, PA: IGI Global.</w:t>
      </w:r>
    </w:p>
    <w:p w14:paraId="1DB4F2EE" w14:textId="77777777" w:rsidR="00B15823" w:rsidRPr="00A079CF" w:rsidRDefault="00B15823" w:rsidP="00C62ABF">
      <w:pPr>
        <w:spacing w:line="360" w:lineRule="auto"/>
        <w:rPr>
          <w:rFonts w:ascii="Arial" w:hAnsi="Arial" w:cs="Arial"/>
          <w:sz w:val="22"/>
        </w:rPr>
      </w:pPr>
      <w:r w:rsidRPr="00A079CF">
        <w:rPr>
          <w:rFonts w:ascii="Arial" w:hAnsi="Arial" w:cs="Arial"/>
          <w:sz w:val="22"/>
        </w:rPr>
        <w:t>Porter, M.E. (1985) Competitive Advantage: Creating and Sustaining Superior Performance. New York: Free Press.</w:t>
      </w:r>
    </w:p>
    <w:p w14:paraId="41D850C7" w14:textId="1F42AD1A" w:rsidR="00B15823" w:rsidRPr="00A079CF" w:rsidRDefault="00B15823" w:rsidP="00C62ABF">
      <w:pPr>
        <w:spacing w:line="360" w:lineRule="auto"/>
        <w:rPr>
          <w:rFonts w:ascii="Arial" w:hAnsi="Arial" w:cs="Arial"/>
          <w:sz w:val="22"/>
        </w:rPr>
      </w:pPr>
      <w:r w:rsidRPr="00A079CF">
        <w:rPr>
          <w:rFonts w:ascii="Arial" w:hAnsi="Arial" w:cs="Arial"/>
          <w:sz w:val="22"/>
        </w:rPr>
        <w:lastRenderedPageBreak/>
        <w:t>Seal, W.B., Rohde, C., Garrison, R.H. and Noreen, E.W. (2019) Management Accounting. 6th edn. London: McGraw-Hill Education.</w:t>
      </w:r>
    </w:p>
    <w:p w14:paraId="229FC49A" w14:textId="77777777" w:rsidR="00B15823" w:rsidRPr="00A079CF" w:rsidRDefault="00B15823" w:rsidP="00C62ABF">
      <w:pPr>
        <w:spacing w:line="360" w:lineRule="auto"/>
        <w:rPr>
          <w:rFonts w:ascii="Arial" w:hAnsi="Arial" w:cs="Arial"/>
          <w:sz w:val="22"/>
        </w:rPr>
      </w:pPr>
      <w:r w:rsidRPr="00A079CF">
        <w:rPr>
          <w:rFonts w:ascii="Arial" w:hAnsi="Arial" w:cs="Arial"/>
          <w:sz w:val="22"/>
        </w:rPr>
        <w:t>Tesla, Inc. (2025a) Annual Report 2024 (Form 10-K). Austin, TX: Tesla, Inc.</w:t>
      </w:r>
    </w:p>
    <w:p w14:paraId="66460768" w14:textId="77777777" w:rsidR="00B15823" w:rsidRPr="00A079CF" w:rsidRDefault="00B15823" w:rsidP="00C62ABF">
      <w:pPr>
        <w:spacing w:line="360" w:lineRule="auto"/>
        <w:rPr>
          <w:rFonts w:ascii="Arial" w:hAnsi="Arial" w:cs="Arial"/>
          <w:sz w:val="22"/>
        </w:rPr>
      </w:pPr>
      <w:r w:rsidRPr="00A079CF">
        <w:rPr>
          <w:rFonts w:ascii="Arial" w:hAnsi="Arial" w:cs="Arial"/>
          <w:sz w:val="22"/>
        </w:rPr>
        <w:t>Tesla, Inc. (2025b) Tesla Impact Report 2024. Austin, TX: Tesla, Inc.</w:t>
      </w:r>
    </w:p>
    <w:p w14:paraId="27971B37" w14:textId="77777777" w:rsidR="00B15823" w:rsidRPr="00A079CF" w:rsidRDefault="00B15823" w:rsidP="00C62ABF">
      <w:pPr>
        <w:spacing w:line="360" w:lineRule="auto"/>
        <w:rPr>
          <w:rFonts w:ascii="Arial" w:hAnsi="Arial" w:cs="Arial"/>
          <w:sz w:val="22"/>
        </w:rPr>
      </w:pPr>
      <w:r w:rsidRPr="00A079CF">
        <w:rPr>
          <w:rFonts w:ascii="Arial" w:hAnsi="Arial" w:cs="Arial"/>
          <w:sz w:val="22"/>
        </w:rPr>
        <w:t>Tesla, Inc. (2025c) Fourth Quarter and Full Year 2024 Financial Update. Austin, TX: Tesla, Inc.</w:t>
      </w:r>
    </w:p>
    <w:p w14:paraId="6AFBDF2D" w14:textId="77777777" w:rsidR="00B15823" w:rsidRPr="00A079CF" w:rsidRDefault="00B15823" w:rsidP="00C62ABF">
      <w:pPr>
        <w:spacing w:line="360" w:lineRule="auto"/>
        <w:rPr>
          <w:rFonts w:ascii="Arial" w:hAnsi="Arial" w:cs="Arial"/>
          <w:sz w:val="22"/>
        </w:rPr>
      </w:pPr>
      <w:r w:rsidRPr="00A079CF">
        <w:rPr>
          <w:rFonts w:ascii="Arial" w:hAnsi="Arial" w:cs="Arial"/>
          <w:sz w:val="22"/>
        </w:rPr>
        <w:t xml:space="preserve">Tesla Investor Relations (2025) Investor information and corporate reports. Available at: </w:t>
      </w:r>
      <w:hyperlink r:id="rId6" w:history="1">
        <w:r w:rsidRPr="00A079CF">
          <w:rPr>
            <w:rStyle w:val="Hyperlink"/>
            <w:rFonts w:ascii="Arial" w:hAnsi="Arial" w:cs="Arial"/>
            <w:sz w:val="22"/>
          </w:rPr>
          <w:t>https://ir.tesla.com/</w:t>
        </w:r>
      </w:hyperlink>
      <w:r w:rsidRPr="00A079CF">
        <w:rPr>
          <w:rFonts w:ascii="Arial" w:hAnsi="Arial" w:cs="Arial"/>
          <w:sz w:val="22"/>
        </w:rPr>
        <w:t xml:space="preserve"> (Accessed: 15 June 2026).</w:t>
      </w:r>
    </w:p>
    <w:p w14:paraId="5BADA527" w14:textId="056F50DF" w:rsidR="00B15823" w:rsidRPr="00A079CF" w:rsidRDefault="00B15823" w:rsidP="00C62ABF">
      <w:pPr>
        <w:spacing w:line="360" w:lineRule="auto"/>
        <w:rPr>
          <w:rFonts w:ascii="Arial" w:hAnsi="Arial" w:cs="Arial"/>
          <w:sz w:val="22"/>
        </w:rPr>
      </w:pPr>
      <w:r w:rsidRPr="00A079CF">
        <w:rPr>
          <w:rFonts w:ascii="Arial" w:hAnsi="Arial" w:cs="Arial"/>
          <w:sz w:val="22"/>
        </w:rPr>
        <w:t>Weetman, P. (2013) Financial and Management Accounting: An Introduction. 6th edn. Harlow: Pearson Education.</w:t>
      </w:r>
    </w:p>
    <w:p w14:paraId="2B11467A" w14:textId="77777777" w:rsidR="00C85D3E" w:rsidRPr="00A079CF" w:rsidRDefault="00C85D3E" w:rsidP="00C62ABF">
      <w:pPr>
        <w:spacing w:line="360" w:lineRule="auto"/>
        <w:rPr>
          <w:rFonts w:ascii="Arial" w:hAnsi="Arial" w:cs="Arial"/>
          <w:sz w:val="22"/>
        </w:rPr>
      </w:pPr>
    </w:p>
    <w:sectPr w:rsidR="00C85D3E" w:rsidRPr="00A079CF"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721FE2"/>
    <w:multiLevelType w:val="hybridMultilevel"/>
    <w:tmpl w:val="B4141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103A18"/>
    <w:multiLevelType w:val="hybridMultilevel"/>
    <w:tmpl w:val="E000D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3182475">
    <w:abstractNumId w:val="0"/>
  </w:num>
  <w:num w:numId="2" w16cid:durableId="1326975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3E"/>
    <w:rsid w:val="0089135C"/>
    <w:rsid w:val="00A079CF"/>
    <w:rsid w:val="00B15823"/>
    <w:rsid w:val="00BF304A"/>
    <w:rsid w:val="00C62ABF"/>
    <w:rsid w:val="00C85D3E"/>
    <w:rsid w:val="00ED5316"/>
    <w:rsid w:val="00F74892"/>
    <w:rsid w:val="00FD3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4BFD6"/>
  <w15:chartTrackingRefBased/>
  <w15:docId w15:val="{24C00D48-595C-4734-BEAC-714278932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823"/>
    <w:pPr>
      <w:spacing w:after="200" w:line="276" w:lineRule="auto"/>
    </w:pPr>
    <w:rPr>
      <w:rFonts w:ascii="Times New Roman" w:eastAsiaTheme="minorEastAsia" w:hAnsi="Times New Roman"/>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5823"/>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5823"/>
    <w:rPr>
      <w:color w:val="0563C1" w:themeColor="hyperlink"/>
      <w:u w:val="single"/>
    </w:rPr>
  </w:style>
  <w:style w:type="character" w:styleId="Strong">
    <w:name w:val="Strong"/>
    <w:basedOn w:val="DefaultParagraphFont"/>
    <w:uiPriority w:val="22"/>
    <w:qFormat/>
    <w:rsid w:val="00C62ABF"/>
    <w:rPr>
      <w:b/>
      <w:bCs/>
    </w:rPr>
  </w:style>
  <w:style w:type="paragraph" w:styleId="ListParagraph">
    <w:name w:val="List Paragraph"/>
    <w:basedOn w:val="Normal"/>
    <w:uiPriority w:val="34"/>
    <w:qFormat/>
    <w:rsid w:val="00ED5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r.tesla.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2815</Words>
  <Characters>16051</Characters>
  <Application>Microsoft Office Word</Application>
  <DocSecurity>0</DocSecurity>
  <Lines>133</Lines>
  <Paragraphs>37</Paragraphs>
  <ScaleCrop>false</ScaleCrop>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Bogdan Dan (2310378)</dc:creator>
  <cp:keywords/>
  <dc:description/>
  <cp:lastModifiedBy>Corneliu Bogdan Dan (2310378)</cp:lastModifiedBy>
  <cp:revision>2</cp:revision>
  <dcterms:created xsi:type="dcterms:W3CDTF">2026-06-28T10:15:00Z</dcterms:created>
  <dcterms:modified xsi:type="dcterms:W3CDTF">2026-06-28T10:15:00Z</dcterms:modified>
</cp:coreProperties>
</file>