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7FFAC"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29085562"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3FC059A8"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513C5FB1"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142FE517"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0C746A64"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6922394B"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60FCF093"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62A61AAE"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195A78E7"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3E8D7B5C" w14:textId="22029ECE" w:rsidR="00FA0BF9" w:rsidRDefault="00D1426E" w:rsidP="00520699">
      <w:pPr>
        <w:spacing w:line="480" w:lineRule="auto"/>
        <w:jc w:val="center"/>
        <w:rPr>
          <w:rStyle w:val="markedcontent"/>
          <w:rFonts w:ascii="Times New Roman" w:hAnsi="Times New Roman" w:cs="Times New Roman"/>
          <w:b/>
          <w:color w:val="000000" w:themeColor="text1"/>
          <w:sz w:val="24"/>
          <w:szCs w:val="24"/>
        </w:rPr>
      </w:pPr>
      <w:r>
        <w:rPr>
          <w:rStyle w:val="markedcontent"/>
          <w:rFonts w:ascii="Times New Roman" w:hAnsi="Times New Roman" w:cs="Times New Roman"/>
          <w:b/>
          <w:color w:val="000000" w:themeColor="text1"/>
          <w:sz w:val="24"/>
          <w:szCs w:val="24"/>
        </w:rPr>
        <w:t>International Financial Management</w:t>
      </w:r>
    </w:p>
    <w:p w14:paraId="5992F697" w14:textId="2066C083" w:rsidR="00D1426E" w:rsidRDefault="00D1426E" w:rsidP="00520699">
      <w:pPr>
        <w:spacing w:line="480" w:lineRule="auto"/>
        <w:jc w:val="center"/>
        <w:rPr>
          <w:rStyle w:val="markedcontent"/>
          <w:rFonts w:ascii="Times New Roman" w:hAnsi="Times New Roman" w:cs="Times New Roman"/>
          <w:b/>
          <w:color w:val="000000" w:themeColor="text1"/>
          <w:sz w:val="24"/>
          <w:szCs w:val="24"/>
        </w:rPr>
      </w:pPr>
      <w:r>
        <w:rPr>
          <w:rStyle w:val="markedcontent"/>
          <w:rFonts w:ascii="Times New Roman" w:hAnsi="Times New Roman" w:cs="Times New Roman"/>
          <w:b/>
          <w:color w:val="000000" w:themeColor="text1"/>
          <w:sz w:val="24"/>
          <w:szCs w:val="24"/>
        </w:rPr>
        <w:t>Lecturer: Dr. Taye Timothy Osadiya</w:t>
      </w:r>
    </w:p>
    <w:p w14:paraId="20F41B70" w14:textId="289CF950" w:rsidR="00D1426E" w:rsidRDefault="00D1426E" w:rsidP="00520699">
      <w:pPr>
        <w:spacing w:line="480" w:lineRule="auto"/>
        <w:jc w:val="center"/>
        <w:rPr>
          <w:rStyle w:val="markedcontent"/>
          <w:rFonts w:ascii="Times New Roman" w:hAnsi="Times New Roman" w:cs="Times New Roman"/>
          <w:b/>
          <w:color w:val="000000" w:themeColor="text1"/>
          <w:sz w:val="24"/>
          <w:szCs w:val="24"/>
        </w:rPr>
      </w:pPr>
      <w:r>
        <w:rPr>
          <w:rStyle w:val="markedcontent"/>
          <w:rFonts w:ascii="Times New Roman" w:hAnsi="Times New Roman" w:cs="Times New Roman"/>
          <w:b/>
          <w:color w:val="000000" w:themeColor="text1"/>
          <w:sz w:val="24"/>
          <w:szCs w:val="24"/>
        </w:rPr>
        <w:t>Martin Aleksandrov</w:t>
      </w:r>
    </w:p>
    <w:p w14:paraId="29153F04" w14:textId="3DAB53AE" w:rsidR="00D1426E" w:rsidRDefault="00D1426E" w:rsidP="00520699">
      <w:pPr>
        <w:spacing w:line="480" w:lineRule="auto"/>
        <w:jc w:val="center"/>
        <w:rPr>
          <w:rStyle w:val="markedcontent"/>
          <w:rFonts w:ascii="Times New Roman" w:hAnsi="Times New Roman" w:cs="Times New Roman"/>
          <w:b/>
          <w:color w:val="000000" w:themeColor="text1"/>
          <w:sz w:val="24"/>
          <w:szCs w:val="24"/>
        </w:rPr>
      </w:pPr>
      <w:r>
        <w:rPr>
          <w:rStyle w:val="markedcontent"/>
          <w:rFonts w:ascii="Times New Roman" w:hAnsi="Times New Roman" w:cs="Times New Roman"/>
          <w:b/>
          <w:color w:val="000000" w:themeColor="text1"/>
          <w:sz w:val="24"/>
          <w:szCs w:val="24"/>
        </w:rPr>
        <w:t>1913436</w:t>
      </w:r>
    </w:p>
    <w:p w14:paraId="70B60211" w14:textId="2EE0B382" w:rsidR="00D1426E" w:rsidRPr="00520699" w:rsidRDefault="00D1426E" w:rsidP="00520699">
      <w:pPr>
        <w:spacing w:line="480" w:lineRule="auto"/>
        <w:jc w:val="center"/>
        <w:rPr>
          <w:rStyle w:val="markedcontent"/>
          <w:rFonts w:ascii="Times New Roman" w:hAnsi="Times New Roman" w:cs="Times New Roman"/>
          <w:b/>
          <w:color w:val="000000" w:themeColor="text1"/>
          <w:sz w:val="24"/>
          <w:szCs w:val="24"/>
        </w:rPr>
      </w:pPr>
      <w:r>
        <w:rPr>
          <w:rStyle w:val="markedcontent"/>
          <w:rFonts w:ascii="Times New Roman" w:hAnsi="Times New Roman" w:cs="Times New Roman"/>
          <w:b/>
          <w:color w:val="000000" w:themeColor="text1"/>
          <w:sz w:val="24"/>
          <w:szCs w:val="24"/>
        </w:rPr>
        <w:t>04/04/2022</w:t>
      </w:r>
    </w:p>
    <w:p w14:paraId="54C254CF"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3E3C619D"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2D79AAC3"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2F98D5CE"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154F06F2"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13CA33DB" w14:textId="77777777" w:rsidR="00FA0BF9" w:rsidRPr="00520699" w:rsidRDefault="00FA0BF9" w:rsidP="00520699">
      <w:pPr>
        <w:spacing w:line="480" w:lineRule="auto"/>
        <w:jc w:val="center"/>
        <w:rPr>
          <w:rStyle w:val="markedcontent"/>
          <w:rFonts w:ascii="Times New Roman" w:hAnsi="Times New Roman" w:cs="Times New Roman"/>
          <w:b/>
          <w:color w:val="000000" w:themeColor="text1"/>
          <w:sz w:val="24"/>
          <w:szCs w:val="24"/>
        </w:rPr>
      </w:pPr>
    </w:p>
    <w:p w14:paraId="4F34060A" w14:textId="77777777" w:rsidR="00FA0BF9" w:rsidRPr="00520699" w:rsidRDefault="00FA0BF9" w:rsidP="009F0D06">
      <w:pPr>
        <w:spacing w:line="480" w:lineRule="auto"/>
        <w:rPr>
          <w:rStyle w:val="markedcontent"/>
          <w:rFonts w:ascii="Times New Roman" w:hAnsi="Times New Roman" w:cs="Times New Roman"/>
          <w:b/>
          <w:color w:val="000000" w:themeColor="text1"/>
          <w:sz w:val="24"/>
          <w:szCs w:val="24"/>
        </w:rPr>
      </w:pPr>
    </w:p>
    <w:sdt>
      <w:sdtPr>
        <w:rPr>
          <w:rFonts w:ascii="Times New Roman" w:eastAsiaTheme="minorHAnsi" w:hAnsi="Times New Roman" w:cs="Times New Roman"/>
          <w:color w:val="000000" w:themeColor="text1"/>
          <w:sz w:val="24"/>
          <w:szCs w:val="24"/>
          <w:lang w:val="en-GB"/>
        </w:rPr>
        <w:id w:val="866099583"/>
        <w:docPartObj>
          <w:docPartGallery w:val="Table of Contents"/>
          <w:docPartUnique/>
        </w:docPartObj>
      </w:sdtPr>
      <w:sdtEndPr>
        <w:rPr>
          <w:b/>
          <w:bCs/>
          <w:noProof/>
        </w:rPr>
      </w:sdtEndPr>
      <w:sdtContent>
        <w:p w14:paraId="19D8914A" w14:textId="77777777" w:rsidR="00FA0BF9" w:rsidRPr="00520699" w:rsidRDefault="00FA0BF9" w:rsidP="00520699">
          <w:pPr>
            <w:pStyle w:val="a3"/>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Table of Contents</w:t>
          </w:r>
        </w:p>
        <w:p w14:paraId="244A8DB0" w14:textId="77777777" w:rsidR="00520699" w:rsidRDefault="00FA0BF9">
          <w:pPr>
            <w:pStyle w:val="11"/>
            <w:tabs>
              <w:tab w:val="right" w:leader="dot" w:pos="9016"/>
            </w:tabs>
            <w:rPr>
              <w:rFonts w:eastAsiaTheme="minorEastAsia"/>
              <w:noProof/>
              <w:lang w:eastAsia="en-GB"/>
            </w:rPr>
          </w:pPr>
          <w:r w:rsidRPr="00520699">
            <w:rPr>
              <w:rFonts w:ascii="Times New Roman" w:hAnsi="Times New Roman" w:cs="Times New Roman"/>
              <w:color w:val="000000" w:themeColor="text1"/>
              <w:sz w:val="24"/>
              <w:szCs w:val="24"/>
            </w:rPr>
            <w:fldChar w:fldCharType="begin"/>
          </w:r>
          <w:r w:rsidRPr="00520699">
            <w:rPr>
              <w:rFonts w:ascii="Times New Roman" w:hAnsi="Times New Roman" w:cs="Times New Roman"/>
              <w:color w:val="000000" w:themeColor="text1"/>
              <w:sz w:val="24"/>
              <w:szCs w:val="24"/>
            </w:rPr>
            <w:instrText xml:space="preserve"> TOC \o "1-3" \h \z \u </w:instrText>
          </w:r>
          <w:r w:rsidRPr="00520699">
            <w:rPr>
              <w:rFonts w:ascii="Times New Roman" w:hAnsi="Times New Roman" w:cs="Times New Roman"/>
              <w:color w:val="000000" w:themeColor="text1"/>
              <w:sz w:val="24"/>
              <w:szCs w:val="24"/>
            </w:rPr>
            <w:fldChar w:fldCharType="separate"/>
          </w:r>
          <w:hyperlink w:anchor="_Toc99191793" w:history="1">
            <w:r w:rsidR="00520699" w:rsidRPr="00F03680">
              <w:rPr>
                <w:rStyle w:val="a4"/>
                <w:rFonts w:ascii="Times New Roman" w:hAnsi="Times New Roman" w:cs="Times New Roman"/>
                <w:b/>
                <w:noProof/>
              </w:rPr>
              <w:t>International financial management</w:t>
            </w:r>
            <w:r w:rsidR="00520699">
              <w:rPr>
                <w:noProof/>
                <w:webHidden/>
              </w:rPr>
              <w:tab/>
            </w:r>
            <w:r w:rsidR="00520699">
              <w:rPr>
                <w:noProof/>
                <w:webHidden/>
              </w:rPr>
              <w:fldChar w:fldCharType="begin"/>
            </w:r>
            <w:r w:rsidR="00520699">
              <w:rPr>
                <w:noProof/>
                <w:webHidden/>
              </w:rPr>
              <w:instrText xml:space="preserve"> PAGEREF _Toc99191793 \h </w:instrText>
            </w:r>
            <w:r w:rsidR="00520699">
              <w:rPr>
                <w:noProof/>
                <w:webHidden/>
              </w:rPr>
            </w:r>
            <w:r w:rsidR="00520699">
              <w:rPr>
                <w:noProof/>
                <w:webHidden/>
              </w:rPr>
              <w:fldChar w:fldCharType="separate"/>
            </w:r>
            <w:r w:rsidR="00520699">
              <w:rPr>
                <w:noProof/>
                <w:webHidden/>
              </w:rPr>
              <w:t>4</w:t>
            </w:r>
            <w:r w:rsidR="00520699">
              <w:rPr>
                <w:noProof/>
                <w:webHidden/>
              </w:rPr>
              <w:fldChar w:fldCharType="end"/>
            </w:r>
          </w:hyperlink>
        </w:p>
        <w:p w14:paraId="5B2A6F8E" w14:textId="77777777" w:rsidR="00520699" w:rsidRDefault="008701F2">
          <w:pPr>
            <w:pStyle w:val="21"/>
            <w:tabs>
              <w:tab w:val="right" w:leader="dot" w:pos="9016"/>
            </w:tabs>
            <w:rPr>
              <w:noProof/>
            </w:rPr>
          </w:pPr>
          <w:hyperlink w:anchor="_Toc99191794" w:history="1">
            <w:r w:rsidR="00520699" w:rsidRPr="00F03680">
              <w:rPr>
                <w:rStyle w:val="a4"/>
                <w:rFonts w:ascii="Times New Roman" w:hAnsi="Times New Roman" w:cs="Times New Roman"/>
                <w:noProof/>
              </w:rPr>
              <w:t>Applicability of IFM to Microsoft</w:t>
            </w:r>
            <w:r w:rsidR="00520699">
              <w:rPr>
                <w:noProof/>
                <w:webHidden/>
              </w:rPr>
              <w:tab/>
            </w:r>
            <w:r w:rsidR="00520699">
              <w:rPr>
                <w:noProof/>
                <w:webHidden/>
              </w:rPr>
              <w:fldChar w:fldCharType="begin"/>
            </w:r>
            <w:r w:rsidR="00520699">
              <w:rPr>
                <w:noProof/>
                <w:webHidden/>
              </w:rPr>
              <w:instrText xml:space="preserve"> PAGEREF _Toc99191794 \h </w:instrText>
            </w:r>
            <w:r w:rsidR="00520699">
              <w:rPr>
                <w:noProof/>
                <w:webHidden/>
              </w:rPr>
            </w:r>
            <w:r w:rsidR="00520699">
              <w:rPr>
                <w:noProof/>
                <w:webHidden/>
              </w:rPr>
              <w:fldChar w:fldCharType="separate"/>
            </w:r>
            <w:r w:rsidR="00520699">
              <w:rPr>
                <w:noProof/>
                <w:webHidden/>
              </w:rPr>
              <w:t>5</w:t>
            </w:r>
            <w:r w:rsidR="00520699">
              <w:rPr>
                <w:noProof/>
                <w:webHidden/>
              </w:rPr>
              <w:fldChar w:fldCharType="end"/>
            </w:r>
          </w:hyperlink>
        </w:p>
        <w:p w14:paraId="06067388" w14:textId="77777777" w:rsidR="00520699" w:rsidRDefault="008701F2">
          <w:pPr>
            <w:pStyle w:val="31"/>
            <w:tabs>
              <w:tab w:val="right" w:leader="dot" w:pos="9016"/>
            </w:tabs>
            <w:rPr>
              <w:noProof/>
            </w:rPr>
          </w:pPr>
          <w:hyperlink w:anchor="_Toc99191795" w:history="1">
            <w:r w:rsidR="00520699" w:rsidRPr="00F03680">
              <w:rPr>
                <w:rStyle w:val="a4"/>
                <w:rFonts w:ascii="Times New Roman" w:hAnsi="Times New Roman" w:cs="Times New Roman"/>
                <w:b/>
                <w:noProof/>
              </w:rPr>
              <w:t>The Purchasing Power Parity Theory</w:t>
            </w:r>
            <w:r w:rsidR="00520699">
              <w:rPr>
                <w:noProof/>
                <w:webHidden/>
              </w:rPr>
              <w:tab/>
            </w:r>
            <w:r w:rsidR="00520699">
              <w:rPr>
                <w:noProof/>
                <w:webHidden/>
              </w:rPr>
              <w:fldChar w:fldCharType="begin"/>
            </w:r>
            <w:r w:rsidR="00520699">
              <w:rPr>
                <w:noProof/>
                <w:webHidden/>
              </w:rPr>
              <w:instrText xml:space="preserve"> PAGEREF _Toc99191795 \h </w:instrText>
            </w:r>
            <w:r w:rsidR="00520699">
              <w:rPr>
                <w:noProof/>
                <w:webHidden/>
              </w:rPr>
            </w:r>
            <w:r w:rsidR="00520699">
              <w:rPr>
                <w:noProof/>
                <w:webHidden/>
              </w:rPr>
              <w:fldChar w:fldCharType="separate"/>
            </w:r>
            <w:r w:rsidR="00520699">
              <w:rPr>
                <w:noProof/>
                <w:webHidden/>
              </w:rPr>
              <w:t>5</w:t>
            </w:r>
            <w:r w:rsidR="00520699">
              <w:rPr>
                <w:noProof/>
                <w:webHidden/>
              </w:rPr>
              <w:fldChar w:fldCharType="end"/>
            </w:r>
          </w:hyperlink>
        </w:p>
        <w:p w14:paraId="408ACCD2" w14:textId="77777777" w:rsidR="00520699" w:rsidRDefault="008701F2">
          <w:pPr>
            <w:pStyle w:val="31"/>
            <w:tabs>
              <w:tab w:val="right" w:leader="dot" w:pos="9016"/>
            </w:tabs>
            <w:rPr>
              <w:noProof/>
            </w:rPr>
          </w:pPr>
          <w:hyperlink w:anchor="_Toc99191796" w:history="1">
            <w:r w:rsidR="00520699" w:rsidRPr="00F03680">
              <w:rPr>
                <w:rStyle w:val="a4"/>
                <w:rFonts w:ascii="Times New Roman" w:hAnsi="Times New Roman" w:cs="Times New Roman"/>
                <w:b/>
                <w:noProof/>
              </w:rPr>
              <w:t>Interest rate parity (IRP)</w:t>
            </w:r>
            <w:r w:rsidR="00520699">
              <w:rPr>
                <w:noProof/>
                <w:webHidden/>
              </w:rPr>
              <w:tab/>
            </w:r>
            <w:r w:rsidR="00520699">
              <w:rPr>
                <w:noProof/>
                <w:webHidden/>
              </w:rPr>
              <w:fldChar w:fldCharType="begin"/>
            </w:r>
            <w:r w:rsidR="00520699">
              <w:rPr>
                <w:noProof/>
                <w:webHidden/>
              </w:rPr>
              <w:instrText xml:space="preserve"> PAGEREF _Toc99191796 \h </w:instrText>
            </w:r>
            <w:r w:rsidR="00520699">
              <w:rPr>
                <w:noProof/>
                <w:webHidden/>
              </w:rPr>
            </w:r>
            <w:r w:rsidR="00520699">
              <w:rPr>
                <w:noProof/>
                <w:webHidden/>
              </w:rPr>
              <w:fldChar w:fldCharType="separate"/>
            </w:r>
            <w:r w:rsidR="00520699">
              <w:rPr>
                <w:noProof/>
                <w:webHidden/>
              </w:rPr>
              <w:t>6</w:t>
            </w:r>
            <w:r w:rsidR="00520699">
              <w:rPr>
                <w:noProof/>
                <w:webHidden/>
              </w:rPr>
              <w:fldChar w:fldCharType="end"/>
            </w:r>
          </w:hyperlink>
        </w:p>
        <w:p w14:paraId="27E078C5" w14:textId="77777777" w:rsidR="00520699" w:rsidRDefault="008701F2">
          <w:pPr>
            <w:pStyle w:val="31"/>
            <w:tabs>
              <w:tab w:val="right" w:leader="dot" w:pos="9016"/>
            </w:tabs>
            <w:rPr>
              <w:noProof/>
            </w:rPr>
          </w:pPr>
          <w:hyperlink w:anchor="_Toc99191797" w:history="1">
            <w:r w:rsidR="00520699" w:rsidRPr="00F03680">
              <w:rPr>
                <w:rStyle w:val="a4"/>
                <w:rFonts w:ascii="Times New Roman" w:hAnsi="Times New Roman" w:cs="Times New Roman"/>
                <w:b/>
                <w:noProof/>
              </w:rPr>
              <w:t>Fisher effect and the international fisher effect</w:t>
            </w:r>
            <w:r w:rsidR="00520699">
              <w:rPr>
                <w:noProof/>
                <w:webHidden/>
              </w:rPr>
              <w:tab/>
            </w:r>
            <w:r w:rsidR="00520699">
              <w:rPr>
                <w:noProof/>
                <w:webHidden/>
              </w:rPr>
              <w:fldChar w:fldCharType="begin"/>
            </w:r>
            <w:r w:rsidR="00520699">
              <w:rPr>
                <w:noProof/>
                <w:webHidden/>
              </w:rPr>
              <w:instrText xml:space="preserve"> PAGEREF _Toc99191797 \h </w:instrText>
            </w:r>
            <w:r w:rsidR="00520699">
              <w:rPr>
                <w:noProof/>
                <w:webHidden/>
              </w:rPr>
            </w:r>
            <w:r w:rsidR="00520699">
              <w:rPr>
                <w:noProof/>
                <w:webHidden/>
              </w:rPr>
              <w:fldChar w:fldCharType="separate"/>
            </w:r>
            <w:r w:rsidR="00520699">
              <w:rPr>
                <w:noProof/>
                <w:webHidden/>
              </w:rPr>
              <w:t>7</w:t>
            </w:r>
            <w:r w:rsidR="00520699">
              <w:rPr>
                <w:noProof/>
                <w:webHidden/>
              </w:rPr>
              <w:fldChar w:fldCharType="end"/>
            </w:r>
          </w:hyperlink>
        </w:p>
        <w:p w14:paraId="6985E74B" w14:textId="77777777" w:rsidR="00520699" w:rsidRDefault="008701F2">
          <w:pPr>
            <w:pStyle w:val="21"/>
            <w:tabs>
              <w:tab w:val="right" w:leader="dot" w:pos="9016"/>
            </w:tabs>
            <w:rPr>
              <w:noProof/>
            </w:rPr>
          </w:pPr>
          <w:hyperlink w:anchor="_Toc99191798" w:history="1">
            <w:r w:rsidR="00520699" w:rsidRPr="00F03680">
              <w:rPr>
                <w:rStyle w:val="a4"/>
                <w:rFonts w:ascii="Times New Roman" w:hAnsi="Times New Roman" w:cs="Times New Roman"/>
                <w:b/>
                <w:noProof/>
              </w:rPr>
              <w:t>Microsoft challenges in the international business environment</w:t>
            </w:r>
            <w:r w:rsidR="00520699">
              <w:rPr>
                <w:noProof/>
                <w:webHidden/>
              </w:rPr>
              <w:tab/>
            </w:r>
            <w:r w:rsidR="00520699">
              <w:rPr>
                <w:noProof/>
                <w:webHidden/>
              </w:rPr>
              <w:fldChar w:fldCharType="begin"/>
            </w:r>
            <w:r w:rsidR="00520699">
              <w:rPr>
                <w:noProof/>
                <w:webHidden/>
              </w:rPr>
              <w:instrText xml:space="preserve"> PAGEREF _Toc99191798 \h </w:instrText>
            </w:r>
            <w:r w:rsidR="00520699">
              <w:rPr>
                <w:noProof/>
                <w:webHidden/>
              </w:rPr>
            </w:r>
            <w:r w:rsidR="00520699">
              <w:rPr>
                <w:noProof/>
                <w:webHidden/>
              </w:rPr>
              <w:fldChar w:fldCharType="separate"/>
            </w:r>
            <w:r w:rsidR="00520699">
              <w:rPr>
                <w:noProof/>
                <w:webHidden/>
              </w:rPr>
              <w:t>8</w:t>
            </w:r>
            <w:r w:rsidR="00520699">
              <w:rPr>
                <w:noProof/>
                <w:webHidden/>
              </w:rPr>
              <w:fldChar w:fldCharType="end"/>
            </w:r>
          </w:hyperlink>
        </w:p>
        <w:p w14:paraId="51071E42" w14:textId="77777777" w:rsidR="00520699" w:rsidRDefault="008701F2">
          <w:pPr>
            <w:pStyle w:val="21"/>
            <w:tabs>
              <w:tab w:val="right" w:leader="dot" w:pos="9016"/>
            </w:tabs>
            <w:rPr>
              <w:noProof/>
            </w:rPr>
          </w:pPr>
          <w:hyperlink w:anchor="_Toc99191799" w:history="1">
            <w:r w:rsidR="00520699" w:rsidRPr="00F03680">
              <w:rPr>
                <w:rStyle w:val="a4"/>
                <w:rFonts w:ascii="Times New Roman" w:hAnsi="Times New Roman" w:cs="Times New Roman"/>
                <w:b/>
                <w:noProof/>
              </w:rPr>
              <w:t>Dividend’s distribution policy</w:t>
            </w:r>
            <w:r w:rsidR="00520699">
              <w:rPr>
                <w:noProof/>
                <w:webHidden/>
              </w:rPr>
              <w:tab/>
            </w:r>
            <w:r w:rsidR="00520699">
              <w:rPr>
                <w:noProof/>
                <w:webHidden/>
              </w:rPr>
              <w:fldChar w:fldCharType="begin"/>
            </w:r>
            <w:r w:rsidR="00520699">
              <w:rPr>
                <w:noProof/>
                <w:webHidden/>
              </w:rPr>
              <w:instrText xml:space="preserve"> PAGEREF _Toc99191799 \h </w:instrText>
            </w:r>
            <w:r w:rsidR="00520699">
              <w:rPr>
                <w:noProof/>
                <w:webHidden/>
              </w:rPr>
            </w:r>
            <w:r w:rsidR="00520699">
              <w:rPr>
                <w:noProof/>
                <w:webHidden/>
              </w:rPr>
              <w:fldChar w:fldCharType="separate"/>
            </w:r>
            <w:r w:rsidR="00520699">
              <w:rPr>
                <w:noProof/>
                <w:webHidden/>
              </w:rPr>
              <w:t>9</w:t>
            </w:r>
            <w:r w:rsidR="00520699">
              <w:rPr>
                <w:noProof/>
                <w:webHidden/>
              </w:rPr>
              <w:fldChar w:fldCharType="end"/>
            </w:r>
          </w:hyperlink>
        </w:p>
        <w:p w14:paraId="1920A70A" w14:textId="77777777" w:rsidR="00520699" w:rsidRDefault="008701F2">
          <w:pPr>
            <w:pStyle w:val="21"/>
            <w:tabs>
              <w:tab w:val="right" w:leader="dot" w:pos="9016"/>
            </w:tabs>
            <w:rPr>
              <w:noProof/>
            </w:rPr>
          </w:pPr>
          <w:hyperlink w:anchor="_Toc99191800" w:history="1">
            <w:r w:rsidR="00520699" w:rsidRPr="00F03680">
              <w:rPr>
                <w:rStyle w:val="a4"/>
                <w:rFonts w:ascii="Times New Roman" w:hAnsi="Times New Roman" w:cs="Times New Roman"/>
                <w:b/>
                <w:noProof/>
              </w:rPr>
              <w:t>Efficient market hypothesis theory (EMH)</w:t>
            </w:r>
            <w:r w:rsidR="00520699">
              <w:rPr>
                <w:noProof/>
                <w:webHidden/>
              </w:rPr>
              <w:tab/>
            </w:r>
            <w:r w:rsidR="00520699">
              <w:rPr>
                <w:noProof/>
                <w:webHidden/>
              </w:rPr>
              <w:fldChar w:fldCharType="begin"/>
            </w:r>
            <w:r w:rsidR="00520699">
              <w:rPr>
                <w:noProof/>
                <w:webHidden/>
              </w:rPr>
              <w:instrText xml:space="preserve"> PAGEREF _Toc99191800 \h </w:instrText>
            </w:r>
            <w:r w:rsidR="00520699">
              <w:rPr>
                <w:noProof/>
                <w:webHidden/>
              </w:rPr>
            </w:r>
            <w:r w:rsidR="00520699">
              <w:rPr>
                <w:noProof/>
                <w:webHidden/>
              </w:rPr>
              <w:fldChar w:fldCharType="separate"/>
            </w:r>
            <w:r w:rsidR="00520699">
              <w:rPr>
                <w:noProof/>
                <w:webHidden/>
              </w:rPr>
              <w:t>9</w:t>
            </w:r>
            <w:r w:rsidR="00520699">
              <w:rPr>
                <w:noProof/>
                <w:webHidden/>
              </w:rPr>
              <w:fldChar w:fldCharType="end"/>
            </w:r>
          </w:hyperlink>
        </w:p>
        <w:p w14:paraId="14B4F50A" w14:textId="77777777" w:rsidR="00520699" w:rsidRDefault="008701F2">
          <w:pPr>
            <w:pStyle w:val="21"/>
            <w:tabs>
              <w:tab w:val="right" w:leader="dot" w:pos="9016"/>
            </w:tabs>
            <w:rPr>
              <w:noProof/>
            </w:rPr>
          </w:pPr>
          <w:hyperlink w:anchor="_Toc99191801" w:history="1">
            <w:r w:rsidR="00520699" w:rsidRPr="00F03680">
              <w:rPr>
                <w:rStyle w:val="a4"/>
                <w:rFonts w:ascii="Times New Roman" w:hAnsi="Times New Roman" w:cs="Times New Roman"/>
                <w:b/>
                <w:noProof/>
              </w:rPr>
              <w:t>Project appraisal methods</w:t>
            </w:r>
            <w:r w:rsidR="00520699">
              <w:rPr>
                <w:noProof/>
                <w:webHidden/>
              </w:rPr>
              <w:tab/>
            </w:r>
            <w:r w:rsidR="00520699">
              <w:rPr>
                <w:noProof/>
                <w:webHidden/>
              </w:rPr>
              <w:fldChar w:fldCharType="begin"/>
            </w:r>
            <w:r w:rsidR="00520699">
              <w:rPr>
                <w:noProof/>
                <w:webHidden/>
              </w:rPr>
              <w:instrText xml:space="preserve"> PAGEREF _Toc99191801 \h </w:instrText>
            </w:r>
            <w:r w:rsidR="00520699">
              <w:rPr>
                <w:noProof/>
                <w:webHidden/>
              </w:rPr>
            </w:r>
            <w:r w:rsidR="00520699">
              <w:rPr>
                <w:noProof/>
                <w:webHidden/>
              </w:rPr>
              <w:fldChar w:fldCharType="separate"/>
            </w:r>
            <w:r w:rsidR="00520699">
              <w:rPr>
                <w:noProof/>
                <w:webHidden/>
              </w:rPr>
              <w:t>10</w:t>
            </w:r>
            <w:r w:rsidR="00520699">
              <w:rPr>
                <w:noProof/>
                <w:webHidden/>
              </w:rPr>
              <w:fldChar w:fldCharType="end"/>
            </w:r>
          </w:hyperlink>
        </w:p>
        <w:p w14:paraId="7D294244" w14:textId="77777777" w:rsidR="00520699" w:rsidRDefault="008701F2">
          <w:pPr>
            <w:pStyle w:val="11"/>
            <w:tabs>
              <w:tab w:val="right" w:leader="dot" w:pos="9016"/>
            </w:tabs>
            <w:rPr>
              <w:rFonts w:eastAsiaTheme="minorEastAsia"/>
              <w:noProof/>
              <w:lang w:eastAsia="en-GB"/>
            </w:rPr>
          </w:pPr>
          <w:hyperlink w:anchor="_Toc99191802" w:history="1">
            <w:r w:rsidR="00520699" w:rsidRPr="00F03680">
              <w:rPr>
                <w:rStyle w:val="a4"/>
                <w:rFonts w:ascii="Times New Roman" w:eastAsia="Times New Roman" w:hAnsi="Times New Roman" w:cs="Times New Roman"/>
                <w:b/>
                <w:noProof/>
                <w:lang w:eastAsia="en-GB"/>
              </w:rPr>
              <w:t>Conclusion</w:t>
            </w:r>
            <w:r w:rsidR="00520699">
              <w:rPr>
                <w:noProof/>
                <w:webHidden/>
              </w:rPr>
              <w:tab/>
            </w:r>
            <w:r w:rsidR="00520699">
              <w:rPr>
                <w:noProof/>
                <w:webHidden/>
              </w:rPr>
              <w:fldChar w:fldCharType="begin"/>
            </w:r>
            <w:r w:rsidR="00520699">
              <w:rPr>
                <w:noProof/>
                <w:webHidden/>
              </w:rPr>
              <w:instrText xml:space="preserve"> PAGEREF _Toc99191802 \h </w:instrText>
            </w:r>
            <w:r w:rsidR="00520699">
              <w:rPr>
                <w:noProof/>
                <w:webHidden/>
              </w:rPr>
            </w:r>
            <w:r w:rsidR="00520699">
              <w:rPr>
                <w:noProof/>
                <w:webHidden/>
              </w:rPr>
              <w:fldChar w:fldCharType="separate"/>
            </w:r>
            <w:r w:rsidR="00520699">
              <w:rPr>
                <w:noProof/>
                <w:webHidden/>
              </w:rPr>
              <w:t>11</w:t>
            </w:r>
            <w:r w:rsidR="00520699">
              <w:rPr>
                <w:noProof/>
                <w:webHidden/>
              </w:rPr>
              <w:fldChar w:fldCharType="end"/>
            </w:r>
          </w:hyperlink>
        </w:p>
        <w:p w14:paraId="32E02F67" w14:textId="77777777" w:rsidR="00520699" w:rsidRDefault="008701F2">
          <w:pPr>
            <w:pStyle w:val="11"/>
            <w:tabs>
              <w:tab w:val="right" w:leader="dot" w:pos="9016"/>
            </w:tabs>
            <w:rPr>
              <w:rFonts w:eastAsiaTheme="minorEastAsia"/>
              <w:noProof/>
              <w:lang w:eastAsia="en-GB"/>
            </w:rPr>
          </w:pPr>
          <w:hyperlink w:anchor="_Toc99191803" w:history="1">
            <w:r w:rsidR="00520699" w:rsidRPr="00F03680">
              <w:rPr>
                <w:rStyle w:val="a4"/>
                <w:rFonts w:ascii="Times New Roman" w:hAnsi="Times New Roman" w:cs="Times New Roman"/>
                <w:b/>
                <w:noProof/>
                <w:lang w:eastAsia="en-GB"/>
              </w:rPr>
              <w:t>References</w:t>
            </w:r>
            <w:r w:rsidR="00520699">
              <w:rPr>
                <w:noProof/>
                <w:webHidden/>
              </w:rPr>
              <w:tab/>
            </w:r>
            <w:r w:rsidR="00520699">
              <w:rPr>
                <w:noProof/>
                <w:webHidden/>
              </w:rPr>
              <w:fldChar w:fldCharType="begin"/>
            </w:r>
            <w:r w:rsidR="00520699">
              <w:rPr>
                <w:noProof/>
                <w:webHidden/>
              </w:rPr>
              <w:instrText xml:space="preserve"> PAGEREF _Toc99191803 \h </w:instrText>
            </w:r>
            <w:r w:rsidR="00520699">
              <w:rPr>
                <w:noProof/>
                <w:webHidden/>
              </w:rPr>
            </w:r>
            <w:r w:rsidR="00520699">
              <w:rPr>
                <w:noProof/>
                <w:webHidden/>
              </w:rPr>
              <w:fldChar w:fldCharType="separate"/>
            </w:r>
            <w:r w:rsidR="00520699">
              <w:rPr>
                <w:noProof/>
                <w:webHidden/>
              </w:rPr>
              <w:t>12</w:t>
            </w:r>
            <w:r w:rsidR="00520699">
              <w:rPr>
                <w:noProof/>
                <w:webHidden/>
              </w:rPr>
              <w:fldChar w:fldCharType="end"/>
            </w:r>
          </w:hyperlink>
        </w:p>
        <w:p w14:paraId="5D875044" w14:textId="77777777" w:rsidR="00520699" w:rsidRDefault="00FA0BF9" w:rsidP="00520699">
          <w:pPr>
            <w:spacing w:line="480" w:lineRule="auto"/>
            <w:rPr>
              <w:rFonts w:ascii="Times New Roman" w:hAnsi="Times New Roman" w:cs="Times New Roman"/>
              <w:b/>
              <w:bCs/>
              <w:noProof/>
              <w:color w:val="000000" w:themeColor="text1"/>
              <w:sz w:val="24"/>
              <w:szCs w:val="24"/>
            </w:rPr>
          </w:pPr>
          <w:r w:rsidRPr="00520699">
            <w:rPr>
              <w:rFonts w:ascii="Times New Roman" w:hAnsi="Times New Roman" w:cs="Times New Roman"/>
              <w:b/>
              <w:bCs/>
              <w:noProof/>
              <w:color w:val="000000" w:themeColor="text1"/>
              <w:sz w:val="24"/>
              <w:szCs w:val="24"/>
            </w:rPr>
            <w:fldChar w:fldCharType="end"/>
          </w:r>
        </w:p>
      </w:sdtContent>
    </w:sdt>
    <w:bookmarkStart w:id="0" w:name="_Toc99191793" w:displacedByCustomXml="prev"/>
    <w:p w14:paraId="2B1F3658" w14:textId="77777777" w:rsidR="00520699" w:rsidRDefault="00520699" w:rsidP="00520699">
      <w:pPr>
        <w:spacing w:line="480" w:lineRule="auto"/>
        <w:rPr>
          <w:rStyle w:val="markedcontent"/>
          <w:rFonts w:ascii="Times New Roman" w:hAnsi="Times New Roman" w:cs="Times New Roman"/>
          <w:b/>
          <w:color w:val="000000" w:themeColor="text1"/>
          <w:sz w:val="24"/>
          <w:szCs w:val="24"/>
        </w:rPr>
      </w:pPr>
    </w:p>
    <w:p w14:paraId="67748830" w14:textId="77777777" w:rsidR="00520699" w:rsidRDefault="00520699" w:rsidP="00520699">
      <w:pPr>
        <w:spacing w:line="480" w:lineRule="auto"/>
        <w:rPr>
          <w:rStyle w:val="markedcontent"/>
          <w:rFonts w:ascii="Times New Roman" w:hAnsi="Times New Roman" w:cs="Times New Roman"/>
          <w:b/>
          <w:color w:val="000000" w:themeColor="text1"/>
          <w:sz w:val="24"/>
          <w:szCs w:val="24"/>
        </w:rPr>
      </w:pPr>
    </w:p>
    <w:p w14:paraId="7C997871" w14:textId="77777777" w:rsidR="00FA0BF9" w:rsidRPr="00520699" w:rsidRDefault="00FA0BF9" w:rsidP="00520699">
      <w:pPr>
        <w:spacing w:line="480" w:lineRule="auto"/>
        <w:rPr>
          <w:rFonts w:ascii="Times New Roman" w:hAnsi="Times New Roman" w:cs="Times New Roman"/>
          <w:color w:val="000000" w:themeColor="text1"/>
          <w:sz w:val="24"/>
          <w:szCs w:val="24"/>
        </w:rPr>
      </w:pPr>
      <w:r w:rsidRPr="00520699">
        <w:rPr>
          <w:rStyle w:val="markedcontent"/>
          <w:rFonts w:ascii="Times New Roman" w:hAnsi="Times New Roman" w:cs="Times New Roman"/>
          <w:b/>
          <w:color w:val="000000" w:themeColor="text1"/>
          <w:sz w:val="24"/>
          <w:szCs w:val="24"/>
        </w:rPr>
        <w:t>International financial management</w:t>
      </w:r>
      <w:bookmarkEnd w:id="0"/>
    </w:p>
    <w:p w14:paraId="26AE938B" w14:textId="77777777" w:rsidR="00FA0BF9" w:rsidRPr="00520699" w:rsidRDefault="00FA0BF9"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Sercu (2009) defines international financial (IFM) management as managing capital and other finances </w:t>
      </w:r>
      <w:r w:rsidR="00784C60" w:rsidRPr="00520699">
        <w:rPr>
          <w:rFonts w:ascii="Times New Roman" w:hAnsi="Times New Roman" w:cs="Times New Roman"/>
          <w:color w:val="000000" w:themeColor="text1"/>
          <w:sz w:val="24"/>
          <w:szCs w:val="24"/>
        </w:rPr>
        <w:t>globally</w:t>
      </w:r>
      <w:r w:rsidRPr="00520699">
        <w:rPr>
          <w:rFonts w:ascii="Times New Roman" w:hAnsi="Times New Roman" w:cs="Times New Roman"/>
          <w:color w:val="000000" w:themeColor="text1"/>
          <w:sz w:val="24"/>
          <w:szCs w:val="24"/>
        </w:rPr>
        <w:t xml:space="preserve"> or in the </w:t>
      </w:r>
      <w:r w:rsidR="00520699">
        <w:rPr>
          <w:rFonts w:ascii="Times New Roman" w:hAnsi="Times New Roman" w:cs="Times New Roman"/>
          <w:color w:val="000000" w:themeColor="text1"/>
          <w:sz w:val="24"/>
          <w:szCs w:val="24"/>
        </w:rPr>
        <w:t>global</w:t>
      </w:r>
      <w:r w:rsidRPr="00520699">
        <w:rPr>
          <w:rFonts w:ascii="Times New Roman" w:hAnsi="Times New Roman" w:cs="Times New Roman"/>
          <w:color w:val="000000" w:themeColor="text1"/>
          <w:sz w:val="24"/>
          <w:szCs w:val="24"/>
        </w:rPr>
        <w:t xml:space="preserve"> business environment. IFM is practiced through various means and procedures</w:t>
      </w:r>
      <w:r w:rsidR="00EC2D14" w:rsidRPr="0052069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 including trading </w:t>
      </w:r>
      <w:r w:rsidR="00EC2D14" w:rsidRPr="00520699">
        <w:rPr>
          <w:rFonts w:ascii="Times New Roman" w:hAnsi="Times New Roman" w:cs="Times New Roman"/>
          <w:color w:val="000000" w:themeColor="text1"/>
          <w:sz w:val="24"/>
          <w:szCs w:val="24"/>
        </w:rPr>
        <w:t xml:space="preserve">and making returns and revenue through foreign currency exchange. International fiancé management can be categorized into three broad clusters; Financing decisions, investment options, and dividend policies and plans (Mullner, 2017). </w:t>
      </w:r>
    </w:p>
    <w:p w14:paraId="125F0527" w14:textId="77777777" w:rsidR="00760547" w:rsidRPr="00520699" w:rsidRDefault="00520699"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Understanding the international business environment is of paramount importance to properly manage international finance</w:t>
      </w:r>
      <w:r w:rsidR="00EC2D14" w:rsidRPr="00520699">
        <w:rPr>
          <w:rFonts w:ascii="Times New Roman" w:hAnsi="Times New Roman" w:cs="Times New Roman"/>
          <w:color w:val="000000" w:themeColor="text1"/>
          <w:sz w:val="24"/>
          <w:szCs w:val="24"/>
        </w:rPr>
        <w:t xml:space="preserve">.  </w:t>
      </w:r>
      <w:r w:rsidR="00760547" w:rsidRPr="00520699">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global</w:t>
      </w:r>
      <w:r w:rsidR="00760547" w:rsidRPr="00520699">
        <w:rPr>
          <w:rFonts w:ascii="Times New Roman" w:hAnsi="Times New Roman" w:cs="Times New Roman"/>
          <w:color w:val="000000" w:themeColor="text1"/>
          <w:sz w:val="24"/>
          <w:szCs w:val="24"/>
        </w:rPr>
        <w:t xml:space="preserve"> business environment can be referred to as the </w:t>
      </w:r>
      <w:r w:rsidR="00760547" w:rsidRPr="00520699">
        <w:rPr>
          <w:rFonts w:ascii="Times New Roman" w:hAnsi="Times New Roman" w:cs="Times New Roman"/>
          <w:color w:val="000000" w:themeColor="text1"/>
          <w:sz w:val="24"/>
          <w:szCs w:val="24"/>
        </w:rPr>
        <w:lastRenderedPageBreak/>
        <w:t xml:space="preserve">context or surrounding that international business such as multinational corporations and multinational enterprises conduct their businesses (Hamilton&amp; Webster, 2018). </w:t>
      </w:r>
      <w:r w:rsidR="00784C60" w:rsidRPr="00520699">
        <w:rPr>
          <w:rFonts w:ascii="Times New Roman" w:hAnsi="Times New Roman" w:cs="Times New Roman"/>
          <w:color w:val="000000" w:themeColor="text1"/>
          <w:sz w:val="24"/>
          <w:szCs w:val="24"/>
        </w:rPr>
        <w:t>To successfully exploit</w:t>
      </w:r>
      <w:r w:rsidR="00760547" w:rsidRPr="00520699">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global</w:t>
      </w:r>
      <w:r w:rsidR="00760547" w:rsidRPr="00520699">
        <w:rPr>
          <w:rFonts w:ascii="Times New Roman" w:hAnsi="Times New Roman" w:cs="Times New Roman"/>
          <w:color w:val="000000" w:themeColor="text1"/>
          <w:sz w:val="24"/>
          <w:szCs w:val="24"/>
        </w:rPr>
        <w:t xml:space="preserve"> business environment, </w:t>
      </w:r>
      <w:r w:rsidR="00784C60" w:rsidRPr="00520699">
        <w:rPr>
          <w:rFonts w:ascii="Times New Roman" w:hAnsi="Times New Roman" w:cs="Times New Roman"/>
          <w:color w:val="000000" w:themeColor="text1"/>
          <w:sz w:val="24"/>
          <w:szCs w:val="24"/>
        </w:rPr>
        <w:t xml:space="preserve">employees at the management level need </w:t>
      </w:r>
      <w:r w:rsidR="00AA1089" w:rsidRPr="00AA1089">
        <w:rPr>
          <w:rFonts w:ascii="Times New Roman" w:hAnsi="Times New Roman" w:cs="Times New Roman"/>
          <w:color w:val="000000" w:themeColor="text1"/>
          <w:sz w:val="24"/>
          <w:szCs w:val="24"/>
        </w:rPr>
        <w:t>to understand the international business context's key factors fully</w:t>
      </w:r>
      <w:r w:rsidR="00760547" w:rsidRPr="00520699">
        <w:rPr>
          <w:rFonts w:ascii="Times New Roman" w:hAnsi="Times New Roman" w:cs="Times New Roman"/>
          <w:color w:val="000000" w:themeColor="text1"/>
          <w:sz w:val="24"/>
          <w:szCs w:val="24"/>
        </w:rPr>
        <w:t xml:space="preserve">. Such factors include currency fluctuations, ease of doing business index, cultural profiles, and contemporary issues such as terrorism, inflation, and cyber threats (Kozubikova et al., 2019).  </w:t>
      </w:r>
    </w:p>
    <w:p w14:paraId="625571D9" w14:textId="77777777" w:rsidR="00760547" w:rsidRPr="00520699" w:rsidRDefault="00760547"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This paper discusses Microsoft Inc., the technology industry multinational corporation that deals with technological solutions. The company is the dominant player in providing operating systems for computers with a global market share of 74%.  </w:t>
      </w:r>
    </w:p>
    <w:p w14:paraId="02FD7305" w14:textId="77777777" w:rsidR="00EC2D14" w:rsidRPr="00520699" w:rsidRDefault="00760547"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Founded in 1975 by bill gates and others, Microsoft is headquartered in Redmond, Washington</w:t>
      </w:r>
      <w:r w:rsidR="00784C60" w:rsidRPr="0052069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 USA but has 199 offices in 96 countries </w:t>
      </w:r>
      <w:r w:rsidR="00784C60" w:rsidRPr="00520699">
        <w:rPr>
          <w:rFonts w:ascii="Times New Roman" w:hAnsi="Times New Roman" w:cs="Times New Roman"/>
          <w:color w:val="000000" w:themeColor="text1"/>
          <w:sz w:val="24"/>
          <w:szCs w:val="24"/>
        </w:rPr>
        <w:t>worldwide</w:t>
      </w:r>
      <w:r w:rsidRPr="00520699">
        <w:rPr>
          <w:rFonts w:ascii="Times New Roman" w:hAnsi="Times New Roman" w:cs="Times New Roman"/>
          <w:color w:val="000000" w:themeColor="text1"/>
          <w:sz w:val="24"/>
          <w:szCs w:val="24"/>
        </w:rPr>
        <w:t xml:space="preserve">. Its products are present in almost all corners of the world.  </w:t>
      </w:r>
      <w:r w:rsidR="002E7006" w:rsidRPr="00520699">
        <w:rPr>
          <w:rFonts w:ascii="Times New Roman" w:hAnsi="Times New Roman" w:cs="Times New Roman"/>
          <w:color w:val="000000" w:themeColor="text1"/>
          <w:sz w:val="24"/>
          <w:szCs w:val="24"/>
        </w:rPr>
        <w:t xml:space="preserve">Challenges experienced by the company in the international finance market are discussed. Microsoft dividend distribution policy is discussed as well as its project appraisal criteria. </w:t>
      </w:r>
      <w:r w:rsidR="002322C7" w:rsidRPr="00520699">
        <w:rPr>
          <w:rFonts w:ascii="Times New Roman" w:hAnsi="Times New Roman" w:cs="Times New Roman"/>
          <w:color w:val="000000" w:themeColor="text1"/>
          <w:sz w:val="24"/>
          <w:szCs w:val="24"/>
        </w:rPr>
        <w:t>The market</w:t>
      </w:r>
      <w:r w:rsidR="002E7006" w:rsidRPr="00520699">
        <w:rPr>
          <w:rFonts w:ascii="Times New Roman" w:hAnsi="Times New Roman" w:cs="Times New Roman"/>
          <w:color w:val="000000" w:themeColor="text1"/>
          <w:sz w:val="24"/>
          <w:szCs w:val="24"/>
        </w:rPr>
        <w:t xml:space="preserve"> hypothesis</w:t>
      </w:r>
      <w:r w:rsidR="002322C7" w:rsidRPr="00520699">
        <w:rPr>
          <w:rFonts w:ascii="Times New Roman" w:hAnsi="Times New Roman" w:cs="Times New Roman"/>
          <w:color w:val="000000" w:themeColor="text1"/>
          <w:sz w:val="24"/>
          <w:szCs w:val="24"/>
        </w:rPr>
        <w:t xml:space="preserve"> model</w:t>
      </w:r>
      <w:r w:rsidR="002E7006" w:rsidRPr="00520699">
        <w:rPr>
          <w:rFonts w:ascii="Times New Roman" w:hAnsi="Times New Roman" w:cs="Times New Roman"/>
          <w:color w:val="000000" w:themeColor="text1"/>
          <w:sz w:val="24"/>
          <w:szCs w:val="24"/>
        </w:rPr>
        <w:t xml:space="preserve"> is </w:t>
      </w:r>
      <w:r w:rsidR="00AA1089">
        <w:rPr>
          <w:rFonts w:ascii="Times New Roman" w:hAnsi="Times New Roman" w:cs="Times New Roman"/>
          <w:color w:val="000000" w:themeColor="text1"/>
          <w:sz w:val="24"/>
          <w:szCs w:val="24"/>
        </w:rPr>
        <w:t>concerned</w:t>
      </w:r>
      <w:r w:rsidR="002E7006" w:rsidRPr="00520699">
        <w:rPr>
          <w:rFonts w:ascii="Times New Roman" w:hAnsi="Times New Roman" w:cs="Times New Roman"/>
          <w:color w:val="000000" w:themeColor="text1"/>
          <w:sz w:val="24"/>
          <w:szCs w:val="24"/>
        </w:rPr>
        <w:t xml:space="preserve"> </w:t>
      </w:r>
      <w:r w:rsidR="00784C60" w:rsidRPr="00520699">
        <w:rPr>
          <w:rFonts w:ascii="Times New Roman" w:hAnsi="Times New Roman" w:cs="Times New Roman"/>
          <w:color w:val="000000" w:themeColor="text1"/>
          <w:sz w:val="24"/>
          <w:szCs w:val="24"/>
        </w:rPr>
        <w:t>about</w:t>
      </w:r>
      <w:r w:rsidR="002E7006" w:rsidRPr="00520699">
        <w:rPr>
          <w:rFonts w:ascii="Times New Roman" w:hAnsi="Times New Roman" w:cs="Times New Roman"/>
          <w:color w:val="000000" w:themeColor="text1"/>
          <w:sz w:val="24"/>
          <w:szCs w:val="24"/>
        </w:rPr>
        <w:t xml:space="preserve"> the company</w:t>
      </w:r>
      <w:r w:rsidR="00784C60" w:rsidRPr="00520699">
        <w:rPr>
          <w:rFonts w:ascii="Times New Roman" w:hAnsi="Times New Roman" w:cs="Times New Roman"/>
          <w:color w:val="000000" w:themeColor="text1"/>
          <w:sz w:val="24"/>
          <w:szCs w:val="24"/>
        </w:rPr>
        <w:t xml:space="preserve"> and</w:t>
      </w:r>
      <w:r w:rsidR="002E7006" w:rsidRPr="00520699">
        <w:rPr>
          <w:rFonts w:ascii="Times New Roman" w:hAnsi="Times New Roman" w:cs="Times New Roman"/>
          <w:color w:val="000000" w:themeColor="text1"/>
          <w:sz w:val="24"/>
          <w:szCs w:val="24"/>
        </w:rPr>
        <w:t xml:space="preserve"> applicable international finance management theories. </w:t>
      </w:r>
    </w:p>
    <w:p w14:paraId="50322A7B" w14:textId="77777777" w:rsidR="002322C7" w:rsidRPr="00D02353" w:rsidRDefault="002322C7" w:rsidP="00520699">
      <w:pPr>
        <w:pStyle w:val="2"/>
        <w:spacing w:line="480" w:lineRule="auto"/>
        <w:rPr>
          <w:rFonts w:ascii="Times New Roman" w:hAnsi="Times New Roman" w:cs="Times New Roman"/>
          <w:b/>
          <w:color w:val="000000" w:themeColor="text1"/>
          <w:sz w:val="24"/>
          <w:szCs w:val="24"/>
        </w:rPr>
      </w:pPr>
      <w:bookmarkStart w:id="1" w:name="_Toc99191794"/>
      <w:r w:rsidRPr="00D02353">
        <w:rPr>
          <w:rFonts w:ascii="Times New Roman" w:hAnsi="Times New Roman" w:cs="Times New Roman"/>
          <w:b/>
          <w:color w:val="000000" w:themeColor="text1"/>
          <w:sz w:val="24"/>
          <w:szCs w:val="24"/>
        </w:rPr>
        <w:t>Applicability of IFM to Microsoft</w:t>
      </w:r>
      <w:bookmarkEnd w:id="1"/>
      <w:r w:rsidRPr="00D02353">
        <w:rPr>
          <w:rFonts w:ascii="Times New Roman" w:hAnsi="Times New Roman" w:cs="Times New Roman"/>
          <w:b/>
          <w:color w:val="000000" w:themeColor="text1"/>
          <w:sz w:val="24"/>
          <w:szCs w:val="24"/>
        </w:rPr>
        <w:t xml:space="preserve"> </w:t>
      </w:r>
    </w:p>
    <w:p w14:paraId="2F949C36" w14:textId="77777777" w:rsidR="002322C7" w:rsidRPr="00520699" w:rsidRDefault="002322C7"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The importance of international financial management to Microsoft Inc. can be discussed based on the </w:t>
      </w:r>
      <w:r w:rsidR="00784C60" w:rsidRPr="00520699">
        <w:rPr>
          <w:rFonts w:ascii="Times New Roman" w:hAnsi="Times New Roman" w:cs="Times New Roman"/>
          <w:color w:val="000000" w:themeColor="text1"/>
          <w:sz w:val="24"/>
          <w:szCs w:val="24"/>
        </w:rPr>
        <w:t>five</w:t>
      </w:r>
      <w:r w:rsidRPr="00520699">
        <w:rPr>
          <w:rFonts w:ascii="Times New Roman" w:hAnsi="Times New Roman" w:cs="Times New Roman"/>
          <w:color w:val="000000" w:themeColor="text1"/>
          <w:sz w:val="24"/>
          <w:szCs w:val="24"/>
        </w:rPr>
        <w:t xml:space="preserve"> theories of IFM. Microsoft IFM practices are heavily hinged on these models. The models are crucial to the company in navigating the murky waters of IFM and the challenges that abide (Kramer,2014).  </w:t>
      </w:r>
      <w:r w:rsidR="004004CB" w:rsidRPr="00520699">
        <w:rPr>
          <w:rFonts w:ascii="Times New Roman" w:hAnsi="Times New Roman" w:cs="Times New Roman"/>
          <w:color w:val="000000" w:themeColor="text1"/>
          <w:sz w:val="24"/>
          <w:szCs w:val="24"/>
        </w:rPr>
        <w:t xml:space="preserve">The five theories on international finance management include “the expectations theory, the fisher effect, the purchasing power parity theory (PPP), The international </w:t>
      </w:r>
      <w:r w:rsidR="00784C60" w:rsidRPr="00520699">
        <w:rPr>
          <w:rFonts w:ascii="Times New Roman" w:hAnsi="Times New Roman" w:cs="Times New Roman"/>
          <w:color w:val="000000" w:themeColor="text1"/>
          <w:sz w:val="24"/>
          <w:szCs w:val="24"/>
        </w:rPr>
        <w:t>Fisher</w:t>
      </w:r>
      <w:r w:rsidR="004004CB" w:rsidRPr="00520699">
        <w:rPr>
          <w:rFonts w:ascii="Times New Roman" w:hAnsi="Times New Roman" w:cs="Times New Roman"/>
          <w:color w:val="000000" w:themeColor="text1"/>
          <w:sz w:val="24"/>
          <w:szCs w:val="24"/>
        </w:rPr>
        <w:t xml:space="preserve"> effect</w:t>
      </w:r>
      <w:r w:rsidR="00784C60" w:rsidRPr="00520699">
        <w:rPr>
          <w:rFonts w:ascii="Times New Roman" w:hAnsi="Times New Roman" w:cs="Times New Roman"/>
          <w:color w:val="000000" w:themeColor="text1"/>
          <w:sz w:val="24"/>
          <w:szCs w:val="24"/>
        </w:rPr>
        <w:t>,</w:t>
      </w:r>
      <w:r w:rsidR="004004CB" w:rsidRPr="00520699">
        <w:rPr>
          <w:rFonts w:ascii="Times New Roman" w:hAnsi="Times New Roman" w:cs="Times New Roman"/>
          <w:color w:val="000000" w:themeColor="text1"/>
          <w:sz w:val="24"/>
          <w:szCs w:val="24"/>
        </w:rPr>
        <w:t xml:space="preserve"> and the theory of Interest Rate parity (IRP)” (Ang et al., 2021). </w:t>
      </w:r>
    </w:p>
    <w:p w14:paraId="733980D5" w14:textId="77777777" w:rsidR="004004CB" w:rsidRPr="00520699" w:rsidRDefault="004004CB" w:rsidP="00520699">
      <w:pPr>
        <w:pStyle w:val="3"/>
        <w:spacing w:line="480" w:lineRule="auto"/>
        <w:rPr>
          <w:rFonts w:ascii="Times New Roman" w:hAnsi="Times New Roman" w:cs="Times New Roman"/>
          <w:b/>
          <w:color w:val="000000" w:themeColor="text1"/>
        </w:rPr>
      </w:pPr>
      <w:bookmarkStart w:id="2" w:name="_Toc99191795"/>
      <w:r w:rsidRPr="00520699">
        <w:rPr>
          <w:rFonts w:ascii="Times New Roman" w:hAnsi="Times New Roman" w:cs="Times New Roman"/>
          <w:b/>
          <w:color w:val="000000" w:themeColor="text1"/>
        </w:rPr>
        <w:lastRenderedPageBreak/>
        <w:t>The Purchasing Power Parity Theory</w:t>
      </w:r>
      <w:bookmarkEnd w:id="2"/>
    </w:p>
    <w:p w14:paraId="00105495" w14:textId="77777777" w:rsidR="004004CB" w:rsidRPr="00520699" w:rsidRDefault="004004CB"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the IFM model is based on the assumption that the price of a product will be the same in two different countries when the exchange rates in both countries are added. According to the theory</w:t>
      </w:r>
      <w:r w:rsidR="00784C60" w:rsidRPr="0052069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 when the exchange rates of the currency in two different countries are at an equilibrium level, the purchasing power and price of the product will be the same in both countries</w:t>
      </w:r>
      <w:r w:rsidR="00F54E4B" w:rsidRPr="00520699">
        <w:rPr>
          <w:rFonts w:ascii="Times New Roman" w:hAnsi="Times New Roman" w:cs="Times New Roman"/>
          <w:color w:val="000000" w:themeColor="text1"/>
          <w:sz w:val="24"/>
          <w:szCs w:val="24"/>
        </w:rPr>
        <w:t xml:space="preserve"> (</w:t>
      </w:r>
      <w:r w:rsidR="00F54E4B" w:rsidRPr="00520699">
        <w:rPr>
          <w:rFonts w:ascii="Times New Roman" w:hAnsi="Times New Roman" w:cs="Times New Roman"/>
          <w:color w:val="000000" w:themeColor="text1"/>
          <w:sz w:val="24"/>
          <w:szCs w:val="24"/>
          <w:shd w:val="clear" w:color="auto" w:fill="FFFFFF"/>
        </w:rPr>
        <w:t>Güris &amp; Tıraşoğlu 2018</w:t>
      </w:r>
      <w:r w:rsidR="00F54E4B" w:rsidRPr="00520699">
        <w:rPr>
          <w:rFonts w:ascii="Times New Roman" w:hAnsi="Times New Roman" w:cs="Times New Roman"/>
          <w:color w:val="000000" w:themeColor="text1"/>
          <w:sz w:val="24"/>
          <w:szCs w:val="24"/>
        </w:rPr>
        <w:t>). The theories expound that when the market price for goods in two different markets are the same or valued the same</w:t>
      </w:r>
      <w:r w:rsidR="00784C60" w:rsidRPr="00520699">
        <w:rPr>
          <w:rFonts w:ascii="Times New Roman" w:hAnsi="Times New Roman" w:cs="Times New Roman"/>
          <w:color w:val="000000" w:themeColor="text1"/>
          <w:sz w:val="24"/>
          <w:szCs w:val="24"/>
        </w:rPr>
        <w:t>,</w:t>
      </w:r>
      <w:r w:rsidR="00F54E4B" w:rsidRPr="00520699">
        <w:rPr>
          <w:rFonts w:ascii="Times New Roman" w:hAnsi="Times New Roman" w:cs="Times New Roman"/>
          <w:color w:val="000000" w:themeColor="text1"/>
          <w:sz w:val="24"/>
          <w:szCs w:val="24"/>
        </w:rPr>
        <w:t xml:space="preserve"> and the purchasing power is similar, the currencies for both countries will be considered to be at par, </w:t>
      </w:r>
    </w:p>
    <w:p w14:paraId="0D898C82" w14:textId="77777777" w:rsidR="004004CB" w:rsidRPr="00520699" w:rsidRDefault="004004CB" w:rsidP="00520699">
      <w:pPr>
        <w:spacing w:line="480" w:lineRule="auto"/>
        <w:rPr>
          <w:rStyle w:val="hgkelc"/>
          <w:rFonts w:ascii="Times New Roman" w:hAnsi="Times New Roman" w:cs="Times New Roman"/>
          <w:color w:val="000000" w:themeColor="text1"/>
          <w:sz w:val="24"/>
          <w:szCs w:val="24"/>
        </w:rPr>
      </w:pPr>
      <w:r w:rsidRPr="00520699">
        <w:rPr>
          <w:rStyle w:val="hgkelc"/>
          <w:rFonts w:ascii="Times New Roman" w:hAnsi="Times New Roman" w:cs="Times New Roman"/>
          <w:color w:val="000000" w:themeColor="text1"/>
          <w:sz w:val="24"/>
          <w:szCs w:val="24"/>
        </w:rPr>
        <w:t>According to this theory, two currencies are at par when a market basket of goods is valued the same in both countries</w:t>
      </w:r>
      <w:r w:rsidR="00F54E4B" w:rsidRPr="00520699">
        <w:rPr>
          <w:rStyle w:val="hgkelc"/>
          <w:rFonts w:ascii="Times New Roman" w:hAnsi="Times New Roman" w:cs="Times New Roman"/>
          <w:color w:val="000000" w:themeColor="text1"/>
          <w:sz w:val="24"/>
          <w:szCs w:val="24"/>
        </w:rPr>
        <w:t xml:space="preserve"> (Jabbie &amp; Jackson, 2020)</w:t>
      </w:r>
      <w:r w:rsidRPr="00520699">
        <w:rPr>
          <w:rStyle w:val="hgkelc"/>
          <w:rFonts w:ascii="Times New Roman" w:hAnsi="Times New Roman" w:cs="Times New Roman"/>
          <w:color w:val="000000" w:themeColor="text1"/>
          <w:sz w:val="24"/>
          <w:szCs w:val="24"/>
        </w:rPr>
        <w:t>.</w:t>
      </w:r>
      <w:r w:rsidR="00F54E4B" w:rsidRPr="00520699">
        <w:rPr>
          <w:rStyle w:val="hgkelc"/>
          <w:rFonts w:ascii="Times New Roman" w:hAnsi="Times New Roman" w:cs="Times New Roman"/>
          <w:color w:val="000000" w:themeColor="text1"/>
          <w:sz w:val="24"/>
          <w:szCs w:val="24"/>
        </w:rPr>
        <w:t xml:space="preserve">   </w:t>
      </w:r>
    </w:p>
    <w:p w14:paraId="70E0096D" w14:textId="77777777" w:rsidR="00F54E4B" w:rsidRPr="00520699" w:rsidRDefault="008510C0" w:rsidP="00520699">
      <w:pPr>
        <w:spacing w:line="480" w:lineRule="auto"/>
        <w:rPr>
          <w:rStyle w:val="hgkelc"/>
          <w:rFonts w:ascii="Times New Roman" w:hAnsi="Times New Roman" w:cs="Times New Roman"/>
          <w:color w:val="000000" w:themeColor="text1"/>
          <w:sz w:val="24"/>
          <w:szCs w:val="24"/>
        </w:rPr>
      </w:pPr>
      <w:r w:rsidRPr="00520699">
        <w:rPr>
          <w:rStyle w:val="hgkelc"/>
          <w:rFonts w:ascii="Times New Roman" w:hAnsi="Times New Roman" w:cs="Times New Roman"/>
          <w:color w:val="000000" w:themeColor="text1"/>
          <w:sz w:val="24"/>
          <w:szCs w:val="24"/>
        </w:rPr>
        <w:t xml:space="preserve">   The PPP theory is </w:t>
      </w:r>
      <w:r w:rsidR="00AA1089">
        <w:rPr>
          <w:rStyle w:val="hgkelc"/>
          <w:rFonts w:ascii="Times New Roman" w:hAnsi="Times New Roman" w:cs="Times New Roman"/>
          <w:color w:val="000000" w:themeColor="text1"/>
          <w:sz w:val="24"/>
          <w:szCs w:val="24"/>
        </w:rPr>
        <w:t>essential</w:t>
      </w:r>
      <w:r w:rsidRPr="00520699">
        <w:rPr>
          <w:rStyle w:val="hgkelc"/>
          <w:rFonts w:ascii="Times New Roman" w:hAnsi="Times New Roman" w:cs="Times New Roman"/>
          <w:color w:val="000000" w:themeColor="text1"/>
          <w:sz w:val="24"/>
          <w:szCs w:val="24"/>
        </w:rPr>
        <w:t xml:space="preserve"> to Microsoft’s finance management in the international business environment. In determining the prices of its products in different markets of the world, Microsoft </w:t>
      </w:r>
      <w:r w:rsidR="0048151F" w:rsidRPr="00520699">
        <w:rPr>
          <w:rStyle w:val="hgkelc"/>
          <w:rFonts w:ascii="Times New Roman" w:hAnsi="Times New Roman" w:cs="Times New Roman"/>
          <w:color w:val="000000" w:themeColor="text1"/>
          <w:sz w:val="24"/>
          <w:szCs w:val="24"/>
        </w:rPr>
        <w:t>relies</w:t>
      </w:r>
      <w:r w:rsidRPr="00520699">
        <w:rPr>
          <w:rStyle w:val="hgkelc"/>
          <w:rFonts w:ascii="Times New Roman" w:hAnsi="Times New Roman" w:cs="Times New Roman"/>
          <w:color w:val="000000" w:themeColor="text1"/>
          <w:sz w:val="24"/>
          <w:szCs w:val="24"/>
        </w:rPr>
        <w:t xml:space="preserve"> on the PPP theory. It </w:t>
      </w:r>
      <w:r w:rsidR="00784C60" w:rsidRPr="00520699">
        <w:rPr>
          <w:rStyle w:val="hgkelc"/>
          <w:rFonts w:ascii="Times New Roman" w:hAnsi="Times New Roman" w:cs="Times New Roman"/>
          <w:color w:val="000000" w:themeColor="text1"/>
          <w:sz w:val="24"/>
          <w:szCs w:val="24"/>
        </w:rPr>
        <w:t xml:space="preserve">assumes that the prices of its products should be relatively the same </w:t>
      </w:r>
      <w:r w:rsidR="00AA1089">
        <w:rPr>
          <w:rStyle w:val="hgkelc"/>
          <w:rFonts w:ascii="Times New Roman" w:hAnsi="Times New Roman" w:cs="Times New Roman"/>
          <w:color w:val="000000" w:themeColor="text1"/>
          <w:sz w:val="24"/>
          <w:szCs w:val="24"/>
        </w:rPr>
        <w:t>inefficient</w:t>
      </w:r>
      <w:r w:rsidR="00784C60" w:rsidRPr="00520699">
        <w:rPr>
          <w:rStyle w:val="hgkelc"/>
          <w:rFonts w:ascii="Times New Roman" w:hAnsi="Times New Roman" w:cs="Times New Roman"/>
          <w:color w:val="000000" w:themeColor="text1"/>
          <w:sz w:val="24"/>
          <w:szCs w:val="24"/>
        </w:rPr>
        <w:t xml:space="preserve"> markets</w:t>
      </w:r>
      <w:r w:rsidRPr="00520699">
        <w:rPr>
          <w:rStyle w:val="hgkelc"/>
          <w:rFonts w:ascii="Times New Roman" w:hAnsi="Times New Roman" w:cs="Times New Roman"/>
          <w:color w:val="000000" w:themeColor="text1"/>
          <w:sz w:val="24"/>
          <w:szCs w:val="24"/>
        </w:rPr>
        <w:t xml:space="preserve"> and have homogenous qualities. The company</w:t>
      </w:r>
      <w:r w:rsidR="0048151F" w:rsidRPr="00520699">
        <w:rPr>
          <w:rStyle w:val="hgkelc"/>
          <w:rFonts w:ascii="Times New Roman" w:hAnsi="Times New Roman" w:cs="Times New Roman"/>
          <w:color w:val="000000" w:themeColor="text1"/>
          <w:sz w:val="24"/>
          <w:szCs w:val="24"/>
        </w:rPr>
        <w:t xml:space="preserve">, therefore, relies on the purchasing power parity of different economies in determining the prices of its products.  </w:t>
      </w:r>
    </w:p>
    <w:p w14:paraId="5DD69CEA" w14:textId="77777777" w:rsidR="0048151F" w:rsidRPr="00520699" w:rsidRDefault="0048151F" w:rsidP="00520699">
      <w:pPr>
        <w:spacing w:line="480" w:lineRule="auto"/>
        <w:rPr>
          <w:rStyle w:val="hgkelc"/>
          <w:rFonts w:ascii="Times New Roman" w:hAnsi="Times New Roman" w:cs="Times New Roman"/>
          <w:color w:val="000000" w:themeColor="text1"/>
          <w:sz w:val="24"/>
          <w:szCs w:val="24"/>
        </w:rPr>
      </w:pPr>
      <w:r w:rsidRPr="00520699">
        <w:rPr>
          <w:rStyle w:val="hgkelc"/>
          <w:rFonts w:ascii="Times New Roman" w:hAnsi="Times New Roman" w:cs="Times New Roman"/>
          <w:color w:val="000000" w:themeColor="text1"/>
          <w:sz w:val="24"/>
          <w:szCs w:val="24"/>
        </w:rPr>
        <w:t xml:space="preserve">For example, the purchasing power parity of China (4.2 LCU per international </w:t>
      </w:r>
      <w:r w:rsidR="009808E8" w:rsidRPr="00520699">
        <w:rPr>
          <w:rStyle w:val="hgkelc"/>
          <w:rFonts w:ascii="Times New Roman" w:hAnsi="Times New Roman" w:cs="Times New Roman"/>
          <w:color w:val="000000" w:themeColor="text1"/>
          <w:sz w:val="24"/>
          <w:szCs w:val="24"/>
        </w:rPr>
        <w:t>dollar</w:t>
      </w:r>
      <w:r w:rsidRPr="00520699">
        <w:rPr>
          <w:rStyle w:val="hgkelc"/>
          <w:rFonts w:ascii="Times New Roman" w:hAnsi="Times New Roman" w:cs="Times New Roman"/>
          <w:color w:val="000000" w:themeColor="text1"/>
          <w:sz w:val="24"/>
          <w:szCs w:val="24"/>
        </w:rPr>
        <w:t xml:space="preserve">) is very different from that of India (22 LCU).  Microsoft will therefore price its products differently in those two countries.  While </w:t>
      </w:r>
      <w:r w:rsidR="00784C60" w:rsidRPr="00520699">
        <w:rPr>
          <w:rStyle w:val="hgkelc"/>
          <w:rFonts w:ascii="Times New Roman" w:hAnsi="Times New Roman" w:cs="Times New Roman"/>
          <w:color w:val="000000" w:themeColor="text1"/>
          <w:sz w:val="24"/>
          <w:szCs w:val="24"/>
        </w:rPr>
        <w:t>numerous factors are</w:t>
      </w:r>
      <w:r w:rsidRPr="00520699">
        <w:rPr>
          <w:rStyle w:val="hgkelc"/>
          <w:rFonts w:ascii="Times New Roman" w:hAnsi="Times New Roman" w:cs="Times New Roman"/>
          <w:color w:val="000000" w:themeColor="text1"/>
          <w:sz w:val="24"/>
          <w:szCs w:val="24"/>
        </w:rPr>
        <w:t xml:space="preserve"> considered in arriving at PPP, most vary from country to country. </w:t>
      </w:r>
      <w:r w:rsidR="00402BE4" w:rsidRPr="00520699">
        <w:rPr>
          <w:rStyle w:val="hgkelc"/>
          <w:rFonts w:ascii="Times New Roman" w:hAnsi="Times New Roman" w:cs="Times New Roman"/>
          <w:color w:val="000000" w:themeColor="text1"/>
          <w:sz w:val="24"/>
          <w:szCs w:val="24"/>
        </w:rPr>
        <w:t xml:space="preserve">Other general models </w:t>
      </w:r>
      <w:r w:rsidR="00784C60" w:rsidRPr="00520699">
        <w:rPr>
          <w:rStyle w:val="hgkelc"/>
          <w:rFonts w:ascii="Times New Roman" w:hAnsi="Times New Roman" w:cs="Times New Roman"/>
          <w:color w:val="000000" w:themeColor="text1"/>
          <w:sz w:val="24"/>
          <w:szCs w:val="24"/>
        </w:rPr>
        <w:t>used in determining the purchasing power of different countries include the homogeneity of the countries in terms of economic levels, rival technologies in those countries, and income indexes, among other factors</w:t>
      </w:r>
      <w:r w:rsidR="00402BE4" w:rsidRPr="00520699">
        <w:rPr>
          <w:rStyle w:val="hgkelc"/>
          <w:rFonts w:ascii="Times New Roman" w:hAnsi="Times New Roman" w:cs="Times New Roman"/>
          <w:color w:val="000000" w:themeColor="text1"/>
          <w:sz w:val="24"/>
          <w:szCs w:val="24"/>
        </w:rPr>
        <w:t xml:space="preserve"> </w:t>
      </w:r>
      <w:r w:rsidR="00402BE4" w:rsidRPr="00520699">
        <w:rPr>
          <w:rFonts w:ascii="Times New Roman" w:hAnsi="Times New Roman" w:cs="Times New Roman"/>
          <w:color w:val="000000" w:themeColor="text1"/>
          <w:sz w:val="24"/>
          <w:szCs w:val="24"/>
        </w:rPr>
        <w:t>(Ang et al., 2021)</w:t>
      </w:r>
      <w:r w:rsidR="00402BE4" w:rsidRPr="00520699">
        <w:rPr>
          <w:rStyle w:val="hgkelc"/>
          <w:rFonts w:ascii="Times New Roman" w:hAnsi="Times New Roman" w:cs="Times New Roman"/>
          <w:color w:val="000000" w:themeColor="text1"/>
          <w:sz w:val="24"/>
          <w:szCs w:val="24"/>
        </w:rPr>
        <w:t xml:space="preserve">. </w:t>
      </w:r>
    </w:p>
    <w:p w14:paraId="0D4EB0A0" w14:textId="77777777" w:rsidR="00402BE4" w:rsidRPr="00520699" w:rsidRDefault="00402BE4" w:rsidP="00520699">
      <w:pPr>
        <w:pStyle w:val="3"/>
        <w:spacing w:line="480" w:lineRule="auto"/>
        <w:rPr>
          <w:rStyle w:val="hgkelc"/>
          <w:rFonts w:ascii="Times New Roman" w:hAnsi="Times New Roman" w:cs="Times New Roman"/>
          <w:b/>
          <w:color w:val="000000" w:themeColor="text1"/>
        </w:rPr>
      </w:pPr>
      <w:bookmarkStart w:id="3" w:name="_Toc99191796"/>
      <w:r w:rsidRPr="00520699">
        <w:rPr>
          <w:rStyle w:val="hgkelc"/>
          <w:rFonts w:ascii="Times New Roman" w:hAnsi="Times New Roman" w:cs="Times New Roman"/>
          <w:b/>
          <w:color w:val="000000" w:themeColor="text1"/>
        </w:rPr>
        <w:lastRenderedPageBreak/>
        <w:t xml:space="preserve">Interest rate parity </w:t>
      </w:r>
      <w:r w:rsidR="0091661C" w:rsidRPr="00520699">
        <w:rPr>
          <w:rStyle w:val="hgkelc"/>
          <w:rFonts w:ascii="Times New Roman" w:hAnsi="Times New Roman" w:cs="Times New Roman"/>
          <w:b/>
          <w:color w:val="000000" w:themeColor="text1"/>
        </w:rPr>
        <w:t>(IRP)</w:t>
      </w:r>
      <w:bookmarkEnd w:id="3"/>
    </w:p>
    <w:p w14:paraId="1EDAA805" w14:textId="77777777" w:rsidR="00402BE4" w:rsidRPr="00520699" w:rsidRDefault="0091661C" w:rsidP="00520699">
      <w:pPr>
        <w:spacing w:line="480" w:lineRule="auto"/>
        <w:rPr>
          <w:rStyle w:val="hgkelc"/>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According to Yoon and Jei (2020), IRP refers to “</w:t>
      </w:r>
      <w:r w:rsidR="00402BE4" w:rsidRPr="00520699">
        <w:rPr>
          <w:rStyle w:val="hgkelc"/>
          <w:rFonts w:ascii="Times New Roman" w:hAnsi="Times New Roman" w:cs="Times New Roman"/>
          <w:bCs/>
          <w:color w:val="000000" w:themeColor="text1"/>
          <w:sz w:val="24"/>
          <w:szCs w:val="24"/>
        </w:rPr>
        <w:t>the interest rate differential between two countries is equal to the differential between the forward exchange rate and the spot exchange rate</w:t>
      </w:r>
      <w:r w:rsidR="009808E8" w:rsidRPr="00520699">
        <w:rPr>
          <w:rStyle w:val="hgkelc"/>
          <w:rFonts w:ascii="Times New Roman" w:hAnsi="Times New Roman" w:cs="Times New Roman"/>
          <w:b/>
          <w:bCs/>
          <w:color w:val="000000" w:themeColor="text1"/>
          <w:sz w:val="24"/>
          <w:szCs w:val="24"/>
        </w:rPr>
        <w:t>.”</w:t>
      </w:r>
      <w:r w:rsidRPr="00520699">
        <w:rPr>
          <w:rStyle w:val="hgkelc"/>
          <w:rFonts w:ascii="Times New Roman" w:hAnsi="Times New Roman" w:cs="Times New Roman"/>
          <w:color w:val="000000" w:themeColor="text1"/>
          <w:sz w:val="24"/>
          <w:szCs w:val="24"/>
        </w:rPr>
        <w:t xml:space="preserve"> The IRP model is important to Microsoft’s tasks of standardizing their income differentials in different markets. By applying the IRP, the company </w:t>
      </w:r>
      <w:r w:rsidR="009808E8" w:rsidRPr="00520699">
        <w:rPr>
          <w:rStyle w:val="hgkelc"/>
          <w:rFonts w:ascii="Times New Roman" w:hAnsi="Times New Roman" w:cs="Times New Roman"/>
          <w:color w:val="000000" w:themeColor="text1"/>
          <w:sz w:val="24"/>
          <w:szCs w:val="24"/>
        </w:rPr>
        <w:t>can</w:t>
      </w:r>
      <w:r w:rsidRPr="00520699">
        <w:rPr>
          <w:rStyle w:val="hgkelc"/>
          <w:rFonts w:ascii="Times New Roman" w:hAnsi="Times New Roman" w:cs="Times New Roman"/>
          <w:color w:val="000000" w:themeColor="text1"/>
          <w:sz w:val="24"/>
          <w:szCs w:val="24"/>
        </w:rPr>
        <w:t xml:space="preserve"> conduct estimates of ROI in </w:t>
      </w:r>
      <w:r w:rsidR="00AA1089">
        <w:rPr>
          <w:rStyle w:val="hgkelc"/>
          <w:rFonts w:ascii="Times New Roman" w:hAnsi="Times New Roman" w:cs="Times New Roman"/>
          <w:color w:val="000000" w:themeColor="text1"/>
          <w:sz w:val="24"/>
          <w:szCs w:val="24"/>
        </w:rPr>
        <w:t>other</w:t>
      </w:r>
      <w:r w:rsidRPr="00520699">
        <w:rPr>
          <w:rStyle w:val="hgkelc"/>
          <w:rFonts w:ascii="Times New Roman" w:hAnsi="Times New Roman" w:cs="Times New Roman"/>
          <w:color w:val="000000" w:themeColor="text1"/>
          <w:sz w:val="24"/>
          <w:szCs w:val="24"/>
        </w:rPr>
        <w:t xml:space="preserve"> countries. </w:t>
      </w:r>
    </w:p>
    <w:p w14:paraId="456C7CA4" w14:textId="77777777" w:rsidR="0091661C" w:rsidRPr="00520699" w:rsidRDefault="009808E8" w:rsidP="00520699">
      <w:pPr>
        <w:spacing w:line="480" w:lineRule="auto"/>
        <w:rPr>
          <w:rFonts w:ascii="Times New Roman" w:hAnsi="Times New Roman" w:cs="Times New Roman"/>
          <w:color w:val="000000" w:themeColor="text1"/>
          <w:sz w:val="24"/>
          <w:szCs w:val="24"/>
        </w:rPr>
      </w:pPr>
      <w:r w:rsidRPr="00520699">
        <w:rPr>
          <w:rStyle w:val="hgkelc"/>
          <w:rFonts w:ascii="Times New Roman" w:hAnsi="Times New Roman" w:cs="Times New Roman"/>
          <w:color w:val="000000" w:themeColor="text1"/>
          <w:sz w:val="24"/>
          <w:szCs w:val="24"/>
        </w:rPr>
        <w:t>HOWEVER, the IRP model is</w:t>
      </w:r>
      <w:r w:rsidR="0091661C" w:rsidRPr="00520699">
        <w:rPr>
          <w:rStyle w:val="hgkelc"/>
          <w:rFonts w:ascii="Times New Roman" w:hAnsi="Times New Roman" w:cs="Times New Roman"/>
          <w:color w:val="000000" w:themeColor="text1"/>
          <w:sz w:val="24"/>
          <w:szCs w:val="24"/>
        </w:rPr>
        <w:t xml:space="preserve"> not an ideal tool as financial assets in different nations do not hold homogenous character traits. In some countries, financial </w:t>
      </w:r>
      <w:r w:rsidR="00AA1089">
        <w:rPr>
          <w:rStyle w:val="hgkelc"/>
          <w:rFonts w:ascii="Times New Roman" w:hAnsi="Times New Roman" w:cs="Times New Roman"/>
          <w:color w:val="000000" w:themeColor="text1"/>
          <w:sz w:val="24"/>
          <w:szCs w:val="24"/>
        </w:rPr>
        <w:t>purchases</w:t>
      </w:r>
      <w:r w:rsidR="0091661C" w:rsidRPr="00520699">
        <w:rPr>
          <w:rStyle w:val="hgkelc"/>
          <w:rFonts w:ascii="Times New Roman" w:hAnsi="Times New Roman" w:cs="Times New Roman"/>
          <w:color w:val="000000" w:themeColor="text1"/>
          <w:sz w:val="24"/>
          <w:szCs w:val="24"/>
        </w:rPr>
        <w:t xml:space="preserve"> are subject to a riskier environment</w:t>
      </w:r>
      <w:r w:rsidRPr="00520699">
        <w:rPr>
          <w:rStyle w:val="hgkelc"/>
          <w:rFonts w:ascii="Times New Roman" w:hAnsi="Times New Roman" w:cs="Times New Roman"/>
          <w:color w:val="000000" w:themeColor="text1"/>
          <w:sz w:val="24"/>
          <w:szCs w:val="24"/>
        </w:rPr>
        <w:t>, while</w:t>
      </w:r>
      <w:r w:rsidR="0091661C" w:rsidRPr="00520699">
        <w:rPr>
          <w:rStyle w:val="hgkelc"/>
          <w:rFonts w:ascii="Times New Roman" w:hAnsi="Times New Roman" w:cs="Times New Roman"/>
          <w:color w:val="000000" w:themeColor="text1"/>
          <w:sz w:val="24"/>
          <w:szCs w:val="24"/>
        </w:rPr>
        <w:t xml:space="preserve"> regulations- such as licensing and taxation laws- differ from country to country.  For instance, </w:t>
      </w:r>
      <w:r w:rsidR="0091661C" w:rsidRPr="00520699">
        <w:rPr>
          <w:rFonts w:ascii="Times New Roman" w:hAnsi="Times New Roman" w:cs="Times New Roman"/>
          <w:color w:val="000000" w:themeColor="text1"/>
          <w:sz w:val="24"/>
          <w:szCs w:val="24"/>
        </w:rPr>
        <w:t xml:space="preserve">in 2016, the ruling by the Indian supreme court on the unconstitutionality of withholding tax on software sales in its jurisdiction earned Microsoft a net income tax benefit of $620 million. This ruling upset the role of the IRP model in that country.  </w:t>
      </w:r>
    </w:p>
    <w:p w14:paraId="6DF67B96" w14:textId="77777777" w:rsidR="0091661C" w:rsidRPr="00520699" w:rsidRDefault="0091661C" w:rsidP="00520699">
      <w:pPr>
        <w:pStyle w:val="3"/>
        <w:spacing w:line="480" w:lineRule="auto"/>
        <w:rPr>
          <w:rFonts w:ascii="Times New Roman" w:hAnsi="Times New Roman" w:cs="Times New Roman"/>
          <w:b/>
          <w:color w:val="000000" w:themeColor="text1"/>
        </w:rPr>
      </w:pPr>
      <w:bookmarkStart w:id="4" w:name="_Toc99191797"/>
      <w:r w:rsidRPr="00520699">
        <w:rPr>
          <w:rFonts w:ascii="Times New Roman" w:hAnsi="Times New Roman" w:cs="Times New Roman"/>
          <w:b/>
          <w:color w:val="000000" w:themeColor="text1"/>
        </w:rPr>
        <w:t>Fisher effect and the international fisher effect</w:t>
      </w:r>
      <w:bookmarkEnd w:id="4"/>
      <w:r w:rsidRPr="00520699">
        <w:rPr>
          <w:rFonts w:ascii="Times New Roman" w:hAnsi="Times New Roman" w:cs="Times New Roman"/>
          <w:b/>
          <w:color w:val="000000" w:themeColor="text1"/>
        </w:rPr>
        <w:t xml:space="preserve"> </w:t>
      </w:r>
    </w:p>
    <w:p w14:paraId="23F02BCB" w14:textId="77777777" w:rsidR="0091661C" w:rsidRPr="00520699" w:rsidRDefault="0091661C"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Irving fisher’s Fisher effect model of international finance management explains the relationship between nominal </w:t>
      </w:r>
      <w:r w:rsidR="009808E8" w:rsidRPr="00520699">
        <w:rPr>
          <w:rFonts w:ascii="Times New Roman" w:hAnsi="Times New Roman" w:cs="Times New Roman"/>
          <w:color w:val="000000" w:themeColor="text1"/>
          <w:sz w:val="24"/>
          <w:szCs w:val="24"/>
        </w:rPr>
        <w:t>interests</w:t>
      </w:r>
      <w:r w:rsidRPr="00520699">
        <w:rPr>
          <w:rFonts w:ascii="Times New Roman" w:hAnsi="Times New Roman" w:cs="Times New Roman"/>
          <w:color w:val="000000" w:themeColor="text1"/>
          <w:sz w:val="24"/>
          <w:szCs w:val="24"/>
        </w:rPr>
        <w:t xml:space="preserve"> rates and inflation </w:t>
      </w:r>
      <w:r w:rsidR="00784C60" w:rsidRPr="00520699">
        <w:rPr>
          <w:rFonts w:ascii="Times New Roman" w:hAnsi="Times New Roman" w:cs="Times New Roman"/>
          <w:color w:val="000000" w:themeColor="text1"/>
          <w:sz w:val="24"/>
          <w:szCs w:val="24"/>
        </w:rPr>
        <w:t>rates</w:t>
      </w:r>
      <w:r w:rsidRPr="00520699">
        <w:rPr>
          <w:rFonts w:ascii="Times New Roman" w:hAnsi="Times New Roman" w:cs="Times New Roman"/>
          <w:color w:val="000000" w:themeColor="text1"/>
          <w:sz w:val="24"/>
          <w:szCs w:val="24"/>
        </w:rPr>
        <w:t xml:space="preserve">.  The model </w:t>
      </w:r>
      <w:r w:rsidR="00AA1089">
        <w:rPr>
          <w:rFonts w:ascii="Times New Roman" w:hAnsi="Times New Roman" w:cs="Times New Roman"/>
          <w:color w:val="000000" w:themeColor="text1"/>
          <w:sz w:val="24"/>
          <w:szCs w:val="24"/>
        </w:rPr>
        <w:t>describes</w:t>
      </w:r>
      <w:r w:rsidRPr="00520699">
        <w:rPr>
          <w:rFonts w:ascii="Times New Roman" w:hAnsi="Times New Roman" w:cs="Times New Roman"/>
          <w:color w:val="000000" w:themeColor="text1"/>
          <w:sz w:val="24"/>
          <w:szCs w:val="24"/>
        </w:rPr>
        <w:t xml:space="preserve"> a </w:t>
      </w:r>
      <w:r w:rsidR="00784C60" w:rsidRPr="00520699">
        <w:rPr>
          <w:rFonts w:ascii="Times New Roman" w:hAnsi="Times New Roman" w:cs="Times New Roman"/>
          <w:color w:val="000000" w:themeColor="text1"/>
          <w:sz w:val="24"/>
          <w:szCs w:val="24"/>
        </w:rPr>
        <w:t>proportional</w:t>
      </w:r>
      <w:r w:rsidRPr="00520699">
        <w:rPr>
          <w:rFonts w:ascii="Times New Roman" w:hAnsi="Times New Roman" w:cs="Times New Roman"/>
          <w:color w:val="000000" w:themeColor="text1"/>
          <w:sz w:val="24"/>
          <w:szCs w:val="24"/>
        </w:rPr>
        <w:t xml:space="preserve"> relationship between interest rates and inflation </w:t>
      </w:r>
      <w:r w:rsidR="00784C60" w:rsidRPr="00520699">
        <w:rPr>
          <w:rFonts w:ascii="Times New Roman" w:hAnsi="Times New Roman" w:cs="Times New Roman"/>
          <w:color w:val="000000" w:themeColor="text1"/>
          <w:sz w:val="24"/>
          <w:szCs w:val="24"/>
        </w:rPr>
        <w:t>rates</w:t>
      </w:r>
      <w:r w:rsidRPr="00520699">
        <w:rPr>
          <w:rFonts w:ascii="Times New Roman" w:hAnsi="Times New Roman" w:cs="Times New Roman"/>
          <w:color w:val="000000" w:themeColor="text1"/>
          <w:sz w:val="24"/>
          <w:szCs w:val="24"/>
        </w:rPr>
        <w:t xml:space="preserve">. In other words, </w:t>
      </w:r>
      <w:r w:rsidR="00784C60" w:rsidRPr="00520699">
        <w:rPr>
          <w:rFonts w:ascii="Times New Roman" w:hAnsi="Times New Roman" w:cs="Times New Roman"/>
          <w:color w:val="000000" w:themeColor="text1"/>
          <w:sz w:val="24"/>
          <w:szCs w:val="24"/>
        </w:rPr>
        <w:t xml:space="preserve">nominal interest rates are equal to the inflation rate plus the real interest rate. When inflation increases, the nominal interest rates will </w:t>
      </w:r>
      <w:r w:rsidR="00AA1089">
        <w:rPr>
          <w:rFonts w:ascii="Times New Roman" w:hAnsi="Times New Roman" w:cs="Times New Roman"/>
          <w:color w:val="000000" w:themeColor="text1"/>
          <w:sz w:val="24"/>
          <w:szCs w:val="24"/>
        </w:rPr>
        <w:t>rise</w:t>
      </w:r>
      <w:r w:rsidR="00784C60" w:rsidRPr="00520699">
        <w:rPr>
          <w:rFonts w:ascii="Times New Roman" w:hAnsi="Times New Roman" w:cs="Times New Roman"/>
          <w:color w:val="000000" w:themeColor="text1"/>
          <w:sz w:val="24"/>
          <w:szCs w:val="24"/>
        </w:rPr>
        <w:t xml:space="preserve"> (Uribe,2018). </w:t>
      </w:r>
    </w:p>
    <w:p w14:paraId="4FCCDFCA" w14:textId="77777777" w:rsidR="00784C60" w:rsidRPr="00520699" w:rsidRDefault="00784C60"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The fisher Model shows that the inflation rate is important when determining the prices of products in the international market. The Fisher effect plays a crucial role to Microsoft Inc. When determining its products prices, debt financing, or equity capital for its international business (Fisher &amp; Rubinfeld, 2001).  </w:t>
      </w:r>
    </w:p>
    <w:p w14:paraId="01B22872" w14:textId="77777777" w:rsidR="00784C60" w:rsidRPr="00520699" w:rsidRDefault="00784C60" w:rsidP="00520699">
      <w:pPr>
        <w:spacing w:line="480" w:lineRule="auto"/>
        <w:rPr>
          <w:rFonts w:ascii="Times New Roman" w:hAnsi="Times New Roman" w:cs="Times New Roman"/>
          <w:color w:val="000000" w:themeColor="text1"/>
          <w:sz w:val="24"/>
          <w:szCs w:val="24"/>
        </w:rPr>
      </w:pPr>
    </w:p>
    <w:p w14:paraId="2AC64BA5" w14:textId="77777777" w:rsidR="00784C60" w:rsidRPr="00520699" w:rsidRDefault="00784C60" w:rsidP="00520699">
      <w:pPr>
        <w:keepNext/>
        <w:spacing w:line="480" w:lineRule="auto"/>
        <w:rPr>
          <w:rFonts w:ascii="Times New Roman" w:hAnsi="Times New Roman" w:cs="Times New Roman"/>
          <w:color w:val="000000" w:themeColor="text1"/>
          <w:sz w:val="24"/>
          <w:szCs w:val="24"/>
        </w:rPr>
      </w:pPr>
      <w:r w:rsidRPr="00520699">
        <w:rPr>
          <w:rFonts w:ascii="Times New Roman" w:hAnsi="Times New Roman" w:cs="Times New Roman"/>
          <w:noProof/>
          <w:color w:val="000000" w:themeColor="text1"/>
          <w:sz w:val="24"/>
          <w:szCs w:val="24"/>
          <w:lang w:eastAsia="en-GB"/>
        </w:rPr>
        <w:lastRenderedPageBreak/>
        <w:drawing>
          <wp:inline distT="0" distB="0" distL="0" distR="0" wp14:anchorId="0AA5DB81" wp14:editId="17E29B50">
            <wp:extent cx="5731510" cy="3451503"/>
            <wp:effectExtent l="0" t="0" r="2540" b="0"/>
            <wp:docPr id="1" name="Picture 1" descr="Fisher Equation - Overview, Formula and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sher Equation - Overview, Formula and Exam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51503"/>
                    </a:xfrm>
                    <a:prstGeom prst="rect">
                      <a:avLst/>
                    </a:prstGeom>
                    <a:noFill/>
                    <a:ln>
                      <a:noFill/>
                    </a:ln>
                  </pic:spPr>
                </pic:pic>
              </a:graphicData>
            </a:graphic>
          </wp:inline>
        </w:drawing>
      </w:r>
    </w:p>
    <w:p w14:paraId="1450D58F" w14:textId="77777777" w:rsidR="00784C60" w:rsidRPr="00520699" w:rsidRDefault="00784C60" w:rsidP="00520699">
      <w:pPr>
        <w:pStyle w:val="a5"/>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Figure </w:t>
      </w:r>
      <w:r w:rsidRPr="00520699">
        <w:rPr>
          <w:rFonts w:ascii="Times New Roman" w:hAnsi="Times New Roman" w:cs="Times New Roman"/>
          <w:color w:val="000000" w:themeColor="text1"/>
          <w:sz w:val="24"/>
          <w:szCs w:val="24"/>
        </w:rPr>
        <w:fldChar w:fldCharType="begin"/>
      </w:r>
      <w:r w:rsidRPr="00520699">
        <w:rPr>
          <w:rFonts w:ascii="Times New Roman" w:hAnsi="Times New Roman" w:cs="Times New Roman"/>
          <w:color w:val="000000" w:themeColor="text1"/>
          <w:sz w:val="24"/>
          <w:szCs w:val="24"/>
        </w:rPr>
        <w:instrText xml:space="preserve"> SEQ Figure \* ARABIC </w:instrText>
      </w:r>
      <w:r w:rsidRPr="00520699">
        <w:rPr>
          <w:rFonts w:ascii="Times New Roman" w:hAnsi="Times New Roman" w:cs="Times New Roman"/>
          <w:color w:val="000000" w:themeColor="text1"/>
          <w:sz w:val="24"/>
          <w:szCs w:val="24"/>
        </w:rPr>
        <w:fldChar w:fldCharType="separate"/>
      </w:r>
      <w:r w:rsidRPr="00520699">
        <w:rPr>
          <w:rFonts w:ascii="Times New Roman" w:hAnsi="Times New Roman" w:cs="Times New Roman"/>
          <w:noProof/>
          <w:color w:val="000000" w:themeColor="text1"/>
          <w:sz w:val="24"/>
          <w:szCs w:val="24"/>
        </w:rPr>
        <w:t>1</w:t>
      </w:r>
      <w:r w:rsidRPr="00520699">
        <w:rPr>
          <w:rFonts w:ascii="Times New Roman" w:hAnsi="Times New Roman" w:cs="Times New Roman"/>
          <w:color w:val="000000" w:themeColor="text1"/>
          <w:sz w:val="24"/>
          <w:szCs w:val="24"/>
        </w:rPr>
        <w:fldChar w:fldCharType="end"/>
      </w:r>
      <w:r w:rsidRPr="00520699">
        <w:rPr>
          <w:rFonts w:ascii="Times New Roman" w:hAnsi="Times New Roman" w:cs="Times New Roman"/>
          <w:color w:val="000000" w:themeColor="text1"/>
          <w:sz w:val="24"/>
          <w:szCs w:val="24"/>
        </w:rPr>
        <w:t>: Fisher effect</w:t>
      </w:r>
    </w:p>
    <w:p w14:paraId="7C1D868B" w14:textId="77777777" w:rsidR="00784C60" w:rsidRPr="00520699" w:rsidRDefault="00784C60" w:rsidP="00520699">
      <w:pPr>
        <w:pStyle w:val="4"/>
        <w:spacing w:line="480" w:lineRule="auto"/>
        <w:rPr>
          <w:rFonts w:ascii="Times New Roman" w:hAnsi="Times New Roman" w:cs="Times New Roman"/>
          <w:b/>
          <w:color w:val="000000" w:themeColor="text1"/>
          <w:sz w:val="24"/>
          <w:szCs w:val="24"/>
        </w:rPr>
      </w:pPr>
      <w:r w:rsidRPr="00520699">
        <w:rPr>
          <w:rFonts w:ascii="Times New Roman" w:hAnsi="Times New Roman" w:cs="Times New Roman"/>
          <w:b/>
          <w:color w:val="000000" w:themeColor="text1"/>
          <w:sz w:val="24"/>
          <w:szCs w:val="24"/>
        </w:rPr>
        <w:t xml:space="preserve">International fisher effect </w:t>
      </w:r>
      <w:r w:rsidR="009808E8" w:rsidRPr="00520699">
        <w:rPr>
          <w:rFonts w:ascii="Times New Roman" w:hAnsi="Times New Roman" w:cs="Times New Roman"/>
          <w:b/>
          <w:color w:val="000000" w:themeColor="text1"/>
          <w:sz w:val="24"/>
          <w:szCs w:val="24"/>
        </w:rPr>
        <w:t>(IFE)</w:t>
      </w:r>
    </w:p>
    <w:p w14:paraId="13BF7A29" w14:textId="77777777" w:rsidR="00784C60" w:rsidRPr="00520699" w:rsidRDefault="00784C60"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The model is based on the prism that the disparity between two currencies in terms of exchange rates is similar or equal (approx.) to the variance of the countries’ nominal rates of interest</w:t>
      </w:r>
      <w:r w:rsidR="009808E8" w:rsidRPr="00520699">
        <w:rPr>
          <w:rFonts w:ascii="Times New Roman" w:hAnsi="Times New Roman" w:cs="Times New Roman"/>
          <w:color w:val="000000" w:themeColor="text1"/>
          <w:sz w:val="24"/>
          <w:szCs w:val="24"/>
        </w:rPr>
        <w:t xml:space="preserve">. </w:t>
      </w:r>
      <w:r w:rsidR="00AA1089" w:rsidRPr="00AA1089">
        <w:rPr>
          <w:rFonts w:ascii="Times New Roman" w:hAnsi="Times New Roman" w:cs="Times New Roman"/>
          <w:color w:val="000000" w:themeColor="text1"/>
          <w:sz w:val="24"/>
          <w:szCs w:val="24"/>
        </w:rPr>
        <w:t>The IFE is crucial to understand the disparity in terms of product prices in different countries</w:t>
      </w:r>
      <w:r w:rsidR="009808E8" w:rsidRPr="00520699">
        <w:rPr>
          <w:rFonts w:ascii="Times New Roman" w:hAnsi="Times New Roman" w:cs="Times New Roman"/>
          <w:color w:val="000000" w:themeColor="text1"/>
          <w:sz w:val="24"/>
          <w:szCs w:val="24"/>
        </w:rPr>
        <w:t xml:space="preserve">. IFE is thus </w:t>
      </w:r>
      <w:r w:rsidR="00AA1089">
        <w:rPr>
          <w:rFonts w:ascii="Times New Roman" w:hAnsi="Times New Roman" w:cs="Times New Roman"/>
          <w:color w:val="000000" w:themeColor="text1"/>
          <w:sz w:val="24"/>
          <w:szCs w:val="24"/>
        </w:rPr>
        <w:t>vital</w:t>
      </w:r>
      <w:r w:rsidR="009808E8" w:rsidRPr="00520699">
        <w:rPr>
          <w:rFonts w:ascii="Times New Roman" w:hAnsi="Times New Roman" w:cs="Times New Roman"/>
          <w:color w:val="000000" w:themeColor="text1"/>
          <w:sz w:val="24"/>
          <w:szCs w:val="24"/>
        </w:rPr>
        <w:t xml:space="preserve"> in standardizing the product prices of Microsoft in </w:t>
      </w:r>
      <w:r w:rsidR="00AA1089">
        <w:rPr>
          <w:rFonts w:ascii="Times New Roman" w:hAnsi="Times New Roman" w:cs="Times New Roman"/>
          <w:color w:val="000000" w:themeColor="text1"/>
          <w:sz w:val="24"/>
          <w:szCs w:val="24"/>
        </w:rPr>
        <w:t>other</w:t>
      </w:r>
      <w:r w:rsidR="009808E8" w:rsidRPr="00520699">
        <w:rPr>
          <w:rFonts w:ascii="Times New Roman" w:hAnsi="Times New Roman" w:cs="Times New Roman"/>
          <w:color w:val="000000" w:themeColor="text1"/>
          <w:sz w:val="24"/>
          <w:szCs w:val="24"/>
        </w:rPr>
        <w:t xml:space="preserve"> markets (gilbert and Katz, 2001). </w:t>
      </w:r>
    </w:p>
    <w:p w14:paraId="33BE2D85" w14:textId="77777777" w:rsidR="009808E8" w:rsidRPr="00520699" w:rsidRDefault="009808E8" w:rsidP="00520699">
      <w:pPr>
        <w:pStyle w:val="2"/>
        <w:spacing w:line="480" w:lineRule="auto"/>
        <w:rPr>
          <w:rFonts w:ascii="Times New Roman" w:hAnsi="Times New Roman" w:cs="Times New Roman"/>
          <w:b/>
          <w:color w:val="000000" w:themeColor="text1"/>
          <w:sz w:val="24"/>
          <w:szCs w:val="24"/>
        </w:rPr>
      </w:pPr>
      <w:bookmarkStart w:id="5" w:name="_Toc99191798"/>
      <w:r w:rsidRPr="00520699">
        <w:rPr>
          <w:rFonts w:ascii="Times New Roman" w:hAnsi="Times New Roman" w:cs="Times New Roman"/>
          <w:b/>
          <w:color w:val="000000" w:themeColor="text1"/>
          <w:sz w:val="24"/>
          <w:szCs w:val="24"/>
        </w:rPr>
        <w:t>Microsoft challenges in the international business environment</w:t>
      </w:r>
      <w:bookmarkEnd w:id="5"/>
      <w:r w:rsidRPr="00520699">
        <w:rPr>
          <w:rFonts w:ascii="Times New Roman" w:hAnsi="Times New Roman" w:cs="Times New Roman"/>
          <w:b/>
          <w:color w:val="000000" w:themeColor="text1"/>
          <w:sz w:val="24"/>
          <w:szCs w:val="24"/>
        </w:rPr>
        <w:t xml:space="preserve"> </w:t>
      </w:r>
    </w:p>
    <w:p w14:paraId="21E50AC1" w14:textId="77777777" w:rsidR="009808E8" w:rsidRPr="00520699" w:rsidRDefault="009808E8"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The company faces numerous challenges in the IBE. The challenges faced are multiple-pronged and can be caused by internal or external factors.  The challenges include standardization of product prices in different jurisdictions, cultural mismatch, communication barriers, terrorism</w:t>
      </w:r>
      <w:r w:rsidR="00B135E3" w:rsidRPr="0052069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 cyber threats, negative political synergy in different countries</w:t>
      </w:r>
      <w:r w:rsidR="00B135E3" w:rsidRPr="0052069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 and unfavourable rules and regulations</w:t>
      </w:r>
      <w:r w:rsidR="00AA108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 among other challenges (Kim, 2012). </w:t>
      </w:r>
    </w:p>
    <w:p w14:paraId="6ADA53DF" w14:textId="77777777" w:rsidR="00D02353" w:rsidRPr="00D02353" w:rsidRDefault="00D02353" w:rsidP="00D02353">
      <w:pPr>
        <w:pStyle w:val="1"/>
        <w:spacing w:line="480" w:lineRule="auto"/>
        <w:rPr>
          <w:rFonts w:ascii="Times New Roman" w:hAnsi="Times New Roman" w:cs="Times New Roman"/>
          <w:b/>
          <w:color w:val="000000" w:themeColor="text1"/>
        </w:rPr>
      </w:pPr>
      <w:bookmarkStart w:id="6" w:name="_Toc99191799"/>
      <w:r w:rsidRPr="00D02353">
        <w:rPr>
          <w:rFonts w:ascii="Times New Roman" w:hAnsi="Times New Roman" w:cs="Times New Roman"/>
          <w:b/>
          <w:color w:val="000000" w:themeColor="text1"/>
        </w:rPr>
        <w:lastRenderedPageBreak/>
        <w:t xml:space="preserve">Empirical evidence </w:t>
      </w:r>
    </w:p>
    <w:p w14:paraId="54D06FF9" w14:textId="77777777" w:rsidR="009808E8" w:rsidRPr="00520699" w:rsidRDefault="009808E8" w:rsidP="00520699">
      <w:pPr>
        <w:pStyle w:val="2"/>
        <w:spacing w:line="480" w:lineRule="auto"/>
        <w:rPr>
          <w:rFonts w:ascii="Times New Roman" w:hAnsi="Times New Roman" w:cs="Times New Roman"/>
          <w:b/>
          <w:color w:val="000000" w:themeColor="text1"/>
          <w:sz w:val="24"/>
          <w:szCs w:val="24"/>
        </w:rPr>
      </w:pPr>
      <w:r w:rsidRPr="00520699">
        <w:rPr>
          <w:rFonts w:ascii="Times New Roman" w:hAnsi="Times New Roman" w:cs="Times New Roman"/>
          <w:b/>
          <w:color w:val="000000" w:themeColor="text1"/>
          <w:sz w:val="24"/>
          <w:szCs w:val="24"/>
        </w:rPr>
        <w:t>Dividend’s distribution policy</w:t>
      </w:r>
      <w:bookmarkEnd w:id="6"/>
      <w:r w:rsidRPr="00520699">
        <w:rPr>
          <w:rFonts w:ascii="Times New Roman" w:hAnsi="Times New Roman" w:cs="Times New Roman"/>
          <w:b/>
          <w:color w:val="000000" w:themeColor="text1"/>
          <w:sz w:val="24"/>
          <w:szCs w:val="24"/>
        </w:rPr>
        <w:t xml:space="preserve">  </w:t>
      </w:r>
    </w:p>
    <w:p w14:paraId="5B6474E7" w14:textId="77777777" w:rsidR="00B07869" w:rsidRPr="00520699" w:rsidRDefault="00B135E3" w:rsidP="00AA108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Microsoft’s dividends distribution policy has evolved over the years. As of 2004, Microsoft had never paid a single dividend to its investors. The company had stayed for over 17 years with a zero-rated dividend policy. </w:t>
      </w:r>
      <w:r w:rsidR="00AA1089" w:rsidRPr="00AA1089">
        <w:rPr>
          <w:rFonts w:ascii="Times New Roman" w:hAnsi="Times New Roman" w:cs="Times New Roman"/>
          <w:color w:val="000000" w:themeColor="text1"/>
          <w:sz w:val="24"/>
          <w:szCs w:val="24"/>
        </w:rPr>
        <w:t>Microsoft’s cash balance had crossed to more than $5,0 billion in that year</w:t>
      </w:r>
      <w:r w:rsidR="00AA1089">
        <w:rPr>
          <w:rFonts w:ascii="Times New Roman" w:hAnsi="Times New Roman" w:cs="Times New Roman"/>
          <w:color w:val="000000" w:themeColor="text1"/>
          <w:sz w:val="24"/>
          <w:szCs w:val="24"/>
        </w:rPr>
        <w:t>. However, the</w:t>
      </w:r>
      <w:r w:rsidRPr="00520699">
        <w:rPr>
          <w:rFonts w:ascii="Times New Roman" w:hAnsi="Times New Roman" w:cs="Times New Roman"/>
          <w:color w:val="000000" w:themeColor="text1"/>
          <w:sz w:val="24"/>
          <w:szCs w:val="24"/>
        </w:rPr>
        <w:t xml:space="preserve"> company still maintained that </w:t>
      </w:r>
      <w:r w:rsidR="00B07869" w:rsidRPr="00520699">
        <w:rPr>
          <w:rFonts w:ascii="Times New Roman" w:hAnsi="Times New Roman" w:cs="Times New Roman"/>
          <w:color w:val="000000" w:themeColor="text1"/>
          <w:sz w:val="24"/>
          <w:szCs w:val="24"/>
        </w:rPr>
        <w:t>payable dividends should be put into its Research and development departments as part of its R&amp;D strate</w:t>
      </w:r>
      <w:r w:rsidR="00AA1089">
        <w:rPr>
          <w:rFonts w:ascii="Times New Roman" w:hAnsi="Times New Roman" w:cs="Times New Roman"/>
          <w:color w:val="000000" w:themeColor="text1"/>
          <w:sz w:val="24"/>
          <w:szCs w:val="24"/>
        </w:rPr>
        <w:t>gy. However, at the end of 2004</w:t>
      </w:r>
      <w:r w:rsidR="00B07869" w:rsidRPr="00520699">
        <w:rPr>
          <w:rFonts w:ascii="Times New Roman" w:hAnsi="Times New Roman" w:cs="Times New Roman"/>
          <w:color w:val="000000" w:themeColor="text1"/>
          <w:sz w:val="24"/>
          <w:szCs w:val="24"/>
        </w:rPr>
        <w:t xml:space="preserve">owever, Microsoft softened its stance and paid dividends on common stock for the first time.  Over the years, the company has </w:t>
      </w:r>
      <w:r w:rsidR="00AA1089">
        <w:rPr>
          <w:rFonts w:ascii="Times New Roman" w:hAnsi="Times New Roman" w:cs="Times New Roman"/>
          <w:color w:val="000000" w:themeColor="text1"/>
          <w:sz w:val="24"/>
          <w:szCs w:val="24"/>
        </w:rPr>
        <w:t>spent</w:t>
      </w:r>
      <w:r w:rsidR="00B07869" w:rsidRPr="00520699">
        <w:rPr>
          <w:rFonts w:ascii="Times New Roman" w:hAnsi="Times New Roman" w:cs="Times New Roman"/>
          <w:color w:val="000000" w:themeColor="text1"/>
          <w:sz w:val="24"/>
          <w:szCs w:val="24"/>
        </w:rPr>
        <w:t xml:space="preserve"> more than $75 billion as payable dividend backtracked to the 17 years it never paid dividends to its investors. A one-time $30 billion dividend payment has also been paid to its investors. Currently, the company pays dividends to its investors on an annual basis and </w:t>
      </w:r>
      <w:r w:rsidR="00AA1089">
        <w:rPr>
          <w:rFonts w:ascii="Times New Roman" w:hAnsi="Times New Roman" w:cs="Times New Roman"/>
          <w:color w:val="000000" w:themeColor="text1"/>
          <w:sz w:val="24"/>
          <w:szCs w:val="24"/>
        </w:rPr>
        <w:t>special dividends quarterly</w:t>
      </w:r>
      <w:r w:rsidR="00B07869" w:rsidRPr="00520699">
        <w:rPr>
          <w:rFonts w:ascii="Times New Roman" w:hAnsi="Times New Roman" w:cs="Times New Roman"/>
          <w:color w:val="000000" w:themeColor="text1"/>
          <w:sz w:val="24"/>
          <w:szCs w:val="24"/>
        </w:rPr>
        <w:t xml:space="preserve">. </w:t>
      </w:r>
    </w:p>
    <w:p w14:paraId="37E5ACC4" w14:textId="77777777" w:rsidR="00626505" w:rsidRPr="00520699" w:rsidRDefault="00B07869" w:rsidP="00520699">
      <w:pPr>
        <w:pStyle w:val="a6"/>
        <w:spacing w:line="480" w:lineRule="auto"/>
        <w:rPr>
          <w:color w:val="000000" w:themeColor="text1"/>
        </w:rPr>
      </w:pPr>
      <w:r w:rsidRPr="00520699">
        <w:rPr>
          <w:color w:val="000000" w:themeColor="text1"/>
        </w:rPr>
        <w:t xml:space="preserve">In addition, </w:t>
      </w:r>
      <w:r w:rsidR="00626505" w:rsidRPr="00520699">
        <w:rPr>
          <w:color w:val="000000" w:themeColor="text1"/>
        </w:rPr>
        <w:t>“</w:t>
      </w:r>
      <w:r w:rsidRPr="00520699">
        <w:rPr>
          <w:color w:val="000000" w:themeColor="text1"/>
        </w:rPr>
        <w:t xml:space="preserve">Microsoft announced plans to repurchase up to US$30 billion of its stock over the next four years and pay regular quarterly dividends at an annual rate of US$0.32 per </w:t>
      </w:r>
      <w:r w:rsidR="00626505" w:rsidRPr="00520699">
        <w:rPr>
          <w:color w:val="000000" w:themeColor="text1"/>
        </w:rPr>
        <w:t>share. Over</w:t>
      </w:r>
      <w:r w:rsidRPr="00520699">
        <w:rPr>
          <w:color w:val="000000" w:themeColor="text1"/>
        </w:rPr>
        <w:t xml:space="preserve"> the years, Microsoft has been steadily enhancing its dividend </w:t>
      </w:r>
      <w:r w:rsidR="00626505" w:rsidRPr="00520699">
        <w:rPr>
          <w:color w:val="000000" w:themeColor="text1"/>
        </w:rPr>
        <w:t>pay-out</w:t>
      </w:r>
      <w:r w:rsidRPr="00520699">
        <w:rPr>
          <w:color w:val="000000" w:themeColor="text1"/>
        </w:rPr>
        <w:t>. The dividend has increased from US$0.32 to US$1.47 per share</w:t>
      </w:r>
      <w:r w:rsidR="00AA1089">
        <w:rPr>
          <w:color w:val="000000" w:themeColor="text1"/>
        </w:rPr>
        <w:t>,</w:t>
      </w:r>
      <w:r w:rsidRPr="00520699">
        <w:rPr>
          <w:color w:val="000000" w:themeColor="text1"/>
        </w:rPr>
        <w:t xml:space="preserve"> which amounts to an annual cash outflow of over US$11 billion</w:t>
      </w:r>
      <w:r w:rsidR="00626505" w:rsidRPr="00520699">
        <w:rPr>
          <w:color w:val="000000" w:themeColor="text1"/>
        </w:rPr>
        <w:t xml:space="preserve">” (Jain &amp; Rastogi, 2020), </w:t>
      </w:r>
    </w:p>
    <w:p w14:paraId="0121B5CC" w14:textId="77777777" w:rsidR="00626505" w:rsidRPr="00520699" w:rsidRDefault="00626505" w:rsidP="00520699">
      <w:pPr>
        <w:pStyle w:val="2"/>
        <w:spacing w:line="480" w:lineRule="auto"/>
        <w:rPr>
          <w:rStyle w:val="hgkelc"/>
          <w:rFonts w:ascii="Times New Roman" w:hAnsi="Times New Roman" w:cs="Times New Roman"/>
          <w:b/>
          <w:color w:val="000000" w:themeColor="text1"/>
          <w:sz w:val="24"/>
          <w:szCs w:val="24"/>
        </w:rPr>
      </w:pPr>
      <w:bookmarkStart w:id="7" w:name="_Toc99191800"/>
      <w:r w:rsidRPr="00520699">
        <w:rPr>
          <w:rStyle w:val="hgkelc"/>
          <w:rFonts w:ascii="Times New Roman" w:hAnsi="Times New Roman" w:cs="Times New Roman"/>
          <w:b/>
          <w:color w:val="000000" w:themeColor="text1"/>
          <w:sz w:val="24"/>
          <w:szCs w:val="24"/>
        </w:rPr>
        <w:t>Efficient market hypothesis theory (EMH)</w:t>
      </w:r>
      <w:bookmarkEnd w:id="7"/>
    </w:p>
    <w:p w14:paraId="0547F761" w14:textId="77777777" w:rsidR="00626505" w:rsidRPr="00520699" w:rsidRDefault="00626505"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Numerous analysts have argued that Microsoft violates the Efficient market hypothesis theory as its annual dividends pay-outs do not always reflect its profit margins. According to the EMH model, the price of a stock should always reflect all information regarding the share. EMH posits that shares are most useful at the passive state and that technical or fundamental analysis does not give an investor an undue advantage. The hypothesis that </w:t>
      </w:r>
      <w:r w:rsidRPr="00520699">
        <w:rPr>
          <w:rFonts w:ascii="Times New Roman" w:hAnsi="Times New Roman" w:cs="Times New Roman"/>
          <w:color w:val="000000" w:themeColor="text1"/>
          <w:sz w:val="24"/>
          <w:szCs w:val="24"/>
        </w:rPr>
        <w:lastRenderedPageBreak/>
        <w:t>shares are trading on their fairest market value is the basis of EMH. This is not always the cas</w:t>
      </w:r>
      <w:r w:rsidR="00AA1089">
        <w:rPr>
          <w:rFonts w:ascii="Times New Roman" w:hAnsi="Times New Roman" w:cs="Times New Roman"/>
          <w:color w:val="000000" w:themeColor="text1"/>
          <w:sz w:val="24"/>
          <w:szCs w:val="24"/>
        </w:rPr>
        <w:t>,</w:t>
      </w:r>
      <w:r w:rsidRPr="00520699">
        <w:rPr>
          <w:rFonts w:ascii="Times New Roman" w:hAnsi="Times New Roman" w:cs="Times New Roman"/>
          <w:color w:val="000000" w:themeColor="text1"/>
          <w:sz w:val="24"/>
          <w:szCs w:val="24"/>
        </w:rPr>
        <w:t xml:space="preserve">e as </w:t>
      </w:r>
      <w:r w:rsidR="00F95A0F" w:rsidRPr="00520699">
        <w:rPr>
          <w:rFonts w:ascii="Times New Roman" w:hAnsi="Times New Roman" w:cs="Times New Roman"/>
          <w:color w:val="000000" w:themeColor="text1"/>
          <w:sz w:val="24"/>
          <w:szCs w:val="24"/>
        </w:rPr>
        <w:t xml:space="preserve">certain factors do not allow the EMH model to hold place. </w:t>
      </w:r>
    </w:p>
    <w:p w14:paraId="34E9F46B" w14:textId="77777777" w:rsidR="00F95A0F" w:rsidRPr="00520699" w:rsidRDefault="00F95A0F"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For instance, the differential analysis and determination of Microsoft’s share prices give undue advantage to older investors as compared to newer investors. Investors who invested in the company when it was already successful are unfairly prejudiced (</w:t>
      </w:r>
      <w:r w:rsidRPr="00F95A0F">
        <w:rPr>
          <w:rFonts w:ascii="Times New Roman" w:eastAsia="Times New Roman" w:hAnsi="Times New Roman" w:cs="Times New Roman"/>
          <w:color w:val="000000" w:themeColor="text1"/>
          <w:sz w:val="24"/>
          <w:szCs w:val="24"/>
          <w:lang w:eastAsia="en-GB"/>
        </w:rPr>
        <w:t>Ferreira</w:t>
      </w:r>
      <w:r w:rsidRPr="00520699">
        <w:rPr>
          <w:rFonts w:ascii="Times New Roman" w:eastAsia="Times New Roman" w:hAnsi="Times New Roman" w:cs="Times New Roman"/>
          <w:color w:val="000000" w:themeColor="text1"/>
          <w:sz w:val="24"/>
          <w:szCs w:val="24"/>
          <w:lang w:eastAsia="en-GB"/>
        </w:rPr>
        <w:t>, 2016</w:t>
      </w:r>
      <w:r w:rsidRPr="00520699">
        <w:rPr>
          <w:rFonts w:ascii="Times New Roman" w:hAnsi="Times New Roman" w:cs="Times New Roman"/>
          <w:color w:val="000000" w:themeColor="text1"/>
          <w:sz w:val="24"/>
          <w:szCs w:val="24"/>
        </w:rPr>
        <w:t xml:space="preserve">). </w:t>
      </w:r>
    </w:p>
    <w:p w14:paraId="0E528A58" w14:textId="77777777" w:rsidR="00626505" w:rsidRPr="00520699" w:rsidRDefault="00F95A0F" w:rsidP="00520699">
      <w:pPr>
        <w:pStyle w:val="2"/>
        <w:spacing w:line="480" w:lineRule="auto"/>
        <w:rPr>
          <w:rStyle w:val="hgkelc"/>
          <w:rFonts w:ascii="Times New Roman" w:hAnsi="Times New Roman" w:cs="Times New Roman"/>
          <w:b/>
          <w:color w:val="000000" w:themeColor="text1"/>
          <w:sz w:val="24"/>
          <w:szCs w:val="24"/>
        </w:rPr>
      </w:pPr>
      <w:bookmarkStart w:id="8" w:name="_Toc99191801"/>
      <w:r w:rsidRPr="00520699">
        <w:rPr>
          <w:rStyle w:val="hgkelc"/>
          <w:rFonts w:ascii="Times New Roman" w:hAnsi="Times New Roman" w:cs="Times New Roman"/>
          <w:b/>
          <w:color w:val="000000" w:themeColor="text1"/>
          <w:sz w:val="24"/>
          <w:szCs w:val="24"/>
        </w:rPr>
        <w:t>Project appraisal methods</w:t>
      </w:r>
      <w:bookmarkEnd w:id="8"/>
      <w:r w:rsidRPr="00520699">
        <w:rPr>
          <w:rStyle w:val="hgkelc"/>
          <w:rFonts w:ascii="Times New Roman" w:hAnsi="Times New Roman" w:cs="Times New Roman"/>
          <w:b/>
          <w:color w:val="000000" w:themeColor="text1"/>
          <w:sz w:val="24"/>
          <w:szCs w:val="24"/>
        </w:rPr>
        <w:t xml:space="preserve"> </w:t>
      </w:r>
    </w:p>
    <w:p w14:paraId="0F920184" w14:textId="77777777" w:rsidR="00F95A0F" w:rsidRPr="00520699" w:rsidRDefault="00F95A0F"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Project appraisal refers to the methods employed in assessing and analyzing a potential </w:t>
      </w:r>
      <w:r w:rsidR="005059B6" w:rsidRPr="00520699">
        <w:rPr>
          <w:rFonts w:ascii="Times New Roman" w:hAnsi="Times New Roman" w:cs="Times New Roman"/>
          <w:color w:val="000000" w:themeColor="text1"/>
          <w:sz w:val="24"/>
          <w:szCs w:val="24"/>
        </w:rPr>
        <w:t>project’s</w:t>
      </w:r>
      <w:r w:rsidRPr="00520699">
        <w:rPr>
          <w:rFonts w:ascii="Times New Roman" w:hAnsi="Times New Roman" w:cs="Times New Roman"/>
          <w:color w:val="000000" w:themeColor="text1"/>
          <w:sz w:val="24"/>
          <w:szCs w:val="24"/>
        </w:rPr>
        <w:t xml:space="preserve"> success possibility and viability. </w:t>
      </w:r>
      <w:r w:rsidR="005059B6" w:rsidRPr="00520699">
        <w:rPr>
          <w:rFonts w:ascii="Times New Roman" w:hAnsi="Times New Roman" w:cs="Times New Roman"/>
          <w:color w:val="000000" w:themeColor="text1"/>
          <w:sz w:val="24"/>
          <w:szCs w:val="24"/>
        </w:rPr>
        <w:t>Project</w:t>
      </w:r>
      <w:r w:rsidR="00AA1089">
        <w:rPr>
          <w:rFonts w:ascii="Times New Roman" w:hAnsi="Times New Roman" w:cs="Times New Roman"/>
          <w:color w:val="000000" w:themeColor="text1"/>
          <w:sz w:val="24"/>
          <w:szCs w:val="24"/>
        </w:rPr>
        <w:t xml:space="preserve"> appraisal checks on the project’s feasibility</w:t>
      </w:r>
      <w:r w:rsidR="005059B6" w:rsidRPr="00520699">
        <w:rPr>
          <w:rFonts w:ascii="Times New Roman" w:hAnsi="Times New Roman" w:cs="Times New Roman"/>
          <w:color w:val="000000" w:themeColor="text1"/>
          <w:sz w:val="24"/>
          <w:szCs w:val="24"/>
        </w:rPr>
        <w:t xml:space="preserve"> appropriateness, funds availability, and the economic climate prevalent during the project period. </w:t>
      </w:r>
    </w:p>
    <w:p w14:paraId="6F50CEDF" w14:textId="77777777" w:rsidR="005059B6" w:rsidRPr="00520699" w:rsidRDefault="005059B6" w:rsidP="00520699">
      <w:pPr>
        <w:pStyle w:val="4"/>
        <w:spacing w:line="480" w:lineRule="auto"/>
        <w:rPr>
          <w:rFonts w:ascii="Times New Roman" w:hAnsi="Times New Roman" w:cs="Times New Roman"/>
          <w:b/>
          <w:color w:val="000000" w:themeColor="text1"/>
          <w:sz w:val="24"/>
          <w:szCs w:val="24"/>
        </w:rPr>
      </w:pPr>
      <w:r w:rsidRPr="00520699">
        <w:rPr>
          <w:rFonts w:ascii="Times New Roman" w:hAnsi="Times New Roman" w:cs="Times New Roman"/>
          <w:b/>
          <w:color w:val="000000" w:themeColor="text1"/>
          <w:sz w:val="24"/>
          <w:szCs w:val="24"/>
        </w:rPr>
        <w:t xml:space="preserve">Microsoft methods </w:t>
      </w:r>
    </w:p>
    <w:p w14:paraId="0A1D4620" w14:textId="77777777" w:rsidR="005059B6" w:rsidRPr="00520699" w:rsidRDefault="005059B6" w:rsidP="00520699">
      <w:pPr>
        <w:spacing w:line="480" w:lineRule="auto"/>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Microsoft uses both objective and subjective methods to appraise its projects. In a nutshell, Microsoft Inc. categorizes all its project appraisal methods into these </w:t>
      </w:r>
      <w:r w:rsidR="00AA1089" w:rsidRPr="00520699">
        <w:rPr>
          <w:rFonts w:ascii="Times New Roman" w:hAnsi="Times New Roman" w:cs="Times New Roman"/>
          <w:color w:val="000000" w:themeColor="text1"/>
          <w:sz w:val="24"/>
          <w:szCs w:val="24"/>
        </w:rPr>
        <w:t>categories.</w:t>
      </w:r>
      <w:r w:rsidRPr="00520699">
        <w:rPr>
          <w:rFonts w:ascii="Times New Roman" w:hAnsi="Times New Roman" w:cs="Times New Roman"/>
          <w:color w:val="000000" w:themeColor="text1"/>
          <w:sz w:val="24"/>
          <w:szCs w:val="24"/>
        </w:rPr>
        <w:t xml:space="preserve"> </w:t>
      </w:r>
    </w:p>
    <w:p w14:paraId="2017F44C" w14:textId="77777777" w:rsidR="005059B6" w:rsidRPr="00520699" w:rsidRDefault="005059B6" w:rsidP="00520699">
      <w:pPr>
        <w:pStyle w:val="5"/>
        <w:spacing w:line="480" w:lineRule="auto"/>
        <w:rPr>
          <w:rFonts w:ascii="Times New Roman" w:eastAsia="Times New Roman" w:hAnsi="Times New Roman" w:cs="Times New Roman"/>
          <w:b/>
          <w:color w:val="000000" w:themeColor="text1"/>
          <w:sz w:val="24"/>
          <w:szCs w:val="24"/>
          <w:lang w:eastAsia="en-GB"/>
        </w:rPr>
      </w:pPr>
      <w:r w:rsidRPr="00520699">
        <w:rPr>
          <w:rFonts w:ascii="Times New Roman" w:eastAsia="Times New Roman" w:hAnsi="Times New Roman" w:cs="Times New Roman"/>
          <w:b/>
          <w:color w:val="000000" w:themeColor="text1"/>
          <w:sz w:val="24"/>
          <w:szCs w:val="24"/>
          <w:lang w:eastAsia="en-GB"/>
        </w:rPr>
        <w:t>Economic Analysis</w:t>
      </w:r>
    </w:p>
    <w:p w14:paraId="5203C3B3" w14:textId="77777777" w:rsidR="005059B6" w:rsidRPr="00520699" w:rsidRDefault="005059B6" w:rsidP="00520699">
      <w:pPr>
        <w:spacing w:after="0" w:line="480" w:lineRule="auto"/>
        <w:rPr>
          <w:rFonts w:ascii="Times New Roman" w:eastAsia="Times New Roman" w:hAnsi="Times New Roman" w:cs="Times New Roman"/>
          <w:color w:val="000000" w:themeColor="text1"/>
          <w:sz w:val="24"/>
          <w:szCs w:val="24"/>
          <w:lang w:eastAsia="en-GB"/>
        </w:rPr>
      </w:pPr>
      <w:r w:rsidRPr="005059B6">
        <w:rPr>
          <w:rFonts w:ascii="Times New Roman" w:eastAsia="Times New Roman" w:hAnsi="Times New Roman" w:cs="Times New Roman"/>
          <w:color w:val="000000" w:themeColor="text1"/>
          <w:sz w:val="24"/>
          <w:szCs w:val="24"/>
          <w:lang w:eastAsia="en-GB"/>
        </w:rPr>
        <w:t xml:space="preserve"> </w:t>
      </w:r>
      <w:r w:rsidR="00AA1089">
        <w:rPr>
          <w:rFonts w:ascii="Times New Roman" w:eastAsia="Times New Roman" w:hAnsi="Times New Roman" w:cs="Times New Roman"/>
          <w:color w:val="000000" w:themeColor="text1"/>
          <w:sz w:val="24"/>
          <w:szCs w:val="24"/>
          <w:lang w:eastAsia="en-GB"/>
        </w:rPr>
        <w:t>Economic</w:t>
      </w:r>
      <w:r w:rsidR="00AA1089" w:rsidRPr="00AA1089">
        <w:rPr>
          <w:rFonts w:ascii="Times New Roman" w:eastAsia="Times New Roman" w:hAnsi="Times New Roman" w:cs="Times New Roman"/>
          <w:color w:val="000000" w:themeColor="text1"/>
          <w:sz w:val="24"/>
          <w:szCs w:val="24"/>
          <w:lang w:eastAsia="en-GB"/>
        </w:rPr>
        <w:t xml:space="preserve"> analysis must be conducted for a project to be considered and implemented</w:t>
      </w:r>
      <w:r w:rsidRPr="00520699">
        <w:rPr>
          <w:rFonts w:ascii="Times New Roman" w:eastAsia="Times New Roman" w:hAnsi="Times New Roman" w:cs="Times New Roman"/>
          <w:color w:val="000000" w:themeColor="text1"/>
          <w:sz w:val="24"/>
          <w:szCs w:val="24"/>
          <w:lang w:eastAsia="en-GB"/>
        </w:rPr>
        <w:t xml:space="preserve">. In determining the economic viability of its developer tools, GitHub and Microsoft Mesh, the company analyzed the increased use and importance of applications and other computing software in the contemporary world. Every sector and industry are increasingly adopting applications and other technological tools in their service delivery. Hotels </w:t>
      </w:r>
      <w:r w:rsidR="00AA1089" w:rsidRPr="00AA1089">
        <w:rPr>
          <w:rFonts w:ascii="Times New Roman" w:eastAsia="Times New Roman" w:hAnsi="Times New Roman" w:cs="Times New Roman"/>
          <w:color w:val="000000" w:themeColor="text1"/>
          <w:sz w:val="24"/>
          <w:szCs w:val="24"/>
          <w:lang w:eastAsia="en-GB"/>
        </w:rPr>
        <w:t>now use ordering and reservation apps</w:t>
      </w:r>
      <w:r w:rsidR="00AA1089">
        <w:rPr>
          <w:rFonts w:ascii="Times New Roman" w:eastAsia="Times New Roman" w:hAnsi="Times New Roman" w:cs="Times New Roman"/>
          <w:color w:val="000000" w:themeColor="text1"/>
          <w:sz w:val="24"/>
          <w:szCs w:val="24"/>
          <w:lang w:eastAsia="en-GB"/>
        </w:rPr>
        <w:t>,</w:t>
      </w:r>
      <w:r w:rsidR="00AA1089" w:rsidRPr="00AA1089">
        <w:rPr>
          <w:rFonts w:ascii="Times New Roman" w:eastAsia="Times New Roman" w:hAnsi="Times New Roman" w:cs="Times New Roman"/>
          <w:color w:val="000000" w:themeColor="text1"/>
          <w:sz w:val="24"/>
          <w:szCs w:val="24"/>
          <w:lang w:eastAsia="en-GB"/>
        </w:rPr>
        <w:t xml:space="preserve"> while banks and money lenders </w:t>
      </w:r>
      <w:r w:rsidRPr="00520699">
        <w:rPr>
          <w:rFonts w:ascii="Times New Roman" w:eastAsia="Times New Roman" w:hAnsi="Times New Roman" w:cs="Times New Roman"/>
          <w:color w:val="000000" w:themeColor="text1"/>
          <w:sz w:val="24"/>
          <w:szCs w:val="24"/>
          <w:lang w:eastAsia="en-GB"/>
        </w:rPr>
        <w:t xml:space="preserve">rely on mobile apps to conduct their businesses. </w:t>
      </w:r>
      <w:r w:rsidR="00AA1089">
        <w:rPr>
          <w:rFonts w:ascii="Times New Roman" w:eastAsia="Times New Roman" w:hAnsi="Times New Roman" w:cs="Times New Roman"/>
          <w:color w:val="000000" w:themeColor="text1"/>
          <w:sz w:val="24"/>
          <w:szCs w:val="24"/>
          <w:lang w:eastAsia="en-GB"/>
        </w:rPr>
        <w:t>Developing</w:t>
      </w:r>
      <w:r w:rsidRPr="00520699">
        <w:rPr>
          <w:rFonts w:ascii="Times New Roman" w:eastAsia="Times New Roman" w:hAnsi="Times New Roman" w:cs="Times New Roman"/>
          <w:color w:val="000000" w:themeColor="text1"/>
          <w:sz w:val="24"/>
          <w:szCs w:val="24"/>
          <w:lang w:eastAsia="en-GB"/>
        </w:rPr>
        <w:t xml:space="preserve"> and implementing developer tools is economically viable for the company</w:t>
      </w:r>
      <w:r w:rsidR="00520699" w:rsidRPr="00520699">
        <w:rPr>
          <w:rFonts w:ascii="Times New Roman" w:eastAsia="Times New Roman" w:hAnsi="Times New Roman" w:cs="Times New Roman"/>
          <w:color w:val="000000" w:themeColor="text1"/>
          <w:sz w:val="24"/>
          <w:szCs w:val="24"/>
          <w:lang w:eastAsia="en-GB"/>
        </w:rPr>
        <w:t xml:space="preserve"> (Pinto, 2010)</w:t>
      </w:r>
      <w:r w:rsidRPr="00520699">
        <w:rPr>
          <w:rFonts w:ascii="Times New Roman" w:eastAsia="Times New Roman" w:hAnsi="Times New Roman" w:cs="Times New Roman"/>
          <w:color w:val="000000" w:themeColor="text1"/>
          <w:sz w:val="24"/>
          <w:szCs w:val="24"/>
          <w:lang w:eastAsia="en-GB"/>
        </w:rPr>
        <w:t xml:space="preserve">. </w:t>
      </w:r>
    </w:p>
    <w:p w14:paraId="75779DCA" w14:textId="77777777" w:rsidR="005059B6" w:rsidRPr="00520699" w:rsidRDefault="005059B6" w:rsidP="00520699">
      <w:pPr>
        <w:pStyle w:val="5"/>
        <w:spacing w:line="480" w:lineRule="auto"/>
        <w:rPr>
          <w:rFonts w:ascii="Times New Roman" w:eastAsia="Times New Roman" w:hAnsi="Times New Roman" w:cs="Times New Roman"/>
          <w:b/>
          <w:color w:val="000000" w:themeColor="text1"/>
          <w:sz w:val="24"/>
          <w:szCs w:val="24"/>
          <w:lang w:eastAsia="en-GB"/>
        </w:rPr>
      </w:pPr>
      <w:r w:rsidRPr="00520699">
        <w:rPr>
          <w:rFonts w:ascii="Times New Roman" w:eastAsia="Times New Roman" w:hAnsi="Times New Roman" w:cs="Times New Roman"/>
          <w:b/>
          <w:color w:val="000000" w:themeColor="text1"/>
          <w:sz w:val="24"/>
          <w:szCs w:val="24"/>
          <w:lang w:eastAsia="en-GB"/>
        </w:rPr>
        <w:lastRenderedPageBreak/>
        <w:t>Financial Analysis</w:t>
      </w:r>
    </w:p>
    <w:p w14:paraId="08ED4094" w14:textId="77777777" w:rsidR="005059B6" w:rsidRPr="00520699" w:rsidRDefault="00520699" w:rsidP="00520699">
      <w:pPr>
        <w:spacing w:line="480" w:lineRule="auto"/>
        <w:rPr>
          <w:rFonts w:ascii="Times New Roman" w:hAnsi="Times New Roman" w:cs="Times New Roman"/>
          <w:color w:val="000000" w:themeColor="text1"/>
          <w:sz w:val="24"/>
          <w:szCs w:val="24"/>
          <w:lang w:eastAsia="en-GB"/>
        </w:rPr>
      </w:pPr>
      <w:r w:rsidRPr="00520699">
        <w:rPr>
          <w:rFonts w:ascii="Times New Roman" w:hAnsi="Times New Roman" w:cs="Times New Roman"/>
          <w:color w:val="000000" w:themeColor="text1"/>
          <w:sz w:val="24"/>
          <w:szCs w:val="24"/>
          <w:lang w:eastAsia="en-GB"/>
        </w:rPr>
        <w:t xml:space="preserve">Availability of funds is another important factor in the appraisal of projects.  Microsoft already set aside funds when it implemented its HCI and data integration products </w:t>
      </w:r>
      <w:r w:rsidRPr="00520699">
        <w:rPr>
          <w:rFonts w:ascii="Times New Roman" w:hAnsi="Times New Roman" w:cs="Times New Roman"/>
          <w:color w:val="000000" w:themeColor="text1"/>
          <w:sz w:val="24"/>
          <w:szCs w:val="24"/>
        </w:rPr>
        <w:t xml:space="preserve">Azure synapse and </w:t>
      </w:r>
      <w:r w:rsidR="005059B6" w:rsidRPr="00520699">
        <w:rPr>
          <w:rFonts w:ascii="Times New Roman" w:hAnsi="Times New Roman" w:cs="Times New Roman"/>
          <w:color w:val="000000" w:themeColor="text1"/>
          <w:sz w:val="24"/>
          <w:szCs w:val="24"/>
        </w:rPr>
        <w:t>Azure Purview</w:t>
      </w:r>
      <w:r w:rsidRPr="00520699">
        <w:rPr>
          <w:rFonts w:ascii="Times New Roman" w:hAnsi="Times New Roman" w:cs="Times New Roman"/>
          <w:color w:val="000000" w:themeColor="text1"/>
          <w:sz w:val="24"/>
          <w:szCs w:val="24"/>
        </w:rPr>
        <w:t xml:space="preserve">. </w:t>
      </w:r>
      <w:r w:rsidR="005059B6" w:rsidRPr="00520699">
        <w:rPr>
          <w:rFonts w:ascii="Times New Roman" w:hAnsi="Times New Roman" w:cs="Times New Roman"/>
          <w:color w:val="000000" w:themeColor="text1"/>
          <w:sz w:val="24"/>
          <w:szCs w:val="24"/>
        </w:rPr>
        <w:t xml:space="preserve"> </w:t>
      </w:r>
    </w:p>
    <w:p w14:paraId="10D31A5A" w14:textId="77777777" w:rsidR="005059B6" w:rsidRPr="00520699" w:rsidRDefault="005059B6" w:rsidP="00520699">
      <w:pPr>
        <w:pStyle w:val="5"/>
        <w:spacing w:line="480" w:lineRule="auto"/>
        <w:rPr>
          <w:rFonts w:ascii="Times New Roman" w:eastAsia="Times New Roman" w:hAnsi="Times New Roman" w:cs="Times New Roman"/>
          <w:b/>
          <w:color w:val="000000" w:themeColor="text1"/>
          <w:sz w:val="24"/>
          <w:szCs w:val="24"/>
          <w:lang w:eastAsia="en-GB"/>
        </w:rPr>
      </w:pPr>
      <w:r w:rsidRPr="00520699">
        <w:rPr>
          <w:rFonts w:ascii="Times New Roman" w:eastAsia="Times New Roman" w:hAnsi="Times New Roman" w:cs="Times New Roman"/>
          <w:b/>
          <w:color w:val="000000" w:themeColor="text1"/>
          <w:sz w:val="24"/>
          <w:szCs w:val="24"/>
          <w:lang w:eastAsia="en-GB"/>
        </w:rPr>
        <w:t>Market Analysis</w:t>
      </w:r>
    </w:p>
    <w:p w14:paraId="0DA6A519" w14:textId="77777777" w:rsidR="00520699" w:rsidRPr="00520699" w:rsidRDefault="00520699" w:rsidP="00520699">
      <w:pPr>
        <w:spacing w:line="480" w:lineRule="auto"/>
        <w:rPr>
          <w:rFonts w:ascii="Times New Roman" w:hAnsi="Times New Roman" w:cs="Times New Roman"/>
          <w:color w:val="000000" w:themeColor="text1"/>
          <w:sz w:val="24"/>
          <w:szCs w:val="24"/>
          <w:lang w:eastAsia="en-GB"/>
        </w:rPr>
      </w:pPr>
      <w:r w:rsidRPr="00520699">
        <w:rPr>
          <w:rFonts w:ascii="Times New Roman" w:hAnsi="Times New Roman" w:cs="Times New Roman"/>
          <w:color w:val="000000" w:themeColor="text1"/>
          <w:sz w:val="24"/>
          <w:szCs w:val="24"/>
          <w:lang w:eastAsia="en-GB"/>
        </w:rPr>
        <w:t xml:space="preserve">The need for a product is the basis for market analysis. Market analysis is conducted </w:t>
      </w:r>
      <w:r w:rsidR="00AA1089">
        <w:rPr>
          <w:rFonts w:ascii="Times New Roman" w:hAnsi="Times New Roman" w:cs="Times New Roman"/>
          <w:color w:val="000000" w:themeColor="text1"/>
          <w:sz w:val="24"/>
          <w:szCs w:val="24"/>
          <w:lang w:eastAsia="en-GB"/>
        </w:rPr>
        <w:t>to</w:t>
      </w:r>
      <w:r w:rsidRPr="00520699">
        <w:rPr>
          <w:rFonts w:ascii="Times New Roman" w:hAnsi="Times New Roman" w:cs="Times New Roman"/>
          <w:color w:val="000000" w:themeColor="text1"/>
          <w:sz w:val="24"/>
          <w:szCs w:val="24"/>
          <w:lang w:eastAsia="en-GB"/>
        </w:rPr>
        <w:t xml:space="preserve"> understand what the clients want, their preferences, and other factors. In developing their latest products on Modern work—Microsoft Viva and Windows 365—Microsoft appreciated the increased need for futuristic technological inventions that would make it easier for companies and businesses to operate. </w:t>
      </w:r>
    </w:p>
    <w:p w14:paraId="4D185E9D" w14:textId="77777777" w:rsidR="005059B6" w:rsidRPr="00520699" w:rsidRDefault="00520699" w:rsidP="00520699">
      <w:pPr>
        <w:spacing w:after="0" w:line="480" w:lineRule="auto"/>
        <w:rPr>
          <w:rFonts w:ascii="Times New Roman" w:eastAsia="Times New Roman" w:hAnsi="Times New Roman" w:cs="Times New Roman"/>
          <w:color w:val="000000" w:themeColor="text1"/>
          <w:sz w:val="24"/>
          <w:szCs w:val="24"/>
          <w:lang w:eastAsia="en-GB"/>
        </w:rPr>
      </w:pPr>
      <w:r w:rsidRPr="00520699">
        <w:rPr>
          <w:rFonts w:ascii="Times New Roman" w:eastAsia="Times New Roman" w:hAnsi="Times New Roman" w:cs="Times New Roman"/>
          <w:color w:val="000000" w:themeColor="text1"/>
          <w:sz w:val="24"/>
          <w:szCs w:val="24"/>
          <w:lang w:eastAsia="en-GB"/>
        </w:rPr>
        <w:t>Other project appraisal methods used by Microsoft include the technical fea</w:t>
      </w:r>
      <w:r w:rsidR="00AA1089">
        <w:rPr>
          <w:rFonts w:ascii="Times New Roman" w:eastAsia="Times New Roman" w:hAnsi="Times New Roman" w:cs="Times New Roman"/>
          <w:color w:val="000000" w:themeColor="text1"/>
          <w:sz w:val="24"/>
          <w:szCs w:val="24"/>
          <w:lang w:eastAsia="en-GB"/>
        </w:rPr>
        <w:t>sibility of a product and</w:t>
      </w:r>
      <w:r w:rsidRPr="00520699">
        <w:rPr>
          <w:rFonts w:ascii="Times New Roman" w:eastAsia="Times New Roman" w:hAnsi="Times New Roman" w:cs="Times New Roman"/>
          <w:color w:val="000000" w:themeColor="text1"/>
          <w:sz w:val="24"/>
          <w:szCs w:val="24"/>
          <w:lang w:eastAsia="en-GB"/>
        </w:rPr>
        <w:t xml:space="preserve"> management competencies.  </w:t>
      </w:r>
    </w:p>
    <w:p w14:paraId="3AF27F28" w14:textId="77777777" w:rsidR="00520699" w:rsidRPr="00520699" w:rsidRDefault="00520699" w:rsidP="00520699">
      <w:pPr>
        <w:pStyle w:val="1"/>
        <w:spacing w:line="480" w:lineRule="auto"/>
        <w:rPr>
          <w:rFonts w:ascii="Times New Roman" w:eastAsia="Times New Roman" w:hAnsi="Times New Roman" w:cs="Times New Roman"/>
          <w:b/>
          <w:color w:val="000000" w:themeColor="text1"/>
          <w:sz w:val="24"/>
          <w:szCs w:val="24"/>
          <w:lang w:eastAsia="en-GB"/>
        </w:rPr>
      </w:pPr>
      <w:bookmarkStart w:id="9" w:name="_Toc99191802"/>
      <w:r w:rsidRPr="00520699">
        <w:rPr>
          <w:rFonts w:ascii="Times New Roman" w:eastAsia="Times New Roman" w:hAnsi="Times New Roman" w:cs="Times New Roman"/>
          <w:b/>
          <w:color w:val="000000" w:themeColor="text1"/>
          <w:sz w:val="24"/>
          <w:szCs w:val="24"/>
          <w:lang w:eastAsia="en-GB"/>
        </w:rPr>
        <w:t>Conclusion</w:t>
      </w:r>
      <w:bookmarkEnd w:id="9"/>
    </w:p>
    <w:p w14:paraId="0404FE5F" w14:textId="77777777" w:rsidR="00520699" w:rsidRDefault="00520699" w:rsidP="00520699">
      <w:pPr>
        <w:spacing w:line="480" w:lineRule="auto"/>
        <w:rPr>
          <w:rFonts w:ascii="Times New Roman" w:hAnsi="Times New Roman" w:cs="Times New Roman"/>
          <w:color w:val="000000" w:themeColor="text1"/>
          <w:sz w:val="24"/>
          <w:szCs w:val="24"/>
          <w:lang w:eastAsia="en-GB"/>
        </w:rPr>
      </w:pPr>
      <w:r w:rsidRPr="00520699">
        <w:rPr>
          <w:rFonts w:ascii="Times New Roman" w:hAnsi="Times New Roman" w:cs="Times New Roman"/>
          <w:color w:val="000000" w:themeColor="text1"/>
          <w:sz w:val="24"/>
          <w:szCs w:val="24"/>
          <w:lang w:eastAsia="en-GB"/>
        </w:rPr>
        <w:t xml:space="preserve">The paper discusses international finance management in the context of Microsoft and the </w:t>
      </w:r>
      <w:r w:rsidR="00AA1089">
        <w:rPr>
          <w:rFonts w:ascii="Times New Roman" w:hAnsi="Times New Roman" w:cs="Times New Roman"/>
          <w:color w:val="000000" w:themeColor="text1"/>
          <w:sz w:val="24"/>
          <w:szCs w:val="24"/>
          <w:lang w:eastAsia="en-GB"/>
        </w:rPr>
        <w:t>global</w:t>
      </w:r>
      <w:r w:rsidRPr="00520699">
        <w:rPr>
          <w:rFonts w:ascii="Times New Roman" w:hAnsi="Times New Roman" w:cs="Times New Roman"/>
          <w:color w:val="000000" w:themeColor="text1"/>
          <w:sz w:val="24"/>
          <w:szCs w:val="24"/>
          <w:lang w:eastAsia="en-GB"/>
        </w:rPr>
        <w:t xml:space="preserve"> business environment. </w:t>
      </w:r>
      <w:r w:rsidR="00AA1089">
        <w:rPr>
          <w:rFonts w:ascii="Times New Roman" w:hAnsi="Times New Roman" w:cs="Times New Roman"/>
          <w:color w:val="000000" w:themeColor="text1"/>
          <w:sz w:val="24"/>
          <w:szCs w:val="24"/>
          <w:lang w:eastAsia="en-GB"/>
        </w:rPr>
        <w:t>The</w:t>
      </w:r>
      <w:r w:rsidRPr="00520699">
        <w:rPr>
          <w:rFonts w:ascii="Times New Roman" w:hAnsi="Times New Roman" w:cs="Times New Roman"/>
          <w:color w:val="000000" w:themeColor="text1"/>
          <w:sz w:val="24"/>
          <w:szCs w:val="24"/>
          <w:lang w:eastAsia="en-GB"/>
        </w:rPr>
        <w:t xml:space="preserve"> paper also discusses the five theories of IFM that Jersey to the company and the challenges the company faces in its service delivery. A critical analysis is done on </w:t>
      </w:r>
      <w:r w:rsidR="00AA1089">
        <w:rPr>
          <w:rFonts w:ascii="Times New Roman" w:hAnsi="Times New Roman" w:cs="Times New Roman"/>
          <w:color w:val="000000" w:themeColor="text1"/>
          <w:sz w:val="24"/>
          <w:szCs w:val="24"/>
          <w:lang w:eastAsia="en-GB"/>
        </w:rPr>
        <w:t>its</w:t>
      </w:r>
      <w:r w:rsidRPr="00520699">
        <w:rPr>
          <w:rFonts w:ascii="Times New Roman" w:hAnsi="Times New Roman" w:cs="Times New Roman"/>
          <w:color w:val="000000" w:themeColor="text1"/>
          <w:sz w:val="24"/>
          <w:szCs w:val="24"/>
          <w:lang w:eastAsia="en-GB"/>
        </w:rPr>
        <w:t xml:space="preserve"> dividend distribution policy and its project appraisal methods. The EHM model is applied to discuss the suitability of Microsoft stock. </w:t>
      </w:r>
    </w:p>
    <w:p w14:paraId="4E9F3803" w14:textId="77777777" w:rsidR="00520699" w:rsidRDefault="00520699" w:rsidP="00520699">
      <w:pPr>
        <w:rPr>
          <w:lang w:eastAsia="en-GB"/>
        </w:rPr>
      </w:pPr>
    </w:p>
    <w:p w14:paraId="4D349917" w14:textId="77777777" w:rsidR="00520699" w:rsidRDefault="00520699" w:rsidP="00520699">
      <w:pPr>
        <w:rPr>
          <w:lang w:eastAsia="en-GB"/>
        </w:rPr>
      </w:pPr>
    </w:p>
    <w:p w14:paraId="75E1E490" w14:textId="77777777" w:rsidR="00520699" w:rsidRPr="00520699" w:rsidRDefault="00520699" w:rsidP="00520699">
      <w:pPr>
        <w:rPr>
          <w:lang w:eastAsia="en-GB"/>
        </w:rPr>
      </w:pPr>
    </w:p>
    <w:p w14:paraId="760A6703" w14:textId="77777777" w:rsidR="009F0D06" w:rsidRDefault="009F0D06" w:rsidP="00520699">
      <w:pPr>
        <w:pStyle w:val="1"/>
        <w:spacing w:line="480" w:lineRule="auto"/>
        <w:rPr>
          <w:rFonts w:ascii="Times New Roman" w:hAnsi="Times New Roman" w:cs="Times New Roman"/>
          <w:b/>
          <w:color w:val="000000" w:themeColor="text1"/>
          <w:sz w:val="24"/>
          <w:szCs w:val="24"/>
          <w:lang w:eastAsia="en-GB"/>
        </w:rPr>
      </w:pPr>
      <w:bookmarkStart w:id="10" w:name="_Toc99191803"/>
    </w:p>
    <w:p w14:paraId="081EE44A" w14:textId="77777777" w:rsidR="009F0D06" w:rsidRDefault="009F0D06" w:rsidP="00520699">
      <w:pPr>
        <w:pStyle w:val="1"/>
        <w:spacing w:line="480" w:lineRule="auto"/>
        <w:rPr>
          <w:rFonts w:ascii="Times New Roman" w:hAnsi="Times New Roman" w:cs="Times New Roman"/>
          <w:b/>
          <w:color w:val="000000" w:themeColor="text1"/>
          <w:sz w:val="24"/>
          <w:szCs w:val="24"/>
          <w:lang w:eastAsia="en-GB"/>
        </w:rPr>
      </w:pPr>
    </w:p>
    <w:p w14:paraId="2428AAA6" w14:textId="77777777" w:rsidR="009F0D06" w:rsidRDefault="009F0D06" w:rsidP="00520699">
      <w:pPr>
        <w:pStyle w:val="1"/>
        <w:spacing w:line="480" w:lineRule="auto"/>
        <w:rPr>
          <w:rFonts w:ascii="Times New Roman" w:hAnsi="Times New Roman" w:cs="Times New Roman"/>
          <w:b/>
          <w:color w:val="000000" w:themeColor="text1"/>
          <w:sz w:val="24"/>
          <w:szCs w:val="24"/>
          <w:lang w:eastAsia="en-GB"/>
        </w:rPr>
      </w:pPr>
    </w:p>
    <w:p w14:paraId="47276BE2" w14:textId="77777777" w:rsidR="00520699" w:rsidRPr="00520699" w:rsidRDefault="00520699" w:rsidP="00520699">
      <w:pPr>
        <w:pStyle w:val="1"/>
        <w:spacing w:line="480" w:lineRule="auto"/>
        <w:rPr>
          <w:rFonts w:ascii="Times New Roman" w:hAnsi="Times New Roman" w:cs="Times New Roman"/>
          <w:b/>
          <w:color w:val="000000" w:themeColor="text1"/>
          <w:sz w:val="24"/>
          <w:szCs w:val="24"/>
          <w:lang w:eastAsia="en-GB"/>
        </w:rPr>
      </w:pPr>
      <w:r w:rsidRPr="00520699">
        <w:rPr>
          <w:rFonts w:ascii="Times New Roman" w:hAnsi="Times New Roman" w:cs="Times New Roman"/>
          <w:b/>
          <w:color w:val="000000" w:themeColor="text1"/>
          <w:sz w:val="24"/>
          <w:szCs w:val="24"/>
          <w:lang w:eastAsia="en-GB"/>
        </w:rPr>
        <w:t>References</w:t>
      </w:r>
      <w:bookmarkEnd w:id="10"/>
      <w:r w:rsidRPr="00520699">
        <w:rPr>
          <w:rFonts w:ascii="Times New Roman" w:hAnsi="Times New Roman" w:cs="Times New Roman"/>
          <w:b/>
          <w:color w:val="000000" w:themeColor="text1"/>
          <w:sz w:val="24"/>
          <w:szCs w:val="24"/>
          <w:lang w:eastAsia="en-GB"/>
        </w:rPr>
        <w:t xml:space="preserve"> </w:t>
      </w:r>
    </w:p>
    <w:p w14:paraId="4E62A52D" w14:textId="77777777" w:rsidR="00520699" w:rsidRPr="00520699" w:rsidRDefault="00520699" w:rsidP="00520699">
      <w:pPr>
        <w:spacing w:line="480" w:lineRule="auto"/>
        <w:ind w:left="720" w:hanging="720"/>
        <w:rPr>
          <w:rFonts w:ascii="Times New Roman" w:hAnsi="Times New Roman" w:cs="Times New Roman"/>
          <w:color w:val="000000" w:themeColor="text1"/>
          <w:sz w:val="24"/>
          <w:szCs w:val="24"/>
        </w:rPr>
      </w:pPr>
      <w:r w:rsidRPr="004004CB">
        <w:rPr>
          <w:rFonts w:ascii="Times New Roman" w:eastAsia="Times New Roman" w:hAnsi="Times New Roman" w:cs="Times New Roman"/>
          <w:color w:val="000000" w:themeColor="text1"/>
          <w:sz w:val="24"/>
          <w:szCs w:val="24"/>
          <w:lang w:eastAsia="en-GB"/>
        </w:rPr>
        <w:t xml:space="preserve">Ang, A. L., Thum, Y. T., &amp; Sek, S. K. (2021, July). Does trade openness explain the deviation of purchasing power parity and exchange rate movement?. In </w:t>
      </w:r>
      <w:r w:rsidRPr="004004CB">
        <w:rPr>
          <w:rFonts w:ascii="Times New Roman" w:eastAsia="Times New Roman" w:hAnsi="Times New Roman" w:cs="Times New Roman"/>
          <w:i/>
          <w:iCs/>
          <w:color w:val="000000" w:themeColor="text1"/>
          <w:sz w:val="24"/>
          <w:szCs w:val="24"/>
          <w:lang w:eastAsia="en-GB"/>
        </w:rPr>
        <w:t>Journal of Physics: Conference Series</w:t>
      </w:r>
      <w:r w:rsidRPr="004004CB">
        <w:rPr>
          <w:rFonts w:ascii="Times New Roman" w:eastAsia="Times New Roman" w:hAnsi="Times New Roman" w:cs="Times New Roman"/>
          <w:color w:val="000000" w:themeColor="text1"/>
          <w:sz w:val="24"/>
          <w:szCs w:val="24"/>
          <w:lang w:eastAsia="en-GB"/>
        </w:rPr>
        <w:t xml:space="preserve"> (Vol. 1988, No. 1, p. 012087). IOP Publishing.</w:t>
      </w:r>
    </w:p>
    <w:p w14:paraId="396794A7"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F95A0F">
        <w:rPr>
          <w:rFonts w:ascii="Times New Roman" w:eastAsia="Times New Roman" w:hAnsi="Times New Roman" w:cs="Times New Roman"/>
          <w:color w:val="000000" w:themeColor="text1"/>
          <w:sz w:val="24"/>
          <w:szCs w:val="24"/>
          <w:lang w:eastAsia="en-GB"/>
        </w:rPr>
        <w:t xml:space="preserve">Ferreira, P. J. S. (2016). Apple, alphabet or microsoft: which is the most efficient share?. </w:t>
      </w:r>
      <w:r w:rsidRPr="00F95A0F">
        <w:rPr>
          <w:rFonts w:ascii="Times New Roman" w:eastAsia="Times New Roman" w:hAnsi="Times New Roman" w:cs="Times New Roman"/>
          <w:i/>
          <w:iCs/>
          <w:color w:val="000000" w:themeColor="text1"/>
          <w:sz w:val="24"/>
          <w:szCs w:val="24"/>
          <w:lang w:eastAsia="en-GB"/>
        </w:rPr>
        <w:t>Econometric Research in Finance</w:t>
      </w:r>
      <w:r w:rsidRPr="00F95A0F">
        <w:rPr>
          <w:rFonts w:ascii="Times New Roman" w:eastAsia="Times New Roman" w:hAnsi="Times New Roman" w:cs="Times New Roman"/>
          <w:color w:val="000000" w:themeColor="text1"/>
          <w:sz w:val="24"/>
          <w:szCs w:val="24"/>
          <w:lang w:eastAsia="en-GB"/>
        </w:rPr>
        <w:t xml:space="preserve">, </w:t>
      </w:r>
      <w:r w:rsidRPr="00F95A0F">
        <w:rPr>
          <w:rFonts w:ascii="Times New Roman" w:eastAsia="Times New Roman" w:hAnsi="Times New Roman" w:cs="Times New Roman"/>
          <w:i/>
          <w:iCs/>
          <w:color w:val="000000" w:themeColor="text1"/>
          <w:sz w:val="24"/>
          <w:szCs w:val="24"/>
          <w:lang w:eastAsia="en-GB"/>
        </w:rPr>
        <w:t>1</w:t>
      </w:r>
      <w:r w:rsidRPr="00F95A0F">
        <w:rPr>
          <w:rFonts w:ascii="Times New Roman" w:eastAsia="Times New Roman" w:hAnsi="Times New Roman" w:cs="Times New Roman"/>
          <w:color w:val="000000" w:themeColor="text1"/>
          <w:sz w:val="24"/>
          <w:szCs w:val="24"/>
          <w:lang w:eastAsia="en-GB"/>
        </w:rPr>
        <w:t>(2), 67-79.</w:t>
      </w:r>
    </w:p>
    <w:p w14:paraId="55BE9452"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784C60">
        <w:rPr>
          <w:rFonts w:ascii="Times New Roman" w:eastAsia="Times New Roman" w:hAnsi="Times New Roman" w:cs="Times New Roman"/>
          <w:color w:val="000000" w:themeColor="text1"/>
          <w:sz w:val="24"/>
          <w:szCs w:val="24"/>
          <w:lang w:eastAsia="en-GB"/>
        </w:rPr>
        <w:t xml:space="preserve">Fisher, F. M., &amp; Rubinfeld, D. L. (2001). US v. Microsoft—an economic analysis. </w:t>
      </w:r>
      <w:r w:rsidRPr="00784C60">
        <w:rPr>
          <w:rFonts w:ascii="Times New Roman" w:eastAsia="Times New Roman" w:hAnsi="Times New Roman" w:cs="Times New Roman"/>
          <w:i/>
          <w:iCs/>
          <w:color w:val="000000" w:themeColor="text1"/>
          <w:sz w:val="24"/>
          <w:szCs w:val="24"/>
          <w:lang w:eastAsia="en-GB"/>
        </w:rPr>
        <w:t>The Antitrust Bulletin</w:t>
      </w:r>
      <w:r w:rsidRPr="00784C60">
        <w:rPr>
          <w:rFonts w:ascii="Times New Roman" w:eastAsia="Times New Roman" w:hAnsi="Times New Roman" w:cs="Times New Roman"/>
          <w:color w:val="000000" w:themeColor="text1"/>
          <w:sz w:val="24"/>
          <w:szCs w:val="24"/>
          <w:lang w:eastAsia="en-GB"/>
        </w:rPr>
        <w:t xml:space="preserve">, </w:t>
      </w:r>
      <w:r w:rsidRPr="00784C60">
        <w:rPr>
          <w:rFonts w:ascii="Times New Roman" w:eastAsia="Times New Roman" w:hAnsi="Times New Roman" w:cs="Times New Roman"/>
          <w:i/>
          <w:iCs/>
          <w:color w:val="000000" w:themeColor="text1"/>
          <w:sz w:val="24"/>
          <w:szCs w:val="24"/>
          <w:lang w:eastAsia="en-GB"/>
        </w:rPr>
        <w:t>46</w:t>
      </w:r>
      <w:r w:rsidRPr="00784C60">
        <w:rPr>
          <w:rFonts w:ascii="Times New Roman" w:eastAsia="Times New Roman" w:hAnsi="Times New Roman" w:cs="Times New Roman"/>
          <w:color w:val="000000" w:themeColor="text1"/>
          <w:sz w:val="24"/>
          <w:szCs w:val="24"/>
          <w:lang w:eastAsia="en-GB"/>
        </w:rPr>
        <w:t>(1), 1-69.</w:t>
      </w:r>
    </w:p>
    <w:p w14:paraId="0B4CFCD6" w14:textId="77777777" w:rsidR="00520699" w:rsidRPr="00520699" w:rsidRDefault="00520699" w:rsidP="00520699">
      <w:pPr>
        <w:spacing w:after="0" w:line="480" w:lineRule="auto"/>
        <w:ind w:left="720" w:hanging="720"/>
        <w:rPr>
          <w:rStyle w:val="hgkelc"/>
          <w:rFonts w:ascii="Times New Roman" w:eastAsia="Times New Roman" w:hAnsi="Times New Roman" w:cs="Times New Roman"/>
          <w:color w:val="000000" w:themeColor="text1"/>
          <w:sz w:val="24"/>
          <w:szCs w:val="24"/>
          <w:lang w:eastAsia="en-GB"/>
        </w:rPr>
      </w:pPr>
      <w:r w:rsidRPr="009808E8">
        <w:rPr>
          <w:rFonts w:ascii="Times New Roman" w:eastAsia="Times New Roman" w:hAnsi="Times New Roman" w:cs="Times New Roman"/>
          <w:color w:val="000000" w:themeColor="text1"/>
          <w:sz w:val="24"/>
          <w:szCs w:val="24"/>
          <w:lang w:eastAsia="en-GB"/>
        </w:rPr>
        <w:t xml:space="preserve">Gilbert, R. J., &amp; Katz, M. L. (2001). An economist's guide to US v. Microsoft. </w:t>
      </w:r>
      <w:r w:rsidRPr="009808E8">
        <w:rPr>
          <w:rFonts w:ascii="Times New Roman" w:eastAsia="Times New Roman" w:hAnsi="Times New Roman" w:cs="Times New Roman"/>
          <w:i/>
          <w:iCs/>
          <w:color w:val="000000" w:themeColor="text1"/>
          <w:sz w:val="24"/>
          <w:szCs w:val="24"/>
          <w:lang w:eastAsia="en-GB"/>
        </w:rPr>
        <w:t>Journal of Economic perspectives</w:t>
      </w:r>
      <w:r w:rsidRPr="009808E8">
        <w:rPr>
          <w:rFonts w:ascii="Times New Roman" w:eastAsia="Times New Roman" w:hAnsi="Times New Roman" w:cs="Times New Roman"/>
          <w:color w:val="000000" w:themeColor="text1"/>
          <w:sz w:val="24"/>
          <w:szCs w:val="24"/>
          <w:lang w:eastAsia="en-GB"/>
        </w:rPr>
        <w:t xml:space="preserve">, </w:t>
      </w:r>
      <w:r w:rsidRPr="009808E8">
        <w:rPr>
          <w:rFonts w:ascii="Times New Roman" w:eastAsia="Times New Roman" w:hAnsi="Times New Roman" w:cs="Times New Roman"/>
          <w:i/>
          <w:iCs/>
          <w:color w:val="000000" w:themeColor="text1"/>
          <w:sz w:val="24"/>
          <w:szCs w:val="24"/>
          <w:lang w:eastAsia="en-GB"/>
        </w:rPr>
        <w:t>15</w:t>
      </w:r>
      <w:r w:rsidRPr="009808E8">
        <w:rPr>
          <w:rFonts w:ascii="Times New Roman" w:eastAsia="Times New Roman" w:hAnsi="Times New Roman" w:cs="Times New Roman"/>
          <w:color w:val="000000" w:themeColor="text1"/>
          <w:sz w:val="24"/>
          <w:szCs w:val="24"/>
          <w:lang w:eastAsia="en-GB"/>
        </w:rPr>
        <w:t>(2), 25-44.</w:t>
      </w:r>
    </w:p>
    <w:p w14:paraId="238C5890" w14:textId="77777777" w:rsidR="00520699" w:rsidRDefault="00520699" w:rsidP="00520699">
      <w:pPr>
        <w:spacing w:line="480" w:lineRule="auto"/>
        <w:ind w:left="720" w:hanging="720"/>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shd w:val="clear" w:color="auto" w:fill="FFFFFF"/>
        </w:rPr>
        <w:t>Güriş, B., &amp; Tıraşoğlu, M. (2018). The Validity of Purchasing Power Parity in the BRICS Countries. </w:t>
      </w:r>
      <w:r w:rsidRPr="00520699">
        <w:rPr>
          <w:rFonts w:ascii="Times New Roman" w:hAnsi="Times New Roman" w:cs="Times New Roman"/>
          <w:i/>
          <w:iCs/>
          <w:color w:val="000000" w:themeColor="text1"/>
          <w:sz w:val="24"/>
          <w:szCs w:val="24"/>
          <w:shd w:val="clear" w:color="auto" w:fill="FFFFFF"/>
        </w:rPr>
        <w:t>Prague Economic Papers</w:t>
      </w:r>
      <w:r w:rsidRPr="00520699">
        <w:rPr>
          <w:rFonts w:ascii="Times New Roman" w:hAnsi="Times New Roman" w:cs="Times New Roman"/>
          <w:color w:val="000000" w:themeColor="text1"/>
          <w:sz w:val="24"/>
          <w:szCs w:val="24"/>
          <w:shd w:val="clear" w:color="auto" w:fill="FFFFFF"/>
        </w:rPr>
        <w:t>.</w:t>
      </w:r>
    </w:p>
    <w:p w14:paraId="5A2E5657"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520699">
        <w:rPr>
          <w:rFonts w:ascii="Times New Roman" w:eastAsia="Times New Roman" w:hAnsi="Times New Roman" w:cs="Times New Roman"/>
          <w:color w:val="000000" w:themeColor="text1"/>
          <w:sz w:val="24"/>
          <w:szCs w:val="24"/>
          <w:lang w:eastAsia="en-GB"/>
        </w:rPr>
        <w:t xml:space="preserve"> </w:t>
      </w:r>
      <w:r w:rsidRPr="00760547">
        <w:rPr>
          <w:rFonts w:ascii="Times New Roman" w:eastAsia="Times New Roman" w:hAnsi="Times New Roman" w:cs="Times New Roman"/>
          <w:color w:val="000000" w:themeColor="text1"/>
          <w:sz w:val="24"/>
          <w:szCs w:val="24"/>
          <w:lang w:eastAsia="en-GB"/>
        </w:rPr>
        <w:t xml:space="preserve">Hamilton, L., &amp; Webster, P. (2018). </w:t>
      </w:r>
      <w:r w:rsidRPr="00760547">
        <w:rPr>
          <w:rFonts w:ascii="Times New Roman" w:eastAsia="Times New Roman" w:hAnsi="Times New Roman" w:cs="Times New Roman"/>
          <w:i/>
          <w:iCs/>
          <w:color w:val="000000" w:themeColor="text1"/>
          <w:sz w:val="24"/>
          <w:szCs w:val="24"/>
          <w:lang w:eastAsia="en-GB"/>
        </w:rPr>
        <w:t>The international business environment</w:t>
      </w:r>
      <w:r w:rsidRPr="00760547">
        <w:rPr>
          <w:rFonts w:ascii="Times New Roman" w:eastAsia="Times New Roman" w:hAnsi="Times New Roman" w:cs="Times New Roman"/>
          <w:color w:val="000000" w:themeColor="text1"/>
          <w:sz w:val="24"/>
          <w:szCs w:val="24"/>
          <w:lang w:eastAsia="en-GB"/>
        </w:rPr>
        <w:t>. Oxford University Press.</w:t>
      </w:r>
    </w:p>
    <w:p w14:paraId="3EB33321"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F54E4B">
        <w:rPr>
          <w:rFonts w:ascii="Times New Roman" w:eastAsia="Times New Roman" w:hAnsi="Times New Roman" w:cs="Times New Roman"/>
          <w:color w:val="000000" w:themeColor="text1"/>
          <w:sz w:val="24"/>
          <w:szCs w:val="24"/>
          <w:lang w:eastAsia="en-GB"/>
        </w:rPr>
        <w:t xml:space="preserve">Jabbie, M., &amp; Jackson, E. A. (2020). On the Validity of Purchasing Power Parity: The Case of Sierra Leone 1. </w:t>
      </w:r>
      <w:r w:rsidRPr="00F54E4B">
        <w:rPr>
          <w:rFonts w:ascii="Times New Roman" w:eastAsia="Times New Roman" w:hAnsi="Times New Roman" w:cs="Times New Roman"/>
          <w:i/>
          <w:iCs/>
          <w:color w:val="000000" w:themeColor="text1"/>
          <w:sz w:val="24"/>
          <w:szCs w:val="24"/>
          <w:lang w:eastAsia="en-GB"/>
        </w:rPr>
        <w:t>Journal of Advanced Studies in Finance</w:t>
      </w:r>
      <w:r w:rsidRPr="00F54E4B">
        <w:rPr>
          <w:rFonts w:ascii="Times New Roman" w:eastAsia="Times New Roman" w:hAnsi="Times New Roman" w:cs="Times New Roman"/>
          <w:color w:val="000000" w:themeColor="text1"/>
          <w:sz w:val="24"/>
          <w:szCs w:val="24"/>
          <w:lang w:eastAsia="en-GB"/>
        </w:rPr>
        <w:t xml:space="preserve">, </w:t>
      </w:r>
      <w:r w:rsidRPr="00F54E4B">
        <w:rPr>
          <w:rFonts w:ascii="Times New Roman" w:eastAsia="Times New Roman" w:hAnsi="Times New Roman" w:cs="Times New Roman"/>
          <w:i/>
          <w:iCs/>
          <w:color w:val="000000" w:themeColor="text1"/>
          <w:sz w:val="24"/>
          <w:szCs w:val="24"/>
          <w:lang w:eastAsia="en-GB"/>
        </w:rPr>
        <w:t>11</w:t>
      </w:r>
      <w:r w:rsidRPr="00F54E4B">
        <w:rPr>
          <w:rFonts w:ascii="Times New Roman" w:eastAsia="Times New Roman" w:hAnsi="Times New Roman" w:cs="Times New Roman"/>
          <w:color w:val="000000" w:themeColor="text1"/>
          <w:sz w:val="24"/>
          <w:szCs w:val="24"/>
          <w:lang w:eastAsia="en-GB"/>
        </w:rPr>
        <w:t>(1), 18-27.</w:t>
      </w:r>
    </w:p>
    <w:p w14:paraId="7BBD4590" w14:textId="77777777" w:rsidR="00520699" w:rsidRPr="00626505"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626505">
        <w:rPr>
          <w:rFonts w:ascii="Times New Roman" w:eastAsia="Times New Roman" w:hAnsi="Times New Roman" w:cs="Times New Roman"/>
          <w:color w:val="000000" w:themeColor="text1"/>
          <w:sz w:val="24"/>
          <w:szCs w:val="24"/>
          <w:lang w:eastAsia="en-GB"/>
        </w:rPr>
        <w:t xml:space="preserve">Jain, S., &amp; Rastogi, V. (2020). Do higher dividend payouts signifies higher operating profits and how does it impact mps of the firm: An intriguing study of microsoft corporation. </w:t>
      </w:r>
      <w:r w:rsidRPr="00626505">
        <w:rPr>
          <w:rFonts w:ascii="Times New Roman" w:eastAsia="Times New Roman" w:hAnsi="Times New Roman" w:cs="Times New Roman"/>
          <w:i/>
          <w:iCs/>
          <w:color w:val="000000" w:themeColor="text1"/>
          <w:sz w:val="24"/>
          <w:szCs w:val="24"/>
          <w:lang w:eastAsia="en-GB"/>
        </w:rPr>
        <w:t>IME Journal</w:t>
      </w:r>
      <w:r w:rsidRPr="00626505">
        <w:rPr>
          <w:rFonts w:ascii="Times New Roman" w:eastAsia="Times New Roman" w:hAnsi="Times New Roman" w:cs="Times New Roman"/>
          <w:color w:val="000000" w:themeColor="text1"/>
          <w:sz w:val="24"/>
          <w:szCs w:val="24"/>
          <w:lang w:eastAsia="en-GB"/>
        </w:rPr>
        <w:t xml:space="preserve">, </w:t>
      </w:r>
      <w:r w:rsidRPr="00626505">
        <w:rPr>
          <w:rFonts w:ascii="Times New Roman" w:eastAsia="Times New Roman" w:hAnsi="Times New Roman" w:cs="Times New Roman"/>
          <w:i/>
          <w:iCs/>
          <w:color w:val="000000" w:themeColor="text1"/>
          <w:sz w:val="24"/>
          <w:szCs w:val="24"/>
          <w:lang w:eastAsia="en-GB"/>
        </w:rPr>
        <w:t>14</w:t>
      </w:r>
      <w:r w:rsidRPr="00626505">
        <w:rPr>
          <w:rFonts w:ascii="Times New Roman" w:eastAsia="Times New Roman" w:hAnsi="Times New Roman" w:cs="Times New Roman"/>
          <w:color w:val="000000" w:themeColor="text1"/>
          <w:sz w:val="24"/>
          <w:szCs w:val="24"/>
          <w:lang w:eastAsia="en-GB"/>
        </w:rPr>
        <w:t>(1), 59-67.</w:t>
      </w:r>
    </w:p>
    <w:p w14:paraId="27229794"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9808E8">
        <w:rPr>
          <w:rFonts w:ascii="Times New Roman" w:eastAsia="Times New Roman" w:hAnsi="Times New Roman" w:cs="Times New Roman"/>
          <w:color w:val="000000" w:themeColor="text1"/>
          <w:sz w:val="24"/>
          <w:szCs w:val="24"/>
          <w:lang w:eastAsia="en-GB"/>
        </w:rPr>
        <w:lastRenderedPageBreak/>
        <w:t xml:space="preserve">Kim, M., Zimmermann, T., &amp; Nagappan, N. (2012, November). A field study of refactoring challenges and benefits. In </w:t>
      </w:r>
      <w:r w:rsidRPr="009808E8">
        <w:rPr>
          <w:rFonts w:ascii="Times New Roman" w:eastAsia="Times New Roman" w:hAnsi="Times New Roman" w:cs="Times New Roman"/>
          <w:i/>
          <w:iCs/>
          <w:color w:val="000000" w:themeColor="text1"/>
          <w:sz w:val="24"/>
          <w:szCs w:val="24"/>
          <w:lang w:eastAsia="en-GB"/>
        </w:rPr>
        <w:t>Proceedings of the ACM SIGSOFT 20th International Symposium on the Foundations of Software Engineering</w:t>
      </w:r>
      <w:r w:rsidRPr="009808E8">
        <w:rPr>
          <w:rFonts w:ascii="Times New Roman" w:eastAsia="Times New Roman" w:hAnsi="Times New Roman" w:cs="Times New Roman"/>
          <w:color w:val="000000" w:themeColor="text1"/>
          <w:sz w:val="24"/>
          <w:szCs w:val="24"/>
          <w:lang w:eastAsia="en-GB"/>
        </w:rPr>
        <w:t xml:space="preserve"> (pp. 1-11).</w:t>
      </w:r>
    </w:p>
    <w:p w14:paraId="751DE2C0" w14:textId="77777777" w:rsidR="00520699" w:rsidRPr="00520699" w:rsidRDefault="00520699" w:rsidP="00520699">
      <w:pPr>
        <w:spacing w:line="480" w:lineRule="auto"/>
        <w:ind w:left="720" w:hanging="720"/>
        <w:rPr>
          <w:rFonts w:ascii="Times New Roman" w:hAnsi="Times New Roman" w:cs="Times New Roman"/>
          <w:color w:val="000000" w:themeColor="text1"/>
          <w:sz w:val="24"/>
          <w:szCs w:val="24"/>
        </w:rPr>
      </w:pPr>
      <w:r w:rsidRPr="00520699">
        <w:rPr>
          <w:rFonts w:ascii="Times New Roman" w:hAnsi="Times New Roman" w:cs="Times New Roman"/>
          <w:color w:val="000000" w:themeColor="text1"/>
          <w:sz w:val="24"/>
          <w:szCs w:val="24"/>
        </w:rPr>
        <w:t xml:space="preserve">Kozubikova, L., Kotaskova, A., Dvorský, J., &amp; Ključnikov, A. (2019). The impact of political factors' perception on the suitability of the international business environment: startups' cases. </w:t>
      </w:r>
      <w:r w:rsidRPr="00520699">
        <w:rPr>
          <w:rFonts w:ascii="Times New Roman" w:hAnsi="Times New Roman" w:cs="Times New Roman"/>
          <w:i/>
          <w:iCs/>
          <w:color w:val="000000" w:themeColor="text1"/>
          <w:sz w:val="24"/>
          <w:szCs w:val="24"/>
        </w:rPr>
        <w:t>Economics &amp; Sociology</w:t>
      </w:r>
      <w:r w:rsidRPr="00520699">
        <w:rPr>
          <w:rFonts w:ascii="Times New Roman" w:hAnsi="Times New Roman" w:cs="Times New Roman"/>
          <w:color w:val="000000" w:themeColor="text1"/>
          <w:sz w:val="24"/>
          <w:szCs w:val="24"/>
        </w:rPr>
        <w:t>.</w:t>
      </w:r>
    </w:p>
    <w:p w14:paraId="1690E5BA"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2322C7">
        <w:rPr>
          <w:rFonts w:ascii="Times New Roman" w:eastAsia="Times New Roman" w:hAnsi="Times New Roman" w:cs="Times New Roman"/>
          <w:color w:val="000000" w:themeColor="text1"/>
          <w:sz w:val="24"/>
          <w:szCs w:val="24"/>
          <w:lang w:eastAsia="en-GB"/>
        </w:rPr>
        <w:t>Kramer, L. (2014). Microsoft finance &amp; the journey to digital transformation: as part of a multi-year transformation effort, Microsoft is streamlining and expanding the finance functions role to have</w:t>
      </w:r>
      <w:r w:rsidRPr="00520699">
        <w:rPr>
          <w:rFonts w:ascii="Times New Roman" w:eastAsia="Times New Roman" w:hAnsi="Times New Roman" w:cs="Times New Roman"/>
          <w:color w:val="000000" w:themeColor="text1"/>
          <w:sz w:val="24"/>
          <w:szCs w:val="24"/>
          <w:lang w:eastAsia="en-GB"/>
        </w:rPr>
        <w:t xml:space="preserve">a </w:t>
      </w:r>
      <w:r w:rsidRPr="002322C7">
        <w:rPr>
          <w:rFonts w:ascii="Times New Roman" w:eastAsia="Times New Roman" w:hAnsi="Times New Roman" w:cs="Times New Roman"/>
          <w:color w:val="000000" w:themeColor="text1"/>
          <w:sz w:val="24"/>
          <w:szCs w:val="24"/>
          <w:lang w:eastAsia="en-GB"/>
        </w:rPr>
        <w:t xml:space="preserve"> greater impact on the company, its customers</w:t>
      </w:r>
      <w:r w:rsidRPr="00520699">
        <w:rPr>
          <w:rFonts w:ascii="Times New Roman" w:eastAsia="Times New Roman" w:hAnsi="Times New Roman" w:cs="Times New Roman"/>
          <w:color w:val="000000" w:themeColor="text1"/>
          <w:sz w:val="24"/>
          <w:szCs w:val="24"/>
          <w:lang w:eastAsia="en-GB"/>
        </w:rPr>
        <w:t>,</w:t>
      </w:r>
      <w:r w:rsidRPr="002322C7">
        <w:rPr>
          <w:rFonts w:ascii="Times New Roman" w:eastAsia="Times New Roman" w:hAnsi="Times New Roman" w:cs="Times New Roman"/>
          <w:color w:val="000000" w:themeColor="text1"/>
          <w:sz w:val="24"/>
          <w:szCs w:val="24"/>
          <w:lang w:eastAsia="en-GB"/>
        </w:rPr>
        <w:t xml:space="preserve"> and its partners. </w:t>
      </w:r>
      <w:r w:rsidRPr="002322C7">
        <w:rPr>
          <w:rFonts w:ascii="Times New Roman" w:eastAsia="Times New Roman" w:hAnsi="Times New Roman" w:cs="Times New Roman"/>
          <w:i/>
          <w:iCs/>
          <w:color w:val="000000" w:themeColor="text1"/>
          <w:sz w:val="24"/>
          <w:szCs w:val="24"/>
          <w:lang w:eastAsia="en-GB"/>
        </w:rPr>
        <w:t>Financial Executive</w:t>
      </w:r>
      <w:r w:rsidRPr="002322C7">
        <w:rPr>
          <w:rFonts w:ascii="Times New Roman" w:eastAsia="Times New Roman" w:hAnsi="Times New Roman" w:cs="Times New Roman"/>
          <w:color w:val="000000" w:themeColor="text1"/>
          <w:sz w:val="24"/>
          <w:szCs w:val="24"/>
          <w:lang w:eastAsia="en-GB"/>
        </w:rPr>
        <w:t xml:space="preserve">, </w:t>
      </w:r>
      <w:r w:rsidRPr="002322C7">
        <w:rPr>
          <w:rFonts w:ascii="Times New Roman" w:eastAsia="Times New Roman" w:hAnsi="Times New Roman" w:cs="Times New Roman"/>
          <w:i/>
          <w:iCs/>
          <w:color w:val="000000" w:themeColor="text1"/>
          <w:sz w:val="24"/>
          <w:szCs w:val="24"/>
          <w:lang w:eastAsia="en-GB"/>
        </w:rPr>
        <w:t>30</w:t>
      </w:r>
      <w:r w:rsidRPr="002322C7">
        <w:rPr>
          <w:rFonts w:ascii="Times New Roman" w:eastAsia="Times New Roman" w:hAnsi="Times New Roman" w:cs="Times New Roman"/>
          <w:color w:val="000000" w:themeColor="text1"/>
          <w:sz w:val="24"/>
          <w:szCs w:val="24"/>
          <w:lang w:eastAsia="en-GB"/>
        </w:rPr>
        <w:t>(4), 18-24.</w:t>
      </w:r>
    </w:p>
    <w:p w14:paraId="4FC9BB5B" w14:textId="77777777" w:rsidR="00520699" w:rsidRPr="00FA0BF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FA0BF9">
        <w:rPr>
          <w:rFonts w:ascii="Times New Roman" w:eastAsia="Times New Roman" w:hAnsi="Times New Roman" w:cs="Times New Roman"/>
          <w:color w:val="000000" w:themeColor="text1"/>
          <w:sz w:val="24"/>
          <w:szCs w:val="24"/>
          <w:lang w:eastAsia="en-GB"/>
        </w:rPr>
        <w:t xml:space="preserve">Müllner, J. (2017). International project finance: Review and implications for international finance and international business. </w:t>
      </w:r>
      <w:r w:rsidRPr="00FA0BF9">
        <w:rPr>
          <w:rFonts w:ascii="Times New Roman" w:eastAsia="Times New Roman" w:hAnsi="Times New Roman" w:cs="Times New Roman"/>
          <w:i/>
          <w:iCs/>
          <w:color w:val="000000" w:themeColor="text1"/>
          <w:sz w:val="24"/>
          <w:szCs w:val="24"/>
          <w:lang w:eastAsia="en-GB"/>
        </w:rPr>
        <w:t>Management Review Quarterly</w:t>
      </w:r>
      <w:r w:rsidRPr="00FA0BF9">
        <w:rPr>
          <w:rFonts w:ascii="Times New Roman" w:eastAsia="Times New Roman" w:hAnsi="Times New Roman" w:cs="Times New Roman"/>
          <w:color w:val="000000" w:themeColor="text1"/>
          <w:sz w:val="24"/>
          <w:szCs w:val="24"/>
          <w:lang w:eastAsia="en-GB"/>
        </w:rPr>
        <w:t xml:space="preserve">, </w:t>
      </w:r>
      <w:r w:rsidRPr="00FA0BF9">
        <w:rPr>
          <w:rFonts w:ascii="Times New Roman" w:eastAsia="Times New Roman" w:hAnsi="Times New Roman" w:cs="Times New Roman"/>
          <w:i/>
          <w:iCs/>
          <w:color w:val="000000" w:themeColor="text1"/>
          <w:sz w:val="24"/>
          <w:szCs w:val="24"/>
          <w:lang w:eastAsia="en-GB"/>
        </w:rPr>
        <w:t>67</w:t>
      </w:r>
      <w:r w:rsidRPr="00FA0BF9">
        <w:rPr>
          <w:rFonts w:ascii="Times New Roman" w:eastAsia="Times New Roman" w:hAnsi="Times New Roman" w:cs="Times New Roman"/>
          <w:color w:val="000000" w:themeColor="text1"/>
          <w:sz w:val="24"/>
          <w:szCs w:val="24"/>
          <w:lang w:eastAsia="en-GB"/>
        </w:rPr>
        <w:t>(2), 97-133.</w:t>
      </w:r>
    </w:p>
    <w:p w14:paraId="09256109" w14:textId="77777777" w:rsidR="00520699" w:rsidRPr="0052069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520699">
        <w:rPr>
          <w:rFonts w:ascii="Times New Roman" w:eastAsia="Times New Roman" w:hAnsi="Times New Roman" w:cs="Times New Roman"/>
          <w:color w:val="000000" w:themeColor="text1"/>
          <w:sz w:val="24"/>
          <w:szCs w:val="24"/>
          <w:lang w:eastAsia="en-GB"/>
        </w:rPr>
        <w:t xml:space="preserve">Pinto, J. (2010). Achieving competitive advantage. </w:t>
      </w:r>
      <w:r w:rsidRPr="00520699">
        <w:rPr>
          <w:rFonts w:ascii="Times New Roman" w:eastAsia="Times New Roman" w:hAnsi="Times New Roman" w:cs="Times New Roman"/>
          <w:i/>
          <w:iCs/>
          <w:color w:val="000000" w:themeColor="text1"/>
          <w:sz w:val="24"/>
          <w:szCs w:val="24"/>
          <w:lang w:eastAsia="en-GB"/>
        </w:rPr>
        <w:t>New Jercy</w:t>
      </w:r>
      <w:r w:rsidRPr="00520699">
        <w:rPr>
          <w:rFonts w:ascii="Times New Roman" w:eastAsia="Times New Roman" w:hAnsi="Times New Roman" w:cs="Times New Roman"/>
          <w:color w:val="000000" w:themeColor="text1"/>
          <w:sz w:val="24"/>
          <w:szCs w:val="24"/>
          <w:lang w:eastAsia="en-GB"/>
        </w:rPr>
        <w:t>.</w:t>
      </w:r>
    </w:p>
    <w:p w14:paraId="7A085AFA" w14:textId="77777777" w:rsidR="00520699" w:rsidRPr="00FA0BF9"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FA0BF9">
        <w:rPr>
          <w:rFonts w:ascii="Times New Roman" w:eastAsia="Times New Roman" w:hAnsi="Times New Roman" w:cs="Times New Roman"/>
          <w:color w:val="000000" w:themeColor="text1"/>
          <w:sz w:val="24"/>
          <w:szCs w:val="24"/>
          <w:lang w:eastAsia="en-GB"/>
        </w:rPr>
        <w:t xml:space="preserve">Sercu, P. (2009). </w:t>
      </w:r>
      <w:r w:rsidRPr="00FA0BF9">
        <w:rPr>
          <w:rFonts w:ascii="Times New Roman" w:eastAsia="Times New Roman" w:hAnsi="Times New Roman" w:cs="Times New Roman"/>
          <w:i/>
          <w:iCs/>
          <w:color w:val="000000" w:themeColor="text1"/>
          <w:sz w:val="24"/>
          <w:szCs w:val="24"/>
          <w:lang w:eastAsia="en-GB"/>
        </w:rPr>
        <w:t>International finance: theory into practice</w:t>
      </w:r>
      <w:r w:rsidRPr="00FA0BF9">
        <w:rPr>
          <w:rFonts w:ascii="Times New Roman" w:eastAsia="Times New Roman" w:hAnsi="Times New Roman" w:cs="Times New Roman"/>
          <w:color w:val="000000" w:themeColor="text1"/>
          <w:sz w:val="24"/>
          <w:szCs w:val="24"/>
          <w:lang w:eastAsia="en-GB"/>
        </w:rPr>
        <w:t>. Princeton University Press.</w:t>
      </w:r>
    </w:p>
    <w:p w14:paraId="2D971851" w14:textId="77777777" w:rsidR="00520699" w:rsidRPr="00784C60"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784C60">
        <w:rPr>
          <w:rFonts w:ascii="Times New Roman" w:eastAsia="Times New Roman" w:hAnsi="Times New Roman" w:cs="Times New Roman"/>
          <w:color w:val="000000" w:themeColor="text1"/>
          <w:sz w:val="24"/>
          <w:szCs w:val="24"/>
          <w:lang w:eastAsia="en-GB"/>
        </w:rPr>
        <w:t xml:space="preserve">Uribe, M. (2018). </w:t>
      </w:r>
      <w:r w:rsidRPr="00784C60">
        <w:rPr>
          <w:rFonts w:ascii="Times New Roman" w:eastAsia="Times New Roman" w:hAnsi="Times New Roman" w:cs="Times New Roman"/>
          <w:i/>
          <w:iCs/>
          <w:color w:val="000000" w:themeColor="text1"/>
          <w:sz w:val="24"/>
          <w:szCs w:val="24"/>
          <w:lang w:eastAsia="en-GB"/>
        </w:rPr>
        <w:t>The neo-Fisher effect: Econometric evidence from empirical and optimizing models</w:t>
      </w:r>
      <w:r w:rsidRPr="00784C60">
        <w:rPr>
          <w:rFonts w:ascii="Times New Roman" w:eastAsia="Times New Roman" w:hAnsi="Times New Roman" w:cs="Times New Roman"/>
          <w:color w:val="000000" w:themeColor="text1"/>
          <w:sz w:val="24"/>
          <w:szCs w:val="24"/>
          <w:lang w:eastAsia="en-GB"/>
        </w:rPr>
        <w:t xml:space="preserve"> (No. w25089). National Bureau of Economic Research.</w:t>
      </w:r>
    </w:p>
    <w:p w14:paraId="188C99B2" w14:textId="77777777" w:rsidR="00520699" w:rsidRPr="0091661C" w:rsidRDefault="00520699" w:rsidP="00520699">
      <w:pPr>
        <w:spacing w:after="0" w:line="480" w:lineRule="auto"/>
        <w:ind w:left="720" w:hanging="720"/>
        <w:rPr>
          <w:rFonts w:ascii="Times New Roman" w:eastAsia="Times New Roman" w:hAnsi="Times New Roman" w:cs="Times New Roman"/>
          <w:color w:val="000000" w:themeColor="text1"/>
          <w:sz w:val="24"/>
          <w:szCs w:val="24"/>
          <w:lang w:eastAsia="en-GB"/>
        </w:rPr>
      </w:pPr>
      <w:r w:rsidRPr="0091661C">
        <w:rPr>
          <w:rFonts w:ascii="Times New Roman" w:eastAsia="Times New Roman" w:hAnsi="Times New Roman" w:cs="Times New Roman"/>
          <w:color w:val="000000" w:themeColor="text1"/>
          <w:sz w:val="24"/>
          <w:szCs w:val="24"/>
          <w:lang w:eastAsia="en-GB"/>
        </w:rPr>
        <w:t xml:space="preserve">Yoon, J. C., &amp; Jei, S. Y. (2020). Purchasing power parity vs. uncovered interest rate parity for NAFTA countries: The value of incorporating time-varying parameter model. </w:t>
      </w:r>
      <w:r w:rsidRPr="0091661C">
        <w:rPr>
          <w:rFonts w:ascii="Times New Roman" w:eastAsia="Times New Roman" w:hAnsi="Times New Roman" w:cs="Times New Roman"/>
          <w:i/>
          <w:iCs/>
          <w:color w:val="000000" w:themeColor="text1"/>
          <w:sz w:val="24"/>
          <w:szCs w:val="24"/>
          <w:lang w:eastAsia="en-GB"/>
        </w:rPr>
        <w:t>Economic Modelling</w:t>
      </w:r>
      <w:r w:rsidRPr="0091661C">
        <w:rPr>
          <w:rFonts w:ascii="Times New Roman" w:eastAsia="Times New Roman" w:hAnsi="Times New Roman" w:cs="Times New Roman"/>
          <w:color w:val="000000" w:themeColor="text1"/>
          <w:sz w:val="24"/>
          <w:szCs w:val="24"/>
          <w:lang w:eastAsia="en-GB"/>
        </w:rPr>
        <w:t xml:space="preserve">, </w:t>
      </w:r>
      <w:r w:rsidRPr="0091661C">
        <w:rPr>
          <w:rFonts w:ascii="Times New Roman" w:eastAsia="Times New Roman" w:hAnsi="Times New Roman" w:cs="Times New Roman"/>
          <w:i/>
          <w:iCs/>
          <w:color w:val="000000" w:themeColor="text1"/>
          <w:sz w:val="24"/>
          <w:szCs w:val="24"/>
          <w:lang w:eastAsia="en-GB"/>
        </w:rPr>
        <w:t>90</w:t>
      </w:r>
      <w:r w:rsidRPr="0091661C">
        <w:rPr>
          <w:rFonts w:ascii="Times New Roman" w:eastAsia="Times New Roman" w:hAnsi="Times New Roman" w:cs="Times New Roman"/>
          <w:color w:val="000000" w:themeColor="text1"/>
          <w:sz w:val="24"/>
          <w:szCs w:val="24"/>
          <w:lang w:eastAsia="en-GB"/>
        </w:rPr>
        <w:t>, 494-500.</w:t>
      </w:r>
    </w:p>
    <w:p w14:paraId="64F0F2F7" w14:textId="77777777" w:rsidR="00EC2D14" w:rsidRPr="00520699" w:rsidRDefault="00EC2D14" w:rsidP="00520699">
      <w:pPr>
        <w:spacing w:line="480" w:lineRule="auto"/>
        <w:rPr>
          <w:rFonts w:ascii="Times New Roman" w:hAnsi="Times New Roman" w:cs="Times New Roman"/>
          <w:color w:val="000000" w:themeColor="text1"/>
          <w:sz w:val="24"/>
          <w:szCs w:val="24"/>
        </w:rPr>
      </w:pPr>
    </w:p>
    <w:sectPr w:rsidR="00EC2D14" w:rsidRPr="0052069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38F7E" w14:textId="77777777" w:rsidR="008701F2" w:rsidRDefault="008701F2" w:rsidP="00520699">
      <w:pPr>
        <w:spacing w:after="0" w:line="240" w:lineRule="auto"/>
      </w:pPr>
      <w:r>
        <w:separator/>
      </w:r>
    </w:p>
  </w:endnote>
  <w:endnote w:type="continuationSeparator" w:id="0">
    <w:p w14:paraId="60095AFA" w14:textId="77777777" w:rsidR="008701F2" w:rsidRDefault="008701F2" w:rsidP="00520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2399356"/>
      <w:docPartObj>
        <w:docPartGallery w:val="Page Numbers (Bottom of Page)"/>
        <w:docPartUnique/>
      </w:docPartObj>
    </w:sdtPr>
    <w:sdtEndPr>
      <w:rPr>
        <w:color w:val="7F7F7F" w:themeColor="background1" w:themeShade="7F"/>
        <w:spacing w:val="60"/>
      </w:rPr>
    </w:sdtEndPr>
    <w:sdtContent>
      <w:p w14:paraId="2545B7D0" w14:textId="77777777" w:rsidR="00520699" w:rsidRDefault="00520699">
        <w:pPr>
          <w:pStyle w:val="aa"/>
          <w:pBdr>
            <w:top w:val="single" w:sz="4" w:space="1" w:color="D9D9D9" w:themeColor="background1" w:themeShade="D9"/>
          </w:pBdr>
          <w:rPr>
            <w:b/>
            <w:bCs/>
          </w:rPr>
        </w:pPr>
        <w:r>
          <w:fldChar w:fldCharType="begin"/>
        </w:r>
        <w:r>
          <w:instrText xml:space="preserve"> PAGE   \* MERGEFORMAT </w:instrText>
        </w:r>
        <w:r>
          <w:fldChar w:fldCharType="separate"/>
        </w:r>
        <w:r w:rsidR="00D02353" w:rsidRPr="00D02353">
          <w:rPr>
            <w:b/>
            <w:bCs/>
            <w:noProof/>
          </w:rPr>
          <w:t>7</w:t>
        </w:r>
        <w:r>
          <w:rPr>
            <w:b/>
            <w:bCs/>
            <w:noProof/>
          </w:rPr>
          <w:fldChar w:fldCharType="end"/>
        </w:r>
        <w:r>
          <w:rPr>
            <w:b/>
            <w:bCs/>
          </w:rPr>
          <w:t xml:space="preserve"> | </w:t>
        </w:r>
        <w:r>
          <w:rPr>
            <w:color w:val="7F7F7F" w:themeColor="background1" w:themeShade="7F"/>
            <w:spacing w:val="60"/>
          </w:rPr>
          <w:t>Page</w:t>
        </w:r>
      </w:p>
    </w:sdtContent>
  </w:sdt>
  <w:p w14:paraId="7EA9796E" w14:textId="77777777" w:rsidR="00520699" w:rsidRDefault="0052069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8FD89" w14:textId="77777777" w:rsidR="008701F2" w:rsidRDefault="008701F2" w:rsidP="00520699">
      <w:pPr>
        <w:spacing w:after="0" w:line="240" w:lineRule="auto"/>
      </w:pPr>
      <w:r>
        <w:separator/>
      </w:r>
    </w:p>
  </w:footnote>
  <w:footnote w:type="continuationSeparator" w:id="0">
    <w:p w14:paraId="0C419404" w14:textId="77777777" w:rsidR="008701F2" w:rsidRDefault="008701F2" w:rsidP="005206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73F95"/>
    <w:multiLevelType w:val="hybridMultilevel"/>
    <w:tmpl w:val="0004D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47B5D"/>
    <w:multiLevelType w:val="hybridMultilevel"/>
    <w:tmpl w:val="FBAED64A"/>
    <w:lvl w:ilvl="0" w:tplc="3A287C6E">
      <w:start w:val="1"/>
      <w:numFmt w:val="bullet"/>
      <w:lvlText w:val=""/>
      <w:lvlJc w:val="left"/>
      <w:pPr>
        <w:ind w:left="720" w:hanging="360"/>
      </w:pPr>
      <w:rPr>
        <w:rFonts w:ascii="Symbol" w:hAnsi="Symbol" w:hint="default"/>
      </w:rPr>
    </w:lvl>
    <w:lvl w:ilvl="1" w:tplc="ED7AE1A2">
      <w:start w:val="1"/>
      <w:numFmt w:val="bullet"/>
      <w:lvlText w:val="o"/>
      <w:lvlJc w:val="left"/>
      <w:pPr>
        <w:ind w:left="1440" w:hanging="360"/>
      </w:pPr>
      <w:rPr>
        <w:rFonts w:ascii="Courier New" w:hAnsi="Courier New" w:cs="Courier New" w:hint="default"/>
      </w:rPr>
    </w:lvl>
    <w:lvl w:ilvl="2" w:tplc="B6D461EE" w:tentative="1">
      <w:start w:val="1"/>
      <w:numFmt w:val="bullet"/>
      <w:lvlText w:val=""/>
      <w:lvlJc w:val="left"/>
      <w:pPr>
        <w:ind w:left="2160" w:hanging="360"/>
      </w:pPr>
      <w:rPr>
        <w:rFonts w:ascii="Wingdings" w:hAnsi="Wingdings" w:hint="default"/>
      </w:rPr>
    </w:lvl>
    <w:lvl w:ilvl="3" w:tplc="7702236C" w:tentative="1">
      <w:start w:val="1"/>
      <w:numFmt w:val="bullet"/>
      <w:lvlText w:val=""/>
      <w:lvlJc w:val="left"/>
      <w:pPr>
        <w:ind w:left="2880" w:hanging="360"/>
      </w:pPr>
      <w:rPr>
        <w:rFonts w:ascii="Symbol" w:hAnsi="Symbol" w:hint="default"/>
      </w:rPr>
    </w:lvl>
    <w:lvl w:ilvl="4" w:tplc="6B82C8FE" w:tentative="1">
      <w:start w:val="1"/>
      <w:numFmt w:val="bullet"/>
      <w:lvlText w:val="o"/>
      <w:lvlJc w:val="left"/>
      <w:pPr>
        <w:ind w:left="3600" w:hanging="360"/>
      </w:pPr>
      <w:rPr>
        <w:rFonts w:ascii="Courier New" w:hAnsi="Courier New" w:cs="Courier New" w:hint="default"/>
      </w:rPr>
    </w:lvl>
    <w:lvl w:ilvl="5" w:tplc="5FA6E008" w:tentative="1">
      <w:start w:val="1"/>
      <w:numFmt w:val="bullet"/>
      <w:lvlText w:val=""/>
      <w:lvlJc w:val="left"/>
      <w:pPr>
        <w:ind w:left="4320" w:hanging="360"/>
      </w:pPr>
      <w:rPr>
        <w:rFonts w:ascii="Wingdings" w:hAnsi="Wingdings" w:hint="default"/>
      </w:rPr>
    </w:lvl>
    <w:lvl w:ilvl="6" w:tplc="115AF208" w:tentative="1">
      <w:start w:val="1"/>
      <w:numFmt w:val="bullet"/>
      <w:lvlText w:val=""/>
      <w:lvlJc w:val="left"/>
      <w:pPr>
        <w:ind w:left="5040" w:hanging="360"/>
      </w:pPr>
      <w:rPr>
        <w:rFonts w:ascii="Symbol" w:hAnsi="Symbol" w:hint="default"/>
      </w:rPr>
    </w:lvl>
    <w:lvl w:ilvl="7" w:tplc="BB6A444C" w:tentative="1">
      <w:start w:val="1"/>
      <w:numFmt w:val="bullet"/>
      <w:lvlText w:val="o"/>
      <w:lvlJc w:val="left"/>
      <w:pPr>
        <w:ind w:left="5760" w:hanging="360"/>
      </w:pPr>
      <w:rPr>
        <w:rFonts w:ascii="Courier New" w:hAnsi="Courier New" w:cs="Courier New" w:hint="default"/>
      </w:rPr>
    </w:lvl>
    <w:lvl w:ilvl="8" w:tplc="813ECAB4" w:tentative="1">
      <w:start w:val="1"/>
      <w:numFmt w:val="bullet"/>
      <w:lvlText w:val=""/>
      <w:lvlJc w:val="left"/>
      <w:pPr>
        <w:ind w:left="6480" w:hanging="360"/>
      </w:pPr>
      <w:rPr>
        <w:rFonts w:ascii="Wingdings" w:hAnsi="Wingdings" w:hint="default"/>
      </w:rPr>
    </w:lvl>
  </w:abstractNum>
  <w:abstractNum w:abstractNumId="2" w15:restartNumberingAfterBreak="0">
    <w:nsid w:val="5CD3627F"/>
    <w:multiLevelType w:val="multilevel"/>
    <w:tmpl w:val="D3D2C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BF9"/>
    <w:rsid w:val="000D6614"/>
    <w:rsid w:val="00126A0D"/>
    <w:rsid w:val="00224E09"/>
    <w:rsid w:val="002322C7"/>
    <w:rsid w:val="00263F58"/>
    <w:rsid w:val="002E7006"/>
    <w:rsid w:val="003D4E32"/>
    <w:rsid w:val="004004CB"/>
    <w:rsid w:val="00402BE4"/>
    <w:rsid w:val="0048151F"/>
    <w:rsid w:val="005059B6"/>
    <w:rsid w:val="00520699"/>
    <w:rsid w:val="00526751"/>
    <w:rsid w:val="00626505"/>
    <w:rsid w:val="00760547"/>
    <w:rsid w:val="00774C0C"/>
    <w:rsid w:val="00784C60"/>
    <w:rsid w:val="008510C0"/>
    <w:rsid w:val="008701F2"/>
    <w:rsid w:val="0091661C"/>
    <w:rsid w:val="009808E8"/>
    <w:rsid w:val="009F0D06"/>
    <w:rsid w:val="00AA1089"/>
    <w:rsid w:val="00B07869"/>
    <w:rsid w:val="00B135E3"/>
    <w:rsid w:val="00C036B3"/>
    <w:rsid w:val="00D02353"/>
    <w:rsid w:val="00D1426E"/>
    <w:rsid w:val="00EC2D14"/>
    <w:rsid w:val="00F54E4B"/>
    <w:rsid w:val="00F95A0F"/>
    <w:rsid w:val="00FA0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7C05D"/>
  <w15:chartTrackingRefBased/>
  <w15:docId w15:val="{3D3DB49B-0A2E-4AEC-874E-22DA49E8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04CB"/>
  </w:style>
  <w:style w:type="paragraph" w:styleId="1">
    <w:name w:val="heading 1"/>
    <w:basedOn w:val="a"/>
    <w:next w:val="a"/>
    <w:link w:val="10"/>
    <w:uiPriority w:val="9"/>
    <w:qFormat/>
    <w:rsid w:val="00FA0B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322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4004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784C6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5059B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FA0BF9"/>
  </w:style>
  <w:style w:type="character" w:customStyle="1" w:styleId="10">
    <w:name w:val="Заглавие 1 Знак"/>
    <w:basedOn w:val="a0"/>
    <w:link w:val="1"/>
    <w:uiPriority w:val="9"/>
    <w:rsid w:val="00FA0BF9"/>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FA0BF9"/>
    <w:pPr>
      <w:outlineLvl w:val="9"/>
    </w:pPr>
    <w:rPr>
      <w:lang w:val="en-US"/>
    </w:rPr>
  </w:style>
  <w:style w:type="paragraph" w:styleId="11">
    <w:name w:val="toc 1"/>
    <w:basedOn w:val="a"/>
    <w:next w:val="a"/>
    <w:autoRedefine/>
    <w:uiPriority w:val="39"/>
    <w:unhideWhenUsed/>
    <w:rsid w:val="00FA0BF9"/>
    <w:pPr>
      <w:spacing w:after="100"/>
    </w:pPr>
  </w:style>
  <w:style w:type="character" w:styleId="a4">
    <w:name w:val="Hyperlink"/>
    <w:basedOn w:val="a0"/>
    <w:uiPriority w:val="99"/>
    <w:unhideWhenUsed/>
    <w:rsid w:val="00FA0BF9"/>
    <w:rPr>
      <w:color w:val="0563C1" w:themeColor="hyperlink"/>
      <w:u w:val="single"/>
    </w:rPr>
  </w:style>
  <w:style w:type="character" w:customStyle="1" w:styleId="hgkelc">
    <w:name w:val="hgkelc"/>
    <w:basedOn w:val="a0"/>
    <w:rsid w:val="00EC2D14"/>
  </w:style>
  <w:style w:type="character" w:customStyle="1" w:styleId="20">
    <w:name w:val="Заглавие 2 Знак"/>
    <w:basedOn w:val="a0"/>
    <w:link w:val="2"/>
    <w:uiPriority w:val="9"/>
    <w:rsid w:val="002322C7"/>
    <w:rPr>
      <w:rFonts w:asciiTheme="majorHAnsi" w:eastAsiaTheme="majorEastAsia" w:hAnsiTheme="majorHAnsi" w:cstheme="majorBidi"/>
      <w:color w:val="2E74B5" w:themeColor="accent1" w:themeShade="BF"/>
      <w:sz w:val="26"/>
      <w:szCs w:val="26"/>
    </w:rPr>
  </w:style>
  <w:style w:type="character" w:customStyle="1" w:styleId="30">
    <w:name w:val="Заглавие 3 Знак"/>
    <w:basedOn w:val="a0"/>
    <w:link w:val="3"/>
    <w:uiPriority w:val="9"/>
    <w:rsid w:val="004004CB"/>
    <w:rPr>
      <w:rFonts w:asciiTheme="majorHAnsi" w:eastAsiaTheme="majorEastAsia" w:hAnsiTheme="majorHAnsi" w:cstheme="majorBidi"/>
      <w:color w:val="1F4D78" w:themeColor="accent1" w:themeShade="7F"/>
      <w:sz w:val="24"/>
      <w:szCs w:val="24"/>
    </w:rPr>
  </w:style>
  <w:style w:type="paragraph" w:styleId="a5">
    <w:name w:val="caption"/>
    <w:basedOn w:val="a"/>
    <w:next w:val="a"/>
    <w:uiPriority w:val="35"/>
    <w:unhideWhenUsed/>
    <w:qFormat/>
    <w:rsid w:val="00784C60"/>
    <w:pPr>
      <w:spacing w:after="200" w:line="240" w:lineRule="auto"/>
    </w:pPr>
    <w:rPr>
      <w:i/>
      <w:iCs/>
      <w:color w:val="44546A" w:themeColor="text2"/>
      <w:sz w:val="18"/>
      <w:szCs w:val="18"/>
    </w:rPr>
  </w:style>
  <w:style w:type="character" w:customStyle="1" w:styleId="40">
    <w:name w:val="Заглавие 4 Знак"/>
    <w:basedOn w:val="a0"/>
    <w:link w:val="4"/>
    <w:uiPriority w:val="9"/>
    <w:rsid w:val="00784C60"/>
    <w:rPr>
      <w:rFonts w:asciiTheme="majorHAnsi" w:eastAsiaTheme="majorEastAsia" w:hAnsiTheme="majorHAnsi" w:cstheme="majorBidi"/>
      <w:i/>
      <w:iCs/>
      <w:color w:val="2E74B5" w:themeColor="accent1" w:themeShade="BF"/>
    </w:rPr>
  </w:style>
  <w:style w:type="paragraph" w:styleId="a6">
    <w:name w:val="Normal (Web)"/>
    <w:basedOn w:val="a"/>
    <w:uiPriority w:val="99"/>
    <w:semiHidden/>
    <w:unhideWhenUsed/>
    <w:rsid w:val="00B078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50">
    <w:name w:val="Заглавие 5 Знак"/>
    <w:basedOn w:val="a0"/>
    <w:link w:val="5"/>
    <w:uiPriority w:val="9"/>
    <w:rsid w:val="005059B6"/>
    <w:rPr>
      <w:rFonts w:asciiTheme="majorHAnsi" w:eastAsiaTheme="majorEastAsia" w:hAnsiTheme="majorHAnsi" w:cstheme="majorBidi"/>
      <w:color w:val="2E74B5" w:themeColor="accent1" w:themeShade="BF"/>
    </w:rPr>
  </w:style>
  <w:style w:type="paragraph" w:styleId="a7">
    <w:name w:val="List Paragraph"/>
    <w:basedOn w:val="a"/>
    <w:uiPriority w:val="34"/>
    <w:qFormat/>
    <w:rsid w:val="005059B6"/>
    <w:pPr>
      <w:ind w:left="720"/>
      <w:contextualSpacing/>
    </w:pPr>
  </w:style>
  <w:style w:type="paragraph" w:styleId="21">
    <w:name w:val="toc 2"/>
    <w:basedOn w:val="a"/>
    <w:next w:val="a"/>
    <w:autoRedefine/>
    <w:uiPriority w:val="39"/>
    <w:unhideWhenUsed/>
    <w:rsid w:val="00520699"/>
    <w:pPr>
      <w:spacing w:after="100"/>
      <w:ind w:left="220"/>
    </w:pPr>
  </w:style>
  <w:style w:type="paragraph" w:styleId="31">
    <w:name w:val="toc 3"/>
    <w:basedOn w:val="a"/>
    <w:next w:val="a"/>
    <w:autoRedefine/>
    <w:uiPriority w:val="39"/>
    <w:unhideWhenUsed/>
    <w:rsid w:val="00520699"/>
    <w:pPr>
      <w:spacing w:after="100"/>
      <w:ind w:left="440"/>
    </w:pPr>
  </w:style>
  <w:style w:type="paragraph" w:styleId="a8">
    <w:name w:val="header"/>
    <w:basedOn w:val="a"/>
    <w:link w:val="a9"/>
    <w:uiPriority w:val="99"/>
    <w:unhideWhenUsed/>
    <w:rsid w:val="00520699"/>
    <w:pPr>
      <w:tabs>
        <w:tab w:val="center" w:pos="4513"/>
        <w:tab w:val="right" w:pos="9026"/>
      </w:tabs>
      <w:spacing w:after="0" w:line="240" w:lineRule="auto"/>
    </w:pPr>
  </w:style>
  <w:style w:type="character" w:customStyle="1" w:styleId="a9">
    <w:name w:val="Горен колонтитул Знак"/>
    <w:basedOn w:val="a0"/>
    <w:link w:val="a8"/>
    <w:uiPriority w:val="99"/>
    <w:rsid w:val="00520699"/>
  </w:style>
  <w:style w:type="paragraph" w:styleId="aa">
    <w:name w:val="footer"/>
    <w:basedOn w:val="a"/>
    <w:link w:val="ab"/>
    <w:uiPriority w:val="99"/>
    <w:unhideWhenUsed/>
    <w:rsid w:val="00520699"/>
    <w:pPr>
      <w:tabs>
        <w:tab w:val="center" w:pos="4513"/>
        <w:tab w:val="right" w:pos="9026"/>
      </w:tabs>
      <w:spacing w:after="0" w:line="240" w:lineRule="auto"/>
    </w:pPr>
  </w:style>
  <w:style w:type="character" w:customStyle="1" w:styleId="ab">
    <w:name w:val="Долен колонтитул Знак"/>
    <w:basedOn w:val="a0"/>
    <w:link w:val="aa"/>
    <w:uiPriority w:val="99"/>
    <w:rsid w:val="00520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44041">
      <w:bodyDiv w:val="1"/>
      <w:marLeft w:val="0"/>
      <w:marRight w:val="0"/>
      <w:marTop w:val="0"/>
      <w:marBottom w:val="0"/>
      <w:divBdr>
        <w:top w:val="none" w:sz="0" w:space="0" w:color="auto"/>
        <w:left w:val="none" w:sz="0" w:space="0" w:color="auto"/>
        <w:bottom w:val="none" w:sz="0" w:space="0" w:color="auto"/>
        <w:right w:val="none" w:sz="0" w:space="0" w:color="auto"/>
      </w:divBdr>
      <w:divsChild>
        <w:div w:id="1722707312">
          <w:marLeft w:val="0"/>
          <w:marRight w:val="0"/>
          <w:marTop w:val="0"/>
          <w:marBottom w:val="0"/>
          <w:divBdr>
            <w:top w:val="none" w:sz="0" w:space="0" w:color="auto"/>
            <w:left w:val="none" w:sz="0" w:space="0" w:color="auto"/>
            <w:bottom w:val="none" w:sz="0" w:space="0" w:color="auto"/>
            <w:right w:val="none" w:sz="0" w:space="0" w:color="auto"/>
          </w:divBdr>
        </w:div>
      </w:divsChild>
    </w:div>
    <w:div w:id="120464726">
      <w:bodyDiv w:val="1"/>
      <w:marLeft w:val="0"/>
      <w:marRight w:val="0"/>
      <w:marTop w:val="0"/>
      <w:marBottom w:val="0"/>
      <w:divBdr>
        <w:top w:val="none" w:sz="0" w:space="0" w:color="auto"/>
        <w:left w:val="none" w:sz="0" w:space="0" w:color="auto"/>
        <w:bottom w:val="none" w:sz="0" w:space="0" w:color="auto"/>
        <w:right w:val="none" w:sz="0" w:space="0" w:color="auto"/>
      </w:divBdr>
      <w:divsChild>
        <w:div w:id="1543401450">
          <w:marLeft w:val="0"/>
          <w:marRight w:val="0"/>
          <w:marTop w:val="0"/>
          <w:marBottom w:val="0"/>
          <w:divBdr>
            <w:top w:val="none" w:sz="0" w:space="0" w:color="auto"/>
            <w:left w:val="none" w:sz="0" w:space="0" w:color="auto"/>
            <w:bottom w:val="none" w:sz="0" w:space="0" w:color="auto"/>
            <w:right w:val="none" w:sz="0" w:space="0" w:color="auto"/>
          </w:divBdr>
        </w:div>
      </w:divsChild>
    </w:div>
    <w:div w:id="260451655">
      <w:bodyDiv w:val="1"/>
      <w:marLeft w:val="0"/>
      <w:marRight w:val="0"/>
      <w:marTop w:val="0"/>
      <w:marBottom w:val="0"/>
      <w:divBdr>
        <w:top w:val="none" w:sz="0" w:space="0" w:color="auto"/>
        <w:left w:val="none" w:sz="0" w:space="0" w:color="auto"/>
        <w:bottom w:val="none" w:sz="0" w:space="0" w:color="auto"/>
        <w:right w:val="none" w:sz="0" w:space="0" w:color="auto"/>
      </w:divBdr>
      <w:divsChild>
        <w:div w:id="1764299331">
          <w:marLeft w:val="0"/>
          <w:marRight w:val="0"/>
          <w:marTop w:val="0"/>
          <w:marBottom w:val="0"/>
          <w:divBdr>
            <w:top w:val="none" w:sz="0" w:space="0" w:color="auto"/>
            <w:left w:val="none" w:sz="0" w:space="0" w:color="auto"/>
            <w:bottom w:val="none" w:sz="0" w:space="0" w:color="auto"/>
            <w:right w:val="none" w:sz="0" w:space="0" w:color="auto"/>
          </w:divBdr>
        </w:div>
      </w:divsChild>
    </w:div>
    <w:div w:id="502165967">
      <w:bodyDiv w:val="1"/>
      <w:marLeft w:val="0"/>
      <w:marRight w:val="0"/>
      <w:marTop w:val="0"/>
      <w:marBottom w:val="0"/>
      <w:divBdr>
        <w:top w:val="none" w:sz="0" w:space="0" w:color="auto"/>
        <w:left w:val="none" w:sz="0" w:space="0" w:color="auto"/>
        <w:bottom w:val="none" w:sz="0" w:space="0" w:color="auto"/>
        <w:right w:val="none" w:sz="0" w:space="0" w:color="auto"/>
      </w:divBdr>
    </w:div>
    <w:div w:id="754788345">
      <w:bodyDiv w:val="1"/>
      <w:marLeft w:val="0"/>
      <w:marRight w:val="0"/>
      <w:marTop w:val="0"/>
      <w:marBottom w:val="0"/>
      <w:divBdr>
        <w:top w:val="none" w:sz="0" w:space="0" w:color="auto"/>
        <w:left w:val="none" w:sz="0" w:space="0" w:color="auto"/>
        <w:bottom w:val="none" w:sz="0" w:space="0" w:color="auto"/>
        <w:right w:val="none" w:sz="0" w:space="0" w:color="auto"/>
      </w:divBdr>
      <w:divsChild>
        <w:div w:id="687215165">
          <w:marLeft w:val="0"/>
          <w:marRight w:val="0"/>
          <w:marTop w:val="0"/>
          <w:marBottom w:val="0"/>
          <w:divBdr>
            <w:top w:val="none" w:sz="0" w:space="0" w:color="auto"/>
            <w:left w:val="none" w:sz="0" w:space="0" w:color="auto"/>
            <w:bottom w:val="none" w:sz="0" w:space="0" w:color="auto"/>
            <w:right w:val="none" w:sz="0" w:space="0" w:color="auto"/>
          </w:divBdr>
        </w:div>
      </w:divsChild>
    </w:div>
    <w:div w:id="903568806">
      <w:bodyDiv w:val="1"/>
      <w:marLeft w:val="0"/>
      <w:marRight w:val="0"/>
      <w:marTop w:val="0"/>
      <w:marBottom w:val="0"/>
      <w:divBdr>
        <w:top w:val="none" w:sz="0" w:space="0" w:color="auto"/>
        <w:left w:val="none" w:sz="0" w:space="0" w:color="auto"/>
        <w:bottom w:val="none" w:sz="0" w:space="0" w:color="auto"/>
        <w:right w:val="none" w:sz="0" w:space="0" w:color="auto"/>
      </w:divBdr>
      <w:divsChild>
        <w:div w:id="876746875">
          <w:marLeft w:val="0"/>
          <w:marRight w:val="0"/>
          <w:marTop w:val="0"/>
          <w:marBottom w:val="0"/>
          <w:divBdr>
            <w:top w:val="none" w:sz="0" w:space="0" w:color="auto"/>
            <w:left w:val="none" w:sz="0" w:space="0" w:color="auto"/>
            <w:bottom w:val="none" w:sz="0" w:space="0" w:color="auto"/>
            <w:right w:val="none" w:sz="0" w:space="0" w:color="auto"/>
          </w:divBdr>
        </w:div>
      </w:divsChild>
    </w:div>
    <w:div w:id="1005785421">
      <w:bodyDiv w:val="1"/>
      <w:marLeft w:val="0"/>
      <w:marRight w:val="0"/>
      <w:marTop w:val="0"/>
      <w:marBottom w:val="0"/>
      <w:divBdr>
        <w:top w:val="none" w:sz="0" w:space="0" w:color="auto"/>
        <w:left w:val="none" w:sz="0" w:space="0" w:color="auto"/>
        <w:bottom w:val="none" w:sz="0" w:space="0" w:color="auto"/>
        <w:right w:val="none" w:sz="0" w:space="0" w:color="auto"/>
      </w:divBdr>
      <w:divsChild>
        <w:div w:id="1742101268">
          <w:marLeft w:val="0"/>
          <w:marRight w:val="0"/>
          <w:marTop w:val="0"/>
          <w:marBottom w:val="0"/>
          <w:divBdr>
            <w:top w:val="none" w:sz="0" w:space="0" w:color="auto"/>
            <w:left w:val="none" w:sz="0" w:space="0" w:color="auto"/>
            <w:bottom w:val="none" w:sz="0" w:space="0" w:color="auto"/>
            <w:right w:val="none" w:sz="0" w:space="0" w:color="auto"/>
          </w:divBdr>
        </w:div>
      </w:divsChild>
    </w:div>
    <w:div w:id="1040477325">
      <w:bodyDiv w:val="1"/>
      <w:marLeft w:val="0"/>
      <w:marRight w:val="0"/>
      <w:marTop w:val="0"/>
      <w:marBottom w:val="0"/>
      <w:divBdr>
        <w:top w:val="none" w:sz="0" w:space="0" w:color="auto"/>
        <w:left w:val="none" w:sz="0" w:space="0" w:color="auto"/>
        <w:bottom w:val="none" w:sz="0" w:space="0" w:color="auto"/>
        <w:right w:val="none" w:sz="0" w:space="0" w:color="auto"/>
      </w:divBdr>
      <w:divsChild>
        <w:div w:id="1098142450">
          <w:marLeft w:val="0"/>
          <w:marRight w:val="0"/>
          <w:marTop w:val="0"/>
          <w:marBottom w:val="0"/>
          <w:divBdr>
            <w:top w:val="none" w:sz="0" w:space="0" w:color="auto"/>
            <w:left w:val="none" w:sz="0" w:space="0" w:color="auto"/>
            <w:bottom w:val="none" w:sz="0" w:space="0" w:color="auto"/>
            <w:right w:val="none" w:sz="0" w:space="0" w:color="auto"/>
          </w:divBdr>
        </w:div>
      </w:divsChild>
    </w:div>
    <w:div w:id="1456293952">
      <w:bodyDiv w:val="1"/>
      <w:marLeft w:val="0"/>
      <w:marRight w:val="0"/>
      <w:marTop w:val="0"/>
      <w:marBottom w:val="0"/>
      <w:divBdr>
        <w:top w:val="none" w:sz="0" w:space="0" w:color="auto"/>
        <w:left w:val="none" w:sz="0" w:space="0" w:color="auto"/>
        <w:bottom w:val="none" w:sz="0" w:space="0" w:color="auto"/>
        <w:right w:val="none" w:sz="0" w:space="0" w:color="auto"/>
      </w:divBdr>
      <w:divsChild>
        <w:div w:id="381097044">
          <w:marLeft w:val="0"/>
          <w:marRight w:val="0"/>
          <w:marTop w:val="0"/>
          <w:marBottom w:val="0"/>
          <w:divBdr>
            <w:top w:val="none" w:sz="0" w:space="0" w:color="auto"/>
            <w:left w:val="none" w:sz="0" w:space="0" w:color="auto"/>
            <w:bottom w:val="none" w:sz="0" w:space="0" w:color="auto"/>
            <w:right w:val="none" w:sz="0" w:space="0" w:color="auto"/>
          </w:divBdr>
        </w:div>
      </w:divsChild>
    </w:div>
    <w:div w:id="1466964639">
      <w:bodyDiv w:val="1"/>
      <w:marLeft w:val="0"/>
      <w:marRight w:val="0"/>
      <w:marTop w:val="0"/>
      <w:marBottom w:val="0"/>
      <w:divBdr>
        <w:top w:val="none" w:sz="0" w:space="0" w:color="auto"/>
        <w:left w:val="none" w:sz="0" w:space="0" w:color="auto"/>
        <w:bottom w:val="none" w:sz="0" w:space="0" w:color="auto"/>
        <w:right w:val="none" w:sz="0" w:space="0" w:color="auto"/>
      </w:divBdr>
      <w:divsChild>
        <w:div w:id="1838567468">
          <w:marLeft w:val="0"/>
          <w:marRight w:val="0"/>
          <w:marTop w:val="0"/>
          <w:marBottom w:val="0"/>
          <w:divBdr>
            <w:top w:val="none" w:sz="0" w:space="0" w:color="auto"/>
            <w:left w:val="none" w:sz="0" w:space="0" w:color="auto"/>
            <w:bottom w:val="none" w:sz="0" w:space="0" w:color="auto"/>
            <w:right w:val="none" w:sz="0" w:space="0" w:color="auto"/>
          </w:divBdr>
        </w:div>
      </w:divsChild>
    </w:div>
    <w:div w:id="1488210692">
      <w:bodyDiv w:val="1"/>
      <w:marLeft w:val="0"/>
      <w:marRight w:val="0"/>
      <w:marTop w:val="0"/>
      <w:marBottom w:val="0"/>
      <w:divBdr>
        <w:top w:val="none" w:sz="0" w:space="0" w:color="auto"/>
        <w:left w:val="none" w:sz="0" w:space="0" w:color="auto"/>
        <w:bottom w:val="none" w:sz="0" w:space="0" w:color="auto"/>
        <w:right w:val="none" w:sz="0" w:space="0" w:color="auto"/>
      </w:divBdr>
    </w:div>
    <w:div w:id="1527403846">
      <w:bodyDiv w:val="1"/>
      <w:marLeft w:val="0"/>
      <w:marRight w:val="0"/>
      <w:marTop w:val="0"/>
      <w:marBottom w:val="0"/>
      <w:divBdr>
        <w:top w:val="none" w:sz="0" w:space="0" w:color="auto"/>
        <w:left w:val="none" w:sz="0" w:space="0" w:color="auto"/>
        <w:bottom w:val="none" w:sz="0" w:space="0" w:color="auto"/>
        <w:right w:val="none" w:sz="0" w:space="0" w:color="auto"/>
      </w:divBdr>
      <w:divsChild>
        <w:div w:id="1155950611">
          <w:marLeft w:val="0"/>
          <w:marRight w:val="0"/>
          <w:marTop w:val="0"/>
          <w:marBottom w:val="0"/>
          <w:divBdr>
            <w:top w:val="none" w:sz="0" w:space="0" w:color="auto"/>
            <w:left w:val="none" w:sz="0" w:space="0" w:color="auto"/>
            <w:bottom w:val="none" w:sz="0" w:space="0" w:color="auto"/>
            <w:right w:val="none" w:sz="0" w:space="0" w:color="auto"/>
          </w:divBdr>
        </w:div>
      </w:divsChild>
    </w:div>
    <w:div w:id="1535847363">
      <w:bodyDiv w:val="1"/>
      <w:marLeft w:val="0"/>
      <w:marRight w:val="0"/>
      <w:marTop w:val="0"/>
      <w:marBottom w:val="0"/>
      <w:divBdr>
        <w:top w:val="none" w:sz="0" w:space="0" w:color="auto"/>
        <w:left w:val="none" w:sz="0" w:space="0" w:color="auto"/>
        <w:bottom w:val="none" w:sz="0" w:space="0" w:color="auto"/>
        <w:right w:val="none" w:sz="0" w:space="0" w:color="auto"/>
      </w:divBdr>
      <w:divsChild>
        <w:div w:id="1062489493">
          <w:marLeft w:val="0"/>
          <w:marRight w:val="0"/>
          <w:marTop w:val="0"/>
          <w:marBottom w:val="0"/>
          <w:divBdr>
            <w:top w:val="none" w:sz="0" w:space="0" w:color="auto"/>
            <w:left w:val="none" w:sz="0" w:space="0" w:color="auto"/>
            <w:bottom w:val="none" w:sz="0" w:space="0" w:color="auto"/>
            <w:right w:val="none" w:sz="0" w:space="0" w:color="auto"/>
          </w:divBdr>
        </w:div>
      </w:divsChild>
    </w:div>
    <w:div w:id="1642494983">
      <w:bodyDiv w:val="1"/>
      <w:marLeft w:val="0"/>
      <w:marRight w:val="0"/>
      <w:marTop w:val="0"/>
      <w:marBottom w:val="0"/>
      <w:divBdr>
        <w:top w:val="none" w:sz="0" w:space="0" w:color="auto"/>
        <w:left w:val="none" w:sz="0" w:space="0" w:color="auto"/>
        <w:bottom w:val="none" w:sz="0" w:space="0" w:color="auto"/>
        <w:right w:val="none" w:sz="0" w:space="0" w:color="auto"/>
      </w:divBdr>
      <w:divsChild>
        <w:div w:id="1185246952">
          <w:marLeft w:val="0"/>
          <w:marRight w:val="0"/>
          <w:marTop w:val="0"/>
          <w:marBottom w:val="0"/>
          <w:divBdr>
            <w:top w:val="none" w:sz="0" w:space="0" w:color="auto"/>
            <w:left w:val="none" w:sz="0" w:space="0" w:color="auto"/>
            <w:bottom w:val="none" w:sz="0" w:space="0" w:color="auto"/>
            <w:right w:val="none" w:sz="0" w:space="0" w:color="auto"/>
          </w:divBdr>
        </w:div>
      </w:divsChild>
    </w:div>
    <w:div w:id="1810587091">
      <w:bodyDiv w:val="1"/>
      <w:marLeft w:val="0"/>
      <w:marRight w:val="0"/>
      <w:marTop w:val="0"/>
      <w:marBottom w:val="0"/>
      <w:divBdr>
        <w:top w:val="none" w:sz="0" w:space="0" w:color="auto"/>
        <w:left w:val="none" w:sz="0" w:space="0" w:color="auto"/>
        <w:bottom w:val="none" w:sz="0" w:space="0" w:color="auto"/>
        <w:right w:val="none" w:sz="0" w:space="0" w:color="auto"/>
      </w:divBdr>
      <w:divsChild>
        <w:div w:id="1204908837">
          <w:marLeft w:val="0"/>
          <w:marRight w:val="0"/>
          <w:marTop w:val="0"/>
          <w:marBottom w:val="0"/>
          <w:divBdr>
            <w:top w:val="none" w:sz="0" w:space="0" w:color="auto"/>
            <w:left w:val="none" w:sz="0" w:space="0" w:color="auto"/>
            <w:bottom w:val="none" w:sz="0" w:space="0" w:color="auto"/>
            <w:right w:val="none" w:sz="0" w:space="0" w:color="auto"/>
          </w:divBdr>
        </w:div>
      </w:divsChild>
    </w:div>
    <w:div w:id="1835217081">
      <w:bodyDiv w:val="1"/>
      <w:marLeft w:val="0"/>
      <w:marRight w:val="0"/>
      <w:marTop w:val="0"/>
      <w:marBottom w:val="0"/>
      <w:divBdr>
        <w:top w:val="none" w:sz="0" w:space="0" w:color="auto"/>
        <w:left w:val="none" w:sz="0" w:space="0" w:color="auto"/>
        <w:bottom w:val="none" w:sz="0" w:space="0" w:color="auto"/>
        <w:right w:val="none" w:sz="0" w:space="0" w:color="auto"/>
      </w:divBdr>
    </w:div>
    <w:div w:id="1930774979">
      <w:bodyDiv w:val="1"/>
      <w:marLeft w:val="0"/>
      <w:marRight w:val="0"/>
      <w:marTop w:val="0"/>
      <w:marBottom w:val="0"/>
      <w:divBdr>
        <w:top w:val="none" w:sz="0" w:space="0" w:color="auto"/>
        <w:left w:val="none" w:sz="0" w:space="0" w:color="auto"/>
        <w:bottom w:val="none" w:sz="0" w:space="0" w:color="auto"/>
        <w:right w:val="none" w:sz="0" w:space="0" w:color="auto"/>
      </w:divBdr>
      <w:divsChild>
        <w:div w:id="345833542">
          <w:marLeft w:val="0"/>
          <w:marRight w:val="0"/>
          <w:marTop w:val="0"/>
          <w:marBottom w:val="0"/>
          <w:divBdr>
            <w:top w:val="none" w:sz="0" w:space="0" w:color="auto"/>
            <w:left w:val="none" w:sz="0" w:space="0" w:color="auto"/>
            <w:bottom w:val="none" w:sz="0" w:space="0" w:color="auto"/>
            <w:right w:val="none" w:sz="0" w:space="0" w:color="auto"/>
          </w:divBdr>
        </w:div>
      </w:divsChild>
    </w:div>
    <w:div w:id="2132239556">
      <w:bodyDiv w:val="1"/>
      <w:marLeft w:val="0"/>
      <w:marRight w:val="0"/>
      <w:marTop w:val="0"/>
      <w:marBottom w:val="0"/>
      <w:divBdr>
        <w:top w:val="none" w:sz="0" w:space="0" w:color="auto"/>
        <w:left w:val="none" w:sz="0" w:space="0" w:color="auto"/>
        <w:bottom w:val="none" w:sz="0" w:space="0" w:color="auto"/>
        <w:right w:val="none" w:sz="0" w:space="0" w:color="auto"/>
      </w:divBdr>
      <w:divsChild>
        <w:div w:id="1870605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564D8B-2064-40CE-8F6A-A6B2BE7DC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Aleksandrov</dc:creator>
  <cp:keywords/>
  <dc:description/>
  <cp:lastModifiedBy>Martin Aleksandrov</cp:lastModifiedBy>
  <cp:revision>3</cp:revision>
  <dcterms:created xsi:type="dcterms:W3CDTF">2022-04-04T11:19:00Z</dcterms:created>
  <dcterms:modified xsi:type="dcterms:W3CDTF">2022-04-04T11:38:00Z</dcterms:modified>
</cp:coreProperties>
</file>