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7C375" w14:textId="77777777" w:rsidR="008B5451" w:rsidRPr="008B5451" w:rsidRDefault="008B5451" w:rsidP="008B5451">
      <w:pPr>
        <w:spacing w:before="1440" w:line="360" w:lineRule="auto"/>
        <w:jc w:val="both"/>
      </w:pPr>
      <w:r w:rsidRPr="008B5451">
        <w:rPr>
          <w:noProof/>
        </w:rPr>
        <w:drawing>
          <wp:inline distT="0" distB="0" distL="0" distR="0" wp14:anchorId="2F5917CA" wp14:editId="07F27CA0">
            <wp:extent cx="1807845" cy="971550"/>
            <wp:effectExtent l="0" t="0" r="1905" b="0"/>
            <wp:docPr id="14096108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iscover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07845" cy="971550"/>
                    </a:xfrm>
                    <a:prstGeom prst="rect">
                      <a:avLst/>
                    </a:prstGeom>
                    <a:noFill/>
                    <a:ln>
                      <a:noFill/>
                    </a:ln>
                  </pic:spPr>
                </pic:pic>
              </a:graphicData>
            </a:graphic>
          </wp:inline>
        </w:drawing>
      </w:r>
    </w:p>
    <w:p w14:paraId="7C673A3F" w14:textId="77777777" w:rsidR="008B5451" w:rsidRPr="008B5451" w:rsidRDefault="008B5451" w:rsidP="008B5451">
      <w:pPr>
        <w:spacing w:before="1440" w:line="360" w:lineRule="auto"/>
        <w:jc w:val="center"/>
      </w:pPr>
    </w:p>
    <w:p w14:paraId="06721502" w14:textId="1FD96FA3" w:rsidR="008B5451" w:rsidRPr="008B5451" w:rsidRDefault="00B5409B" w:rsidP="008B5451">
      <w:pPr>
        <w:spacing w:before="1440" w:line="360" w:lineRule="auto"/>
        <w:jc w:val="center"/>
      </w:pPr>
      <w:r>
        <w:rPr>
          <w:noProof/>
        </w:rPr>
        <w:drawing>
          <wp:inline distT="0" distB="0" distL="0" distR="0" wp14:anchorId="160F1CD2" wp14:editId="3317FACE">
            <wp:extent cx="3790950" cy="1644650"/>
            <wp:effectExtent l="0" t="0" r="0" b="0"/>
            <wp:docPr id="19575373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90950" cy="1644650"/>
                    </a:xfrm>
                    <a:prstGeom prst="rect">
                      <a:avLst/>
                    </a:prstGeom>
                    <a:noFill/>
                  </pic:spPr>
                </pic:pic>
              </a:graphicData>
            </a:graphic>
          </wp:inline>
        </w:drawing>
      </w:r>
    </w:p>
    <w:p w14:paraId="25CB40A1" w14:textId="77153741" w:rsidR="008B5451" w:rsidRPr="008B5451" w:rsidRDefault="008B5451" w:rsidP="008B5451">
      <w:pPr>
        <w:spacing w:before="1440" w:line="360" w:lineRule="auto"/>
        <w:jc w:val="center"/>
      </w:pPr>
    </w:p>
    <w:p w14:paraId="619C955D" w14:textId="77777777" w:rsidR="008B5451" w:rsidRDefault="008B5451" w:rsidP="008B5451">
      <w:pPr>
        <w:jc w:val="both"/>
        <w:rPr>
          <w:b/>
          <w:bCs/>
        </w:rPr>
      </w:pPr>
      <w:r w:rsidRPr="008B5451">
        <w:rPr>
          <w:b/>
          <w:bCs/>
          <w:lang w:val="en-GB"/>
        </w:rPr>
        <w:t>Module name</w:t>
      </w:r>
      <w:r w:rsidRPr="008B5451">
        <w:rPr>
          <w:b/>
          <w:bCs/>
        </w:rPr>
        <w:t xml:space="preserve">: </w:t>
      </w:r>
      <w:r w:rsidRPr="008B5451">
        <w:t>Introduction to Health and Social Care</w:t>
      </w:r>
      <w:r w:rsidRPr="008B5451">
        <w:rPr>
          <w:b/>
          <w:bCs/>
        </w:rPr>
        <w:t> </w:t>
      </w:r>
    </w:p>
    <w:p w14:paraId="0FF9A05B" w14:textId="754C8733" w:rsidR="00A2094F" w:rsidRPr="008B5451" w:rsidRDefault="00A2094F" w:rsidP="008B5451">
      <w:pPr>
        <w:jc w:val="both"/>
        <w:rPr>
          <w:b/>
          <w:bCs/>
        </w:rPr>
      </w:pPr>
      <w:r>
        <w:rPr>
          <w:b/>
          <w:bCs/>
        </w:rPr>
        <w:t>‘</w:t>
      </w:r>
      <w:r w:rsidRPr="00A2094F">
        <w:rPr>
          <w:b/>
          <w:bCs/>
        </w:rPr>
        <w:t xml:space="preserve">Case Study: </w:t>
      </w:r>
      <w:proofErr w:type="spellStart"/>
      <w:r w:rsidRPr="00A2094F">
        <w:rPr>
          <w:b/>
          <w:bCs/>
        </w:rPr>
        <w:t>Mrs</w:t>
      </w:r>
      <w:proofErr w:type="spellEnd"/>
      <w:r w:rsidRPr="00A2094F">
        <w:rPr>
          <w:b/>
          <w:bCs/>
        </w:rPr>
        <w:t xml:space="preserve"> Thompson</w:t>
      </w:r>
      <w:r>
        <w:rPr>
          <w:b/>
          <w:bCs/>
        </w:rPr>
        <w:t>’</w:t>
      </w:r>
    </w:p>
    <w:p w14:paraId="4F1AEDFF" w14:textId="77777777" w:rsidR="008B5451" w:rsidRPr="008B5451" w:rsidRDefault="008B5451" w:rsidP="008B5451">
      <w:pPr>
        <w:jc w:val="both"/>
        <w:rPr>
          <w:b/>
          <w:bCs/>
        </w:rPr>
      </w:pPr>
      <w:r w:rsidRPr="008B5451">
        <w:rPr>
          <w:b/>
          <w:bCs/>
        </w:rPr>
        <w:t>Module code: </w:t>
      </w:r>
      <w:r w:rsidRPr="008B5451">
        <w:t>LCHS4003 </w:t>
      </w:r>
    </w:p>
    <w:p w14:paraId="572927FA" w14:textId="101CF5D6" w:rsidR="008B5451" w:rsidRPr="008B5451" w:rsidRDefault="008B5451" w:rsidP="008B5451">
      <w:pPr>
        <w:jc w:val="both"/>
        <w:rPr>
          <w:b/>
          <w:bCs/>
        </w:rPr>
      </w:pPr>
      <w:r w:rsidRPr="008B5451">
        <w:rPr>
          <w:b/>
          <w:bCs/>
          <w:lang w:val="en-GB"/>
        </w:rPr>
        <w:t>Student name:</w:t>
      </w:r>
      <w:r w:rsidRPr="008B5451">
        <w:rPr>
          <w:lang w:val="en-GB"/>
        </w:rPr>
        <w:t xml:space="preserve"> Gila </w:t>
      </w:r>
      <w:r>
        <w:rPr>
          <w:lang w:val="en-GB"/>
        </w:rPr>
        <w:t xml:space="preserve">Domingos </w:t>
      </w:r>
      <w:r w:rsidRPr="008B5451">
        <w:rPr>
          <w:lang w:val="en-GB"/>
        </w:rPr>
        <w:t>Serrote</w:t>
      </w:r>
      <w:r w:rsidRPr="008B5451">
        <w:rPr>
          <w:b/>
          <w:bCs/>
        </w:rPr>
        <w:t> </w:t>
      </w:r>
    </w:p>
    <w:p w14:paraId="60EF8194" w14:textId="77777777" w:rsidR="008B5451" w:rsidRPr="008B5451" w:rsidRDefault="008B5451" w:rsidP="008B5451">
      <w:pPr>
        <w:jc w:val="both"/>
        <w:rPr>
          <w:b/>
          <w:bCs/>
        </w:rPr>
      </w:pPr>
      <w:r w:rsidRPr="008B5451">
        <w:rPr>
          <w:b/>
          <w:bCs/>
          <w:lang w:val="en-GB"/>
        </w:rPr>
        <w:t>Student ID: </w:t>
      </w:r>
      <w:r w:rsidRPr="008B5451">
        <w:rPr>
          <w:lang w:val="en-GB"/>
        </w:rPr>
        <w:t>2510697</w:t>
      </w:r>
      <w:r w:rsidRPr="008B5451">
        <w:t> </w:t>
      </w:r>
    </w:p>
    <w:p w14:paraId="5F4AE9D9" w14:textId="77777777" w:rsidR="008B5451" w:rsidRPr="008B5451" w:rsidRDefault="008B5451" w:rsidP="008B5451">
      <w:pPr>
        <w:jc w:val="both"/>
        <w:rPr>
          <w:b/>
          <w:bCs/>
        </w:rPr>
      </w:pPr>
      <w:r w:rsidRPr="008B5451">
        <w:rPr>
          <w:b/>
          <w:bCs/>
        </w:rPr>
        <w:t> </w:t>
      </w:r>
    </w:p>
    <w:p w14:paraId="57FA16ED" w14:textId="77777777" w:rsidR="008B5451" w:rsidRPr="008B5451" w:rsidRDefault="008B5451" w:rsidP="008B5451">
      <w:pPr>
        <w:jc w:val="both"/>
        <w:rPr>
          <w:b/>
          <w:bCs/>
        </w:rPr>
      </w:pPr>
      <w:r w:rsidRPr="008B5451">
        <w:rPr>
          <w:b/>
          <w:bCs/>
        </w:rPr>
        <w:t xml:space="preserve">Lecturer’s name: Dr. </w:t>
      </w:r>
      <w:r w:rsidRPr="008B5451">
        <w:t xml:space="preserve">Eleni </w:t>
      </w:r>
      <w:proofErr w:type="spellStart"/>
      <w:r w:rsidRPr="008B5451">
        <w:t>Koutsogeorgou</w:t>
      </w:r>
      <w:proofErr w:type="spellEnd"/>
      <w:r w:rsidRPr="008B5451">
        <w:t xml:space="preserve"> Andreou</w:t>
      </w:r>
      <w:r w:rsidRPr="008B5451">
        <w:rPr>
          <w:b/>
          <w:bCs/>
        </w:rPr>
        <w:t xml:space="preserve"> </w:t>
      </w:r>
    </w:p>
    <w:p w14:paraId="2EA0B4B9" w14:textId="420FDAF9" w:rsidR="008B5451" w:rsidRPr="008B5451" w:rsidRDefault="008B5451" w:rsidP="008B5451">
      <w:pPr>
        <w:spacing w:line="360" w:lineRule="auto"/>
        <w:jc w:val="both"/>
      </w:pPr>
    </w:p>
    <w:sdt>
      <w:sdtPr>
        <w:rPr>
          <w:rFonts w:ascii="Arial" w:eastAsiaTheme="minorHAnsi" w:hAnsi="Arial" w:cs="Arial"/>
          <w:b/>
          <w:color w:val="auto"/>
          <w:sz w:val="22"/>
          <w:szCs w:val="22"/>
          <w:lang w:val="en-GB"/>
          <w14:ligatures w14:val="standardContextual"/>
        </w:rPr>
        <w:id w:val="683395620"/>
        <w:docPartObj>
          <w:docPartGallery w:val="Table of Contents"/>
          <w:docPartUnique/>
        </w:docPartObj>
      </w:sdtPr>
      <w:sdtEndPr>
        <w:rPr>
          <w:rFonts w:eastAsia="Arial"/>
          <w:b w:val="0"/>
          <w:bCs/>
          <w:noProof/>
          <w:lang w:val="en-US"/>
          <w14:ligatures w14:val="none"/>
        </w:rPr>
      </w:sdtEndPr>
      <w:sdtContent>
        <w:p w14:paraId="4884FF08" w14:textId="77777777" w:rsidR="00DF685F" w:rsidRPr="008B5451" w:rsidRDefault="00DF685F" w:rsidP="00DF685F">
          <w:pPr>
            <w:pStyle w:val="TOCHeading"/>
            <w:rPr>
              <w:rFonts w:ascii="Arial" w:hAnsi="Arial" w:cs="Arial"/>
              <w:sz w:val="22"/>
              <w:szCs w:val="22"/>
            </w:rPr>
          </w:pPr>
          <w:r w:rsidRPr="008B5451">
            <w:rPr>
              <w:rFonts w:ascii="Arial" w:hAnsi="Arial" w:cs="Arial"/>
              <w:sz w:val="22"/>
              <w:szCs w:val="22"/>
            </w:rPr>
            <w:t>Table of Contents</w:t>
          </w:r>
        </w:p>
        <w:p w14:paraId="3138B0F2" w14:textId="524D5836" w:rsidR="00DF685F" w:rsidRPr="008B5451" w:rsidRDefault="00DF685F" w:rsidP="00DF685F">
          <w:pPr>
            <w:pStyle w:val="TOC1"/>
            <w:tabs>
              <w:tab w:val="right" w:leader="dot" w:pos="9350"/>
            </w:tabs>
            <w:rPr>
              <w:noProof/>
            </w:rPr>
          </w:pPr>
          <w:r w:rsidRPr="008B5451">
            <w:rPr>
              <w:lang w:val="en-GB"/>
            </w:rPr>
            <w:fldChar w:fldCharType="begin"/>
          </w:r>
          <w:r w:rsidRPr="008B5451">
            <w:instrText xml:space="preserve"> TOC \o "1-3" \h \z \u </w:instrText>
          </w:r>
          <w:r w:rsidRPr="008B5451">
            <w:rPr>
              <w:lang w:val="en-GB"/>
            </w:rPr>
            <w:fldChar w:fldCharType="separate"/>
          </w:r>
          <w:hyperlink w:anchor="_Toc237025202" w:history="1">
            <w:r w:rsidRPr="008B5451">
              <w:rPr>
                <w:rStyle w:val="Hyperlink"/>
                <w:noProof/>
              </w:rPr>
              <w:t>Introduction</w:t>
            </w:r>
            <w:r w:rsidRPr="008B5451">
              <w:rPr>
                <w:noProof/>
                <w:webHidden/>
              </w:rPr>
              <w:tab/>
            </w:r>
            <w:r w:rsidRPr="008B5451">
              <w:rPr>
                <w:noProof/>
                <w:webHidden/>
              </w:rPr>
              <w:fldChar w:fldCharType="begin"/>
            </w:r>
            <w:r w:rsidRPr="008B5451">
              <w:rPr>
                <w:noProof/>
                <w:webHidden/>
              </w:rPr>
              <w:instrText xml:space="preserve"> PAGEREF _Toc237025202 \h </w:instrText>
            </w:r>
            <w:r w:rsidRPr="008B5451">
              <w:rPr>
                <w:noProof/>
                <w:webHidden/>
              </w:rPr>
            </w:r>
            <w:r w:rsidRPr="008B5451">
              <w:rPr>
                <w:noProof/>
                <w:webHidden/>
              </w:rPr>
              <w:fldChar w:fldCharType="separate"/>
            </w:r>
            <w:r w:rsidR="00276526">
              <w:rPr>
                <w:noProof/>
                <w:webHidden/>
              </w:rPr>
              <w:t>3</w:t>
            </w:r>
            <w:r w:rsidRPr="008B5451">
              <w:rPr>
                <w:noProof/>
                <w:webHidden/>
              </w:rPr>
              <w:fldChar w:fldCharType="end"/>
            </w:r>
          </w:hyperlink>
        </w:p>
        <w:p w14:paraId="66E901FD" w14:textId="76B1814C" w:rsidR="00DF685F" w:rsidRPr="008B5451" w:rsidRDefault="00DF685F" w:rsidP="00DF685F">
          <w:pPr>
            <w:pStyle w:val="TOC1"/>
            <w:tabs>
              <w:tab w:val="right" w:leader="dot" w:pos="9350"/>
            </w:tabs>
            <w:rPr>
              <w:noProof/>
            </w:rPr>
          </w:pPr>
          <w:hyperlink w:anchor="_Toc237025203" w:history="1">
            <w:r w:rsidRPr="008B5451">
              <w:rPr>
                <w:rStyle w:val="Hyperlink"/>
                <w:noProof/>
              </w:rPr>
              <w:t>1. Importance of Effective Communication in Mrs Thompson's Care</w:t>
            </w:r>
            <w:r w:rsidRPr="008B5451">
              <w:rPr>
                <w:noProof/>
                <w:webHidden/>
              </w:rPr>
              <w:tab/>
            </w:r>
            <w:r w:rsidRPr="008B5451">
              <w:rPr>
                <w:noProof/>
                <w:webHidden/>
              </w:rPr>
              <w:fldChar w:fldCharType="begin"/>
            </w:r>
            <w:r w:rsidRPr="008B5451">
              <w:rPr>
                <w:noProof/>
                <w:webHidden/>
              </w:rPr>
              <w:instrText xml:space="preserve"> PAGEREF _Toc237025203 \h </w:instrText>
            </w:r>
            <w:r w:rsidRPr="008B5451">
              <w:rPr>
                <w:noProof/>
                <w:webHidden/>
              </w:rPr>
            </w:r>
            <w:r w:rsidRPr="008B5451">
              <w:rPr>
                <w:noProof/>
                <w:webHidden/>
              </w:rPr>
              <w:fldChar w:fldCharType="separate"/>
            </w:r>
            <w:r w:rsidR="00276526">
              <w:rPr>
                <w:noProof/>
                <w:webHidden/>
              </w:rPr>
              <w:t>4</w:t>
            </w:r>
            <w:r w:rsidRPr="008B5451">
              <w:rPr>
                <w:noProof/>
                <w:webHidden/>
              </w:rPr>
              <w:fldChar w:fldCharType="end"/>
            </w:r>
          </w:hyperlink>
        </w:p>
        <w:p w14:paraId="13FE2B18" w14:textId="2DF2426E" w:rsidR="00DF685F" w:rsidRPr="008B5451" w:rsidRDefault="00DF685F" w:rsidP="00DF685F">
          <w:pPr>
            <w:pStyle w:val="TOC1"/>
            <w:tabs>
              <w:tab w:val="right" w:leader="dot" w:pos="9350"/>
            </w:tabs>
            <w:rPr>
              <w:noProof/>
            </w:rPr>
          </w:pPr>
          <w:hyperlink w:anchor="_Toc237025204" w:history="1">
            <w:r w:rsidRPr="008B5451">
              <w:rPr>
                <w:rStyle w:val="Hyperlink"/>
                <w:noProof/>
              </w:rPr>
              <w:t>2. Role of Good Administrative Skills in Professional Practice</w:t>
            </w:r>
            <w:r w:rsidRPr="008B5451">
              <w:rPr>
                <w:noProof/>
                <w:webHidden/>
              </w:rPr>
              <w:tab/>
            </w:r>
            <w:r w:rsidRPr="008B5451">
              <w:rPr>
                <w:noProof/>
                <w:webHidden/>
              </w:rPr>
              <w:fldChar w:fldCharType="begin"/>
            </w:r>
            <w:r w:rsidRPr="008B5451">
              <w:rPr>
                <w:noProof/>
                <w:webHidden/>
              </w:rPr>
              <w:instrText xml:space="preserve"> PAGEREF _Toc237025204 \h </w:instrText>
            </w:r>
            <w:r w:rsidRPr="008B5451">
              <w:rPr>
                <w:noProof/>
                <w:webHidden/>
              </w:rPr>
            </w:r>
            <w:r w:rsidRPr="008B5451">
              <w:rPr>
                <w:noProof/>
                <w:webHidden/>
              </w:rPr>
              <w:fldChar w:fldCharType="separate"/>
            </w:r>
            <w:r w:rsidR="00276526">
              <w:rPr>
                <w:noProof/>
                <w:webHidden/>
              </w:rPr>
              <w:t>5</w:t>
            </w:r>
            <w:r w:rsidRPr="008B5451">
              <w:rPr>
                <w:noProof/>
                <w:webHidden/>
              </w:rPr>
              <w:fldChar w:fldCharType="end"/>
            </w:r>
          </w:hyperlink>
        </w:p>
        <w:p w14:paraId="18C7E594" w14:textId="1412CE51" w:rsidR="00DF685F" w:rsidRPr="008B5451" w:rsidRDefault="00DF685F" w:rsidP="00DF685F">
          <w:pPr>
            <w:pStyle w:val="TOC1"/>
            <w:tabs>
              <w:tab w:val="right" w:leader="dot" w:pos="9350"/>
            </w:tabs>
            <w:rPr>
              <w:noProof/>
            </w:rPr>
          </w:pPr>
          <w:hyperlink w:anchor="_Toc237025205" w:history="1">
            <w:r w:rsidRPr="008B5451">
              <w:rPr>
                <w:rStyle w:val="Hyperlink"/>
                <w:noProof/>
              </w:rPr>
              <w:t>3. Importance of Collaborative Working in Mrs Thompson's Care</w:t>
            </w:r>
            <w:r w:rsidRPr="008B5451">
              <w:rPr>
                <w:noProof/>
                <w:webHidden/>
              </w:rPr>
              <w:tab/>
            </w:r>
            <w:r w:rsidRPr="008B5451">
              <w:rPr>
                <w:noProof/>
                <w:webHidden/>
              </w:rPr>
              <w:fldChar w:fldCharType="begin"/>
            </w:r>
            <w:r w:rsidRPr="008B5451">
              <w:rPr>
                <w:noProof/>
                <w:webHidden/>
              </w:rPr>
              <w:instrText xml:space="preserve"> PAGEREF _Toc237025205 \h </w:instrText>
            </w:r>
            <w:r w:rsidRPr="008B5451">
              <w:rPr>
                <w:noProof/>
                <w:webHidden/>
              </w:rPr>
            </w:r>
            <w:r w:rsidRPr="008B5451">
              <w:rPr>
                <w:noProof/>
                <w:webHidden/>
              </w:rPr>
              <w:fldChar w:fldCharType="separate"/>
            </w:r>
            <w:r w:rsidR="00276526">
              <w:rPr>
                <w:noProof/>
                <w:webHidden/>
              </w:rPr>
              <w:t>6</w:t>
            </w:r>
            <w:r w:rsidRPr="008B5451">
              <w:rPr>
                <w:noProof/>
                <w:webHidden/>
              </w:rPr>
              <w:fldChar w:fldCharType="end"/>
            </w:r>
          </w:hyperlink>
        </w:p>
        <w:p w14:paraId="47BF1889" w14:textId="5F1D2B93" w:rsidR="00DF685F" w:rsidRPr="008B5451" w:rsidRDefault="00DF685F" w:rsidP="00DF685F">
          <w:pPr>
            <w:pStyle w:val="TOC1"/>
            <w:tabs>
              <w:tab w:val="right" w:leader="dot" w:pos="9350"/>
            </w:tabs>
            <w:rPr>
              <w:noProof/>
            </w:rPr>
          </w:pPr>
          <w:hyperlink w:anchor="_Toc237025206" w:history="1">
            <w:r w:rsidRPr="008B5451">
              <w:rPr>
                <w:rStyle w:val="Hyperlink"/>
                <w:noProof/>
              </w:rPr>
              <w:t>Conclusion</w:t>
            </w:r>
            <w:r w:rsidRPr="008B5451">
              <w:rPr>
                <w:noProof/>
                <w:webHidden/>
              </w:rPr>
              <w:tab/>
            </w:r>
            <w:r w:rsidRPr="008B5451">
              <w:rPr>
                <w:noProof/>
                <w:webHidden/>
              </w:rPr>
              <w:fldChar w:fldCharType="begin"/>
            </w:r>
            <w:r w:rsidRPr="008B5451">
              <w:rPr>
                <w:noProof/>
                <w:webHidden/>
              </w:rPr>
              <w:instrText xml:space="preserve"> PAGEREF _Toc237025206 \h </w:instrText>
            </w:r>
            <w:r w:rsidRPr="008B5451">
              <w:rPr>
                <w:noProof/>
                <w:webHidden/>
              </w:rPr>
            </w:r>
            <w:r w:rsidRPr="008B5451">
              <w:rPr>
                <w:noProof/>
                <w:webHidden/>
              </w:rPr>
              <w:fldChar w:fldCharType="separate"/>
            </w:r>
            <w:r w:rsidR="00276526">
              <w:rPr>
                <w:noProof/>
                <w:webHidden/>
              </w:rPr>
              <w:t>7</w:t>
            </w:r>
            <w:r w:rsidRPr="008B5451">
              <w:rPr>
                <w:noProof/>
                <w:webHidden/>
              </w:rPr>
              <w:fldChar w:fldCharType="end"/>
            </w:r>
          </w:hyperlink>
        </w:p>
        <w:p w14:paraId="091D1B56" w14:textId="5108C99B" w:rsidR="00DF685F" w:rsidRPr="008B5451" w:rsidRDefault="00DF685F" w:rsidP="00DF685F">
          <w:pPr>
            <w:pStyle w:val="TOC1"/>
            <w:tabs>
              <w:tab w:val="right" w:leader="dot" w:pos="9350"/>
            </w:tabs>
            <w:rPr>
              <w:noProof/>
            </w:rPr>
          </w:pPr>
          <w:hyperlink w:anchor="_Toc237025207" w:history="1">
            <w:r w:rsidRPr="008B5451">
              <w:rPr>
                <w:rStyle w:val="Hyperlink"/>
                <w:noProof/>
              </w:rPr>
              <w:t>Reference List</w:t>
            </w:r>
            <w:r w:rsidRPr="008B5451">
              <w:rPr>
                <w:noProof/>
                <w:webHidden/>
              </w:rPr>
              <w:tab/>
            </w:r>
            <w:r w:rsidRPr="008B5451">
              <w:rPr>
                <w:noProof/>
                <w:webHidden/>
              </w:rPr>
              <w:fldChar w:fldCharType="begin"/>
            </w:r>
            <w:r w:rsidRPr="008B5451">
              <w:rPr>
                <w:noProof/>
                <w:webHidden/>
              </w:rPr>
              <w:instrText xml:space="preserve"> PAGEREF _Toc237025207 \h </w:instrText>
            </w:r>
            <w:r w:rsidRPr="008B5451">
              <w:rPr>
                <w:noProof/>
                <w:webHidden/>
              </w:rPr>
            </w:r>
            <w:r w:rsidRPr="008B5451">
              <w:rPr>
                <w:noProof/>
                <w:webHidden/>
              </w:rPr>
              <w:fldChar w:fldCharType="separate"/>
            </w:r>
            <w:r w:rsidR="00276526">
              <w:rPr>
                <w:noProof/>
                <w:webHidden/>
              </w:rPr>
              <w:t>8</w:t>
            </w:r>
            <w:r w:rsidRPr="008B5451">
              <w:rPr>
                <w:noProof/>
                <w:webHidden/>
              </w:rPr>
              <w:fldChar w:fldCharType="end"/>
            </w:r>
          </w:hyperlink>
        </w:p>
        <w:p w14:paraId="3CAE645F" w14:textId="77777777" w:rsidR="00DF685F" w:rsidRDefault="00DF685F" w:rsidP="00DF685F">
          <w:pPr>
            <w:rPr>
              <w:bCs/>
              <w:noProof/>
            </w:rPr>
          </w:pPr>
          <w:r w:rsidRPr="008B5451">
            <w:rPr>
              <w:b/>
              <w:bCs/>
              <w:noProof/>
            </w:rPr>
            <w:fldChar w:fldCharType="end"/>
          </w:r>
        </w:p>
      </w:sdtContent>
    </w:sdt>
    <w:p w14:paraId="6706A206" w14:textId="77777777" w:rsidR="008B5451" w:rsidRPr="008B5451" w:rsidRDefault="008B5451" w:rsidP="008B5451"/>
    <w:p w14:paraId="0482A616" w14:textId="77777777" w:rsidR="008B5451" w:rsidRPr="008B5451" w:rsidRDefault="008B5451" w:rsidP="008B5451"/>
    <w:p w14:paraId="232A4EAB" w14:textId="77777777" w:rsidR="008B5451" w:rsidRPr="008B5451" w:rsidRDefault="008B5451" w:rsidP="008B5451"/>
    <w:p w14:paraId="2918C433" w14:textId="77777777" w:rsidR="008B5451" w:rsidRPr="008B5451" w:rsidRDefault="008B5451" w:rsidP="008B5451"/>
    <w:p w14:paraId="362B9658" w14:textId="77777777" w:rsidR="008B5451" w:rsidRPr="008B5451" w:rsidRDefault="008B5451" w:rsidP="008B5451"/>
    <w:p w14:paraId="41338230" w14:textId="77777777" w:rsidR="008B5451" w:rsidRPr="008B5451" w:rsidRDefault="008B5451" w:rsidP="008B5451"/>
    <w:p w14:paraId="70164B91" w14:textId="77777777" w:rsidR="008B5451" w:rsidRPr="008B5451" w:rsidRDefault="008B5451" w:rsidP="008B5451">
      <w:pPr>
        <w:spacing w:line="259" w:lineRule="auto"/>
        <w:sectPr w:rsidR="008B5451" w:rsidRPr="008B5451" w:rsidSect="008B5451">
          <w:footerReference w:type="default" r:id="rId6"/>
          <w:pgSz w:w="12240" w:h="15840"/>
          <w:pgMar w:top="1440" w:right="1440" w:bottom="1440" w:left="1440" w:header="720" w:footer="720" w:gutter="0"/>
          <w:pgNumType w:fmt="lowerRoman"/>
          <w:cols w:space="720"/>
          <w:docGrid w:linePitch="360"/>
        </w:sectPr>
      </w:pPr>
    </w:p>
    <w:p w14:paraId="225DFB9B" w14:textId="77777777" w:rsidR="008B5451" w:rsidRPr="008B5451" w:rsidRDefault="008B5451" w:rsidP="008B5451">
      <w:pPr>
        <w:spacing w:line="259" w:lineRule="auto"/>
      </w:pPr>
    </w:p>
    <w:p w14:paraId="0A8A1B97" w14:textId="77777777" w:rsidR="008B5451" w:rsidRPr="008B5451" w:rsidRDefault="008B5451" w:rsidP="00A2094F">
      <w:pPr>
        <w:pStyle w:val="Heading1"/>
        <w:jc w:val="both"/>
        <w:rPr>
          <w:rFonts w:ascii="Arial" w:hAnsi="Arial" w:cs="Arial"/>
          <w:sz w:val="22"/>
          <w:szCs w:val="22"/>
        </w:rPr>
      </w:pPr>
      <w:bookmarkStart w:id="0" w:name="_Toc237025202"/>
      <w:r w:rsidRPr="008B5451">
        <w:rPr>
          <w:rFonts w:ascii="Arial" w:hAnsi="Arial" w:cs="Arial"/>
          <w:sz w:val="22"/>
          <w:szCs w:val="22"/>
        </w:rPr>
        <w:t>Introduction</w:t>
      </w:r>
      <w:bookmarkEnd w:id="0"/>
    </w:p>
    <w:p w14:paraId="6F511EC2" w14:textId="77777777" w:rsidR="008B5451" w:rsidRPr="008B5451" w:rsidRDefault="008B5451" w:rsidP="00A2094F">
      <w:pPr>
        <w:jc w:val="both"/>
      </w:pPr>
      <w:r w:rsidRPr="008B5451">
        <w:t>In the UK health and social care services are intended to support the health, wellbeing, autonomy and dignity of people by providing person-Centred. With an aged population with long-term conditions like dementia, health and social care professionals need to collaborate in providing care for vulnerable people that are safe, coordinated and of high quality (Glasby, 2017). Professional practice relies on effective communication, accurate record keeping and collaborative working to ensure that practitioners can address individuals physical, emotional and social needs to relevant legislation and professional standards (NMC, 2018).</w:t>
      </w:r>
    </w:p>
    <w:p w14:paraId="1615ED71" w14:textId="0512A304" w:rsidR="008B5451" w:rsidRPr="008B5451" w:rsidRDefault="008B5451" w:rsidP="00A2094F">
      <w:pPr>
        <w:jc w:val="both"/>
      </w:pPr>
      <w:r w:rsidRPr="008B5451">
        <w:t xml:space="preserve">This report looks at the case of Mrs. Thompson, an 84-year-old woman who had mild dementia and was recently discharged from hospital after pneumonia. This failure to take </w:t>
      </w:r>
      <w:proofErr w:type="gramStart"/>
      <w:r w:rsidRPr="008B5451">
        <w:t>medication and</w:t>
      </w:r>
      <w:proofErr w:type="gramEnd"/>
      <w:r w:rsidRPr="008B5451">
        <w:t xml:space="preserve"> resulting in confusion, worries for her safety because of being found outside wearing inappropriate clothing for </w:t>
      </w:r>
      <w:r w:rsidRPr="008B5451">
        <w:t>that</w:t>
      </w:r>
      <w:r w:rsidRPr="008B5451">
        <w:t xml:space="preserve"> time of day, underscores the need for effective communication, strong administration and multi-agency collaboration. These key aspects are explored in this report using appropriate legislation, policy frameworks and evidence from academic literature to illustrate how high quality, person-centred care can be provided in a health and social care setting.</w:t>
      </w:r>
    </w:p>
    <w:p w14:paraId="6242D05B" w14:textId="77777777" w:rsidR="008B5451" w:rsidRPr="008B5451" w:rsidRDefault="008B5451" w:rsidP="00A2094F">
      <w:pPr>
        <w:spacing w:line="259" w:lineRule="auto"/>
        <w:jc w:val="both"/>
      </w:pPr>
      <w:r w:rsidRPr="008B5451">
        <w:br w:type="page"/>
      </w:r>
    </w:p>
    <w:p w14:paraId="384017C3" w14:textId="77777777" w:rsidR="008B5451" w:rsidRPr="008B5451" w:rsidRDefault="008B5451" w:rsidP="00A2094F">
      <w:pPr>
        <w:pStyle w:val="Heading1"/>
        <w:jc w:val="both"/>
        <w:rPr>
          <w:rFonts w:ascii="Arial" w:hAnsi="Arial" w:cs="Arial"/>
          <w:sz w:val="22"/>
          <w:szCs w:val="22"/>
        </w:rPr>
      </w:pPr>
      <w:bookmarkStart w:id="1" w:name="_Toc237025203"/>
      <w:r w:rsidRPr="008B5451">
        <w:rPr>
          <w:rFonts w:ascii="Arial" w:hAnsi="Arial" w:cs="Arial"/>
          <w:sz w:val="22"/>
          <w:szCs w:val="22"/>
        </w:rPr>
        <w:lastRenderedPageBreak/>
        <w:t>1. Importance of Effective Communication in Mrs. Thompson's Care</w:t>
      </w:r>
      <w:bookmarkEnd w:id="1"/>
    </w:p>
    <w:p w14:paraId="0DDC727A" w14:textId="18458C09" w:rsidR="008B5451" w:rsidRPr="008B5451" w:rsidRDefault="008B5451" w:rsidP="00A2094F">
      <w:pPr>
        <w:jc w:val="both"/>
      </w:pPr>
      <w:r w:rsidRPr="008B5451">
        <w:t xml:space="preserve">Communication is a </w:t>
      </w:r>
      <w:proofErr w:type="gramStart"/>
      <w:r w:rsidRPr="008B5451">
        <w:t>key way</w:t>
      </w:r>
      <w:proofErr w:type="gramEnd"/>
      <w:r w:rsidRPr="008B5451">
        <w:t xml:space="preserve"> to ensure that professionals are aware of and understand what an individual needs, to help them make informed decisions and to provide safe and person-centred care (Moonie, 2020). For Mrs. Thompson, it is significant to communicate well as she is 84 years, has recently been discharged from hospital following pneumonia and suffers from mild dementia. Her condition can impact her memory and could impair her ability to remember the directions to completely understand information provided by healthcare workers.</w:t>
      </w:r>
    </w:p>
    <w:p w14:paraId="5D20759B" w14:textId="77777777" w:rsidR="008B5451" w:rsidRPr="008B5451" w:rsidRDefault="008B5451" w:rsidP="00A2094F">
      <w:pPr>
        <w:jc w:val="both"/>
      </w:pPr>
      <w:r w:rsidRPr="008B5451">
        <w:t xml:space="preserve">Professionals should use simple, clear and supportive language when speaking to Mrs. Thompson. The information should be brief, limited to one point at a time and given time for processing and responding. Professionals should also make eye contact, speak in a calm voice and take non-verbal whether she has understood the information. Active listening is also very relevant, because it enables practitioners to be understanding of concerns and to reconcile misunderstandings and establish trust.  (Thompson, 2022). Including family members and others who care for Mrs. Thompson, </w:t>
      </w:r>
      <w:proofErr w:type="gramStart"/>
      <w:r w:rsidRPr="008B5451">
        <w:t>in regard to</w:t>
      </w:r>
      <w:proofErr w:type="gramEnd"/>
      <w:r w:rsidRPr="008B5451">
        <w:t xml:space="preserve"> sharing information the consent provided has been obtained and in accordance with legal and professional guidelines. Information from family members can be helpful in determining whether her behavior is changing and in what ways, as well as her health, what she is eating and drinking, and her daily routine, which can help professionals notice changes sooner. They can also help to remind her to take her medication, attend appointments and follow the agreed care plan. Communication with family </w:t>
      </w:r>
      <w:proofErr w:type="gramStart"/>
      <w:r w:rsidRPr="008B5451">
        <w:t>members,</w:t>
      </w:r>
      <w:proofErr w:type="gramEnd"/>
      <w:r w:rsidRPr="008B5451">
        <w:t xml:space="preserve"> is open and respectful, fostering partnership working and continuity of care (Manthorpe, Samsi and Rapaport, 2018).</w:t>
      </w:r>
    </w:p>
    <w:p w14:paraId="414C997E" w14:textId="77777777" w:rsidR="008B5451" w:rsidRPr="008B5451" w:rsidRDefault="008B5451" w:rsidP="00A2094F">
      <w:pPr>
        <w:jc w:val="both"/>
      </w:pPr>
      <w:r w:rsidRPr="008B5451">
        <w:t>The Equality Act 2010 legislates that no person should suffer a disadvantage based on a protected characteristic, such as age or disability, in relation to health &amp; social care. If Mrs. Thompson's mild dementia has a substantial and long-term effect on her functioning it may be a disability under the Act. Professionals have a legal duty to make practical changes to accommodate their communication needs. These may involve ways of making information accessible, giving more time in conversations, repeating information where needed and using an advocate or family member when relevant. This helps to ensure that Mrs. Thompson receives equitable, respectful and person-centred care, and that she has her independence and dignity.</w:t>
      </w:r>
    </w:p>
    <w:p w14:paraId="32A95CFA" w14:textId="77777777" w:rsidR="008B5451" w:rsidRPr="008B5451" w:rsidRDefault="008B5451" w:rsidP="00A2094F">
      <w:pPr>
        <w:jc w:val="both"/>
      </w:pPr>
      <w:r w:rsidRPr="008B5451">
        <w:t xml:space="preserve">A model of communication that could be used for Mrs. Thompson is the Transactional Model of Communication, in which communication is a two-way process where both parties send, receive and interpret messages at the same time (Burgess and Mellis, 2015). All of this is best done </w:t>
      </w:r>
      <w:proofErr w:type="gramStart"/>
      <w:r w:rsidRPr="008B5451">
        <w:t>by,</w:t>
      </w:r>
      <w:proofErr w:type="gramEnd"/>
      <w:r w:rsidRPr="008B5451">
        <w:t xml:space="preserve"> encouraging feedback, </w:t>
      </w:r>
      <w:proofErr w:type="gramStart"/>
      <w:r w:rsidRPr="008B5451">
        <w:t>explain</w:t>
      </w:r>
      <w:proofErr w:type="gramEnd"/>
      <w:r w:rsidRPr="008B5451">
        <w:t xml:space="preserve"> to Mrs. Thompson, when she </w:t>
      </w:r>
      <w:proofErr w:type="gramStart"/>
      <w:r w:rsidRPr="008B5451">
        <w:t>will be</w:t>
      </w:r>
      <w:proofErr w:type="gramEnd"/>
      <w:r w:rsidRPr="008B5451">
        <w:t xml:space="preserve"> taking the medication. The worker can change the way she is conveying the message if she looks confused, or forgetful, for example by using simpler language, written reminders or visual prompts. This constant dialogue will help remove misunderstandings on the spot and help adjust the communication style. Using the Transactional Model and person centred communication skills can minimise medication errors, ensure understanding and support Mrs. Thompson to be </w:t>
      </w:r>
      <w:proofErr w:type="gramStart"/>
      <w:r w:rsidRPr="008B5451">
        <w:t>more safe</w:t>
      </w:r>
      <w:proofErr w:type="gramEnd"/>
      <w:r w:rsidRPr="008B5451">
        <w:t xml:space="preserve"> and well in her overall wellbeing.</w:t>
      </w:r>
    </w:p>
    <w:p w14:paraId="2660B35F" w14:textId="77777777" w:rsidR="008B5451" w:rsidRPr="008B5451" w:rsidRDefault="008B5451" w:rsidP="00A2094F">
      <w:pPr>
        <w:spacing w:line="259" w:lineRule="auto"/>
        <w:jc w:val="both"/>
      </w:pPr>
      <w:r w:rsidRPr="008B5451">
        <w:br w:type="page"/>
      </w:r>
    </w:p>
    <w:p w14:paraId="66CE011A" w14:textId="77777777" w:rsidR="008B5451" w:rsidRPr="008B5451" w:rsidRDefault="008B5451" w:rsidP="00A2094F">
      <w:pPr>
        <w:pStyle w:val="Heading1"/>
        <w:jc w:val="both"/>
        <w:rPr>
          <w:rFonts w:ascii="Arial" w:hAnsi="Arial" w:cs="Arial"/>
          <w:sz w:val="22"/>
          <w:szCs w:val="22"/>
        </w:rPr>
      </w:pPr>
      <w:bookmarkStart w:id="2" w:name="_Toc237025204"/>
      <w:r w:rsidRPr="008B5451">
        <w:rPr>
          <w:rFonts w:ascii="Arial" w:hAnsi="Arial" w:cs="Arial"/>
          <w:sz w:val="22"/>
          <w:szCs w:val="22"/>
        </w:rPr>
        <w:lastRenderedPageBreak/>
        <w:t>2. Role of Good Administrative Skills in Professional Practice</w:t>
      </w:r>
      <w:bookmarkEnd w:id="2"/>
    </w:p>
    <w:p w14:paraId="080D2820" w14:textId="77777777" w:rsidR="008B5451" w:rsidRPr="008B5451" w:rsidRDefault="008B5451" w:rsidP="00A2094F">
      <w:pPr>
        <w:jc w:val="both"/>
      </w:pPr>
      <w:r w:rsidRPr="008B5451">
        <w:t xml:space="preserve">In health and social care, good administration is essential as it helps to ensure that services </w:t>
      </w:r>
      <w:proofErr w:type="gramStart"/>
      <w:r w:rsidRPr="008B5451">
        <w:t>are:</w:t>
      </w:r>
      <w:proofErr w:type="gramEnd"/>
      <w:r w:rsidRPr="008B5451">
        <w:t xml:space="preserve"> safe, effective and coordinated. Accurate records, incident reporting, care plan management, and the protection of confidential information help to support informed decision making and continuity of care (Stretch and Whitehouse, 2019). Mrs. Thompson is a particular case as she lives alone and has mild dementia, and the administration is even more crucial in her case. Her last 2 days of non-compliance of medication led to an incident report a Health and Social Care Act 2012 encourage coordinated care and accountability between health and social care services. Accurate records, safeguarding confidential information and complying with the relevant legislation can contribute to the provision of person-centered care, bolster safeguarding processes and enhance the quality and safety of service offered to Mrs. Thompson.</w:t>
      </w:r>
    </w:p>
    <w:p w14:paraId="7BC919C1" w14:textId="77777777" w:rsidR="008B5451" w:rsidRPr="008B5451" w:rsidRDefault="008B5451" w:rsidP="00A2094F">
      <w:pPr>
        <w:spacing w:line="259" w:lineRule="auto"/>
        <w:jc w:val="both"/>
      </w:pPr>
      <w:r w:rsidRPr="008B5451">
        <w:br w:type="page"/>
      </w:r>
    </w:p>
    <w:p w14:paraId="6CEE01EA" w14:textId="77777777" w:rsidR="008B5451" w:rsidRPr="008B5451" w:rsidRDefault="008B5451" w:rsidP="00A2094F">
      <w:pPr>
        <w:pStyle w:val="Heading1"/>
        <w:jc w:val="both"/>
        <w:rPr>
          <w:rFonts w:ascii="Arial" w:hAnsi="Arial" w:cs="Arial"/>
          <w:sz w:val="22"/>
          <w:szCs w:val="22"/>
        </w:rPr>
      </w:pPr>
      <w:bookmarkStart w:id="3" w:name="_Toc237025205"/>
      <w:r w:rsidRPr="008B5451">
        <w:rPr>
          <w:rFonts w:ascii="Arial" w:hAnsi="Arial" w:cs="Arial"/>
          <w:sz w:val="22"/>
          <w:szCs w:val="22"/>
        </w:rPr>
        <w:lastRenderedPageBreak/>
        <w:t>3. Importance of Collaborative Working in Mrs. Thompson's Care</w:t>
      </w:r>
      <w:bookmarkEnd w:id="3"/>
    </w:p>
    <w:p w14:paraId="01CC5124" w14:textId="77777777" w:rsidR="008B5451" w:rsidRPr="008B5451" w:rsidRDefault="008B5451" w:rsidP="00A2094F">
      <w:pPr>
        <w:jc w:val="both"/>
      </w:pPr>
      <w:r w:rsidRPr="008B5451">
        <w:t xml:space="preserve">In health and social care, collaborative </w:t>
      </w:r>
      <w:proofErr w:type="gramStart"/>
      <w:r w:rsidRPr="008B5451">
        <w:t>working</w:t>
      </w:r>
      <w:proofErr w:type="gramEnd"/>
      <w:r w:rsidRPr="008B5451">
        <w:t xml:space="preserve"> is a vital aspect as it allows different professionals to work together, share their knowledge, skills and expertise to deliver coordinated, person-centred care. The benefits of multi-agency working for people with complex needs, like Mrs. Thompson, include better continuity of care, safety and the minimization of avoidable health complications (Reeves et al., 2017). After leaving hospital, she forgot to take her medication and was discovered outside without proper clothing, so a variety of professionals must collaborate to evaluate her physical condition, mental state and continuing support requirements.</w:t>
      </w:r>
    </w:p>
    <w:p w14:paraId="1651918C" w14:textId="77777777" w:rsidR="008B5451" w:rsidRPr="008B5451" w:rsidRDefault="008B5451" w:rsidP="00A2094F">
      <w:pPr>
        <w:jc w:val="both"/>
      </w:pPr>
      <w:r w:rsidRPr="008B5451">
        <w:t>Mrs. Thompson has different professionals involved in her care. Her GP is responsible for overall health review, medication and treatment plans. The community nurse is keeping an eye on her recovery from pneumonia and is assessing her physical and cognitive status, giving clinical information and her carers. Domiciliary care staff support with personal care, remind the individual to take medications, notice any changes in her wellbeing and refer any concerns to the relevant person as required. It is also likely that a social worker and the local council will review her care needs and safeguarding arrangements following the recent incident and family members may have useful information about her daily life and emotional support. These professionals keep in regular communication which ensures care decisions are consistent, timely and in Mrs. Thompson's best interests (Glasby, 2017).</w:t>
      </w:r>
    </w:p>
    <w:p w14:paraId="52495591" w14:textId="77777777" w:rsidR="008B5451" w:rsidRPr="008B5451" w:rsidRDefault="008B5451" w:rsidP="00A2094F">
      <w:pPr>
        <w:jc w:val="both"/>
      </w:pPr>
      <w:r w:rsidRPr="008B5451">
        <w:t>These include regular multidisciplinary team meetings, shared care plans, good communications, clear record keeping and appropriate information sharing in line with the Data Protection Act 2018 and professional guidance (NMC, 2018). Professionals can share correct and up-to-date information, permitting them to recognise the risks early, coordinate interventions and prevent unnecessary duplication of services.</w:t>
      </w:r>
    </w:p>
    <w:p w14:paraId="626484E0" w14:textId="3F19F4BC" w:rsidR="008B5451" w:rsidRPr="008B5451" w:rsidRDefault="008B5451" w:rsidP="00A2094F">
      <w:pPr>
        <w:jc w:val="both"/>
      </w:pPr>
      <w:r w:rsidRPr="008B5451">
        <w:t xml:space="preserve">Although these are the advantages, multi-agency </w:t>
      </w:r>
      <w:proofErr w:type="gramStart"/>
      <w:r w:rsidRPr="008B5451">
        <w:t>working</w:t>
      </w:r>
      <w:proofErr w:type="gramEnd"/>
      <w:r w:rsidRPr="008B5451">
        <w:t xml:space="preserve"> can be problematic. The different roles, lack of communication, too many cases to manage and delayed information sharing, as well as concerns about confidentiality, can delay effective collaboration (O'Daniel and Rosenstein, 2008).</w:t>
      </w:r>
    </w:p>
    <w:p w14:paraId="454A601D" w14:textId="77777777" w:rsidR="008B5451" w:rsidRPr="008B5451" w:rsidRDefault="008B5451" w:rsidP="00A2094F">
      <w:pPr>
        <w:spacing w:line="259" w:lineRule="auto"/>
        <w:jc w:val="both"/>
      </w:pPr>
      <w:r w:rsidRPr="008B5451">
        <w:br w:type="page"/>
      </w:r>
    </w:p>
    <w:p w14:paraId="5156111A" w14:textId="77777777" w:rsidR="008B5451" w:rsidRPr="008B5451" w:rsidRDefault="008B5451" w:rsidP="00A2094F">
      <w:pPr>
        <w:pStyle w:val="Heading1"/>
        <w:jc w:val="both"/>
        <w:rPr>
          <w:rFonts w:ascii="Arial" w:hAnsi="Arial" w:cs="Arial"/>
          <w:sz w:val="22"/>
          <w:szCs w:val="22"/>
        </w:rPr>
      </w:pPr>
      <w:bookmarkStart w:id="4" w:name="_Toc237025206"/>
      <w:r w:rsidRPr="008B5451">
        <w:rPr>
          <w:rFonts w:ascii="Arial" w:hAnsi="Arial" w:cs="Arial"/>
          <w:sz w:val="22"/>
          <w:szCs w:val="22"/>
        </w:rPr>
        <w:lastRenderedPageBreak/>
        <w:t>Conclusion</w:t>
      </w:r>
      <w:bookmarkEnd w:id="4"/>
    </w:p>
    <w:p w14:paraId="6DDAE0BE" w14:textId="0829C9B5" w:rsidR="008B5451" w:rsidRPr="008B5451" w:rsidRDefault="008B5451" w:rsidP="00A2094F">
      <w:pPr>
        <w:spacing w:line="259" w:lineRule="auto"/>
        <w:jc w:val="both"/>
      </w:pPr>
      <w:r w:rsidRPr="008B5451">
        <w:t>The case of Mrs</w:t>
      </w:r>
      <w:r w:rsidR="001C6815">
        <w:t>.</w:t>
      </w:r>
      <w:r w:rsidRPr="008B5451">
        <w:t xml:space="preserve"> Thompson highlights the need to bring together effective communication, good administration practice and </w:t>
      </w:r>
      <w:r w:rsidR="001C6815" w:rsidRPr="008B5451">
        <w:t>collaborative work</w:t>
      </w:r>
      <w:r w:rsidRPr="008B5451">
        <w:t xml:space="preserve"> to provide safe, person-centred health and social care. Her gradual deterioration in mental function (mild dementia), her recent discharge from hospital and events in the hospital related to her taking medication demonstrate the importance of clear, compassionate communication and communication that meets her personal needs, ensuring that her family members are suitably involved in her care. Adhering to the principles of the Equality Act 2010 helps promote dignity, equality and inclusion throughout the care process. Effective record keeping and adherence with the Data Protection Act 2018 are also vital to ensure continuity of care, confidentiality of information and support informed clinical decision making. In addition, good working with the GP, community nurse, domiciliary care workers, social workers and others ensures that interventions are in time, care plans are coordinated and safeguarding is improved. Overall, it is good that Mrs. Thompson's care is relevant, is delivered using appropriate legislation, professional standards and evidence-based practice and is high quality, holistic and delivered in a way that increases her safety, independence and quality of life, while minimising risk of harm.</w:t>
      </w:r>
      <w:r w:rsidRPr="008B5451">
        <w:br w:type="page"/>
      </w:r>
    </w:p>
    <w:p w14:paraId="00ECD21D" w14:textId="61CEA45D" w:rsidR="008B5451" w:rsidRPr="008B5451" w:rsidRDefault="008B5451" w:rsidP="00A2094F">
      <w:pPr>
        <w:pStyle w:val="Heading1"/>
        <w:jc w:val="both"/>
        <w:rPr>
          <w:rFonts w:ascii="Arial" w:hAnsi="Arial" w:cs="Arial"/>
          <w:sz w:val="22"/>
          <w:szCs w:val="22"/>
        </w:rPr>
      </w:pPr>
      <w:bookmarkStart w:id="5" w:name="_Toc237025207"/>
      <w:r w:rsidRPr="008B5451">
        <w:rPr>
          <w:rFonts w:ascii="Arial" w:hAnsi="Arial" w:cs="Arial"/>
          <w:sz w:val="22"/>
          <w:szCs w:val="22"/>
        </w:rPr>
        <w:lastRenderedPageBreak/>
        <w:t>Reference List</w:t>
      </w:r>
      <w:bookmarkEnd w:id="5"/>
    </w:p>
    <w:p w14:paraId="18454408" w14:textId="77777777" w:rsidR="008B5451" w:rsidRPr="008B5451" w:rsidRDefault="008B5451" w:rsidP="00A2094F">
      <w:pPr>
        <w:jc w:val="both"/>
      </w:pPr>
      <w:r w:rsidRPr="008B5451">
        <w:t xml:space="preserve">Burgess, A. and Mellis, C. (2015) ‘Communication skills for effective healthcare’, </w:t>
      </w:r>
      <w:r w:rsidRPr="008B5451">
        <w:rPr>
          <w:i/>
          <w:iCs/>
        </w:rPr>
        <w:t>BMC Medical Education</w:t>
      </w:r>
      <w:r w:rsidRPr="008B5451">
        <w:t>, 15(1), pp. 1–5.</w:t>
      </w:r>
    </w:p>
    <w:p w14:paraId="344FA1CD" w14:textId="77777777" w:rsidR="008B5451" w:rsidRPr="008B5451" w:rsidRDefault="008B5451" w:rsidP="00A2094F">
      <w:pPr>
        <w:jc w:val="both"/>
      </w:pPr>
      <w:r w:rsidRPr="008B5451">
        <w:t xml:space="preserve">Department of Health and Social Care (2014) </w:t>
      </w:r>
      <w:r w:rsidRPr="008B5451">
        <w:rPr>
          <w:i/>
          <w:iCs/>
        </w:rPr>
        <w:t>Care Act 2014</w:t>
      </w:r>
      <w:r w:rsidRPr="008B5451">
        <w:t>. London: The Stationery Office.</w:t>
      </w:r>
    </w:p>
    <w:p w14:paraId="6DFF11F8" w14:textId="77777777" w:rsidR="008B5451" w:rsidRPr="008B5451" w:rsidRDefault="008B5451" w:rsidP="00A2094F">
      <w:pPr>
        <w:jc w:val="both"/>
      </w:pPr>
      <w:r w:rsidRPr="008B5451">
        <w:t xml:space="preserve">Glasby, J. (2017) </w:t>
      </w:r>
      <w:r w:rsidRPr="008B5451">
        <w:rPr>
          <w:i/>
          <w:iCs/>
        </w:rPr>
        <w:t>Understanding Health and Social Care</w:t>
      </w:r>
      <w:r w:rsidRPr="008B5451">
        <w:t xml:space="preserve">. 3rd </w:t>
      </w:r>
      <w:proofErr w:type="spellStart"/>
      <w:r w:rsidRPr="008B5451">
        <w:t>edn</w:t>
      </w:r>
      <w:proofErr w:type="spellEnd"/>
      <w:r w:rsidRPr="008B5451">
        <w:t>. Bristol: Policy Press.</w:t>
      </w:r>
    </w:p>
    <w:p w14:paraId="6D614D24" w14:textId="77777777" w:rsidR="008B5451" w:rsidRPr="008B5451" w:rsidRDefault="008B5451" w:rsidP="00A2094F">
      <w:pPr>
        <w:jc w:val="both"/>
      </w:pPr>
      <w:r w:rsidRPr="008B5451">
        <w:t xml:space="preserve">Great Britain (1998) </w:t>
      </w:r>
      <w:r w:rsidRPr="008B5451">
        <w:rPr>
          <w:i/>
          <w:iCs/>
        </w:rPr>
        <w:t>Human Rights Act 1998</w:t>
      </w:r>
      <w:r w:rsidRPr="008B5451">
        <w:t>. London: The Stationery Office.</w:t>
      </w:r>
    </w:p>
    <w:p w14:paraId="48D951D8" w14:textId="77777777" w:rsidR="008B5451" w:rsidRPr="008B5451" w:rsidRDefault="008B5451" w:rsidP="00A2094F">
      <w:pPr>
        <w:jc w:val="both"/>
      </w:pPr>
      <w:r w:rsidRPr="008B5451">
        <w:t xml:space="preserve">Great Britain (2010) </w:t>
      </w:r>
      <w:r w:rsidRPr="008B5451">
        <w:rPr>
          <w:i/>
          <w:iCs/>
        </w:rPr>
        <w:t>Equality Act 2010</w:t>
      </w:r>
      <w:r w:rsidRPr="008B5451">
        <w:t>. London: The Stationery Office.</w:t>
      </w:r>
    </w:p>
    <w:p w14:paraId="5425975F" w14:textId="77777777" w:rsidR="008B5451" w:rsidRPr="008B5451" w:rsidRDefault="008B5451" w:rsidP="00A2094F">
      <w:pPr>
        <w:jc w:val="both"/>
      </w:pPr>
      <w:r w:rsidRPr="008B5451">
        <w:t xml:space="preserve">Great Britain (2012) </w:t>
      </w:r>
      <w:r w:rsidRPr="008B5451">
        <w:rPr>
          <w:i/>
          <w:iCs/>
        </w:rPr>
        <w:t>Health and Social Care Act 2012</w:t>
      </w:r>
      <w:r w:rsidRPr="008B5451">
        <w:t>. London: The Stationery Office.</w:t>
      </w:r>
    </w:p>
    <w:p w14:paraId="412CF16D" w14:textId="77777777" w:rsidR="008B5451" w:rsidRPr="008B5451" w:rsidRDefault="008B5451" w:rsidP="00A2094F">
      <w:pPr>
        <w:jc w:val="both"/>
      </w:pPr>
      <w:r w:rsidRPr="008B5451">
        <w:t xml:space="preserve">Great Britain (2018) </w:t>
      </w:r>
      <w:r w:rsidRPr="008B5451">
        <w:rPr>
          <w:i/>
          <w:iCs/>
        </w:rPr>
        <w:t>Data Protection Act 2018</w:t>
      </w:r>
      <w:r w:rsidRPr="008B5451">
        <w:t>. London: The Stationery Office.</w:t>
      </w:r>
    </w:p>
    <w:p w14:paraId="7436BB3C" w14:textId="77777777" w:rsidR="008B5451" w:rsidRPr="008B5451" w:rsidRDefault="008B5451" w:rsidP="00A2094F">
      <w:pPr>
        <w:jc w:val="both"/>
      </w:pPr>
      <w:r w:rsidRPr="008B5451">
        <w:t xml:space="preserve">Manthorpe, J., Samsi, K. and Rapaport, J. (2018) ‘Responding to the support and training needs of family carers of people with dementia’, </w:t>
      </w:r>
      <w:r w:rsidRPr="008B5451">
        <w:rPr>
          <w:i/>
          <w:iCs/>
        </w:rPr>
        <w:t>Health &amp; Social Care in the Community</w:t>
      </w:r>
      <w:r w:rsidRPr="008B5451">
        <w:t>, 26(2), pp. 232–241.</w:t>
      </w:r>
    </w:p>
    <w:p w14:paraId="72B9E86D" w14:textId="77777777" w:rsidR="008B5451" w:rsidRPr="008B5451" w:rsidRDefault="008B5451" w:rsidP="00A2094F">
      <w:pPr>
        <w:jc w:val="both"/>
      </w:pPr>
      <w:r w:rsidRPr="008B5451">
        <w:t xml:space="preserve">Moonie, N. (2020) </w:t>
      </w:r>
      <w:r w:rsidRPr="008B5451">
        <w:rPr>
          <w:i/>
          <w:iCs/>
        </w:rPr>
        <w:t>Health and Social Care Level 3</w:t>
      </w:r>
      <w:r w:rsidRPr="008B5451">
        <w:t xml:space="preserve">. 6th </w:t>
      </w:r>
      <w:proofErr w:type="spellStart"/>
      <w:r w:rsidRPr="008B5451">
        <w:t>edn</w:t>
      </w:r>
      <w:proofErr w:type="spellEnd"/>
      <w:r w:rsidRPr="008B5451">
        <w:t>. London: Hodder Education.</w:t>
      </w:r>
    </w:p>
    <w:p w14:paraId="611692B5" w14:textId="77777777" w:rsidR="008B5451" w:rsidRPr="008B5451" w:rsidRDefault="008B5451" w:rsidP="00A2094F">
      <w:pPr>
        <w:jc w:val="both"/>
      </w:pPr>
      <w:r w:rsidRPr="008B5451">
        <w:t xml:space="preserve">National Institute for Health and Care Excellence (NICE) (2018) </w:t>
      </w:r>
      <w:r w:rsidRPr="008B5451">
        <w:rPr>
          <w:i/>
          <w:iCs/>
        </w:rPr>
        <w:t>Dementia: Assessment, Management and Support for People Living with Dementia and Their Carers (NG97)</w:t>
      </w:r>
      <w:r w:rsidRPr="008B5451">
        <w:t>. London: NICE.</w:t>
      </w:r>
    </w:p>
    <w:p w14:paraId="3A07265C" w14:textId="77777777" w:rsidR="008B5451" w:rsidRPr="008B5451" w:rsidRDefault="008B5451" w:rsidP="00A2094F">
      <w:pPr>
        <w:jc w:val="both"/>
      </w:pPr>
      <w:r w:rsidRPr="008B5451">
        <w:t xml:space="preserve">Nursing and Midwifery Council (NMC) (2018) </w:t>
      </w:r>
      <w:r w:rsidRPr="008B5451">
        <w:rPr>
          <w:i/>
          <w:iCs/>
        </w:rPr>
        <w:t xml:space="preserve">The Code: Professional Standards of Practice and </w:t>
      </w:r>
      <w:proofErr w:type="spellStart"/>
      <w:r w:rsidRPr="008B5451">
        <w:rPr>
          <w:i/>
          <w:iCs/>
        </w:rPr>
        <w:t>Behaviour</w:t>
      </w:r>
      <w:proofErr w:type="spellEnd"/>
      <w:r w:rsidRPr="008B5451">
        <w:rPr>
          <w:i/>
          <w:iCs/>
        </w:rPr>
        <w:t xml:space="preserve"> for Nurses, Midwives and Nursing Associates</w:t>
      </w:r>
      <w:r w:rsidRPr="008B5451">
        <w:t>. London: NMC.</w:t>
      </w:r>
    </w:p>
    <w:p w14:paraId="3F5773E2" w14:textId="77777777" w:rsidR="008B5451" w:rsidRPr="008B5451" w:rsidRDefault="008B5451" w:rsidP="00A2094F">
      <w:pPr>
        <w:jc w:val="both"/>
      </w:pPr>
      <w:r w:rsidRPr="008B5451">
        <w:t>O'Daniel, M. and Rosenstein, A.H. (</w:t>
      </w:r>
      <w:proofErr w:type="gramStart"/>
      <w:r w:rsidRPr="008B5451">
        <w:t>2008) ‘</w:t>
      </w:r>
      <w:proofErr w:type="gramEnd"/>
      <w:r w:rsidRPr="008B5451">
        <w:t xml:space="preserve">Professional communication and team collaboration’, in Hughes, R.G. (ed.) </w:t>
      </w:r>
      <w:r w:rsidRPr="008B5451">
        <w:rPr>
          <w:i/>
          <w:iCs/>
        </w:rPr>
        <w:t>Patient Safety and Quality: An Evidence-Based Handbook for Nurses</w:t>
      </w:r>
      <w:r w:rsidRPr="008B5451">
        <w:t>. Rockville, MD: Agency for Healthcare Research and Quality.</w:t>
      </w:r>
    </w:p>
    <w:p w14:paraId="1905847D" w14:textId="77777777" w:rsidR="008B5451" w:rsidRPr="008B5451" w:rsidRDefault="008B5451" w:rsidP="00A2094F">
      <w:pPr>
        <w:jc w:val="both"/>
      </w:pPr>
      <w:r w:rsidRPr="008B5451">
        <w:t xml:space="preserve">Reeves, S., </w:t>
      </w:r>
      <w:proofErr w:type="spellStart"/>
      <w:r w:rsidRPr="008B5451">
        <w:t>Pelone</w:t>
      </w:r>
      <w:proofErr w:type="spellEnd"/>
      <w:r w:rsidRPr="008B5451">
        <w:t xml:space="preserve">, F., Harrison, R., Goldman, J. and </w:t>
      </w:r>
      <w:proofErr w:type="spellStart"/>
      <w:r w:rsidRPr="008B5451">
        <w:t>Zwarenstein</w:t>
      </w:r>
      <w:proofErr w:type="spellEnd"/>
      <w:r w:rsidRPr="008B5451">
        <w:t>, M. (</w:t>
      </w:r>
      <w:proofErr w:type="gramStart"/>
      <w:r w:rsidRPr="008B5451">
        <w:t>2017) ‘</w:t>
      </w:r>
      <w:proofErr w:type="gramEnd"/>
      <w:r w:rsidRPr="008B5451">
        <w:t xml:space="preserve">Interprofessional collaboration to improve professional practice and healthcare outcomes’, </w:t>
      </w:r>
      <w:r w:rsidRPr="008B5451">
        <w:rPr>
          <w:i/>
          <w:iCs/>
        </w:rPr>
        <w:t>Cochrane Database of Systematic Reviews</w:t>
      </w:r>
      <w:r w:rsidRPr="008B5451">
        <w:t>, (6), CD000072.</w:t>
      </w:r>
    </w:p>
    <w:p w14:paraId="03B86BA8" w14:textId="77777777" w:rsidR="008B5451" w:rsidRPr="008B5451" w:rsidRDefault="008B5451" w:rsidP="00A2094F">
      <w:pPr>
        <w:jc w:val="both"/>
      </w:pPr>
      <w:r w:rsidRPr="008B5451">
        <w:t xml:space="preserve">Stretch, B. and Whitehouse, M. (2019) </w:t>
      </w:r>
      <w:r w:rsidRPr="008B5451">
        <w:rPr>
          <w:i/>
          <w:iCs/>
        </w:rPr>
        <w:t>Health and Social Care Book 1</w:t>
      </w:r>
      <w:r w:rsidRPr="008B5451">
        <w:t>. Harlow: Pearson Education.</w:t>
      </w:r>
    </w:p>
    <w:p w14:paraId="5506C101" w14:textId="77777777" w:rsidR="008B5451" w:rsidRPr="008B5451" w:rsidRDefault="008B5451" w:rsidP="00A2094F">
      <w:pPr>
        <w:jc w:val="both"/>
      </w:pPr>
      <w:r w:rsidRPr="008B5451">
        <w:t xml:space="preserve">Tingle, J. (2019) ‘Record keeping and documentation: Legal and professional issues’, </w:t>
      </w:r>
      <w:r w:rsidRPr="008B5451">
        <w:rPr>
          <w:i/>
          <w:iCs/>
        </w:rPr>
        <w:t>British Journal of Nursing</w:t>
      </w:r>
      <w:r w:rsidRPr="008B5451">
        <w:t>, 28(18), pp. 1198–1200.</w:t>
      </w:r>
    </w:p>
    <w:p w14:paraId="7F272D4F" w14:textId="77777777" w:rsidR="008B5451" w:rsidRPr="008B5451" w:rsidRDefault="008B5451" w:rsidP="00A2094F">
      <w:pPr>
        <w:jc w:val="both"/>
      </w:pPr>
    </w:p>
    <w:p w14:paraId="42E85ABA" w14:textId="77777777" w:rsidR="00A802F1" w:rsidRPr="008B5451" w:rsidRDefault="00A802F1" w:rsidP="00A2094F">
      <w:pPr>
        <w:jc w:val="both"/>
      </w:pPr>
    </w:p>
    <w:sectPr w:rsidR="00A802F1" w:rsidRPr="008B5451" w:rsidSect="008B5451">
      <w:footerReference w:type="default" r:id="rId7"/>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298230"/>
      <w:docPartObj>
        <w:docPartGallery w:val="Page Numbers (Bottom of Page)"/>
        <w:docPartUnique/>
      </w:docPartObj>
    </w:sdtPr>
    <w:sdtEndPr>
      <w:rPr>
        <w:noProof/>
      </w:rPr>
    </w:sdtEndPr>
    <w:sdtContent>
      <w:p w14:paraId="1D0229C3" w14:textId="77777777" w:rsidR="008B5451" w:rsidRDefault="008B54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08CD44" w14:textId="77777777" w:rsidR="008B5451" w:rsidRDefault="008B54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B2D47" w14:textId="77777777" w:rsidR="008B5451" w:rsidRDefault="008B5451">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Pr>
        <w:noProof/>
        <w:sz w:val="20"/>
        <w:szCs w:val="20"/>
      </w:rPr>
      <w:t>4</w:t>
    </w:r>
    <w:r>
      <w:rPr>
        <w:sz w:val="20"/>
        <w:szCs w:val="20"/>
      </w:rP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451"/>
    <w:rsid w:val="001C6815"/>
    <w:rsid w:val="00276526"/>
    <w:rsid w:val="00552A1E"/>
    <w:rsid w:val="005D1E8E"/>
    <w:rsid w:val="00622785"/>
    <w:rsid w:val="008B5451"/>
    <w:rsid w:val="009E6017"/>
    <w:rsid w:val="00A2094F"/>
    <w:rsid w:val="00A802F1"/>
    <w:rsid w:val="00B5409B"/>
    <w:rsid w:val="00CE65F9"/>
    <w:rsid w:val="00DE1E56"/>
    <w:rsid w:val="00DF6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FD2F5"/>
  <w15:chartTrackingRefBased/>
  <w15:docId w15:val="{93C385F5-51A0-41EC-986B-5C003E6FA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451"/>
    <w:pPr>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8B5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8B5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4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4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4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4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451"/>
    <w:rPr>
      <w:rFonts w:eastAsiaTheme="majorEastAsia" w:cstheme="majorBidi"/>
      <w:color w:val="272727" w:themeColor="text1" w:themeTint="D8"/>
    </w:rPr>
  </w:style>
  <w:style w:type="paragraph" w:styleId="Title">
    <w:name w:val="Title"/>
    <w:basedOn w:val="Normal"/>
    <w:next w:val="Normal"/>
    <w:link w:val="TitleChar"/>
    <w:uiPriority w:val="10"/>
    <w:qFormat/>
    <w:rsid w:val="008B545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5451"/>
    <w:rPr>
      <w:i/>
      <w:iCs/>
      <w:color w:val="404040" w:themeColor="text1" w:themeTint="BF"/>
    </w:rPr>
  </w:style>
  <w:style w:type="paragraph" w:styleId="ListParagraph">
    <w:name w:val="List Paragraph"/>
    <w:basedOn w:val="Normal"/>
    <w:uiPriority w:val="34"/>
    <w:qFormat/>
    <w:rsid w:val="008B5451"/>
    <w:pPr>
      <w:ind w:left="720"/>
      <w:contextualSpacing/>
    </w:pPr>
  </w:style>
  <w:style w:type="character" w:styleId="IntenseEmphasis">
    <w:name w:val="Intense Emphasis"/>
    <w:basedOn w:val="DefaultParagraphFont"/>
    <w:uiPriority w:val="21"/>
    <w:qFormat/>
    <w:rsid w:val="008B5451"/>
    <w:rPr>
      <w:i/>
      <w:iCs/>
      <w:color w:val="0F4761" w:themeColor="accent1" w:themeShade="BF"/>
    </w:rPr>
  </w:style>
  <w:style w:type="paragraph" w:styleId="IntenseQuote">
    <w:name w:val="Intense Quote"/>
    <w:basedOn w:val="Normal"/>
    <w:next w:val="Normal"/>
    <w:link w:val="IntenseQuoteChar"/>
    <w:uiPriority w:val="30"/>
    <w:qFormat/>
    <w:rsid w:val="008B5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451"/>
    <w:rPr>
      <w:i/>
      <w:iCs/>
      <w:color w:val="0F4761" w:themeColor="accent1" w:themeShade="BF"/>
    </w:rPr>
  </w:style>
  <w:style w:type="character" w:styleId="IntenseReference">
    <w:name w:val="Intense Reference"/>
    <w:basedOn w:val="DefaultParagraphFont"/>
    <w:uiPriority w:val="32"/>
    <w:qFormat/>
    <w:rsid w:val="008B5451"/>
    <w:rPr>
      <w:b/>
      <w:bCs/>
      <w:smallCaps/>
      <w:color w:val="0F4761" w:themeColor="accent1" w:themeShade="BF"/>
      <w:spacing w:val="5"/>
    </w:rPr>
  </w:style>
  <w:style w:type="character" w:styleId="Hyperlink">
    <w:name w:val="Hyperlink"/>
    <w:uiPriority w:val="99"/>
    <w:unhideWhenUsed/>
    <w:rsid w:val="008B5451"/>
    <w:rPr>
      <w:color w:val="0563C1"/>
      <w:u w:val="single"/>
    </w:rPr>
  </w:style>
  <w:style w:type="paragraph" w:styleId="NormalWeb">
    <w:name w:val="Normal (Web)"/>
    <w:basedOn w:val="Normal"/>
    <w:uiPriority w:val="99"/>
    <w:semiHidden/>
    <w:unhideWhenUsed/>
    <w:rsid w:val="008B5451"/>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B5451"/>
    <w:pPr>
      <w:spacing w:before="240" w:after="0" w:line="259" w:lineRule="auto"/>
      <w:outlineLvl w:val="9"/>
    </w:pPr>
    <w:rPr>
      <w:sz w:val="32"/>
      <w:szCs w:val="32"/>
    </w:rPr>
  </w:style>
  <w:style w:type="paragraph" w:styleId="TOC1">
    <w:name w:val="toc 1"/>
    <w:basedOn w:val="Normal"/>
    <w:next w:val="Normal"/>
    <w:autoRedefine/>
    <w:uiPriority w:val="39"/>
    <w:unhideWhenUsed/>
    <w:rsid w:val="008B5451"/>
    <w:pPr>
      <w:spacing w:after="100"/>
    </w:pPr>
  </w:style>
  <w:style w:type="paragraph" w:styleId="TOC2">
    <w:name w:val="toc 2"/>
    <w:basedOn w:val="Normal"/>
    <w:next w:val="Normal"/>
    <w:autoRedefine/>
    <w:uiPriority w:val="39"/>
    <w:unhideWhenUsed/>
    <w:rsid w:val="008B5451"/>
    <w:pPr>
      <w:spacing w:after="100"/>
      <w:ind w:left="220"/>
    </w:pPr>
  </w:style>
  <w:style w:type="paragraph" w:styleId="Footer">
    <w:name w:val="footer"/>
    <w:basedOn w:val="Normal"/>
    <w:link w:val="FooterChar"/>
    <w:uiPriority w:val="99"/>
    <w:unhideWhenUsed/>
    <w:rsid w:val="008B5451"/>
    <w:pPr>
      <w:tabs>
        <w:tab w:val="center" w:pos="4680"/>
        <w:tab w:val="right" w:pos="9360"/>
      </w:tabs>
      <w:jc w:val="both"/>
    </w:pPr>
    <w:rPr>
      <w:rFonts w:ascii="Times New Roman" w:eastAsiaTheme="minorHAnsi" w:hAnsi="Times New Roman" w:cstheme="minorBidi"/>
      <w:sz w:val="24"/>
      <w:lang w:val="en-GB"/>
      <w14:ligatures w14:val="standardContextual"/>
    </w:rPr>
  </w:style>
  <w:style w:type="character" w:customStyle="1" w:styleId="FooterChar">
    <w:name w:val="Footer Char"/>
    <w:basedOn w:val="DefaultParagraphFont"/>
    <w:link w:val="Footer"/>
    <w:uiPriority w:val="99"/>
    <w:rsid w:val="008B5451"/>
    <w:rPr>
      <w:rFonts w:ascii="Times New Roman" w:hAnsi="Times New Roman"/>
      <w:kern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1826</Words>
  <Characters>10409</Characters>
  <Application>Microsoft Office Word</Application>
  <DocSecurity>0</DocSecurity>
  <Lines>86</Lines>
  <Paragraphs>24</Paragraphs>
  <ScaleCrop>false</ScaleCrop>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Gila Serrote</dc:creator>
  <cp:keywords/>
  <dc:description/>
  <cp:lastModifiedBy>Gila Serrote</cp:lastModifiedBy>
  <cp:revision>2</cp:revision>
  <dcterms:created xsi:type="dcterms:W3CDTF">2026-08-13T07:47:00Z</dcterms:created>
  <dcterms:modified xsi:type="dcterms:W3CDTF">2026-08-13T07:47:00Z</dcterms:modified>
</cp:coreProperties>
</file>