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11F7DF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171C24">
              <w:rPr>
                <w:b/>
                <w:color w:val="auto"/>
                <w:sz w:val="32"/>
              </w:rPr>
              <w:t>Poppy Jenkins</w:t>
            </w:r>
            <w:r>
              <w:rPr>
                <w:b/>
                <w:color w:val="auto"/>
                <w:sz w:val="32"/>
              </w:rPr>
              <w:t>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277CAB7" w:rsidR="00575A8F" w:rsidRDefault="00575A8F" w:rsidP="00E6298B">
            <w:pPr>
              <w:overflowPunct/>
              <w:autoSpaceDE/>
              <w:autoSpaceDN/>
              <w:adjustRightInd/>
              <w:ind w:right="107"/>
              <w:textAlignment w:val="auto"/>
              <w:rPr>
                <w:b/>
                <w:color w:val="auto"/>
                <w:sz w:val="32"/>
              </w:rPr>
            </w:pPr>
            <w:r>
              <w:rPr>
                <w:b/>
                <w:color w:val="auto"/>
                <w:sz w:val="32"/>
              </w:rPr>
              <w:t>_____</w:t>
            </w:r>
            <w:r w:rsidR="00171C24">
              <w:rPr>
                <w:b/>
                <w:color w:val="auto"/>
                <w:sz w:val="32"/>
              </w:rPr>
              <w:t>2031348</w:t>
            </w:r>
            <w:r>
              <w:rPr>
                <w:b/>
                <w:color w:val="auto"/>
                <w:sz w:val="32"/>
              </w:rPr>
              <w:t>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86E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3BF61BF3" w14:textId="77777777"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171C24">
        <w:rPr>
          <w:rFonts w:asciiTheme="minorHAnsi" w:eastAsiaTheme="minorHAnsi" w:hAnsiTheme="minorHAnsi" w:cstheme="minorBidi"/>
          <w:noProof/>
          <w:color w:val="auto"/>
          <w:sz w:val="24"/>
          <w:szCs w:val="24"/>
          <w:lang w:eastAsia="en-US"/>
        </w:rPr>
        <w:drawing>
          <wp:anchor distT="0" distB="0" distL="114300" distR="114300" simplePos="0" relativeHeight="251659264" behindDoc="1" locked="0" layoutInCell="1" allowOverlap="1" wp14:anchorId="66B75DCD" wp14:editId="23967936">
            <wp:simplePos x="0" y="0"/>
            <wp:positionH relativeFrom="margin">
              <wp:align>center</wp:align>
            </wp:positionH>
            <wp:positionV relativeFrom="paragraph">
              <wp:posOffset>2487930</wp:posOffset>
            </wp:positionV>
            <wp:extent cx="2201545" cy="2201545"/>
            <wp:effectExtent l="0" t="0" r="8255" b="8255"/>
            <wp:wrapTight wrapText="bothSides">
              <wp:wrapPolygon edited="0">
                <wp:start x="0" y="0"/>
                <wp:lineTo x="0" y="21494"/>
                <wp:lineTo x="21494" y="21494"/>
                <wp:lineTo x="21494" y="0"/>
                <wp:lineTo x="0" y="0"/>
              </wp:wrapPolygon>
            </wp:wrapTight>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01545" cy="22015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71C24">
        <w:rPr>
          <w:rFonts w:asciiTheme="minorHAnsi" w:eastAsiaTheme="minorHAnsi" w:hAnsiTheme="minorHAnsi" w:cstheme="minorBidi"/>
          <w:color w:val="auto"/>
          <w:sz w:val="24"/>
          <w:szCs w:val="24"/>
          <w:lang w:eastAsia="en-US"/>
        </w:rPr>
        <w:t xml:space="preserve">The journey to become a Police Constable and the initial 6 months of training has been fraught with challenges, but this presented me with the opportunity to develop my resilience to stressful situations in preparation for transitioning front line policing. As part of this resilience, I implemented several coping strategies to help regulate my emotional response to external stimuli. I chose to explore the benefits of exercise, mindfulness and aromatherapy. Here I will be discussing, comparing and reflecting on the way they minimised the impact of stress on my daily life. As a method of reflection, I will be using the Gibbs Reflective Cycle. From his 1988 book, </w:t>
      </w:r>
      <w:r w:rsidRPr="00171C24">
        <w:rPr>
          <w:rFonts w:asciiTheme="minorHAnsi" w:eastAsiaTheme="minorHAnsi" w:hAnsiTheme="minorHAnsi" w:cstheme="minorBidi"/>
          <w:i/>
          <w:iCs/>
          <w:color w:val="auto"/>
          <w:sz w:val="24"/>
          <w:szCs w:val="24"/>
          <w:lang w:eastAsia="en-US"/>
        </w:rPr>
        <w:t>Learning by Doing</w:t>
      </w:r>
      <w:r w:rsidRPr="00171C24">
        <w:rPr>
          <w:rFonts w:asciiTheme="minorHAnsi" w:eastAsiaTheme="minorHAnsi" w:hAnsiTheme="minorHAnsi" w:cstheme="minorBidi"/>
          <w:color w:val="auto"/>
          <w:sz w:val="24"/>
          <w:szCs w:val="24"/>
          <w:lang w:eastAsia="en-US"/>
        </w:rPr>
        <w:t>, it was designed to give a structure to learning from our experiences and create targeted action plans moving forward.</w:t>
      </w:r>
    </w:p>
    <w:p w14:paraId="6B9B0D0B" w14:textId="77777777"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3650620C" w14:textId="77777777"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44CE345C" w14:textId="77777777"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lang w:eastAsia="en-US"/>
        </w:rPr>
      </w:pPr>
      <w:r w:rsidRPr="00171C24">
        <w:rPr>
          <w:rFonts w:asciiTheme="minorHAnsi" w:eastAsiaTheme="minorHAnsi" w:hAnsiTheme="minorHAnsi" w:cstheme="minorBidi"/>
          <w:color w:val="auto"/>
          <w:lang w:eastAsia="en-US"/>
        </w:rPr>
        <w:t>Image 1: Gibbs Reflective Cycle</w:t>
      </w:r>
    </w:p>
    <w:p w14:paraId="35BB8AA2" w14:textId="77777777"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76C24130" w14:textId="77777777"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154BD490"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19265130"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BE6DCF">
        <w:rPr>
          <w:rFonts w:asciiTheme="minorHAnsi" w:eastAsiaTheme="minorHAnsi" w:hAnsiTheme="minorHAnsi" w:cstheme="minorBidi"/>
          <w:color w:val="auto"/>
          <w:sz w:val="24"/>
          <w:szCs w:val="24"/>
          <w:lang w:eastAsia="en-US"/>
        </w:rPr>
        <w:t xml:space="preserve">It is first important to understand what we mean by stress and resilience. As acclaimed researcher into the physiological response to stress, Hans Selye put it, “a complete freedom of stress is death” (1975, p. 20). From this we can take it that stress is an inevitable unavoidable feature of life, and a shared experience across humanity. It is when this stress seeps into other aspects of life, forcing us </w:t>
      </w:r>
      <w:r w:rsidRPr="00BE6DCF">
        <w:rPr>
          <w:rFonts w:asciiTheme="minorHAnsi" w:eastAsiaTheme="minorHAnsi" w:hAnsiTheme="minorHAnsi" w:cstheme="minorBidi"/>
          <w:color w:val="auto"/>
          <w:sz w:val="24"/>
          <w:szCs w:val="24"/>
          <w:lang w:eastAsia="en-US"/>
        </w:rPr>
        <w:lastRenderedPageBreak/>
        <w:t>to function at a heightened state for extended periods of times, that it becomes problematic and can have a negative impact on our health outside of the situation that triggered the stress. Stress is something that we should be able to switch on and off, giving us time to recover and reflect.</w:t>
      </w:r>
    </w:p>
    <w:p w14:paraId="6E054CBE"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BE6DCF">
        <w:rPr>
          <w:rFonts w:asciiTheme="minorHAnsi" w:eastAsiaTheme="minorHAnsi" w:hAnsiTheme="minorHAnsi" w:cstheme="minorBidi"/>
          <w:color w:val="auto"/>
          <w:sz w:val="24"/>
          <w:szCs w:val="24"/>
          <w:lang w:eastAsia="en-US"/>
        </w:rPr>
        <w:t>Following on from this we have resilience which is positive adaption to adversity; allowing us to face threats and continue to be able to respond to them in a way that does not cause us any harm (Wald et al. 2006). In Herman et al, two schools of thought are discussed: one which focusses on resilience as a personality trait and the other which sees it as a dynamic process (2011, p. 259). For me personally, the act of resilience can become an unconscious response to stimuli in the immediate and for recurrent situations, but, overall, it is something that requires some conscious input appropriate to the context.</w:t>
      </w:r>
    </w:p>
    <w:p w14:paraId="5C5DF89A"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BE6DCF">
        <w:rPr>
          <w:rFonts w:asciiTheme="minorHAnsi" w:eastAsiaTheme="minorHAnsi" w:hAnsiTheme="minorHAnsi" w:cstheme="minorBidi"/>
          <w:color w:val="auto"/>
          <w:sz w:val="24"/>
          <w:szCs w:val="24"/>
          <w:lang w:eastAsia="en-US"/>
        </w:rPr>
        <w:t>Managing your response to stress and becoming resilient is crucial to policing. Stress is not a bad word as it is often framed to be (Stein, Steven and Bartone, 2000, pp. 4-5). It protects us from harm and challenges us to rely on our skills in times of need, allowing us to develop working strategies and become confident in our abilities to perform under pressure. Police officers are continuously being exposed to trauma in their role and need to develop the mental and physical strength to cope with that. The Police Federation’s 2016 Pay and Morale survey found that 25% of sick leave was attributed to stress, depression or anxiety (Police Federation, 2016). This is a huge percentage therefore by implementing effective coping strategies early I may be able to mitigate some of this impact on myself.</w:t>
      </w:r>
    </w:p>
    <w:p w14:paraId="1C171539"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3C95E70D"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BE6DCF">
        <w:rPr>
          <w:rFonts w:asciiTheme="minorHAnsi" w:eastAsiaTheme="minorHAnsi" w:hAnsiTheme="minorHAnsi" w:cstheme="minorBidi"/>
          <w:color w:val="auto"/>
          <w:sz w:val="24"/>
          <w:szCs w:val="24"/>
          <w:lang w:eastAsia="en-US"/>
        </w:rPr>
        <w:t>I began by looking at me previous experiences of minimising stress and developing resilience. I reflected on these and sought to firmly integrate exercise into my new timetable in police training. Previously I had the flexibility to use my local leisure facilities whenever I wanted as I worked shifts meaning I could go during the day when it was quieter. However, transitioning to a 9-5 schedule meant adapting when I was active around work and altering my expectations of my own performance as I did not necessarily have the same energy levels at the times I was used to. From her research into techniques of coping with stress, Berger asserted that exercise is associated with self-reported mood benefits, self-esteem, and decreased stress reactivity (1994, pp. 100-119). I found in practice that on days where we studied a particularly heavy topic, or I was revising for an exam, I felt a greater release of stress after I had been to the gym, supporting these academic findings.</w:t>
      </w:r>
    </w:p>
    <w:p w14:paraId="3738EA4C"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BE6DCF">
        <w:rPr>
          <w:rFonts w:asciiTheme="minorHAnsi" w:eastAsiaTheme="minorHAnsi" w:hAnsiTheme="minorHAnsi" w:cstheme="minorBidi"/>
          <w:color w:val="auto"/>
          <w:sz w:val="24"/>
          <w:szCs w:val="24"/>
          <w:lang w:eastAsia="en-US"/>
        </w:rPr>
        <w:lastRenderedPageBreak/>
        <w:t>I was first introduced to mindfulness when I was in sixth form and experiencing a lot of external stress that I found I could no longer overcome by exercise alone. Mindfulness is becoming increasingly recognised as an effective psychological practice for stress in Western societies and is strongly supported by the NHS (Chiesa and Serretti, 2010, pp. 1239-1252). Derived from the language of Buddhist psychology, mindfulness stems from “awareness” and “clear comprehension” indicating an attentiveness to our surroundings in the present moment (Gerucci et al. 2015). At the beginning of my mindfulness journey I overlooked the simplicity of this, consistently doubting my ability to do it correctly. With deeper thought though, I realised this was a symptom of the stress and that it takes time to learn the skill of self-awareness.</w:t>
      </w:r>
    </w:p>
    <w:p w14:paraId="1D8134D0"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BE6DCF">
        <w:rPr>
          <w:rFonts w:asciiTheme="minorHAnsi" w:eastAsiaTheme="minorHAnsi" w:hAnsiTheme="minorHAnsi" w:cstheme="minorBidi"/>
          <w:color w:val="auto"/>
          <w:sz w:val="24"/>
          <w:szCs w:val="24"/>
          <w:lang w:eastAsia="en-US"/>
        </w:rPr>
        <w:t>Prior to this intervention I had relied almost exclusively on exercise as my tool to relax which had near instant results whereas now I was initiating a process. Whilst I am not an inpatient person, I was certainly shocked by how long it felt I had to wait to feel a benefit. With hindsight this persistence allowed mindfulness to become a more natural process. Kabat-Zinn has complied what they view as some of the core elements of mindfulness which I relied on when completing my police training, which include being non-judgemental, trusting and accepting (1990). I view these as being extremely transferable to policing and I feel they would have a strong place in my work when out of training.</w:t>
      </w:r>
    </w:p>
    <w:p w14:paraId="00D3C2D1"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56E588B1" w14:textId="77777777" w:rsidR="00171C24" w:rsidRPr="00BE6DCF"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BE6DCF">
        <w:rPr>
          <w:rFonts w:asciiTheme="minorHAnsi" w:eastAsiaTheme="minorHAnsi" w:hAnsiTheme="minorHAnsi" w:cstheme="minorBidi"/>
          <w:color w:val="auto"/>
          <w:sz w:val="24"/>
          <w:szCs w:val="24"/>
          <w:lang w:eastAsia="en-US"/>
        </w:rPr>
        <w:t xml:space="preserve">Something that unintentionally had a role to play in my response to stress was aromatherapy. At the beginning of training I volunteered to be a participant for a master’s research project where I would use an aromatherapy blend twice a day to help reduce my acne, with it being designed to have calming and relaxing properties. There are significant health and wellbeing benefits associated with aromatherapy blends particularly for reducing unwanted stress, so much so that some GPs are offering it as alternative treatments (Price, S. and Price, L., 2011, p. 221). </w:t>
      </w:r>
    </w:p>
    <w:p w14:paraId="7A08F5A6" w14:textId="421D94D8"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BE6DCF">
        <w:rPr>
          <w:rFonts w:asciiTheme="minorHAnsi" w:eastAsiaTheme="minorHAnsi" w:hAnsiTheme="minorHAnsi" w:cstheme="minorBidi"/>
          <w:color w:val="auto"/>
          <w:sz w:val="24"/>
          <w:szCs w:val="24"/>
          <w:lang w:eastAsia="en-US"/>
        </w:rPr>
        <w:t>Though, with that being said, and despite seeing a benefit in my skin, I did not feel that my overall stress and resilience levels were improved by aromatherapy alone. It is evidential to me that I did not actively engage enough with this method for it to legitimately minimise my stress and any effect it did have was largely outweighed by my consistent use of exercise and development of a mindfulness process. Going forward, if I was to pursue aromatherapy as a legitimate strategy, I would need to seek out blends that include lavender and chamomile due to their relaxation properties (Worward, 2016, p. 97).</w:t>
      </w:r>
    </w:p>
    <w:p w14:paraId="44C4D5F8" w14:textId="77777777"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171C24">
        <w:rPr>
          <w:rFonts w:asciiTheme="minorHAnsi" w:eastAsiaTheme="minorHAnsi" w:hAnsiTheme="minorHAnsi" w:cstheme="minorBidi"/>
          <w:color w:val="auto"/>
          <w:sz w:val="24"/>
          <w:szCs w:val="24"/>
          <w:lang w:eastAsia="en-US"/>
        </w:rPr>
        <w:lastRenderedPageBreak/>
        <w:t>Attempting to introduce too much change in a small amount of time has contributed to the limited impact of aromatherapy on my response to stress. It is simply that whilst focusing my mental attention on studying I responded better to physical outlets for my stress. This is not to say aromatherapy cannot be a useful coping strategy for me in the future when I am more able to dedicate time to learning and appreciating it.</w:t>
      </w:r>
    </w:p>
    <w:p w14:paraId="4E515DE4" w14:textId="77777777"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171C24">
        <w:rPr>
          <w:rFonts w:asciiTheme="minorHAnsi" w:eastAsiaTheme="minorHAnsi" w:hAnsiTheme="minorHAnsi" w:cstheme="minorBidi"/>
          <w:color w:val="auto"/>
          <w:sz w:val="24"/>
          <w:szCs w:val="24"/>
          <w:lang w:eastAsia="en-US"/>
        </w:rPr>
        <w:t>The continuation of physical activity throughout these six months has helped me to minimise the feeling of stress in a separate environment away from the stimuli. It has also allowed me to become physically stronger meaning I can stay fit for work as per the Code of Ethics. With that being said, it is mindfulness that I feel is the most transferable to policing in addition to its role in developing resilience. Mindfulness helps regain perspective of what it is possible to control at times when work can feel overwhelming. Communication is paramount in policing and by improving my communication with myself I anticipate it will help me communicate with others. At times of crisis people often struggle to articulate their feelings but by being more receptive and tuned in to this I hope to be better able to help others.</w:t>
      </w:r>
    </w:p>
    <w:p w14:paraId="228BC2A8" w14:textId="77777777" w:rsidR="00171C24" w:rsidRPr="00171C24" w:rsidRDefault="00171C24" w:rsidP="00171C24">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171C24">
        <w:rPr>
          <w:rFonts w:asciiTheme="minorHAnsi" w:eastAsiaTheme="minorHAnsi" w:hAnsiTheme="minorHAnsi" w:cstheme="minorBidi"/>
          <w:color w:val="auto"/>
          <w:sz w:val="24"/>
          <w:szCs w:val="24"/>
          <w:lang w:eastAsia="en-US"/>
        </w:rPr>
        <w:t>Going forward I will amend my action plan in order to adapt to my new shift pattern. Exercise will continue to play a major role in my coping strategies for reducing stress and boosting resilience however I will adjust my personal expectations to reflect how I may not always have the time or energy to perform the way I expect. What this has taught me is the need to be consistent. While work may have ups and downs continuing my exercise routine will give me the stability to thrive at work.</w:t>
      </w: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5D2DD3A7" w:rsidR="00FF7784" w:rsidRPr="00BE6DCF" w:rsidRDefault="00BE6DCF" w:rsidP="00E6298B">
      <w:pPr>
        <w:ind w:right="107"/>
        <w:jc w:val="both"/>
        <w:rPr>
          <w:b/>
          <w:bCs/>
          <w:sz w:val="24"/>
          <w:szCs w:val="24"/>
        </w:rPr>
      </w:pPr>
      <w:r w:rsidRPr="00BE6DCF">
        <w:rPr>
          <w:b/>
          <w:bCs/>
          <w:sz w:val="24"/>
          <w:szCs w:val="24"/>
        </w:rPr>
        <w:t>Word count = 1422</w:t>
      </w: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bookmarkStart w:id="0" w:name="_Hlk95837743"/>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8962DC" w:rsidRDefault="003B2A14" w:rsidP="00E6298B">
      <w:pPr>
        <w:ind w:right="107"/>
        <w:jc w:val="both"/>
        <w:rPr>
          <w:color w:val="auto"/>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8962DC">
        <w:rPr>
          <w:color w:val="auto"/>
          <w:sz w:val="24"/>
          <w:szCs w:val="24"/>
        </w:rPr>
        <w:t xml:space="preserve">reflect on what happened. </w:t>
      </w:r>
    </w:p>
    <w:p w14:paraId="7DE79D7D" w14:textId="77777777" w:rsidR="00025650" w:rsidRPr="008962DC" w:rsidRDefault="00025650" w:rsidP="00E6298B">
      <w:pPr>
        <w:ind w:right="107"/>
        <w:jc w:val="both"/>
        <w:rPr>
          <w:color w:val="auto"/>
          <w:sz w:val="24"/>
          <w:szCs w:val="24"/>
        </w:rPr>
      </w:pPr>
    </w:p>
    <w:p w14:paraId="51CBDFCB" w14:textId="77777777" w:rsidR="003B2A14" w:rsidRPr="008962DC" w:rsidRDefault="003B2A14"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8962DC" w14:paraId="7EAC707B" w14:textId="77777777" w:rsidTr="28A9B94D">
        <w:tc>
          <w:tcPr>
            <w:tcW w:w="10188" w:type="dxa"/>
            <w:shd w:val="clear" w:color="auto" w:fill="auto"/>
          </w:tcPr>
          <w:p w14:paraId="15555FE4" w14:textId="77777777" w:rsidR="003B2A14" w:rsidRPr="008962DC" w:rsidRDefault="003B2A14" w:rsidP="00E6298B">
            <w:pPr>
              <w:ind w:right="107"/>
              <w:rPr>
                <w:color w:val="auto"/>
                <w:sz w:val="24"/>
                <w:szCs w:val="24"/>
              </w:rPr>
            </w:pPr>
          </w:p>
          <w:p w14:paraId="074C6BF3" w14:textId="37DEFC58" w:rsidR="003B2A14" w:rsidRPr="008962DC" w:rsidRDefault="28A9B94D" w:rsidP="28A9B94D">
            <w:pPr>
              <w:ind w:right="107"/>
              <w:jc w:val="both"/>
              <w:rPr>
                <w:color w:val="auto"/>
                <w:sz w:val="24"/>
                <w:szCs w:val="24"/>
              </w:rPr>
            </w:pPr>
            <w:r w:rsidRPr="008962DC">
              <w:rPr>
                <w:b/>
                <w:bCs/>
                <w:color w:val="auto"/>
                <w:sz w:val="24"/>
                <w:szCs w:val="24"/>
              </w:rPr>
              <w:t xml:space="preserve">Critically assess </w:t>
            </w:r>
            <w:r w:rsidRPr="008962DC">
              <w:rPr>
                <w:color w:val="auto"/>
                <w:sz w:val="24"/>
                <w:szCs w:val="24"/>
              </w:rPr>
              <w:t xml:space="preserve">the incident including social and legislative contexts and any relevant cultural, ethnicity and language issues. </w:t>
            </w:r>
          </w:p>
          <w:p w14:paraId="19D5ECA5" w14:textId="77777777" w:rsidR="003B2A14" w:rsidRPr="008962DC" w:rsidRDefault="003B2A14" w:rsidP="00E6298B">
            <w:pPr>
              <w:ind w:right="107"/>
              <w:rPr>
                <w:color w:val="auto"/>
                <w:sz w:val="24"/>
                <w:szCs w:val="24"/>
              </w:rPr>
            </w:pPr>
          </w:p>
          <w:p w14:paraId="3EE44597" w14:textId="18F3A413" w:rsidR="003B2A14" w:rsidRPr="008962DC" w:rsidRDefault="28A9B94D" w:rsidP="28A9B94D">
            <w:pPr>
              <w:ind w:right="107"/>
              <w:jc w:val="both"/>
              <w:rPr>
                <w:color w:val="auto"/>
                <w:sz w:val="24"/>
                <w:szCs w:val="24"/>
              </w:rPr>
            </w:pPr>
            <w:r w:rsidRPr="008962DC">
              <w:rPr>
                <w:b/>
                <w:bCs/>
                <w:color w:val="auto"/>
                <w:sz w:val="24"/>
                <w:szCs w:val="24"/>
              </w:rPr>
              <w:t xml:space="preserve">Reflect on your application </w:t>
            </w:r>
            <w:r w:rsidRPr="008962DC">
              <w:rPr>
                <w:color w:val="auto"/>
                <w:sz w:val="24"/>
                <w:szCs w:val="24"/>
              </w:rPr>
              <w:t>of</w:t>
            </w:r>
            <w:r w:rsidRPr="008962DC">
              <w:rPr>
                <w:b/>
                <w:bCs/>
                <w:color w:val="auto"/>
                <w:sz w:val="24"/>
                <w:szCs w:val="24"/>
              </w:rPr>
              <w:t xml:space="preserve"> </w:t>
            </w:r>
            <w:r w:rsidRPr="008962DC">
              <w:rPr>
                <w:color w:val="auto"/>
                <w:sz w:val="24"/>
                <w:szCs w:val="24"/>
              </w:rPr>
              <w:t>the fundamental elements of effective communication used (verbal, non-verbal, active listening skills, open and closed questions, building rapport and negotiation skills).</w:t>
            </w:r>
          </w:p>
          <w:p w14:paraId="564E8EEA" w14:textId="77777777" w:rsidR="003B2A14" w:rsidRPr="008962DC" w:rsidRDefault="003B2A14" w:rsidP="00E6298B">
            <w:pPr>
              <w:ind w:right="107"/>
              <w:jc w:val="both"/>
              <w:rPr>
                <w:color w:val="auto"/>
                <w:sz w:val="24"/>
                <w:szCs w:val="24"/>
              </w:rPr>
            </w:pPr>
          </w:p>
          <w:p w14:paraId="1ECD97C7" w14:textId="5BE573F6" w:rsidR="003B2A14" w:rsidRPr="008962DC" w:rsidRDefault="28A9B94D" w:rsidP="28A9B94D">
            <w:pPr>
              <w:ind w:right="107"/>
              <w:jc w:val="both"/>
              <w:rPr>
                <w:color w:val="auto"/>
                <w:sz w:val="24"/>
                <w:szCs w:val="24"/>
              </w:rPr>
            </w:pPr>
            <w:r w:rsidRPr="008962DC">
              <w:rPr>
                <w:b/>
                <w:bCs/>
                <w:color w:val="auto"/>
                <w:sz w:val="24"/>
                <w:szCs w:val="24"/>
              </w:rPr>
              <w:t>Describe</w:t>
            </w:r>
            <w:r w:rsidRPr="008962DC">
              <w:rPr>
                <w:color w:val="auto"/>
                <w:sz w:val="24"/>
                <w:szCs w:val="24"/>
              </w:rPr>
              <w:t xml:space="preserve"> the process for determining whether the use of force was necessary in a conflict situation (including a </w:t>
            </w:r>
            <w:r w:rsidRPr="008962DC">
              <w:rPr>
                <w:b/>
                <w:bCs/>
                <w:color w:val="auto"/>
                <w:sz w:val="24"/>
                <w:szCs w:val="24"/>
              </w:rPr>
              <w:t>critical evaluation</w:t>
            </w:r>
            <w:r w:rsidRPr="008962DC">
              <w:rPr>
                <w:color w:val="auto"/>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8962DC" w:rsidRDefault="003B2A14" w:rsidP="00E6298B">
            <w:pPr>
              <w:ind w:right="107"/>
              <w:jc w:val="both"/>
              <w:rPr>
                <w:color w:val="auto"/>
                <w:sz w:val="24"/>
                <w:szCs w:val="24"/>
              </w:rPr>
            </w:pPr>
          </w:p>
          <w:p w14:paraId="6C607ECB" w14:textId="77777777" w:rsidR="003B2A14" w:rsidRPr="008962DC" w:rsidRDefault="003B2A14" w:rsidP="00E6298B">
            <w:pPr>
              <w:ind w:right="107"/>
              <w:jc w:val="both"/>
              <w:rPr>
                <w:color w:val="auto"/>
                <w:sz w:val="24"/>
                <w:szCs w:val="24"/>
              </w:rPr>
            </w:pPr>
            <w:r w:rsidRPr="008962DC">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8962DC" w:rsidRDefault="003B2A14" w:rsidP="00E6298B">
            <w:pPr>
              <w:ind w:right="107"/>
              <w:jc w:val="both"/>
              <w:rPr>
                <w:color w:val="auto"/>
                <w:sz w:val="24"/>
                <w:szCs w:val="24"/>
              </w:rPr>
            </w:pPr>
          </w:p>
          <w:p w14:paraId="40D33DEC" w14:textId="77777777" w:rsidR="003B2A14" w:rsidRPr="008962DC" w:rsidRDefault="003B2A14" w:rsidP="00E6298B">
            <w:pPr>
              <w:ind w:right="107"/>
              <w:jc w:val="both"/>
              <w:rPr>
                <w:color w:val="auto"/>
                <w:sz w:val="24"/>
                <w:szCs w:val="24"/>
              </w:rPr>
            </w:pPr>
          </w:p>
          <w:p w14:paraId="02FB5304" w14:textId="7BF24312" w:rsidR="003B2A14" w:rsidRPr="008962DC" w:rsidRDefault="28A9B94D" w:rsidP="28A9B94D">
            <w:pPr>
              <w:ind w:right="107"/>
              <w:jc w:val="both"/>
              <w:rPr>
                <w:color w:val="auto"/>
                <w:sz w:val="24"/>
                <w:szCs w:val="24"/>
              </w:rPr>
            </w:pPr>
            <w:r w:rsidRPr="008962DC">
              <w:rPr>
                <w:color w:val="auto"/>
                <w:sz w:val="24"/>
                <w:szCs w:val="24"/>
              </w:rPr>
              <w:t xml:space="preserve">2500 words </w:t>
            </w:r>
            <w:r w:rsidRPr="008962DC">
              <w:rPr>
                <w:i/>
                <w:iCs/>
                <w:color w:val="auto"/>
                <w:sz w:val="24"/>
                <w:szCs w:val="24"/>
              </w:rPr>
              <w:t>(+/- 10%: include your actual word count at the end of each section)</w:t>
            </w:r>
          </w:p>
        </w:tc>
      </w:tr>
    </w:tbl>
    <w:p w14:paraId="38640916" w14:textId="77777777" w:rsidR="003B2A14" w:rsidRPr="008962DC" w:rsidRDefault="003B2A14" w:rsidP="00E6298B">
      <w:pPr>
        <w:ind w:right="107"/>
        <w:jc w:val="both"/>
        <w:rPr>
          <w:color w:val="auto"/>
          <w:sz w:val="24"/>
          <w:szCs w:val="24"/>
        </w:rPr>
      </w:pPr>
    </w:p>
    <w:p w14:paraId="70BD58D9" w14:textId="77777777" w:rsidR="003B2A14" w:rsidRPr="008962DC" w:rsidRDefault="003B2A14" w:rsidP="00E6298B">
      <w:pPr>
        <w:ind w:right="107"/>
        <w:jc w:val="both"/>
        <w:rPr>
          <w:b/>
          <w:color w:val="auto"/>
          <w:sz w:val="24"/>
          <w:szCs w:val="24"/>
        </w:rPr>
      </w:pPr>
      <w:r w:rsidRPr="008962DC">
        <w:rPr>
          <w:b/>
          <w:color w:val="auto"/>
          <w:sz w:val="24"/>
          <w:szCs w:val="24"/>
        </w:rPr>
        <w:t>ANSWER:</w:t>
      </w:r>
    </w:p>
    <w:p w14:paraId="6A73DBDF" w14:textId="77777777" w:rsidR="00AA666E" w:rsidRPr="008962DC" w:rsidRDefault="00AA666E" w:rsidP="00E6298B">
      <w:pPr>
        <w:ind w:right="107"/>
        <w:jc w:val="both"/>
        <w:rPr>
          <w:color w:val="auto"/>
          <w:sz w:val="24"/>
          <w:szCs w:val="24"/>
        </w:rPr>
      </w:pPr>
    </w:p>
    <w:p w14:paraId="79C6F38B" w14:textId="77777777" w:rsidR="00AA666E" w:rsidRPr="008962DC" w:rsidRDefault="00AA666E" w:rsidP="00E6298B">
      <w:pPr>
        <w:ind w:right="107"/>
        <w:jc w:val="both"/>
        <w:rPr>
          <w:color w:val="auto"/>
          <w:sz w:val="24"/>
          <w:szCs w:val="24"/>
        </w:rPr>
      </w:pPr>
    </w:p>
    <w:p w14:paraId="607A0D29" w14:textId="77777777" w:rsidR="00AA666E" w:rsidRPr="008962DC" w:rsidRDefault="00AA666E" w:rsidP="00E6298B">
      <w:pPr>
        <w:ind w:right="107"/>
        <w:jc w:val="both"/>
        <w:rPr>
          <w:color w:val="auto"/>
          <w:sz w:val="24"/>
          <w:szCs w:val="24"/>
        </w:rPr>
      </w:pPr>
    </w:p>
    <w:p w14:paraId="545B147F" w14:textId="77777777" w:rsidR="008B28E7" w:rsidRPr="008962DC" w:rsidRDefault="008B28E7" w:rsidP="00E6298B">
      <w:pPr>
        <w:ind w:right="107"/>
        <w:jc w:val="both"/>
        <w:rPr>
          <w:color w:val="auto"/>
          <w:sz w:val="24"/>
          <w:szCs w:val="24"/>
        </w:rPr>
      </w:pPr>
    </w:p>
    <w:p w14:paraId="429A88CF"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Conflict of some kind is a daily occurrence in policing with the use of force in the management of that conflict being a contentious topic. The fundamental tool of conflict management in policing, however, is tactical communication. Communication is a universal tool all officers can apply and should be the primary course of action. Here I will be discussing a call in which I was faced with a potentially armed subject and had to quickly embark on a trajectory of tactical communication and conflict management to mitigate the situation. I will critically analyse my process for determining use of force and place it within the police Code of Ethics and Human Rights framework. I will then reflect on the overall situation and highlight any identified areas of improvement with action plans. To structure my response, I will be using the Gibbs reflective cycle of experiential learning to consider my actions and Batari’s Box for conflict management.</w:t>
      </w:r>
    </w:p>
    <w:p w14:paraId="3D7F5679" w14:textId="7D254714"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lastRenderedPageBreak/>
        <w:t>One cold night I was dispatched to a call from ambulance saying a woman had called them to report her son had taken an overdose of his ADHD medication and while on the phone he had assaulted her before leaving the property with a knife. A search of the Police National Computer (PNC) for the male showed us he had markers for mental health which indicated he may be a danger to himself. My colleague and I conducted an area search given the description we were passed and found a male matching that description on an adjacent street to the caller’s address. I then detained him for a search under section 1 of the Police and Criminal Evidence Act 1984 (PACE) at which point he was put in handcuffs due to the risk of a knife. No prohibited articles were found but as an assault had been disclosed in the initial call, I took the male to wait in a marked police car while a colleague took an account from his mother. Following that account, we established a common assault with no injuries was the appropriate offence and I arrested the male who was then transported to custody where his detention was authorised.</w:t>
      </w:r>
    </w:p>
    <w:p w14:paraId="592541AA" w14:textId="1A24BC89" w:rsidR="008962DC" w:rsidRPr="008962DC" w:rsidRDefault="008962DC" w:rsidP="008962DC">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noProof/>
          <w:color w:val="auto"/>
          <w:sz w:val="24"/>
          <w:szCs w:val="24"/>
          <w:lang w:eastAsia="en-US"/>
        </w:rPr>
        <w:drawing>
          <wp:anchor distT="0" distB="0" distL="114300" distR="114300" simplePos="0" relativeHeight="251667456" behindDoc="0" locked="0" layoutInCell="1" allowOverlap="1" wp14:anchorId="2C0E5550" wp14:editId="3FB95FC2">
            <wp:simplePos x="0" y="0"/>
            <wp:positionH relativeFrom="margin">
              <wp:posOffset>1899617</wp:posOffset>
            </wp:positionH>
            <wp:positionV relativeFrom="paragraph">
              <wp:posOffset>18140</wp:posOffset>
            </wp:positionV>
            <wp:extent cx="2419350" cy="24193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pic:spPr>
                </pic:pic>
              </a:graphicData>
            </a:graphic>
            <wp14:sizeRelH relativeFrom="margin">
              <wp14:pctWidth>0</wp14:pctWidth>
            </wp14:sizeRelH>
            <wp14:sizeRelV relativeFrom="margin">
              <wp14:pctHeight>0</wp14:pctHeight>
            </wp14:sizeRelV>
          </wp:anchor>
        </w:drawing>
      </w:r>
    </w:p>
    <w:p w14:paraId="0554EB35" w14:textId="77777777" w:rsidR="008962DC" w:rsidRPr="008962DC" w:rsidRDefault="008962DC" w:rsidP="008962DC">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25CFF891" w14:textId="77777777" w:rsidR="008962DC" w:rsidRPr="008962DC" w:rsidRDefault="008962DC" w:rsidP="008962DC">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367FA1E0"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Image 1: Gibbs Reflective Cycle</w:t>
      </w:r>
    </w:p>
    <w:p w14:paraId="5971E7FD" w14:textId="77777777" w:rsidR="008962DC" w:rsidRPr="008962DC" w:rsidRDefault="008962DC" w:rsidP="008962DC">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01DDB80B" w14:textId="77777777" w:rsidR="008962DC" w:rsidRPr="008962DC" w:rsidRDefault="008962DC" w:rsidP="008962DC">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31EA3D63" w14:textId="77777777" w:rsidR="008962DC" w:rsidRPr="008962DC" w:rsidRDefault="008962DC" w:rsidP="008962DC">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0241CC13" w14:textId="77777777" w:rsidR="008962DC" w:rsidRPr="008962DC" w:rsidRDefault="008962DC" w:rsidP="008962DC">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313E957F"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In this situation I was the first person to strike up a conversation with the male. It is said that 97% of police work is communicating making this an important position as I have the ability to set the tone for how the interaction will progress (Thompson and Jenkins, 2013). The male reacted well to me which allowed for my colleague to position himself at the other side of the males fighting arc as per our Officer Safety Training (OST) guidelines in preparation for us to begin the use of the five-step appeal, which I will discuss in more depth later when I evaluate the use of force within this call.</w:t>
      </w:r>
    </w:p>
    <w:p w14:paraId="48FA0381"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 xml:space="preserve">During the incident I used a balance of verbal and non-verbal communication. I felt satisfied the male was actively listening to my verbal commands based on his responses in nodding and taking instruction well. I made a conscious effort to leave space at this stage as we were not yet in control of the situation and due to the information passed stating he was potentially in a state of mental crisis I did not want </w:t>
      </w:r>
      <w:r w:rsidRPr="008962DC">
        <w:rPr>
          <w:rFonts w:asciiTheme="majorHAnsi" w:eastAsiaTheme="minorHAnsi" w:hAnsiTheme="majorHAnsi" w:cstheme="majorHAnsi"/>
          <w:color w:val="auto"/>
          <w:sz w:val="24"/>
          <w:szCs w:val="24"/>
          <w:lang w:eastAsia="en-US"/>
        </w:rPr>
        <w:lastRenderedPageBreak/>
        <w:t>to overwhelm him or make him feel trapped. When people feel trapped, they often revert to the fight or flight part of human nature responding emotionally not rationally. This coupled with the impact factors of him being muscular and having taken an unknown drug further informed my decision to create space. Despite not being in hands-on control at this time, I believe taking this pause was necessary and beneficial as further evidenced by the calm way this situation progressed and ultimately no further force than handcuffs were used.</w:t>
      </w:r>
    </w:p>
    <w:p w14:paraId="3A653897"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After the search, we began conducting the enquiries that would dictate our next decisions in line with the Criminal Procedure and Investigations Act 1996 (CPIA). This left me with an unknown amount of time with the subject. As it was a cold evening and we had removed his jacket, I was concerned he would quickly become very cold especially as the adrenalin wore off. At this point, removing the handcuffs to replace his jacket was not an option due to the nature of the original call, me being the only officer in the immediate vicinity and that he was still detained. Based on this information I took him to sit in the back of a police car with the door open. This solution gave him the fresh air and space he needed whilst also giving me a more limited area to control. Further, this arrangement protected his dignity shielding his identity from anyone who might look out.</w:t>
      </w:r>
    </w:p>
    <w:p w14:paraId="5838D2B1"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Taking this time to build rapport with him built trust and directed his focus away from the situation (ACPO, Module 6, Communication, p. 9). While they are focused on me, I am focused on them, giving me the best possible chance to respond to any changes in behaviour. Throughout our conversation I was actively listening and giving thoughtful responses as I wanted him to understand I was listening. Feeling listened to is incredibly important as it can make you feel respected and validated, diffusing a situation (Active Listening, Conflict Management Skills, College of Policing). When people feel respected, they are more likely to cooperate. Beyond this though, respect is one of the core policing principles within the Code of Ethics and should be actively pursued for the individual beyond any gain it could have for us (Code of Ethics). In this situation I directed the topics of conversation around him and based on his disclosures I signposted him to his GP to get the professional help he needed.</w:t>
      </w:r>
    </w:p>
    <w:p w14:paraId="16F7C857"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3ACD64A2"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 xml:space="preserve">From our conversation it became apparent that the male was uncomfortable. He disclosed to me he was hit by a car when he was younger and with his hands cuffed in a rear stack position, he was experiencing pain across his shoulders and down his back. As public authorities, all of our decisions adhere to Human Rights. To help in our application of this we use the mnemonic JPLANE which stands </w:t>
      </w:r>
      <w:r w:rsidRPr="008962DC">
        <w:rPr>
          <w:rFonts w:asciiTheme="majorHAnsi" w:eastAsiaTheme="minorHAnsi" w:hAnsiTheme="majorHAnsi" w:cstheme="majorHAnsi"/>
          <w:color w:val="auto"/>
          <w:sz w:val="24"/>
          <w:szCs w:val="24"/>
          <w:lang w:eastAsia="en-US"/>
        </w:rPr>
        <w:lastRenderedPageBreak/>
        <w:t>for Justified, Proportionate, Legal, Accountable, Necessary and Ethical. It is vital we understand which powers we are using and which rights we are infringing on when we act so we can correctly document our decisions.</w:t>
      </w:r>
    </w:p>
    <w:p w14:paraId="749A6913"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 xml:space="preserve">Human Rights are divided into absolute, limited and qualified rights (Bryant and Bryant, 2020, p. 63). Qualified rights can be interfered with to protect the wider public such as article 8, the right to a private family life. Limited rights are reserved for specific circumstances, such as article 5, the right to liberty. Absolute rights cannot to be interfered with in any way. These include article 3, prohibition of torture. For this call I acknowledged how I had removed the males right to liberty by detaining him and then arresting him. However, this can be justified as being for the legitimate policing purpose of removing harm to the public. It was also a proportionate response to a crime having been committed and satisfied the arrest necessities. </w:t>
      </w:r>
    </w:p>
    <w:p w14:paraId="62BDF004"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When placing the male in handcuffs I used the ACDC mnemonic standing for “ask, check, double lock, check”. This means when placing someone in handcuffs we ask them if they are ok and then check ourselves to ensure we can fit a one finger gap in the cuff. We then double lock the cuffs to prevent them from becoming tighter and we check once again they are secure. Handcuffs are not designed to be comfortable, but they are also not intended to cause unnecessary pain. In this situation, the cuffs themselves were not causing any pain to the male’s wrists but as a result of being in a rear stack position excessive strain was being placed on his shoulders causing him pain.</w:t>
      </w:r>
    </w:p>
    <w:p w14:paraId="2BADBBDF"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Knowingly allowing someone to remain in pain when I am aware of it and can alleviate it would be unethical and in violation of article 3. As a result of my effective communication so far, we had established a good rapport. This, accompanied with his compliance to all previous instructions, gave me the confidence to make adjustments and anticipate a positive outcome. I adjusted the car seat so he could lie flat on his back, alleviating the pain. In this moment, any remaining tension or hostility disappeared, and I was completely in control. By having this respect for the male and listening to his needs I was able to create a safer working environment.</w:t>
      </w:r>
    </w:p>
    <w:p w14:paraId="430D1B80"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 xml:space="preserve">Respect is one of the core policing principles within the Code of Ethics which underpin our decision-making process along with human rights and legislation. This male was young, and I was conscious of making his first experience with the police positive. By creating positive experiences, we can help improve the public perception of the police. I want people to leave an interaction with me understanding why I did what I did and feeling respected by the way that I did it. This has the potential </w:t>
      </w:r>
      <w:r w:rsidRPr="008962DC">
        <w:rPr>
          <w:rFonts w:asciiTheme="majorHAnsi" w:eastAsiaTheme="minorHAnsi" w:hAnsiTheme="majorHAnsi" w:cstheme="majorHAnsi"/>
          <w:color w:val="auto"/>
          <w:sz w:val="24"/>
          <w:szCs w:val="24"/>
          <w:lang w:eastAsia="en-US"/>
        </w:rPr>
        <w:lastRenderedPageBreak/>
        <w:t>to create a positive cycle of interactions between the police and the public. Since this incident I have seen the male in the local area, and he has been very calm and approachable indicating to me the success of strictly adhering to Ethics and Rights in application of law.</w:t>
      </w:r>
    </w:p>
    <w:p w14:paraId="68E4CDE5"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noProof/>
          <w:color w:val="auto"/>
          <w:sz w:val="24"/>
          <w:szCs w:val="24"/>
          <w:lang w:eastAsia="en-US"/>
        </w:rPr>
        <w:drawing>
          <wp:anchor distT="0" distB="0" distL="114300" distR="114300" simplePos="0" relativeHeight="251666432" behindDoc="1" locked="0" layoutInCell="1" allowOverlap="1" wp14:anchorId="354F2064" wp14:editId="379A69BB">
            <wp:simplePos x="0" y="0"/>
            <wp:positionH relativeFrom="margin">
              <wp:posOffset>1529207</wp:posOffset>
            </wp:positionH>
            <wp:positionV relativeFrom="paragraph">
              <wp:posOffset>381</wp:posOffset>
            </wp:positionV>
            <wp:extent cx="2814955" cy="2167255"/>
            <wp:effectExtent l="0" t="0" r="4445" b="0"/>
            <wp:wrapTight wrapText="bothSides">
              <wp:wrapPolygon edited="0">
                <wp:start x="7601" y="949"/>
                <wp:lineTo x="7163" y="1899"/>
                <wp:lineTo x="5409" y="4367"/>
                <wp:lineTo x="2924" y="4557"/>
                <wp:lineTo x="2777" y="5126"/>
                <wp:lineTo x="3947" y="7405"/>
                <wp:lineTo x="1316" y="8924"/>
                <wp:lineTo x="292" y="9683"/>
                <wp:lineTo x="292" y="11771"/>
                <wp:lineTo x="2046" y="13480"/>
                <wp:lineTo x="3362" y="13480"/>
                <wp:lineTo x="2485" y="16518"/>
                <wp:lineTo x="7016" y="19556"/>
                <wp:lineTo x="7455" y="20505"/>
                <wp:lineTo x="14033" y="20505"/>
                <wp:lineTo x="14471" y="19556"/>
                <wp:lineTo x="19003" y="16518"/>
                <wp:lineTo x="17834" y="13480"/>
                <wp:lineTo x="19295" y="13480"/>
                <wp:lineTo x="21342" y="11582"/>
                <wp:lineTo x="21488" y="10063"/>
                <wp:lineTo x="20757" y="9303"/>
                <wp:lineTo x="17687" y="7405"/>
                <wp:lineTo x="18857" y="5126"/>
                <wp:lineTo x="18564" y="4557"/>
                <wp:lineTo x="16079" y="4367"/>
                <wp:lineTo x="13887" y="949"/>
                <wp:lineTo x="7601" y="949"/>
              </wp:wrapPolygon>
            </wp:wrapTight>
            <wp:docPr id="6" name="Picture 6"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etari Box Diagram"/>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14955" cy="2167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BBC693"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3ABDBCF6"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Image 2: Batari’s Box</w:t>
      </w:r>
    </w:p>
    <w:p w14:paraId="1C06EEC1"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51021D3B"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59284656"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791F2C47"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Through the lens of Batari’s Box theory I was aware from the outset that the behaviour of the male was likely to impact how I felt emotionally and consequently dictate my attitude to the situation. I have the duty to protect the public and my colleagues which relies heavily on my ability to remain calm and focused in the face of conflict. By applying Batari’s Box I was able to dynamically review how the effects of my behaviour impacted the behaviour of the male. I studied how his body language changed when I moved. I listened to how his responses changed to the instructions I gave him and the way in which I delivered them. Listening is one of the hardest human skills to develop but is invaluable in a policing context (Bryant and Bryant, 2020, p. 100).</w:t>
      </w:r>
    </w:p>
    <w:p w14:paraId="3BF2943B"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As much as the male’s mentality was already set going into that confrontation, I strongly believe my conscientious and considered approach had a significant impact on the outcome of the situation. This assertion is supported by the outcome that was achieved: the male was smoothly detained, and no further force was required. This also shows conclusively that above all else tactical communication is vital to effective police work. Going forward I will build on this experience and refer back to it when faced with conflict.</w:t>
      </w:r>
    </w:p>
    <w:p w14:paraId="642D7FC3"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 xml:space="preserve">Barati’s Box, however, relies on the idea that people can change their behaviour. As a police constable I regularly face people who are not in their rational brain, are heavily influenced by intoxicants or are in a state of crisis and not able to be reasoned with. I am not always afforded the luxury of time and space to be able to calm someone to my level without putting public safety at risk which would be in violation of my duty meaning critical reflection must be spontaneous (Christopher, 2015, p. 330). </w:t>
      </w:r>
      <w:r w:rsidRPr="008962DC">
        <w:rPr>
          <w:rFonts w:asciiTheme="majorHAnsi" w:eastAsiaTheme="minorHAnsi" w:hAnsiTheme="majorHAnsi" w:cstheme="majorHAnsi"/>
          <w:color w:val="auto"/>
          <w:sz w:val="24"/>
          <w:szCs w:val="24"/>
          <w:lang w:eastAsia="en-US"/>
        </w:rPr>
        <w:lastRenderedPageBreak/>
        <w:t>Despite being effective in this situation, I am acutely aware this theory is not always going to be feasible and I need to be prepared to pursue an alternative course of action.</w:t>
      </w:r>
    </w:p>
    <w:p w14:paraId="408B3DFF"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38D63787"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I will now evaluate my use of force during this incident. We are all able to use Common Law to protect ourselves including pre-emptive strikes when we have an honest held belief we are in immediate danger, and section 3 of the Criminal Law Act 1967 which lets us use force to prevent crime, assist in an arrest or detain someone unlawfully at large. As constables we also have section 117 of the Police and Criminal Evidence Act 1984 which allows us to use reasonable force in the execution of a PACE power which is commonly section 1 stop search and section 24 arrest. Further, we have section 76 of the Criminal Justice and Immigration Act 2008 which allows officers to take reasonable actions based on honest held beliefs.</w:t>
      </w:r>
    </w:p>
    <w:p w14:paraId="0D1D125C"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 xml:space="preserve">The initial information in this call suggested force might be necessary as there had been mention of a knife and an assault. This prompted me to mentally refer to my Officer Safety Training (OST) and think about the need to create distance, stay out of the fighting arc and the five-step appeal. The College of Policing explain this as: </w:t>
      </w:r>
    </w:p>
    <w:p w14:paraId="2F55FE82" w14:textId="77777777" w:rsidR="008962DC" w:rsidRPr="008962DC" w:rsidRDefault="008962DC" w:rsidP="008962DC">
      <w:pPr>
        <w:overflowPunct/>
        <w:autoSpaceDE/>
        <w:autoSpaceDN/>
        <w:adjustRightInd/>
        <w:spacing w:after="160"/>
        <w:textAlignment w:val="auto"/>
        <w:rPr>
          <w:rFonts w:asciiTheme="majorHAnsi" w:eastAsiaTheme="minorHAnsi" w:hAnsiTheme="majorHAnsi" w:cstheme="majorHAnsi"/>
          <w:i/>
          <w:iCs/>
          <w:color w:val="auto"/>
          <w:lang w:eastAsia="en-US"/>
        </w:rPr>
      </w:pPr>
      <w:r w:rsidRPr="008962DC">
        <w:rPr>
          <w:rFonts w:asciiTheme="majorHAnsi" w:eastAsiaTheme="minorHAnsi" w:hAnsiTheme="majorHAnsi" w:cstheme="majorHAnsi"/>
          <w:color w:val="auto"/>
          <w:sz w:val="24"/>
          <w:szCs w:val="24"/>
          <w:lang w:eastAsia="en-US"/>
        </w:rPr>
        <w:tab/>
      </w:r>
      <w:r w:rsidRPr="008962DC">
        <w:rPr>
          <w:rFonts w:asciiTheme="majorHAnsi" w:eastAsiaTheme="minorHAnsi" w:hAnsiTheme="majorHAnsi" w:cstheme="majorHAnsi"/>
          <w:i/>
          <w:iCs/>
          <w:color w:val="auto"/>
          <w:lang w:eastAsia="en-US"/>
        </w:rPr>
        <w:t>This model provides officers and staff with a way of dealing with resistance, and involves them giving the person every chance to comply with their requests.</w:t>
      </w:r>
    </w:p>
    <w:p w14:paraId="111185B7" w14:textId="77777777" w:rsidR="008962DC" w:rsidRPr="008962DC" w:rsidRDefault="008962DC" w:rsidP="008962DC">
      <w:pPr>
        <w:numPr>
          <w:ilvl w:val="0"/>
          <w:numId w:val="50"/>
        </w:numPr>
        <w:overflowPunct/>
        <w:autoSpaceDE/>
        <w:autoSpaceDN/>
        <w:adjustRightInd/>
        <w:spacing w:after="160" w:line="259" w:lineRule="auto"/>
        <w:textAlignment w:val="auto"/>
        <w:rPr>
          <w:rFonts w:asciiTheme="majorHAnsi" w:eastAsiaTheme="minorHAnsi" w:hAnsiTheme="majorHAnsi" w:cstheme="majorHAnsi"/>
          <w:i/>
          <w:iCs/>
          <w:color w:val="auto"/>
          <w:lang w:eastAsia="en-US"/>
        </w:rPr>
      </w:pPr>
      <w:r w:rsidRPr="008962DC">
        <w:rPr>
          <w:rFonts w:asciiTheme="majorHAnsi" w:eastAsiaTheme="minorHAnsi" w:hAnsiTheme="majorHAnsi" w:cstheme="majorHAnsi"/>
          <w:i/>
          <w:iCs/>
          <w:color w:val="auto"/>
          <w:lang w:eastAsia="en-US"/>
        </w:rPr>
        <w:t>Simple appeal – ask the person to comply with your request.</w:t>
      </w:r>
    </w:p>
    <w:p w14:paraId="684371B4" w14:textId="77777777" w:rsidR="008962DC" w:rsidRPr="008962DC" w:rsidRDefault="008962DC" w:rsidP="008962DC">
      <w:pPr>
        <w:numPr>
          <w:ilvl w:val="0"/>
          <w:numId w:val="50"/>
        </w:numPr>
        <w:overflowPunct/>
        <w:autoSpaceDE/>
        <w:autoSpaceDN/>
        <w:adjustRightInd/>
        <w:spacing w:after="160" w:line="259" w:lineRule="auto"/>
        <w:textAlignment w:val="auto"/>
        <w:rPr>
          <w:rFonts w:asciiTheme="majorHAnsi" w:eastAsiaTheme="minorHAnsi" w:hAnsiTheme="majorHAnsi" w:cstheme="majorHAnsi"/>
          <w:i/>
          <w:iCs/>
          <w:color w:val="auto"/>
          <w:lang w:eastAsia="en-US"/>
        </w:rPr>
      </w:pPr>
      <w:r w:rsidRPr="008962DC">
        <w:rPr>
          <w:rFonts w:asciiTheme="majorHAnsi" w:eastAsiaTheme="minorHAnsi" w:hAnsiTheme="majorHAnsi" w:cstheme="majorHAnsi"/>
          <w:i/>
          <w:iCs/>
          <w:color w:val="auto"/>
          <w:lang w:eastAsia="en-US"/>
        </w:rPr>
        <w:t>Reasoned appeal – explain why the request has been made, what law (if any) has been broken, and what has caused the request.</w:t>
      </w:r>
    </w:p>
    <w:p w14:paraId="7E6DF761" w14:textId="77777777" w:rsidR="008962DC" w:rsidRPr="008962DC" w:rsidRDefault="008962DC" w:rsidP="008962DC">
      <w:pPr>
        <w:numPr>
          <w:ilvl w:val="0"/>
          <w:numId w:val="50"/>
        </w:numPr>
        <w:overflowPunct/>
        <w:autoSpaceDE/>
        <w:autoSpaceDN/>
        <w:adjustRightInd/>
        <w:spacing w:after="160" w:line="259" w:lineRule="auto"/>
        <w:textAlignment w:val="auto"/>
        <w:rPr>
          <w:rFonts w:asciiTheme="majorHAnsi" w:eastAsiaTheme="minorHAnsi" w:hAnsiTheme="majorHAnsi" w:cstheme="majorHAnsi"/>
          <w:i/>
          <w:iCs/>
          <w:color w:val="auto"/>
          <w:lang w:eastAsia="en-US"/>
        </w:rPr>
      </w:pPr>
      <w:r w:rsidRPr="008962DC">
        <w:rPr>
          <w:rFonts w:asciiTheme="majorHAnsi" w:eastAsiaTheme="minorHAnsi" w:hAnsiTheme="majorHAnsi" w:cstheme="majorHAnsi"/>
          <w:i/>
          <w:iCs/>
          <w:color w:val="auto"/>
          <w:lang w:eastAsia="en-US"/>
        </w:rPr>
        <w:t>Personal appeal – remind the person that they may be jeopardising things that are high priorities to them (eg, loss of free time if arrested, loss of money, loss of income, possibility of a criminal record, loss of respect of their partner and family).</w:t>
      </w:r>
    </w:p>
    <w:p w14:paraId="5BB84124" w14:textId="77777777" w:rsidR="008962DC" w:rsidRPr="008962DC" w:rsidRDefault="008962DC" w:rsidP="008962DC">
      <w:pPr>
        <w:numPr>
          <w:ilvl w:val="0"/>
          <w:numId w:val="50"/>
        </w:numPr>
        <w:overflowPunct/>
        <w:autoSpaceDE/>
        <w:autoSpaceDN/>
        <w:adjustRightInd/>
        <w:spacing w:after="160" w:line="259" w:lineRule="auto"/>
        <w:textAlignment w:val="auto"/>
        <w:rPr>
          <w:rFonts w:asciiTheme="majorHAnsi" w:eastAsiaTheme="minorHAnsi" w:hAnsiTheme="majorHAnsi" w:cstheme="majorHAnsi"/>
          <w:i/>
          <w:iCs/>
          <w:color w:val="auto"/>
          <w:lang w:eastAsia="en-US"/>
        </w:rPr>
      </w:pPr>
      <w:r w:rsidRPr="008962DC">
        <w:rPr>
          <w:rFonts w:asciiTheme="majorHAnsi" w:eastAsiaTheme="minorHAnsi" w:hAnsiTheme="majorHAnsi" w:cstheme="majorHAnsi"/>
          <w:i/>
          <w:iCs/>
          <w:color w:val="auto"/>
          <w:lang w:eastAsia="en-US"/>
        </w:rPr>
        <w:t>Final appeal – tell the person what is required and use a phrase that means the same as the following: 'Is there anything I can reasonably do to make you cooperate with me/us?'</w:t>
      </w:r>
    </w:p>
    <w:p w14:paraId="46A7FA7D" w14:textId="77777777" w:rsidR="008962DC" w:rsidRPr="008962DC" w:rsidRDefault="008962DC" w:rsidP="008962DC">
      <w:pPr>
        <w:numPr>
          <w:ilvl w:val="0"/>
          <w:numId w:val="50"/>
        </w:numPr>
        <w:overflowPunct/>
        <w:autoSpaceDE/>
        <w:autoSpaceDN/>
        <w:adjustRightInd/>
        <w:spacing w:after="160" w:line="259" w:lineRule="auto"/>
        <w:textAlignment w:val="auto"/>
        <w:rPr>
          <w:rFonts w:asciiTheme="majorHAnsi" w:eastAsiaTheme="minorHAnsi" w:hAnsiTheme="majorHAnsi" w:cstheme="majorHAnsi"/>
          <w:i/>
          <w:iCs/>
          <w:color w:val="auto"/>
          <w:lang w:eastAsia="en-US"/>
        </w:rPr>
      </w:pPr>
      <w:r w:rsidRPr="008962DC">
        <w:rPr>
          <w:rFonts w:asciiTheme="majorHAnsi" w:eastAsiaTheme="minorHAnsi" w:hAnsiTheme="majorHAnsi" w:cstheme="majorHAnsi"/>
          <w:i/>
          <w:iCs/>
          <w:color w:val="auto"/>
          <w:lang w:eastAsia="en-US"/>
        </w:rPr>
        <w:t>Action – reasonable force may be the only option left in the case of continued resistance.</w:t>
      </w:r>
    </w:p>
    <w:p w14:paraId="35416347" w14:textId="77777777" w:rsidR="008962DC" w:rsidRPr="008962DC" w:rsidRDefault="008962DC" w:rsidP="008962DC">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lang w:eastAsia="en-US"/>
        </w:rPr>
        <w:t xml:space="preserve">Five step appeal, College of Policing, </w:t>
      </w:r>
      <w:hyperlink r:id="rId23" w:history="1">
        <w:r w:rsidRPr="008962DC">
          <w:rPr>
            <w:rFonts w:asciiTheme="majorHAnsi" w:eastAsiaTheme="minorHAnsi" w:hAnsiTheme="majorHAnsi" w:cstheme="majorHAnsi"/>
            <w:color w:val="auto"/>
            <w:u w:val="single"/>
            <w:lang w:eastAsia="en-US"/>
          </w:rPr>
          <w:t>https://www.college.police.uk/guidance/conflict-management/conflict-management-skills</w:t>
        </w:r>
      </w:hyperlink>
      <w:r w:rsidRPr="008962DC">
        <w:rPr>
          <w:rFonts w:asciiTheme="majorHAnsi" w:eastAsiaTheme="minorHAnsi" w:hAnsiTheme="majorHAnsi" w:cstheme="majorHAnsi"/>
          <w:color w:val="auto"/>
          <w:sz w:val="24"/>
          <w:szCs w:val="24"/>
          <w:lang w:eastAsia="en-US"/>
        </w:rPr>
        <w:t xml:space="preserve"> </w:t>
      </w:r>
    </w:p>
    <w:p w14:paraId="288A7AC7"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Due to my successful communication and the male’s receptive attitude we were able to stop after the simple appeal stage. If there had been resistance however, I would have progressed through making reasonable, personal and final appeals before taking action through my use of force powers.</w:t>
      </w:r>
    </w:p>
    <w:p w14:paraId="6394F1EB"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 xml:space="preserve">Although officer safety is important, we have a responsibility in the Code of Ethics, “selflessness”, protect the public. Based on the limited information we had at this stage we could reasonably believe </w:t>
      </w:r>
      <w:r w:rsidRPr="008962DC">
        <w:rPr>
          <w:rFonts w:asciiTheme="majorHAnsi" w:eastAsiaTheme="minorHAnsi" w:hAnsiTheme="majorHAnsi" w:cstheme="majorHAnsi"/>
          <w:color w:val="auto"/>
          <w:sz w:val="24"/>
          <w:szCs w:val="24"/>
          <w:lang w:eastAsia="en-US"/>
        </w:rPr>
        <w:lastRenderedPageBreak/>
        <w:t xml:space="preserve">the public were in danger from this individual meaning we had to do everything in our power to mitigate that threat. Knife crime is a huge threat to officers as knives and bladed articles can be easily concealed and quickly brandished. (knife crime stats). </w:t>
      </w:r>
    </w:p>
    <w:p w14:paraId="6411A51A"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Police officers develop working strategies using the National Decision Model (NDM) which is underpinned by the Code of Ethics (Bryant and Bryant, 2020, p. 77). Essentially this is a process of dynamic risk assessments where, based on the information you are presented with, you assess the threat to develop a working strategy. You then consider your powers and policies for what you want to achieve to identify options and contingencies. Once this is complete, you can take action and review, before beginning the process again if necessary. By analysing my own thought processes, I have found it to be an accurate articulation of the mental decision-making process I already used. Having a single model nationally for all officers to work through has created a situation where everybody, when presented with that original information, would come to the same conclusions. Here I wanted to detain a potentially violent offender. By using my powers under PACE and tactical communication I was able to quickly take control and limit risk to the public.</w:t>
      </w:r>
    </w:p>
    <w:p w14:paraId="13F7C365"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230FB137" w14:textId="77777777" w:rsidR="008962DC" w:rsidRPr="008962DC" w:rsidRDefault="008962DC" w:rsidP="008962DC">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8962DC">
        <w:rPr>
          <w:rFonts w:asciiTheme="majorHAnsi" w:eastAsiaTheme="minorHAnsi" w:hAnsiTheme="majorHAnsi" w:cstheme="majorHAnsi"/>
          <w:color w:val="auto"/>
          <w:sz w:val="24"/>
          <w:szCs w:val="24"/>
          <w:lang w:eastAsia="en-US"/>
        </w:rPr>
        <w:t>Going into this situation my intention was to deescalate and neutralise risk. Due to the initial threat level the response was necessary and proportionate and was constantly re-adjusted to the level of risk being posed in that moment. I believe my conscientious efforts at effective communication aided in the management of this conflict situation as evidenced above. The subject in this case was very amenable to me and while my actions were successful on this occasion, I am aware I will not always be faced with such compliance and will need to be prepared to take more direct action.</w:t>
      </w:r>
    </w:p>
    <w:p w14:paraId="452E40A6" w14:textId="418E6D8D" w:rsidR="008B28E7" w:rsidRPr="00BE6DCF" w:rsidRDefault="008B28E7" w:rsidP="00E6298B">
      <w:pPr>
        <w:ind w:right="107"/>
        <w:jc w:val="both"/>
        <w:rPr>
          <w:rFonts w:asciiTheme="majorHAnsi" w:hAnsiTheme="majorHAnsi" w:cstheme="majorHAnsi"/>
          <w:sz w:val="24"/>
          <w:szCs w:val="24"/>
        </w:rPr>
      </w:pPr>
    </w:p>
    <w:p w14:paraId="1A730B74" w14:textId="77777777" w:rsidR="008B28E7" w:rsidRPr="00BE6DCF" w:rsidRDefault="008B28E7" w:rsidP="00E6298B">
      <w:pPr>
        <w:ind w:right="107"/>
        <w:jc w:val="both"/>
        <w:rPr>
          <w:rFonts w:asciiTheme="majorHAnsi" w:hAnsiTheme="majorHAnsi" w:cstheme="majorHAnsi"/>
          <w:sz w:val="24"/>
          <w:szCs w:val="24"/>
        </w:rPr>
      </w:pPr>
    </w:p>
    <w:p w14:paraId="4A8B313D" w14:textId="77777777" w:rsidR="008B28E7" w:rsidRPr="00BE6DCF" w:rsidRDefault="008B28E7" w:rsidP="00E6298B">
      <w:pPr>
        <w:ind w:right="107"/>
        <w:jc w:val="both"/>
        <w:rPr>
          <w:rFonts w:asciiTheme="majorHAnsi" w:hAnsiTheme="majorHAnsi" w:cstheme="majorHAnsi"/>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43241FE5" w:rsidR="008B28E7" w:rsidRPr="00BE6DCF" w:rsidRDefault="00BE6DCF" w:rsidP="00E6298B">
      <w:pPr>
        <w:ind w:right="107"/>
        <w:jc w:val="both"/>
        <w:rPr>
          <w:b/>
          <w:bCs/>
          <w:sz w:val="24"/>
          <w:szCs w:val="24"/>
        </w:rPr>
      </w:pPr>
      <w:r w:rsidRPr="00BE6DCF">
        <w:rPr>
          <w:b/>
          <w:bCs/>
          <w:sz w:val="24"/>
          <w:szCs w:val="24"/>
        </w:rPr>
        <w:t>Word count = 2494</w:t>
      </w: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bookmarkEnd w:id="0"/>
    <w:p w14:paraId="53D8D511" w14:textId="77777777" w:rsidR="00112751" w:rsidRPr="00270EEB" w:rsidRDefault="00112751" w:rsidP="00E6298B">
      <w:pPr>
        <w:ind w:right="107"/>
        <w:jc w:val="both"/>
        <w:rPr>
          <w:sz w:val="24"/>
          <w:szCs w:val="24"/>
        </w:rPr>
      </w:pPr>
    </w:p>
    <w:p w14:paraId="08F03AC8"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It is imperative the way we police our communities is fair and promotes inclusivity.</w:t>
      </w:r>
      <w:r w:rsidRPr="00523CE2">
        <w:rPr>
          <w:rFonts w:asciiTheme="majorHAnsi" w:eastAsiaTheme="minorHAnsi" w:hAnsiTheme="majorHAnsi" w:cstheme="majorHAnsi"/>
          <w:color w:val="auto"/>
          <w:sz w:val="24"/>
          <w:szCs w:val="24"/>
          <w:lang w:eastAsia="en-US"/>
        </w:rPr>
        <w:t xml:space="preserve"> It is our duty as police constables to act with integrity and show leadership by setting the example we want to see. </w:t>
      </w:r>
      <w:r w:rsidRPr="000F74CF">
        <w:rPr>
          <w:rFonts w:asciiTheme="majorHAnsi" w:eastAsiaTheme="minorHAnsi" w:hAnsiTheme="majorHAnsi" w:cstheme="majorHAnsi"/>
          <w:color w:val="auto"/>
          <w:sz w:val="24"/>
          <w:szCs w:val="24"/>
          <w:lang w:eastAsia="en-US"/>
        </w:rPr>
        <w:t>Within the criminal justice system, the police have a multitude of responsibilities dictated by the relevant Codes of Practice</w:t>
      </w:r>
      <w:r w:rsidRPr="00523CE2">
        <w:rPr>
          <w:rFonts w:asciiTheme="majorHAnsi" w:eastAsiaTheme="minorHAnsi" w:hAnsiTheme="majorHAnsi" w:cstheme="majorHAnsi"/>
          <w:color w:val="auto"/>
          <w:sz w:val="24"/>
          <w:szCs w:val="24"/>
          <w:lang w:eastAsia="en-US"/>
        </w:rPr>
        <w:t xml:space="preserve"> within the Police and Criminal Evidence Act 1984 (PACE) and Criminal Procedure and Investigations Act 1967.</w:t>
      </w:r>
      <w:r w:rsidRPr="000F74CF">
        <w:rPr>
          <w:rFonts w:asciiTheme="majorHAnsi" w:eastAsiaTheme="minorHAnsi" w:hAnsiTheme="majorHAnsi" w:cstheme="majorHAnsi"/>
          <w:color w:val="auto"/>
          <w:sz w:val="24"/>
          <w:szCs w:val="24"/>
          <w:lang w:eastAsia="en-US"/>
        </w:rPr>
        <w:t xml:space="preserve"> These give us guidelines for how to treat victims and </w:t>
      </w:r>
      <w:r w:rsidRPr="00523CE2">
        <w:rPr>
          <w:rFonts w:asciiTheme="majorHAnsi" w:eastAsiaTheme="minorHAnsi" w:hAnsiTheme="majorHAnsi" w:cstheme="majorHAnsi"/>
          <w:color w:val="auto"/>
          <w:sz w:val="24"/>
          <w:szCs w:val="24"/>
          <w:lang w:eastAsia="en-US"/>
        </w:rPr>
        <w:t>witnesses and</w:t>
      </w:r>
      <w:r w:rsidRPr="000F74CF">
        <w:rPr>
          <w:rFonts w:asciiTheme="majorHAnsi" w:eastAsiaTheme="minorHAnsi" w:hAnsiTheme="majorHAnsi" w:cstheme="majorHAnsi"/>
          <w:color w:val="auto"/>
          <w:sz w:val="24"/>
          <w:szCs w:val="24"/>
          <w:lang w:eastAsia="en-US"/>
        </w:rPr>
        <w:t xml:space="preserve"> set standards for what people can expect from us. In addition to this we have a duty to adapt ourselves to an</w:t>
      </w:r>
      <w:r w:rsidRPr="00523CE2">
        <w:rPr>
          <w:rFonts w:asciiTheme="majorHAnsi" w:eastAsiaTheme="minorHAnsi" w:hAnsiTheme="majorHAnsi" w:cstheme="majorHAnsi"/>
          <w:color w:val="auto"/>
          <w:sz w:val="24"/>
          <w:szCs w:val="24"/>
          <w:lang w:eastAsia="en-US"/>
        </w:rPr>
        <w:t>y</w:t>
      </w:r>
      <w:r w:rsidRPr="000F74CF">
        <w:rPr>
          <w:rFonts w:asciiTheme="majorHAnsi" w:eastAsiaTheme="minorHAnsi" w:hAnsiTheme="majorHAnsi" w:cstheme="majorHAnsi"/>
          <w:color w:val="auto"/>
          <w:sz w:val="24"/>
          <w:szCs w:val="24"/>
          <w:lang w:eastAsia="en-US"/>
        </w:rPr>
        <w:t xml:space="preserve"> cultural, ethnic or language </w:t>
      </w:r>
      <w:r w:rsidRPr="00523CE2">
        <w:rPr>
          <w:rFonts w:asciiTheme="majorHAnsi" w:eastAsiaTheme="minorHAnsi" w:hAnsiTheme="majorHAnsi" w:cstheme="majorHAnsi"/>
          <w:color w:val="auto"/>
          <w:sz w:val="24"/>
          <w:szCs w:val="24"/>
          <w:lang w:eastAsia="en-US"/>
        </w:rPr>
        <w:t>preference</w:t>
      </w:r>
      <w:r w:rsidRPr="000F74CF">
        <w:rPr>
          <w:rFonts w:asciiTheme="majorHAnsi" w:eastAsiaTheme="minorHAnsi" w:hAnsiTheme="majorHAnsi" w:cstheme="majorHAnsi"/>
          <w:color w:val="auto"/>
          <w:sz w:val="24"/>
          <w:szCs w:val="24"/>
          <w:lang w:eastAsia="en-US"/>
        </w:rPr>
        <w:t>s</w:t>
      </w:r>
      <w:r w:rsidRPr="00523CE2">
        <w:rPr>
          <w:rFonts w:asciiTheme="majorHAnsi" w:eastAsiaTheme="minorHAnsi" w:hAnsiTheme="majorHAnsi" w:cstheme="majorHAnsi"/>
          <w:color w:val="auto"/>
          <w:sz w:val="24"/>
          <w:szCs w:val="24"/>
          <w:lang w:eastAsia="en-US"/>
        </w:rPr>
        <w:t>, using the resources available to us to overcome any barriers.</w:t>
      </w:r>
    </w:p>
    <w:p w14:paraId="030BCE65"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 xml:space="preserve">Here I will be considering and reflecting on my responsibilities to the different people involved in a </w:t>
      </w:r>
      <w:r w:rsidRPr="00523CE2">
        <w:rPr>
          <w:rFonts w:asciiTheme="majorHAnsi" w:eastAsiaTheme="minorHAnsi" w:hAnsiTheme="majorHAnsi" w:cstheme="majorHAnsi"/>
          <w:color w:val="auto"/>
          <w:sz w:val="24"/>
          <w:szCs w:val="24"/>
          <w:lang w:eastAsia="en-US"/>
        </w:rPr>
        <w:t>call I attended.</w:t>
      </w:r>
      <w:r w:rsidRPr="000F74CF">
        <w:rPr>
          <w:rFonts w:asciiTheme="majorHAnsi" w:eastAsiaTheme="minorHAnsi" w:hAnsiTheme="majorHAnsi" w:cstheme="majorHAnsi"/>
          <w:color w:val="auto"/>
          <w:sz w:val="24"/>
          <w:szCs w:val="24"/>
          <w:lang w:eastAsia="en-US"/>
        </w:rPr>
        <w:t xml:space="preserve"> I will illustrate how I engaged policing values throughout</w:t>
      </w:r>
      <w:r w:rsidRPr="00523CE2">
        <w:rPr>
          <w:rFonts w:asciiTheme="majorHAnsi" w:eastAsiaTheme="minorHAnsi" w:hAnsiTheme="majorHAnsi" w:cstheme="majorHAnsi"/>
          <w:color w:val="auto"/>
          <w:sz w:val="24"/>
          <w:szCs w:val="24"/>
          <w:lang w:eastAsia="en-US"/>
        </w:rPr>
        <w:t xml:space="preserve"> and how my actions were underpinned by ethical standards.</w:t>
      </w:r>
      <w:r w:rsidRPr="000F74CF">
        <w:rPr>
          <w:rFonts w:asciiTheme="majorHAnsi" w:eastAsiaTheme="minorHAnsi" w:hAnsiTheme="majorHAnsi" w:cstheme="majorHAnsi"/>
          <w:color w:val="auto"/>
          <w:sz w:val="24"/>
          <w:szCs w:val="24"/>
          <w:lang w:eastAsia="en-US"/>
        </w:rPr>
        <w:t xml:space="preserve"> </w:t>
      </w:r>
      <w:r w:rsidRPr="00523CE2">
        <w:rPr>
          <w:rFonts w:asciiTheme="majorHAnsi" w:eastAsiaTheme="minorHAnsi" w:hAnsiTheme="majorHAnsi" w:cstheme="majorHAnsi"/>
          <w:color w:val="auto"/>
          <w:sz w:val="24"/>
          <w:szCs w:val="24"/>
          <w:lang w:eastAsia="en-US"/>
        </w:rPr>
        <w:t>To aid this response I will be utilising the Gibbs reflective cycle based on the principles of evaluating one’s experiences and developing action plans to improve future performance.</w:t>
      </w:r>
    </w:p>
    <w:p w14:paraId="76F9B3F5"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noProof/>
          <w:color w:val="auto"/>
          <w:sz w:val="24"/>
          <w:szCs w:val="24"/>
          <w:lang w:eastAsia="en-US"/>
        </w:rPr>
        <w:lastRenderedPageBreak/>
        <w:drawing>
          <wp:anchor distT="0" distB="0" distL="114300" distR="114300" simplePos="0" relativeHeight="251664384" behindDoc="0" locked="0" layoutInCell="1" allowOverlap="1" wp14:anchorId="590BA21D" wp14:editId="536E95D2">
            <wp:simplePos x="0" y="0"/>
            <wp:positionH relativeFrom="margin">
              <wp:align>center</wp:align>
            </wp:positionH>
            <wp:positionV relativeFrom="paragraph">
              <wp:posOffset>19050</wp:posOffset>
            </wp:positionV>
            <wp:extent cx="2152650" cy="21526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52650" cy="2152650"/>
                    </a:xfrm>
                    <a:prstGeom prst="rect">
                      <a:avLst/>
                    </a:prstGeom>
                    <a:noFill/>
                  </pic:spPr>
                </pic:pic>
              </a:graphicData>
            </a:graphic>
            <wp14:sizeRelH relativeFrom="margin">
              <wp14:pctWidth>0</wp14:pctWidth>
            </wp14:sizeRelH>
            <wp14:sizeRelV relativeFrom="margin">
              <wp14:pctHeight>0</wp14:pctHeight>
            </wp14:sizeRelV>
          </wp:anchor>
        </w:drawing>
      </w:r>
    </w:p>
    <w:p w14:paraId="6479B1D8"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2BA89558"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7D761DB1" w14:textId="77777777" w:rsidR="00523CE2" w:rsidRPr="007120E1"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7120E1">
        <w:rPr>
          <w:rFonts w:asciiTheme="majorHAnsi" w:eastAsiaTheme="minorHAnsi" w:hAnsiTheme="majorHAnsi" w:cstheme="majorHAnsi"/>
          <w:color w:val="auto"/>
          <w:sz w:val="24"/>
          <w:szCs w:val="24"/>
          <w:lang w:eastAsia="en-US"/>
        </w:rPr>
        <w:t>Image 1: Gibbs Reflective Cycle</w:t>
      </w:r>
    </w:p>
    <w:p w14:paraId="375E0F81"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2E85999D"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5662D607"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28B9BB03"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One afternoon I was d</w:t>
      </w:r>
      <w:r w:rsidRPr="00523CE2">
        <w:rPr>
          <w:rFonts w:asciiTheme="majorHAnsi" w:eastAsiaTheme="minorHAnsi" w:hAnsiTheme="majorHAnsi" w:cstheme="majorHAnsi"/>
          <w:color w:val="auto"/>
          <w:sz w:val="24"/>
          <w:szCs w:val="24"/>
          <w:lang w:eastAsia="en-US"/>
        </w:rPr>
        <w:t>ispatched</w:t>
      </w:r>
      <w:r w:rsidRPr="000F74CF">
        <w:rPr>
          <w:rFonts w:asciiTheme="majorHAnsi" w:eastAsiaTheme="minorHAnsi" w:hAnsiTheme="majorHAnsi" w:cstheme="majorHAnsi"/>
          <w:color w:val="auto"/>
          <w:sz w:val="24"/>
          <w:szCs w:val="24"/>
          <w:lang w:eastAsia="en-US"/>
        </w:rPr>
        <w:t xml:space="preserve"> to an ongoing high</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 xml:space="preserve">risk </w:t>
      </w:r>
      <w:r w:rsidRPr="00523CE2">
        <w:rPr>
          <w:rFonts w:asciiTheme="majorHAnsi" w:eastAsiaTheme="minorHAnsi" w:hAnsiTheme="majorHAnsi" w:cstheme="majorHAnsi"/>
          <w:color w:val="auto"/>
          <w:sz w:val="24"/>
          <w:szCs w:val="24"/>
          <w:lang w:eastAsia="en-US"/>
        </w:rPr>
        <w:t>domestic violence call (DV)</w:t>
      </w:r>
      <w:r w:rsidRPr="000F74CF">
        <w:rPr>
          <w:rFonts w:asciiTheme="majorHAnsi" w:eastAsiaTheme="minorHAnsi" w:hAnsiTheme="majorHAnsi" w:cstheme="majorHAnsi"/>
          <w:color w:val="auto"/>
          <w:sz w:val="24"/>
          <w:szCs w:val="24"/>
          <w:lang w:eastAsia="en-US"/>
        </w:rPr>
        <w:t xml:space="preserve">. The initial call came from a woman saying her daughter and grandson were in a taxi on their way to her flat and they were being followed by her boyfriend who had threatened to kill </w:t>
      </w:r>
      <w:r w:rsidRPr="00523CE2">
        <w:rPr>
          <w:rFonts w:asciiTheme="majorHAnsi" w:eastAsiaTheme="minorHAnsi" w:hAnsiTheme="majorHAnsi" w:cstheme="majorHAnsi"/>
          <w:color w:val="auto"/>
          <w:sz w:val="24"/>
          <w:szCs w:val="24"/>
          <w:lang w:eastAsia="en-US"/>
        </w:rPr>
        <w:t>them</w:t>
      </w:r>
      <w:r w:rsidRPr="000F74CF">
        <w:rPr>
          <w:rFonts w:asciiTheme="majorHAnsi" w:eastAsiaTheme="minorHAnsi" w:hAnsiTheme="majorHAnsi" w:cstheme="majorHAnsi"/>
          <w:color w:val="auto"/>
          <w:sz w:val="24"/>
          <w:szCs w:val="24"/>
          <w:lang w:eastAsia="en-US"/>
        </w:rPr>
        <w:t xml:space="preserve">. Once at the flat, after establishing the boyfriend was not there and that all parties were </w:t>
      </w:r>
      <w:r w:rsidRPr="00523CE2">
        <w:rPr>
          <w:rFonts w:asciiTheme="majorHAnsi" w:eastAsiaTheme="minorHAnsi" w:hAnsiTheme="majorHAnsi" w:cstheme="majorHAnsi"/>
          <w:color w:val="auto"/>
          <w:sz w:val="24"/>
          <w:szCs w:val="24"/>
          <w:lang w:eastAsia="en-US"/>
        </w:rPr>
        <w:t xml:space="preserve">uninjured, </w:t>
      </w:r>
      <w:r w:rsidRPr="000F74CF">
        <w:rPr>
          <w:rFonts w:asciiTheme="majorHAnsi" w:eastAsiaTheme="minorHAnsi" w:hAnsiTheme="majorHAnsi" w:cstheme="majorHAnsi"/>
          <w:color w:val="auto"/>
          <w:sz w:val="24"/>
          <w:szCs w:val="24"/>
          <w:lang w:eastAsia="en-US"/>
        </w:rPr>
        <w:t xml:space="preserve">we began our enquires. The initial disclosure amounted to multiple offences including threats to </w:t>
      </w:r>
      <w:bookmarkStart w:id="1" w:name="_Hlk99881052"/>
      <w:r w:rsidRPr="000F74CF">
        <w:rPr>
          <w:rFonts w:asciiTheme="majorHAnsi" w:eastAsiaTheme="minorHAnsi" w:hAnsiTheme="majorHAnsi" w:cstheme="majorHAnsi"/>
          <w:color w:val="auto"/>
          <w:sz w:val="24"/>
          <w:szCs w:val="24"/>
          <w:lang w:eastAsia="en-US"/>
        </w:rPr>
        <w:t>kill, assault, criminal damage, and coercive and controlling behaviour.</w:t>
      </w:r>
      <w:bookmarkEnd w:id="1"/>
      <w:r w:rsidRPr="000F74CF">
        <w:rPr>
          <w:rFonts w:asciiTheme="majorHAnsi" w:eastAsiaTheme="minorHAnsi" w:hAnsiTheme="majorHAnsi" w:cstheme="majorHAnsi"/>
          <w:color w:val="auto"/>
          <w:sz w:val="24"/>
          <w:szCs w:val="24"/>
          <w:lang w:eastAsia="en-US"/>
        </w:rPr>
        <w:t xml:space="preserve"> This information validated the high-risk status and we requested additional units to assist with the arrest enquiries. The victim was given a comprehensive safety plan and given some time to calm down whilst we conducted a search of a property linked to the subject, before returning to her that evening to obtain a full statement. Finally, I completed a </w:t>
      </w:r>
      <w:r w:rsidRPr="00523CE2">
        <w:rPr>
          <w:rFonts w:asciiTheme="majorHAnsi" w:eastAsiaTheme="minorHAnsi" w:hAnsiTheme="majorHAnsi" w:cstheme="majorHAnsi"/>
          <w:color w:val="auto"/>
          <w:sz w:val="24"/>
          <w:szCs w:val="24"/>
          <w:lang w:eastAsia="en-US"/>
        </w:rPr>
        <w:t>Domestic Abuse, Stalking and Harassment Risk Assessment (</w:t>
      </w:r>
      <w:r w:rsidRPr="000F74CF">
        <w:rPr>
          <w:rFonts w:asciiTheme="majorHAnsi" w:eastAsiaTheme="minorHAnsi" w:hAnsiTheme="majorHAnsi" w:cstheme="majorHAnsi"/>
          <w:color w:val="auto"/>
          <w:sz w:val="24"/>
          <w:szCs w:val="24"/>
          <w:lang w:eastAsia="en-US"/>
        </w:rPr>
        <w:t>DASH</w:t>
      </w:r>
      <w:r w:rsidRPr="00523CE2">
        <w:rPr>
          <w:rFonts w:asciiTheme="majorHAnsi" w:eastAsiaTheme="minorHAnsi" w:hAnsiTheme="majorHAnsi" w:cstheme="majorHAnsi"/>
          <w:color w:val="auto"/>
          <w:sz w:val="24"/>
          <w:szCs w:val="24"/>
          <w:lang w:eastAsia="en-US"/>
        </w:rPr>
        <w:t>RA)</w:t>
      </w:r>
      <w:r w:rsidRPr="000F74CF">
        <w:rPr>
          <w:rFonts w:asciiTheme="majorHAnsi" w:eastAsiaTheme="minorHAnsi" w:hAnsiTheme="majorHAnsi" w:cstheme="majorHAnsi"/>
          <w:color w:val="auto"/>
          <w:sz w:val="24"/>
          <w:szCs w:val="24"/>
          <w:lang w:eastAsia="en-US"/>
        </w:rPr>
        <w:t xml:space="preserve">, </w:t>
      </w:r>
      <w:r w:rsidRPr="00523CE2">
        <w:rPr>
          <w:rFonts w:asciiTheme="majorHAnsi" w:eastAsiaTheme="minorHAnsi" w:hAnsiTheme="majorHAnsi" w:cstheme="majorHAnsi"/>
          <w:color w:val="auto"/>
          <w:sz w:val="24"/>
          <w:szCs w:val="24"/>
          <w:lang w:eastAsia="en-US"/>
        </w:rPr>
        <w:t>a Public Protection Notice (</w:t>
      </w:r>
      <w:r w:rsidRPr="000F74CF">
        <w:rPr>
          <w:rFonts w:asciiTheme="majorHAnsi" w:eastAsiaTheme="minorHAnsi" w:hAnsiTheme="majorHAnsi" w:cstheme="majorHAnsi"/>
          <w:color w:val="auto"/>
          <w:sz w:val="24"/>
          <w:szCs w:val="24"/>
          <w:lang w:eastAsia="en-US"/>
        </w:rPr>
        <w:t>PPN</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 xml:space="preserve"> and</w:t>
      </w:r>
      <w:r w:rsidRPr="00523CE2">
        <w:rPr>
          <w:rFonts w:asciiTheme="majorHAnsi" w:eastAsiaTheme="minorHAnsi" w:hAnsiTheme="majorHAnsi" w:cstheme="majorHAnsi"/>
          <w:color w:val="auto"/>
          <w:sz w:val="24"/>
          <w:szCs w:val="24"/>
          <w:lang w:eastAsia="en-US"/>
        </w:rPr>
        <w:t xml:space="preserve"> a Multi-Agency Risk Assessment Conference form</w:t>
      </w:r>
      <w:r w:rsidRPr="000F74CF">
        <w:rPr>
          <w:rFonts w:asciiTheme="majorHAnsi" w:eastAsiaTheme="minorHAnsi" w:hAnsiTheme="majorHAnsi" w:cstheme="majorHAnsi"/>
          <w:color w:val="auto"/>
          <w:sz w:val="24"/>
          <w:szCs w:val="24"/>
          <w:lang w:eastAsia="en-US"/>
        </w:rPr>
        <w:t xml:space="preserve"> </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MARAC</w:t>
      </w:r>
      <w:r w:rsidRPr="00523CE2">
        <w:rPr>
          <w:rFonts w:asciiTheme="majorHAnsi" w:eastAsiaTheme="minorHAnsi" w:hAnsiTheme="majorHAnsi" w:cstheme="majorHAnsi"/>
          <w:color w:val="auto"/>
          <w:sz w:val="24"/>
          <w:szCs w:val="24"/>
          <w:lang w:eastAsia="en-US"/>
        </w:rPr>
        <w:t>). This case was then</w:t>
      </w:r>
      <w:r w:rsidRPr="000F74CF">
        <w:rPr>
          <w:rFonts w:asciiTheme="majorHAnsi" w:eastAsiaTheme="minorHAnsi" w:hAnsiTheme="majorHAnsi" w:cstheme="majorHAnsi"/>
          <w:color w:val="auto"/>
          <w:sz w:val="24"/>
          <w:szCs w:val="24"/>
          <w:lang w:eastAsia="en-US"/>
        </w:rPr>
        <w:t xml:space="preserve"> taken over by CID.</w:t>
      </w:r>
    </w:p>
    <w:p w14:paraId="78482E37"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0421E2CE" w14:textId="77777777" w:rsidR="00523CE2" w:rsidRPr="00523CE2" w:rsidRDefault="00523CE2" w:rsidP="00523CE2">
      <w:pPr>
        <w:spacing w:line="360" w:lineRule="auto"/>
        <w:jc w:val="both"/>
        <w:rPr>
          <w:rFonts w:asciiTheme="majorHAnsi" w:hAnsiTheme="majorHAnsi" w:cstheme="majorHAnsi"/>
          <w:color w:val="auto"/>
          <w:sz w:val="24"/>
          <w:szCs w:val="24"/>
        </w:rPr>
      </w:pPr>
    </w:p>
    <w:p w14:paraId="23069ED4"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 xml:space="preserve">As a police </w:t>
      </w:r>
      <w:r w:rsidRPr="00523CE2">
        <w:rPr>
          <w:rFonts w:asciiTheme="majorHAnsi" w:eastAsiaTheme="minorHAnsi" w:hAnsiTheme="majorHAnsi" w:cstheme="majorHAnsi"/>
          <w:color w:val="auto"/>
          <w:sz w:val="24"/>
          <w:szCs w:val="24"/>
          <w:lang w:eastAsia="en-US"/>
        </w:rPr>
        <w:t>constable</w:t>
      </w:r>
      <w:r w:rsidRPr="000F74CF">
        <w:rPr>
          <w:rFonts w:asciiTheme="majorHAnsi" w:eastAsiaTheme="minorHAnsi" w:hAnsiTheme="majorHAnsi" w:cstheme="majorHAnsi"/>
          <w:color w:val="auto"/>
          <w:sz w:val="24"/>
          <w:szCs w:val="24"/>
          <w:lang w:eastAsia="en-US"/>
        </w:rPr>
        <w:t xml:space="preserve"> I take my responsibilities and the need to follow specific procedures very seriously. Our primary responsibility is protecting life and property, and we have a duty to engage our </w:t>
      </w:r>
      <w:r w:rsidRPr="00523CE2">
        <w:rPr>
          <w:rFonts w:asciiTheme="majorHAnsi" w:eastAsiaTheme="minorHAnsi" w:hAnsiTheme="majorHAnsi" w:cstheme="majorHAnsi"/>
          <w:color w:val="auto"/>
          <w:sz w:val="24"/>
          <w:szCs w:val="24"/>
          <w:lang w:eastAsia="en-US"/>
        </w:rPr>
        <w:t>C</w:t>
      </w:r>
      <w:r w:rsidRPr="000F74CF">
        <w:rPr>
          <w:rFonts w:asciiTheme="majorHAnsi" w:eastAsiaTheme="minorHAnsi" w:hAnsiTheme="majorHAnsi" w:cstheme="majorHAnsi"/>
          <w:color w:val="auto"/>
          <w:sz w:val="24"/>
          <w:szCs w:val="24"/>
          <w:lang w:eastAsia="en-US"/>
        </w:rPr>
        <w:t xml:space="preserve">ode of </w:t>
      </w:r>
      <w:r w:rsidRPr="00523CE2">
        <w:rPr>
          <w:rFonts w:asciiTheme="majorHAnsi" w:eastAsiaTheme="minorHAnsi" w:hAnsiTheme="majorHAnsi" w:cstheme="majorHAnsi"/>
          <w:color w:val="auto"/>
          <w:sz w:val="24"/>
          <w:szCs w:val="24"/>
          <w:lang w:eastAsia="en-US"/>
        </w:rPr>
        <w:t>E</w:t>
      </w:r>
      <w:r w:rsidRPr="000F74CF">
        <w:rPr>
          <w:rFonts w:asciiTheme="majorHAnsi" w:eastAsiaTheme="minorHAnsi" w:hAnsiTheme="majorHAnsi" w:cstheme="majorHAnsi"/>
          <w:color w:val="auto"/>
          <w:sz w:val="24"/>
          <w:szCs w:val="24"/>
          <w:lang w:eastAsia="en-US"/>
        </w:rPr>
        <w:t xml:space="preserve">thics to be able to do this effectively. Beyond this we are evidence gatherers for the </w:t>
      </w:r>
      <w:r w:rsidRPr="00523CE2">
        <w:rPr>
          <w:rFonts w:asciiTheme="majorHAnsi" w:eastAsiaTheme="minorHAnsi" w:hAnsiTheme="majorHAnsi" w:cstheme="majorHAnsi"/>
          <w:color w:val="auto"/>
          <w:sz w:val="24"/>
          <w:szCs w:val="24"/>
          <w:lang w:eastAsia="en-US"/>
        </w:rPr>
        <w:t>Cr</w:t>
      </w:r>
      <w:r w:rsidRPr="000F74CF">
        <w:rPr>
          <w:rFonts w:asciiTheme="majorHAnsi" w:eastAsiaTheme="minorHAnsi" w:hAnsiTheme="majorHAnsi" w:cstheme="majorHAnsi"/>
          <w:color w:val="auto"/>
          <w:sz w:val="24"/>
          <w:szCs w:val="24"/>
          <w:lang w:eastAsia="en-US"/>
        </w:rPr>
        <w:t xml:space="preserve">iminal </w:t>
      </w:r>
      <w:r w:rsidRPr="00523CE2">
        <w:rPr>
          <w:rFonts w:asciiTheme="majorHAnsi" w:eastAsiaTheme="minorHAnsi" w:hAnsiTheme="majorHAnsi" w:cstheme="majorHAnsi"/>
          <w:color w:val="auto"/>
          <w:sz w:val="24"/>
          <w:szCs w:val="24"/>
          <w:lang w:eastAsia="en-US"/>
        </w:rPr>
        <w:t>P</w:t>
      </w:r>
      <w:r w:rsidRPr="000F74CF">
        <w:rPr>
          <w:rFonts w:asciiTheme="majorHAnsi" w:eastAsiaTheme="minorHAnsi" w:hAnsiTheme="majorHAnsi" w:cstheme="majorHAnsi"/>
          <w:color w:val="auto"/>
          <w:sz w:val="24"/>
          <w:szCs w:val="24"/>
          <w:lang w:eastAsia="en-US"/>
        </w:rPr>
        <w:t xml:space="preserve">rosecution </w:t>
      </w:r>
      <w:r w:rsidRPr="00523CE2">
        <w:rPr>
          <w:rFonts w:asciiTheme="majorHAnsi" w:eastAsiaTheme="minorHAnsi" w:hAnsiTheme="majorHAnsi" w:cstheme="majorHAnsi"/>
          <w:color w:val="auto"/>
          <w:sz w:val="24"/>
          <w:szCs w:val="24"/>
          <w:lang w:eastAsia="en-US"/>
        </w:rPr>
        <w:t>S</w:t>
      </w:r>
      <w:r w:rsidRPr="000F74CF">
        <w:rPr>
          <w:rFonts w:asciiTheme="majorHAnsi" w:eastAsiaTheme="minorHAnsi" w:hAnsiTheme="majorHAnsi" w:cstheme="majorHAnsi"/>
          <w:color w:val="auto"/>
          <w:sz w:val="24"/>
          <w:szCs w:val="24"/>
          <w:lang w:eastAsia="en-US"/>
        </w:rPr>
        <w:t>ervice</w:t>
      </w:r>
      <w:r w:rsidRPr="00523CE2">
        <w:rPr>
          <w:rFonts w:asciiTheme="majorHAnsi" w:eastAsiaTheme="minorHAnsi" w:hAnsiTheme="majorHAnsi" w:cstheme="majorHAnsi"/>
          <w:color w:val="auto"/>
          <w:sz w:val="24"/>
          <w:szCs w:val="24"/>
          <w:lang w:eastAsia="en-US"/>
        </w:rPr>
        <w:t xml:space="preserve"> (CPS)</w:t>
      </w:r>
      <w:r w:rsidRPr="000F74CF">
        <w:rPr>
          <w:rFonts w:asciiTheme="majorHAnsi" w:eastAsiaTheme="minorHAnsi" w:hAnsiTheme="majorHAnsi" w:cstheme="majorHAnsi"/>
          <w:color w:val="auto"/>
          <w:sz w:val="24"/>
          <w:szCs w:val="24"/>
          <w:lang w:eastAsia="en-US"/>
        </w:rPr>
        <w:t xml:space="preserve"> to make informed decisions of how to progress cases. If we fail to adhere to the codes of PACE during an investigation</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 xml:space="preserve"> evidence may be deemed inadmissible and the case may fa</w:t>
      </w:r>
      <w:r w:rsidRPr="00523CE2">
        <w:rPr>
          <w:rFonts w:asciiTheme="majorHAnsi" w:eastAsiaTheme="minorHAnsi" w:hAnsiTheme="majorHAnsi" w:cstheme="majorHAnsi"/>
          <w:color w:val="auto"/>
          <w:sz w:val="24"/>
          <w:szCs w:val="24"/>
          <w:lang w:eastAsia="en-US"/>
        </w:rPr>
        <w:t>il due to breech of process</w:t>
      </w:r>
      <w:r w:rsidRPr="000F74CF">
        <w:rPr>
          <w:rFonts w:asciiTheme="majorHAnsi" w:eastAsiaTheme="minorHAnsi" w:hAnsiTheme="majorHAnsi" w:cstheme="majorHAnsi"/>
          <w:color w:val="auto"/>
          <w:sz w:val="24"/>
          <w:szCs w:val="24"/>
          <w:lang w:eastAsia="en-US"/>
        </w:rPr>
        <w:t xml:space="preserve">. As a victim led service this </w:t>
      </w:r>
      <w:r w:rsidRPr="00523CE2">
        <w:rPr>
          <w:rFonts w:asciiTheme="majorHAnsi" w:eastAsiaTheme="minorHAnsi" w:hAnsiTheme="majorHAnsi" w:cstheme="majorHAnsi"/>
          <w:color w:val="auto"/>
          <w:sz w:val="24"/>
          <w:szCs w:val="24"/>
          <w:lang w:eastAsia="en-US"/>
        </w:rPr>
        <w:t>outcome would be</w:t>
      </w:r>
      <w:r w:rsidRPr="000F74CF">
        <w:rPr>
          <w:rFonts w:asciiTheme="majorHAnsi" w:eastAsiaTheme="minorHAnsi" w:hAnsiTheme="majorHAnsi" w:cstheme="majorHAnsi"/>
          <w:color w:val="auto"/>
          <w:sz w:val="24"/>
          <w:szCs w:val="24"/>
          <w:lang w:eastAsia="en-US"/>
        </w:rPr>
        <w:t xml:space="preserve"> entirely conflicting with our mission statement.</w:t>
      </w:r>
    </w:p>
    <w:p w14:paraId="5007E203"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lastRenderedPageBreak/>
        <w:t>In the first encounter with a victim a large amount of information needs to be obtained. It is my responsibility</w:t>
      </w:r>
      <w:r w:rsidRPr="00523CE2">
        <w:rPr>
          <w:rFonts w:asciiTheme="majorHAnsi" w:eastAsiaTheme="minorHAnsi" w:hAnsiTheme="majorHAnsi" w:cstheme="majorHAnsi"/>
          <w:color w:val="auto"/>
          <w:sz w:val="24"/>
          <w:szCs w:val="24"/>
          <w:lang w:eastAsia="en-US"/>
        </w:rPr>
        <w:t xml:space="preserve"> as responding officer</w:t>
      </w:r>
      <w:r w:rsidRPr="000F74CF">
        <w:rPr>
          <w:rFonts w:asciiTheme="majorHAnsi" w:eastAsiaTheme="minorHAnsi" w:hAnsiTheme="majorHAnsi" w:cstheme="majorHAnsi"/>
          <w:color w:val="auto"/>
          <w:sz w:val="24"/>
          <w:szCs w:val="24"/>
          <w:lang w:eastAsia="en-US"/>
        </w:rPr>
        <w:t xml:space="preserve"> to establish what, if any, offences have occurred. This will dictate the powers available</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 xml:space="preserve"> grading of the call and what resources can be requested. I</w:t>
      </w:r>
      <w:r w:rsidRPr="00523CE2">
        <w:rPr>
          <w:rFonts w:asciiTheme="majorHAnsi" w:eastAsiaTheme="minorHAnsi" w:hAnsiTheme="majorHAnsi" w:cstheme="majorHAnsi"/>
          <w:color w:val="auto"/>
          <w:sz w:val="24"/>
          <w:szCs w:val="24"/>
          <w:lang w:eastAsia="en-US"/>
        </w:rPr>
        <w:t xml:space="preserve"> have a duty to</w:t>
      </w:r>
      <w:r w:rsidRPr="000F74CF">
        <w:rPr>
          <w:rFonts w:asciiTheme="majorHAnsi" w:eastAsiaTheme="minorHAnsi" w:hAnsiTheme="majorHAnsi" w:cstheme="majorHAnsi"/>
          <w:color w:val="auto"/>
          <w:sz w:val="24"/>
          <w:szCs w:val="24"/>
          <w:lang w:eastAsia="en-US"/>
        </w:rPr>
        <w:t xml:space="preserve"> gather information about all those involved </w:t>
      </w:r>
      <w:r w:rsidRPr="00523CE2">
        <w:rPr>
          <w:rFonts w:asciiTheme="majorHAnsi" w:eastAsiaTheme="minorHAnsi" w:hAnsiTheme="majorHAnsi" w:cstheme="majorHAnsi"/>
          <w:color w:val="auto"/>
          <w:sz w:val="24"/>
          <w:szCs w:val="24"/>
          <w:lang w:eastAsia="en-US"/>
        </w:rPr>
        <w:t>promptly and effectively. H</w:t>
      </w:r>
      <w:r w:rsidRPr="000F74CF">
        <w:rPr>
          <w:rFonts w:asciiTheme="majorHAnsi" w:eastAsiaTheme="minorHAnsi" w:hAnsiTheme="majorHAnsi" w:cstheme="majorHAnsi"/>
          <w:color w:val="auto"/>
          <w:sz w:val="24"/>
          <w:szCs w:val="24"/>
          <w:lang w:eastAsia="en-US"/>
        </w:rPr>
        <w:t xml:space="preserve">aving that information uploaded onto </w:t>
      </w:r>
      <w:r w:rsidRPr="00523CE2">
        <w:rPr>
          <w:rFonts w:asciiTheme="majorHAnsi" w:eastAsiaTheme="minorHAnsi" w:hAnsiTheme="majorHAnsi" w:cstheme="majorHAnsi"/>
          <w:color w:val="auto"/>
          <w:sz w:val="24"/>
          <w:szCs w:val="24"/>
          <w:lang w:eastAsia="en-US"/>
        </w:rPr>
        <w:t>our computer system NICHE from which we run investigations</w:t>
      </w:r>
      <w:r w:rsidRPr="000F74CF">
        <w:rPr>
          <w:rFonts w:asciiTheme="majorHAnsi" w:eastAsiaTheme="minorHAnsi" w:hAnsiTheme="majorHAnsi" w:cstheme="majorHAnsi"/>
          <w:color w:val="auto"/>
          <w:sz w:val="24"/>
          <w:szCs w:val="24"/>
          <w:lang w:eastAsia="en-US"/>
        </w:rPr>
        <w:t xml:space="preserve"> as soon as possible allows for efficient linking</w:t>
      </w:r>
      <w:r w:rsidRPr="00523CE2">
        <w:rPr>
          <w:rFonts w:asciiTheme="majorHAnsi" w:eastAsiaTheme="minorHAnsi" w:hAnsiTheme="majorHAnsi" w:cstheme="majorHAnsi"/>
          <w:color w:val="auto"/>
          <w:sz w:val="24"/>
          <w:szCs w:val="24"/>
          <w:lang w:eastAsia="en-US"/>
        </w:rPr>
        <w:t xml:space="preserve"> of those involved </w:t>
      </w:r>
      <w:r w:rsidRPr="000F74CF">
        <w:rPr>
          <w:rFonts w:asciiTheme="majorHAnsi" w:eastAsiaTheme="minorHAnsi" w:hAnsiTheme="majorHAnsi" w:cstheme="majorHAnsi"/>
          <w:color w:val="auto"/>
          <w:sz w:val="24"/>
          <w:szCs w:val="24"/>
          <w:lang w:eastAsia="en-US"/>
        </w:rPr>
        <w:t>and lets us search for associated persons and previous occurrences which aids officer safety and helps us make informed decisions.</w:t>
      </w:r>
    </w:p>
    <w:p w14:paraId="5976735E"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For example, in this call we did not have the details of the boyfriend given over the phone. It was not until I spoke with the victim to obtain his details that we could run them through</w:t>
      </w:r>
      <w:r w:rsidRPr="00523CE2">
        <w:rPr>
          <w:rFonts w:asciiTheme="majorHAnsi" w:eastAsiaTheme="minorHAnsi" w:hAnsiTheme="majorHAnsi" w:cstheme="majorHAnsi"/>
          <w:color w:val="auto"/>
          <w:sz w:val="24"/>
          <w:szCs w:val="24"/>
          <w:lang w:eastAsia="en-US"/>
        </w:rPr>
        <w:t xml:space="preserve"> the Police National Computer (</w:t>
      </w:r>
      <w:r w:rsidRPr="000F74CF">
        <w:rPr>
          <w:rFonts w:asciiTheme="majorHAnsi" w:eastAsiaTheme="minorHAnsi" w:hAnsiTheme="majorHAnsi" w:cstheme="majorHAnsi"/>
          <w:color w:val="auto"/>
          <w:sz w:val="24"/>
          <w:szCs w:val="24"/>
          <w:lang w:eastAsia="en-US"/>
        </w:rPr>
        <w:t>PNC</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 xml:space="preserve"> and link him on NICHE to find out he had significant warning markers and a history of occurrences leading to a course of conduct of coercive control and DV. If there had been a delay in obtaining and uploading this information, then officer decision making would have been compromised.</w:t>
      </w:r>
    </w:p>
    <w:p w14:paraId="3034B4AA"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 xml:space="preserve">During this initial encounter police officers adhere to the Golden hour principles. </w:t>
      </w:r>
      <w:r w:rsidRPr="00523CE2">
        <w:rPr>
          <w:rFonts w:asciiTheme="majorHAnsi" w:eastAsiaTheme="minorHAnsi" w:hAnsiTheme="majorHAnsi" w:cstheme="majorHAnsi"/>
          <w:color w:val="auto"/>
          <w:sz w:val="24"/>
          <w:szCs w:val="24"/>
          <w:lang w:eastAsia="en-US"/>
        </w:rPr>
        <w:t>As described by the College of Policing, this is the period immediately after an offence has been committed where vital evidence needs to be preserved (Golden Hour, College of Policing). Here</w:t>
      </w:r>
      <w:r w:rsidRPr="000F74CF">
        <w:rPr>
          <w:rFonts w:asciiTheme="majorHAnsi" w:eastAsiaTheme="minorHAnsi" w:hAnsiTheme="majorHAnsi" w:cstheme="majorHAnsi"/>
          <w:color w:val="auto"/>
          <w:sz w:val="24"/>
          <w:szCs w:val="24"/>
          <w:lang w:eastAsia="en-US"/>
        </w:rPr>
        <w:t xml:space="preserve"> we identify our victim, witness and suspect, preserve any scene, prevent contamination of the scene or evidence, record</w:t>
      </w:r>
      <w:r w:rsidRPr="00523CE2">
        <w:rPr>
          <w:rFonts w:asciiTheme="majorHAnsi" w:eastAsiaTheme="minorHAnsi" w:hAnsiTheme="majorHAnsi" w:cstheme="majorHAnsi"/>
          <w:color w:val="auto"/>
          <w:sz w:val="24"/>
          <w:szCs w:val="24"/>
          <w:lang w:eastAsia="en-US"/>
        </w:rPr>
        <w:t xml:space="preserve"> a</w:t>
      </w:r>
      <w:r w:rsidRPr="000F74CF">
        <w:rPr>
          <w:rFonts w:asciiTheme="majorHAnsi" w:eastAsiaTheme="minorHAnsi" w:hAnsiTheme="majorHAnsi" w:cstheme="majorHAnsi"/>
          <w:color w:val="auto"/>
          <w:sz w:val="24"/>
          <w:szCs w:val="24"/>
          <w:lang w:eastAsia="en-US"/>
        </w:rPr>
        <w:t xml:space="preserve"> first account, start</w:t>
      </w:r>
      <w:r w:rsidRPr="00523CE2">
        <w:rPr>
          <w:rFonts w:asciiTheme="majorHAnsi" w:eastAsiaTheme="minorHAnsi" w:hAnsiTheme="majorHAnsi" w:cstheme="majorHAnsi"/>
          <w:color w:val="auto"/>
          <w:sz w:val="24"/>
          <w:szCs w:val="24"/>
          <w:lang w:eastAsia="en-US"/>
        </w:rPr>
        <w:t xml:space="preserve"> a</w:t>
      </w:r>
      <w:r w:rsidRPr="000F74CF">
        <w:rPr>
          <w:rFonts w:asciiTheme="majorHAnsi" w:eastAsiaTheme="minorHAnsi" w:hAnsiTheme="majorHAnsi" w:cstheme="majorHAnsi"/>
          <w:color w:val="auto"/>
          <w:sz w:val="24"/>
          <w:szCs w:val="24"/>
          <w:lang w:eastAsia="en-US"/>
        </w:rPr>
        <w:t xml:space="preserve"> crime scene log and gather preliminary evidence. By completing this to a high standard the likelihood of creating a strong case </w:t>
      </w:r>
      <w:r w:rsidRPr="00523CE2">
        <w:rPr>
          <w:rFonts w:asciiTheme="majorHAnsi" w:eastAsiaTheme="minorHAnsi" w:hAnsiTheme="majorHAnsi" w:cstheme="majorHAnsi"/>
          <w:color w:val="auto"/>
          <w:sz w:val="24"/>
          <w:szCs w:val="24"/>
          <w:lang w:eastAsia="en-US"/>
        </w:rPr>
        <w:t>increases</w:t>
      </w:r>
      <w:r w:rsidRPr="000F74CF">
        <w:rPr>
          <w:rFonts w:asciiTheme="majorHAnsi" w:eastAsiaTheme="minorHAnsi" w:hAnsiTheme="majorHAnsi" w:cstheme="majorHAnsi"/>
          <w:color w:val="auto"/>
          <w:sz w:val="24"/>
          <w:szCs w:val="24"/>
          <w:lang w:eastAsia="en-US"/>
        </w:rPr>
        <w:t xml:space="preserve">. For this </w:t>
      </w:r>
      <w:r w:rsidRPr="00523CE2">
        <w:rPr>
          <w:rFonts w:asciiTheme="majorHAnsi" w:eastAsiaTheme="minorHAnsi" w:hAnsiTheme="majorHAnsi" w:cstheme="majorHAnsi"/>
          <w:color w:val="auto"/>
          <w:sz w:val="24"/>
          <w:szCs w:val="24"/>
          <w:lang w:eastAsia="en-US"/>
        </w:rPr>
        <w:t>situation</w:t>
      </w:r>
      <w:r w:rsidRPr="000F74CF">
        <w:rPr>
          <w:rFonts w:asciiTheme="majorHAnsi" w:eastAsiaTheme="minorHAnsi" w:hAnsiTheme="majorHAnsi" w:cstheme="majorHAnsi"/>
          <w:color w:val="auto"/>
          <w:sz w:val="24"/>
          <w:szCs w:val="24"/>
          <w:lang w:eastAsia="en-US"/>
        </w:rPr>
        <w:t xml:space="preserve"> we had no crime </w:t>
      </w:r>
      <w:r w:rsidRPr="00523CE2">
        <w:rPr>
          <w:rFonts w:asciiTheme="majorHAnsi" w:eastAsiaTheme="minorHAnsi" w:hAnsiTheme="majorHAnsi" w:cstheme="majorHAnsi"/>
          <w:color w:val="auto"/>
          <w:sz w:val="24"/>
          <w:szCs w:val="24"/>
          <w:lang w:eastAsia="en-US"/>
        </w:rPr>
        <w:t>scene,</w:t>
      </w:r>
      <w:r w:rsidRPr="000F74CF">
        <w:rPr>
          <w:rFonts w:asciiTheme="majorHAnsi" w:eastAsiaTheme="minorHAnsi" w:hAnsiTheme="majorHAnsi" w:cstheme="majorHAnsi"/>
          <w:color w:val="auto"/>
          <w:sz w:val="24"/>
          <w:szCs w:val="24"/>
          <w:lang w:eastAsia="en-US"/>
        </w:rPr>
        <w:t xml:space="preserve"> but we had </w:t>
      </w:r>
      <w:r w:rsidRPr="00523CE2">
        <w:rPr>
          <w:rFonts w:asciiTheme="majorHAnsi" w:eastAsiaTheme="minorHAnsi" w:hAnsiTheme="majorHAnsi" w:cstheme="majorHAnsi"/>
          <w:color w:val="auto"/>
          <w:sz w:val="24"/>
          <w:szCs w:val="24"/>
          <w:lang w:eastAsia="en-US"/>
        </w:rPr>
        <w:t>substantial</w:t>
      </w:r>
      <w:r w:rsidRPr="000F74CF">
        <w:rPr>
          <w:rFonts w:asciiTheme="majorHAnsi" w:eastAsiaTheme="minorHAnsi" w:hAnsiTheme="majorHAnsi" w:cstheme="majorHAnsi"/>
          <w:color w:val="auto"/>
          <w:sz w:val="24"/>
          <w:szCs w:val="24"/>
          <w:lang w:eastAsia="en-US"/>
        </w:rPr>
        <w:t xml:space="preserve"> digital evidence therefore I told the victim to screen shot and audio record all previous and any new messages.</w:t>
      </w:r>
    </w:p>
    <w:p w14:paraId="7103BD97"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This process can be overwhelming for the victim</w:t>
      </w:r>
      <w:r w:rsidRPr="00523CE2">
        <w:rPr>
          <w:rFonts w:asciiTheme="majorHAnsi" w:eastAsiaTheme="minorHAnsi" w:hAnsiTheme="majorHAnsi" w:cstheme="majorHAnsi"/>
          <w:color w:val="auto"/>
          <w:sz w:val="24"/>
          <w:szCs w:val="24"/>
          <w:lang w:eastAsia="en-US"/>
        </w:rPr>
        <w:t xml:space="preserve"> and it</w:t>
      </w:r>
      <w:r w:rsidRPr="000F74CF">
        <w:rPr>
          <w:rFonts w:asciiTheme="majorHAnsi" w:eastAsiaTheme="minorHAnsi" w:hAnsiTheme="majorHAnsi" w:cstheme="majorHAnsi"/>
          <w:color w:val="auto"/>
          <w:sz w:val="24"/>
          <w:szCs w:val="24"/>
          <w:lang w:eastAsia="en-US"/>
        </w:rPr>
        <w:t xml:space="preserve"> can</w:t>
      </w:r>
      <w:r w:rsidRPr="00523CE2">
        <w:rPr>
          <w:rFonts w:asciiTheme="majorHAnsi" w:eastAsiaTheme="minorHAnsi" w:hAnsiTheme="majorHAnsi" w:cstheme="majorHAnsi"/>
          <w:color w:val="auto"/>
          <w:sz w:val="24"/>
          <w:szCs w:val="24"/>
          <w:lang w:eastAsia="en-US"/>
        </w:rPr>
        <w:t xml:space="preserve"> be</w:t>
      </w:r>
      <w:r w:rsidRPr="000F74CF">
        <w:rPr>
          <w:rFonts w:asciiTheme="majorHAnsi" w:eastAsiaTheme="minorHAnsi" w:hAnsiTheme="majorHAnsi" w:cstheme="majorHAnsi"/>
          <w:color w:val="auto"/>
          <w:sz w:val="24"/>
          <w:szCs w:val="24"/>
          <w:lang w:eastAsia="en-US"/>
        </w:rPr>
        <w:t xml:space="preserve"> perceive</w:t>
      </w:r>
      <w:r w:rsidRPr="00523CE2">
        <w:rPr>
          <w:rFonts w:asciiTheme="majorHAnsi" w:eastAsiaTheme="minorHAnsi" w:hAnsiTheme="majorHAnsi" w:cstheme="majorHAnsi"/>
          <w:color w:val="auto"/>
          <w:sz w:val="24"/>
          <w:szCs w:val="24"/>
          <w:lang w:eastAsia="en-US"/>
        </w:rPr>
        <w:t>d</w:t>
      </w:r>
      <w:r w:rsidRPr="000F74CF">
        <w:rPr>
          <w:rFonts w:asciiTheme="majorHAnsi" w:eastAsiaTheme="minorHAnsi" w:hAnsiTheme="majorHAnsi" w:cstheme="majorHAnsi"/>
          <w:color w:val="auto"/>
          <w:sz w:val="24"/>
          <w:szCs w:val="24"/>
          <w:lang w:eastAsia="en-US"/>
        </w:rPr>
        <w:t xml:space="preserve"> as wasting time which is why having clear communication about what is happening is important. We need to manage expectations early. In this case we knew the subject was going to be arrested based on the initial disclosures and we had additional units conducting arrest enquiries based on the information passed. However, the victim does not necessarily know this. Keeping them involved with what is happening makes the process easier</w:t>
      </w:r>
      <w:r w:rsidRPr="00523CE2">
        <w:rPr>
          <w:rFonts w:asciiTheme="majorHAnsi" w:eastAsiaTheme="minorHAnsi" w:hAnsiTheme="majorHAnsi" w:cstheme="majorHAnsi"/>
          <w:color w:val="auto"/>
          <w:sz w:val="24"/>
          <w:szCs w:val="24"/>
          <w:lang w:eastAsia="en-US"/>
        </w:rPr>
        <w:t xml:space="preserve"> whilst </w:t>
      </w:r>
      <w:r w:rsidRPr="000F74CF">
        <w:rPr>
          <w:rFonts w:asciiTheme="majorHAnsi" w:eastAsiaTheme="minorHAnsi" w:hAnsiTheme="majorHAnsi" w:cstheme="majorHAnsi"/>
          <w:color w:val="auto"/>
          <w:sz w:val="24"/>
          <w:szCs w:val="24"/>
          <w:lang w:eastAsia="en-US"/>
        </w:rPr>
        <w:t>also set</w:t>
      </w:r>
      <w:r w:rsidRPr="00523CE2">
        <w:rPr>
          <w:rFonts w:asciiTheme="majorHAnsi" w:eastAsiaTheme="minorHAnsi" w:hAnsiTheme="majorHAnsi" w:cstheme="majorHAnsi"/>
          <w:color w:val="auto"/>
          <w:sz w:val="24"/>
          <w:szCs w:val="24"/>
          <w:lang w:eastAsia="en-US"/>
        </w:rPr>
        <w:t>ting</w:t>
      </w:r>
      <w:r w:rsidRPr="000F74CF">
        <w:rPr>
          <w:rFonts w:asciiTheme="majorHAnsi" w:eastAsiaTheme="minorHAnsi" w:hAnsiTheme="majorHAnsi" w:cstheme="majorHAnsi"/>
          <w:color w:val="auto"/>
          <w:sz w:val="24"/>
          <w:szCs w:val="24"/>
          <w:lang w:eastAsia="en-US"/>
        </w:rPr>
        <w:t xml:space="preserve"> a precedent of what the victim can expect from us.</w:t>
      </w:r>
    </w:p>
    <w:p w14:paraId="378D2FE9" w14:textId="77777777" w:rsidR="00523CE2" w:rsidRPr="00523CE2" w:rsidRDefault="00523CE2" w:rsidP="00523CE2">
      <w:pPr>
        <w:spacing w:line="360" w:lineRule="auto"/>
        <w:jc w:val="both"/>
        <w:rPr>
          <w:rFonts w:asciiTheme="majorHAnsi" w:hAnsiTheme="majorHAnsi" w:cstheme="majorHAnsi"/>
          <w:color w:val="auto"/>
          <w:sz w:val="24"/>
          <w:szCs w:val="24"/>
        </w:rPr>
      </w:pPr>
    </w:p>
    <w:p w14:paraId="3E73C068"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As the officer in case I have many duties to the victim which I will now discuss and reflect on in relation to this case.</w:t>
      </w:r>
    </w:p>
    <w:p w14:paraId="79A9298C"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lastRenderedPageBreak/>
        <w:t xml:space="preserve">I will begin by assessing the interview. Before commencing </w:t>
      </w:r>
      <w:r w:rsidRPr="00523CE2">
        <w:rPr>
          <w:rFonts w:asciiTheme="majorHAnsi" w:eastAsiaTheme="minorHAnsi" w:hAnsiTheme="majorHAnsi" w:cstheme="majorHAnsi"/>
          <w:color w:val="auto"/>
          <w:sz w:val="24"/>
          <w:szCs w:val="24"/>
          <w:lang w:eastAsia="en-US"/>
        </w:rPr>
        <w:t>the</w:t>
      </w:r>
      <w:r w:rsidRPr="000F74CF">
        <w:rPr>
          <w:rFonts w:asciiTheme="majorHAnsi" w:eastAsiaTheme="minorHAnsi" w:hAnsiTheme="majorHAnsi" w:cstheme="majorHAnsi"/>
          <w:color w:val="auto"/>
          <w:sz w:val="24"/>
          <w:szCs w:val="24"/>
          <w:lang w:eastAsia="en-US"/>
        </w:rPr>
        <w:t xml:space="preserve"> interview, </w:t>
      </w:r>
      <w:r w:rsidRPr="00523CE2">
        <w:rPr>
          <w:rFonts w:asciiTheme="majorHAnsi" w:eastAsiaTheme="minorHAnsi" w:hAnsiTheme="majorHAnsi" w:cstheme="majorHAnsi"/>
          <w:color w:val="auto"/>
          <w:sz w:val="24"/>
          <w:szCs w:val="24"/>
          <w:lang w:eastAsia="en-US"/>
        </w:rPr>
        <w:t>I</w:t>
      </w:r>
      <w:r w:rsidRPr="000F74CF">
        <w:rPr>
          <w:rFonts w:asciiTheme="majorHAnsi" w:eastAsiaTheme="minorHAnsi" w:hAnsiTheme="majorHAnsi" w:cstheme="majorHAnsi"/>
          <w:color w:val="auto"/>
          <w:sz w:val="24"/>
          <w:szCs w:val="24"/>
          <w:lang w:eastAsia="en-US"/>
        </w:rPr>
        <w:t xml:space="preserve"> obtain</w:t>
      </w:r>
      <w:r w:rsidRPr="00523CE2">
        <w:rPr>
          <w:rFonts w:asciiTheme="majorHAnsi" w:eastAsiaTheme="minorHAnsi" w:hAnsiTheme="majorHAnsi" w:cstheme="majorHAnsi"/>
          <w:color w:val="auto"/>
          <w:sz w:val="24"/>
          <w:szCs w:val="24"/>
          <w:lang w:eastAsia="en-US"/>
        </w:rPr>
        <w:t>ed</w:t>
      </w:r>
      <w:r w:rsidRPr="000F74CF">
        <w:rPr>
          <w:rFonts w:asciiTheme="majorHAnsi" w:eastAsiaTheme="minorHAnsi" w:hAnsiTheme="majorHAnsi" w:cstheme="majorHAnsi"/>
          <w:color w:val="auto"/>
          <w:sz w:val="24"/>
          <w:szCs w:val="24"/>
          <w:lang w:eastAsia="en-US"/>
        </w:rPr>
        <w:t xml:space="preserve"> the victims agreement they would attend court. Any person who submits a statement could be ordered to court by a judge which people need to be aware of prior to being interviewed because if they refuse at this first stage the case will not progress with their evidence. In this case, had the victim refused it is possible we could have progressed a victimless prosecution as it was DV related</w:t>
      </w:r>
      <w:r w:rsidRPr="00523CE2">
        <w:rPr>
          <w:rFonts w:asciiTheme="majorHAnsi" w:eastAsiaTheme="minorHAnsi" w:hAnsiTheme="majorHAnsi" w:cstheme="majorHAnsi"/>
          <w:color w:val="auto"/>
          <w:sz w:val="24"/>
          <w:szCs w:val="24"/>
          <w:lang w:eastAsia="en-US"/>
        </w:rPr>
        <w:t xml:space="preserve"> (Victimless Prosecution, Dodds Solicitors)</w:t>
      </w:r>
      <w:r w:rsidRPr="000F74CF">
        <w:rPr>
          <w:rFonts w:asciiTheme="majorHAnsi" w:eastAsiaTheme="minorHAnsi" w:hAnsiTheme="majorHAnsi" w:cstheme="majorHAnsi"/>
          <w:color w:val="auto"/>
          <w:sz w:val="24"/>
          <w:szCs w:val="24"/>
          <w:lang w:eastAsia="en-US"/>
        </w:rPr>
        <w:t>. I also explained the process of a Victim Personal Statement (VPS). A VPS allows a victim to put, in their own words, how a crime has really affected them</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 xml:space="preserve"> be that physically, emotionally or financially. We do not take these at the time of the first statement as it is more appropriate to wait to evaluate the true impacts.</w:t>
      </w:r>
    </w:p>
    <w:p w14:paraId="69ABE2E8"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 xml:space="preserve">Based on the disclosure that this was the first time her family were being made aware of the offences, I thought it was more appropriate to remove the victim from her home to conduct the interview so she could speak more freely. To facilitate </w:t>
      </w:r>
      <w:r w:rsidRPr="00523CE2">
        <w:rPr>
          <w:rFonts w:asciiTheme="majorHAnsi" w:eastAsiaTheme="minorHAnsi" w:hAnsiTheme="majorHAnsi" w:cstheme="majorHAnsi"/>
          <w:color w:val="auto"/>
          <w:sz w:val="24"/>
          <w:szCs w:val="24"/>
          <w:lang w:eastAsia="en-US"/>
        </w:rPr>
        <w:t xml:space="preserve">this, we </w:t>
      </w:r>
      <w:r w:rsidRPr="000F74CF">
        <w:rPr>
          <w:rFonts w:asciiTheme="majorHAnsi" w:eastAsiaTheme="minorHAnsi" w:hAnsiTheme="majorHAnsi" w:cstheme="majorHAnsi"/>
          <w:color w:val="auto"/>
          <w:sz w:val="24"/>
          <w:szCs w:val="24"/>
          <w:lang w:eastAsia="en-US"/>
        </w:rPr>
        <w:t>drove her to the police station to give her statement and returned her home. We also allowed her to bring one relative for support. Later that evening we visited the victim at home to review and sign the statement, whilst also conducting a final search of the area and to reiterate the safety plan because at this stage the subject’s location as still unknown.</w:t>
      </w:r>
      <w:r w:rsidRPr="00523CE2">
        <w:rPr>
          <w:rFonts w:asciiTheme="majorHAnsi" w:eastAsiaTheme="minorHAnsi" w:hAnsiTheme="majorHAnsi" w:cstheme="majorHAnsi"/>
          <w:color w:val="auto"/>
          <w:sz w:val="24"/>
          <w:szCs w:val="24"/>
          <w:lang w:eastAsia="en-US"/>
        </w:rPr>
        <w:t xml:space="preserve"> I believe removing the victim to give her statement allowed her to give her best evidence. This is substantiated by the depth of information we were able to obtain and the positive feedback I received from CID regarding it.</w:t>
      </w:r>
    </w:p>
    <w:p w14:paraId="022CD2A6"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Before leaving I informed the victim of what would happen next.</w:t>
      </w:r>
      <w:r w:rsidRPr="00523CE2">
        <w:rPr>
          <w:rFonts w:asciiTheme="majorHAnsi" w:eastAsiaTheme="minorHAnsi" w:hAnsiTheme="majorHAnsi" w:cstheme="majorHAnsi"/>
          <w:color w:val="auto"/>
          <w:sz w:val="24"/>
          <w:szCs w:val="24"/>
          <w:lang w:eastAsia="en-US"/>
        </w:rPr>
        <w:t xml:space="preserve"> Victims are entitled to updates within 5 days of any decisions or developments, however in more serious situations, as this was, it is within 1 day.</w:t>
      </w:r>
      <w:r w:rsidRPr="000F74CF">
        <w:rPr>
          <w:rFonts w:asciiTheme="majorHAnsi" w:eastAsiaTheme="minorHAnsi" w:hAnsiTheme="majorHAnsi" w:cstheme="majorHAnsi"/>
          <w:color w:val="auto"/>
          <w:sz w:val="24"/>
          <w:szCs w:val="24"/>
          <w:lang w:eastAsia="en-US"/>
        </w:rPr>
        <w:t xml:space="preserve"> I told her that someone would be in contact with her from the police in the coming days and that she would be updated at all stages of the investigation and after any significant developments. Further</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 xml:space="preserve"> I explained I had submitted the DASHRA that she gave consent to during the interview as well as the PPN for her son and a MARAC to initiate a multiagency response to tailor the most appropriate response to her situation.</w:t>
      </w:r>
    </w:p>
    <w:p w14:paraId="0C99E128"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 xml:space="preserve">Witnesses add depth to the picture painted by a victim. They may have seen something the victim has missed or have observed a wider course of conduct than what the victim has shared. For this case I identified 5 witnesses that would need to be interviewed. However, due to the late hour and the priority interview being the victim, I informed the witnesses they would be contacted in the coming days to arrange times to give statements. As I had already obtained their contact details during the </w:t>
      </w:r>
      <w:r w:rsidRPr="000F74CF">
        <w:rPr>
          <w:rFonts w:asciiTheme="majorHAnsi" w:eastAsiaTheme="minorHAnsi" w:hAnsiTheme="majorHAnsi" w:cstheme="majorHAnsi"/>
          <w:color w:val="auto"/>
          <w:sz w:val="24"/>
          <w:szCs w:val="24"/>
          <w:lang w:eastAsia="en-US"/>
        </w:rPr>
        <w:lastRenderedPageBreak/>
        <w:t>Golden Hour procedure</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 xml:space="preserve"> I was confident any colleague of mine would be able to open the occurrence and be able to contact the individuals.</w:t>
      </w:r>
    </w:p>
    <w:p w14:paraId="065F6D84" w14:textId="77777777" w:rsidR="00523CE2" w:rsidRPr="00523CE2" w:rsidRDefault="00523CE2" w:rsidP="00523CE2">
      <w:pPr>
        <w:spacing w:line="360" w:lineRule="auto"/>
        <w:jc w:val="both"/>
        <w:rPr>
          <w:rFonts w:asciiTheme="majorHAnsi" w:hAnsiTheme="majorHAnsi" w:cstheme="majorHAnsi"/>
          <w:color w:val="auto"/>
          <w:sz w:val="24"/>
          <w:szCs w:val="24"/>
        </w:rPr>
      </w:pPr>
    </w:p>
    <w:p w14:paraId="15F90AFB" w14:textId="77777777" w:rsidR="00523CE2" w:rsidRPr="00523CE2" w:rsidRDefault="00523CE2" w:rsidP="00523CE2">
      <w:pPr>
        <w:spacing w:line="360" w:lineRule="auto"/>
        <w:jc w:val="both"/>
        <w:rPr>
          <w:rFonts w:asciiTheme="majorHAnsi" w:hAnsiTheme="majorHAnsi" w:cstheme="majorHAnsi"/>
          <w:color w:val="auto"/>
          <w:sz w:val="24"/>
          <w:szCs w:val="24"/>
        </w:rPr>
      </w:pPr>
    </w:p>
    <w:p w14:paraId="0E2705F3"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The criminal justice system is a complex web. For this call I explained to the victim that as police officers</w:t>
      </w:r>
      <w:r w:rsidRPr="00523CE2">
        <w:rPr>
          <w:rFonts w:asciiTheme="majorHAnsi" w:eastAsiaTheme="minorHAnsi" w:hAnsiTheme="majorHAnsi" w:cstheme="majorHAnsi"/>
          <w:color w:val="auto"/>
          <w:sz w:val="24"/>
          <w:szCs w:val="24"/>
          <w:lang w:eastAsia="en-US"/>
        </w:rPr>
        <w:t xml:space="preserve"> we</w:t>
      </w:r>
      <w:r w:rsidRPr="000F74CF">
        <w:rPr>
          <w:rFonts w:asciiTheme="majorHAnsi" w:eastAsiaTheme="minorHAnsi" w:hAnsiTheme="majorHAnsi" w:cstheme="majorHAnsi"/>
          <w:color w:val="auto"/>
          <w:sz w:val="24"/>
          <w:szCs w:val="24"/>
          <w:lang w:eastAsia="en-US"/>
        </w:rPr>
        <w:t xml:space="preserve"> are here to gather evidence that we would then present to the </w:t>
      </w:r>
      <w:r w:rsidRPr="00523CE2">
        <w:rPr>
          <w:rFonts w:asciiTheme="majorHAnsi" w:eastAsiaTheme="minorHAnsi" w:hAnsiTheme="majorHAnsi" w:cstheme="majorHAnsi"/>
          <w:color w:val="auto"/>
          <w:sz w:val="24"/>
          <w:szCs w:val="24"/>
          <w:lang w:eastAsia="en-US"/>
        </w:rPr>
        <w:t>CPS</w:t>
      </w:r>
      <w:r w:rsidRPr="000F74CF">
        <w:rPr>
          <w:rFonts w:asciiTheme="majorHAnsi" w:eastAsiaTheme="minorHAnsi" w:hAnsiTheme="majorHAnsi" w:cstheme="majorHAnsi"/>
          <w:color w:val="auto"/>
          <w:sz w:val="24"/>
          <w:szCs w:val="24"/>
          <w:lang w:eastAsia="en-US"/>
        </w:rPr>
        <w:t xml:space="preserve"> who would make the decisions on how this would progress into the criminal justice system. I further explained that I am only a response officer and that while I have the training to gather and present this provisional information other more specialised officers would take her case forward in the coming days and that we were all here to help her. I reiterated how I needed to be really thorough at this stage so I could pass on the strongest foundation of a case to the most appropriate people, and that if I did not ask these sorts of questions now</w:t>
      </w:r>
      <w:r w:rsidRPr="00523CE2">
        <w:rPr>
          <w:rFonts w:asciiTheme="majorHAnsi" w:eastAsiaTheme="minorHAnsi" w:hAnsiTheme="majorHAnsi" w:cstheme="majorHAnsi"/>
          <w:color w:val="auto"/>
          <w:sz w:val="24"/>
          <w:szCs w:val="24"/>
          <w:lang w:eastAsia="en-US"/>
        </w:rPr>
        <w:t>,</w:t>
      </w:r>
      <w:r w:rsidRPr="000F74CF">
        <w:rPr>
          <w:rFonts w:asciiTheme="majorHAnsi" w:eastAsiaTheme="minorHAnsi" w:hAnsiTheme="majorHAnsi" w:cstheme="majorHAnsi"/>
          <w:color w:val="auto"/>
          <w:sz w:val="24"/>
          <w:szCs w:val="24"/>
          <w:lang w:eastAsia="en-US"/>
        </w:rPr>
        <w:t xml:space="preserve"> they would only be asked again later.</w:t>
      </w:r>
    </w:p>
    <w:p w14:paraId="0A1BE1CB"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 xml:space="preserve">Additionally, I made the victim aware of our victim support services which is a team specifically dedicated to helping victims through the criminal justice system. They act as a point of contact answering any questions about the process. They also assist with access arrangements ensuring victims can engage with the process. In this case the victim does not have access to </w:t>
      </w:r>
      <w:r w:rsidRPr="00523CE2">
        <w:rPr>
          <w:rFonts w:asciiTheme="majorHAnsi" w:eastAsiaTheme="minorHAnsi" w:hAnsiTheme="majorHAnsi" w:cstheme="majorHAnsi"/>
          <w:color w:val="auto"/>
          <w:sz w:val="24"/>
          <w:szCs w:val="24"/>
          <w:lang w:eastAsia="en-US"/>
        </w:rPr>
        <w:t>transport,</w:t>
      </w:r>
      <w:r w:rsidRPr="000F74CF">
        <w:rPr>
          <w:rFonts w:asciiTheme="majorHAnsi" w:eastAsiaTheme="minorHAnsi" w:hAnsiTheme="majorHAnsi" w:cstheme="majorHAnsi"/>
          <w:color w:val="auto"/>
          <w:sz w:val="24"/>
          <w:szCs w:val="24"/>
          <w:lang w:eastAsia="en-US"/>
        </w:rPr>
        <w:t xml:space="preserve"> </w:t>
      </w:r>
      <w:r w:rsidRPr="00523CE2">
        <w:rPr>
          <w:rFonts w:asciiTheme="majorHAnsi" w:eastAsiaTheme="minorHAnsi" w:hAnsiTheme="majorHAnsi" w:cstheme="majorHAnsi"/>
          <w:color w:val="auto"/>
          <w:sz w:val="24"/>
          <w:szCs w:val="24"/>
          <w:lang w:eastAsia="en-US"/>
        </w:rPr>
        <w:t xml:space="preserve">and they </w:t>
      </w:r>
      <w:r w:rsidRPr="000F74CF">
        <w:rPr>
          <w:rFonts w:asciiTheme="majorHAnsi" w:eastAsiaTheme="minorHAnsi" w:hAnsiTheme="majorHAnsi" w:cstheme="majorHAnsi"/>
          <w:color w:val="auto"/>
          <w:sz w:val="24"/>
          <w:szCs w:val="24"/>
          <w:lang w:eastAsia="en-US"/>
        </w:rPr>
        <w:t>may be able to help arrange a taxi for her on court days. When introducing big departments like victim support, I endeavour to make it personal to that victim and find a point that the service offers that applies to the victim. I find this transparency really helps victims who may not have had any contact with criminal justice before and not yet be able to identify their needs, or any person really who is in a time of crisis and can’t fully think through what it might mean</w:t>
      </w:r>
      <w:r w:rsidRPr="00523CE2">
        <w:rPr>
          <w:rFonts w:asciiTheme="majorHAnsi" w:eastAsiaTheme="minorHAnsi" w:hAnsiTheme="majorHAnsi" w:cstheme="majorHAnsi"/>
          <w:color w:val="auto"/>
          <w:sz w:val="24"/>
          <w:szCs w:val="24"/>
          <w:lang w:eastAsia="en-US"/>
        </w:rPr>
        <w:t xml:space="preserve"> for them</w:t>
      </w:r>
      <w:r w:rsidRPr="000F74CF">
        <w:rPr>
          <w:rFonts w:asciiTheme="majorHAnsi" w:eastAsiaTheme="minorHAnsi" w:hAnsiTheme="majorHAnsi" w:cstheme="majorHAnsi"/>
          <w:color w:val="auto"/>
          <w:sz w:val="24"/>
          <w:szCs w:val="24"/>
          <w:lang w:eastAsia="en-US"/>
        </w:rPr>
        <w:t>.</w:t>
      </w:r>
    </w:p>
    <w:p w14:paraId="6AB1EA28"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4670F053" w14:textId="77777777" w:rsidR="00523CE2" w:rsidRPr="000F74CF"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 xml:space="preserve">Going into this call I made some observations from the beginning. The victim was a young single mother living alone who could also be described as being from an alternative subculture. </w:t>
      </w:r>
      <w:r w:rsidRPr="00523CE2">
        <w:rPr>
          <w:rFonts w:asciiTheme="majorHAnsi" w:eastAsiaTheme="minorHAnsi" w:hAnsiTheme="majorHAnsi" w:cstheme="majorHAnsi"/>
          <w:color w:val="auto"/>
          <w:sz w:val="24"/>
          <w:szCs w:val="24"/>
          <w:lang w:eastAsia="en-US"/>
        </w:rPr>
        <w:t xml:space="preserve">She was living in a socio-economically deprived area and isolated from her family. </w:t>
      </w:r>
      <w:r w:rsidRPr="000F74CF">
        <w:rPr>
          <w:rFonts w:asciiTheme="majorHAnsi" w:eastAsiaTheme="minorHAnsi" w:hAnsiTheme="majorHAnsi" w:cstheme="majorHAnsi"/>
          <w:color w:val="auto"/>
          <w:sz w:val="24"/>
          <w:szCs w:val="24"/>
          <w:lang w:eastAsia="en-US"/>
        </w:rPr>
        <w:t xml:space="preserve">Above all else though </w:t>
      </w:r>
      <w:r w:rsidRPr="00523CE2">
        <w:rPr>
          <w:rFonts w:asciiTheme="majorHAnsi" w:eastAsiaTheme="minorHAnsi" w:hAnsiTheme="majorHAnsi" w:cstheme="majorHAnsi"/>
          <w:color w:val="auto"/>
          <w:sz w:val="24"/>
          <w:szCs w:val="24"/>
          <w:lang w:eastAsia="en-US"/>
        </w:rPr>
        <w:t xml:space="preserve">she was a </w:t>
      </w:r>
      <w:r w:rsidRPr="000F74CF">
        <w:rPr>
          <w:rFonts w:asciiTheme="majorHAnsi" w:eastAsiaTheme="minorHAnsi" w:hAnsiTheme="majorHAnsi" w:cstheme="majorHAnsi"/>
          <w:color w:val="auto"/>
          <w:sz w:val="24"/>
          <w:szCs w:val="24"/>
          <w:lang w:eastAsia="en-US"/>
        </w:rPr>
        <w:t xml:space="preserve">DV victim and domestic incidents come with their own cultural issues. It was very important to me that she felt safe, respected and understood during this process. I wanted to keep her informed about what was happening, so she felt actively involved and not passive to the process. Many DV victims can feel as though things just happen to them passively and they deserve bad things due to an unknown </w:t>
      </w:r>
      <w:r w:rsidRPr="000F74CF">
        <w:rPr>
          <w:rFonts w:asciiTheme="majorHAnsi" w:eastAsiaTheme="minorHAnsi" w:hAnsiTheme="majorHAnsi" w:cstheme="majorHAnsi"/>
          <w:color w:val="auto"/>
          <w:sz w:val="24"/>
          <w:szCs w:val="24"/>
          <w:lang w:eastAsia="en-US"/>
        </w:rPr>
        <w:lastRenderedPageBreak/>
        <w:t>reason, but I wanted to set the tone right from the start that this wasn’t acceptable behaviour that she had been subjected to and that she was believed.</w:t>
      </w:r>
    </w:p>
    <w:p w14:paraId="75C07A4A"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0F74CF">
        <w:rPr>
          <w:rFonts w:asciiTheme="majorHAnsi" w:eastAsiaTheme="minorHAnsi" w:hAnsiTheme="majorHAnsi" w:cstheme="majorHAnsi"/>
          <w:color w:val="auto"/>
          <w:sz w:val="24"/>
          <w:szCs w:val="24"/>
          <w:lang w:eastAsia="en-US"/>
        </w:rPr>
        <w:t>It is possible I was overreacting and reading too much into this. Perhaps this came from police training in noticing small details. Perhaps it came from my cultural background growing up in a socio-economically deprived area where there were many single mums and domestic abuse was prevalent. Regardless, it isn’t an issue worth taking a risk over especially when we know that on average people experience 50 incidents of domestic abuse before getting effective help (</w:t>
      </w:r>
      <w:bookmarkStart w:id="2" w:name="_Hlk99902369"/>
      <w:r w:rsidRPr="000F74CF">
        <w:rPr>
          <w:rFonts w:asciiTheme="majorHAnsi" w:eastAsiaTheme="minorHAnsi" w:hAnsiTheme="majorHAnsi" w:cstheme="majorHAnsi"/>
          <w:color w:val="auto"/>
          <w:sz w:val="24"/>
          <w:szCs w:val="24"/>
          <w:lang w:eastAsia="en-US"/>
        </w:rPr>
        <w:t>Walby, S. and Allen, J.</w:t>
      </w:r>
      <w:r w:rsidRPr="00523CE2">
        <w:rPr>
          <w:rFonts w:asciiTheme="majorHAnsi" w:eastAsiaTheme="minorHAnsi" w:hAnsiTheme="majorHAnsi" w:cstheme="majorHAnsi"/>
          <w:color w:val="auto"/>
          <w:sz w:val="24"/>
          <w:szCs w:val="24"/>
          <w:lang w:eastAsia="en-US"/>
        </w:rPr>
        <w:t xml:space="preserve">, </w:t>
      </w:r>
      <w:r w:rsidRPr="000F74CF">
        <w:rPr>
          <w:rFonts w:asciiTheme="majorHAnsi" w:eastAsiaTheme="minorHAnsi" w:hAnsiTheme="majorHAnsi" w:cstheme="majorHAnsi"/>
          <w:color w:val="auto"/>
          <w:sz w:val="24"/>
          <w:szCs w:val="24"/>
          <w:lang w:eastAsia="en-US"/>
        </w:rPr>
        <w:t>2004</w:t>
      </w:r>
      <w:bookmarkEnd w:id="2"/>
      <w:r w:rsidRPr="000F74CF">
        <w:rPr>
          <w:rFonts w:asciiTheme="majorHAnsi" w:eastAsiaTheme="minorHAnsi" w:hAnsiTheme="majorHAnsi" w:cstheme="majorHAnsi"/>
          <w:color w:val="auto"/>
          <w:sz w:val="24"/>
          <w:szCs w:val="24"/>
          <w:lang w:eastAsia="en-US"/>
        </w:rPr>
        <w:t>).</w:t>
      </w:r>
    </w:p>
    <w:p w14:paraId="7420566D"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17A08305"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Following her research into domestic abuse, Finneran reiterates the fact that abuse has many forms. The victim’s inability to recognise the abuse and lack of awareness of the way it can manifest ultimately leads to a situation where they overlook or accept the abuse (Finneran, p. 7). Women’s Aid explain domestic abuse as including, but not limited to, coercive control, psychological/emotional abuse, physical/sexual abuse, financial/economic abuse, harassment, stalking and digital abuse (Women’s Aid). This covers a wide-ranging set of possible behaviours that can easily go unidentified, particularly if the abuser is disguising their behaviour as affection or denying it in the case of gaslighting.</w:t>
      </w:r>
    </w:p>
    <w:p w14:paraId="03CF0E31"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In this situation, my victim only displayed concern over the fact her boyfriend had threatened to kill her that day. Despite disclosing to me numerous other instances of domestic abuse and freely answering my questions regarding his behaviour, she was unaware of how prevalent the abuse was within their relationship. From my prior research and understanding of the psychological element of domestic abuse trauma, I was very aware not to instantly cast her boyfriend as a bad person and vilify him as this could cause her to become defensive and withdraw from me. My intention was not to imply any blame onto her as this was undeniably not her fault. By bringing her attention to the fact these things were wrong I was able to educate her and by presenting it in a way she could understand she was able to educate herself which is empowering. As response officers we do not always get the opportunity to have this level of depth with someone, so this was a new opportunity for me to develop myself professionally.</w:t>
      </w:r>
    </w:p>
    <w:p w14:paraId="39602A32"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Throughout this I had The Victims Code in mind which is a list of 12 obligations the police have to victims. These include being understood, being given updates and making a VPS. Being developed by the Domestic Violence, Crime and Victims Act 2004, it has created an easy to apply framework of responsibilities which I feel has helped improve the service to these victims.</w:t>
      </w:r>
    </w:p>
    <w:p w14:paraId="5494519C" w14:textId="77777777" w:rsidR="00523CE2" w:rsidRPr="00523CE2" w:rsidRDefault="00523CE2" w:rsidP="00523CE2">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lastRenderedPageBreak/>
        <w:t>This call was a new challenge for me. I was very aware of the sensitivity of the situation and risk involved in getting it wrong. I used my training and prior knowledge to gather the evidence I needed in a way that was considerate of the nature of the call. Unfortunately, I did not activate my Body Worn Video (BWV). This was an error on my part. I was so focused on what I needed to do once I was in the house, I forgot what I needed to do on the doorstep. BWV has a purpose of capturing initial disclosures particularly in the case of DV where people often withdraw their support for the police at later stages of the investigation which has led to the introduction of victimless prosecutions. Had this victim later withdraw we would have had a weaker case to present with the lack of that BWV. Fortunately, the victim had saved the evidential messages and I made detailed notes in my electronic Pocket Notebook (ePNB) of her words. This incident has stuck with me and now every time I go to a call I am reminded to flick my BWV on.</w:t>
      </w:r>
    </w:p>
    <w:p w14:paraId="1967E2A8" w14:textId="1D716C18" w:rsidR="00025650" w:rsidRPr="00523CE2" w:rsidRDefault="00025650" w:rsidP="00523CE2">
      <w:pPr>
        <w:spacing w:line="360" w:lineRule="auto"/>
        <w:ind w:right="107"/>
        <w:jc w:val="both"/>
        <w:rPr>
          <w:rFonts w:asciiTheme="majorHAnsi" w:hAnsiTheme="majorHAnsi" w:cstheme="majorHAnsi"/>
          <w:color w:val="auto"/>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0238DCA2" w:rsidR="00025650" w:rsidRPr="00BE6DCF" w:rsidRDefault="00BE6DCF" w:rsidP="00E6298B">
      <w:pPr>
        <w:ind w:right="107"/>
        <w:jc w:val="both"/>
        <w:rPr>
          <w:b/>
          <w:bCs/>
          <w:sz w:val="24"/>
          <w:szCs w:val="24"/>
        </w:rPr>
      </w:pPr>
      <w:r w:rsidRPr="00BE6DCF">
        <w:rPr>
          <w:b/>
          <w:bCs/>
          <w:sz w:val="24"/>
          <w:szCs w:val="24"/>
        </w:rPr>
        <w:t>Word count = 2498</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bookmarkStart w:id="3" w:name="_Hlk95837771"/>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bookmarkEnd w:id="3"/>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0811D6FD" w14:textId="77777777"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sz w:val="24"/>
          <w:szCs w:val="24"/>
        </w:rPr>
        <w:t>The ability to make decisions independent of leadership is a crucial element of modern policing. We are not always able to consult senior officers or even discuss decisions with colleagues given the demands of front-line policing. As a result of this individual officers have become adept as making informed decisions themselves and then conveying those decisions back to their supervisors once it is practicable to do so (Crawshaw et al,., 1998, p. 24). In order to aid this decision-making process, officers use a National Decision Model (NDM) in resolving issues. Coupled with decision making is the process of discretion which plays a key role in assisting officers in deciding realistically what they can achieve by taking action and when they can pursue alternative disposals.</w:t>
      </w:r>
    </w:p>
    <w:p w14:paraId="2F716547" w14:textId="77777777"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sz w:val="24"/>
          <w:szCs w:val="24"/>
        </w:rPr>
        <w:t xml:space="preserve">Here I will be discussing the National Decision Model and evaluate the role of discretion in this decision-making process. I will be focusing the discussion around a policing incident I dealt with and how I followed these models in my work. Further, I will determine my responsibilities while conducting investigations and illustrate how I engaged policing principles throughout. I will conclude by touching on the impact of bias in the decision-making process in general and specifically to this scenario. To </w:t>
      </w:r>
      <w:r w:rsidRPr="00286E00">
        <w:rPr>
          <w:rFonts w:asciiTheme="majorHAnsi" w:hAnsiTheme="majorHAnsi" w:cstheme="majorHAnsi"/>
          <w:sz w:val="24"/>
          <w:szCs w:val="24"/>
        </w:rPr>
        <w:lastRenderedPageBreak/>
        <w:t>assist with this, I will be reflecting on my work throughout using the Gibbs Reflective Cycle which centres around evaluating our experiences and feelings to develop specific action plans for improvement.</w:t>
      </w:r>
    </w:p>
    <w:p w14:paraId="2C472591" w14:textId="77777777"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noProof/>
          <w:sz w:val="24"/>
          <w:szCs w:val="24"/>
        </w:rPr>
        <w:drawing>
          <wp:anchor distT="0" distB="0" distL="114300" distR="114300" simplePos="0" relativeHeight="251662336" behindDoc="0" locked="0" layoutInCell="1" allowOverlap="1" wp14:anchorId="63967376" wp14:editId="1DD86B22">
            <wp:simplePos x="0" y="0"/>
            <wp:positionH relativeFrom="margin">
              <wp:align>center</wp:align>
            </wp:positionH>
            <wp:positionV relativeFrom="paragraph">
              <wp:posOffset>21590</wp:posOffset>
            </wp:positionV>
            <wp:extent cx="2195830" cy="219583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95830" cy="2195830"/>
                    </a:xfrm>
                    <a:prstGeom prst="rect">
                      <a:avLst/>
                    </a:prstGeom>
                    <a:noFill/>
                  </pic:spPr>
                </pic:pic>
              </a:graphicData>
            </a:graphic>
            <wp14:sizeRelH relativeFrom="margin">
              <wp14:pctWidth>0</wp14:pctWidth>
            </wp14:sizeRelH>
            <wp14:sizeRelV relativeFrom="margin">
              <wp14:pctHeight>0</wp14:pctHeight>
            </wp14:sizeRelV>
          </wp:anchor>
        </w:drawing>
      </w:r>
    </w:p>
    <w:p w14:paraId="4078FE2C" w14:textId="77777777" w:rsidR="00286E00" w:rsidRPr="00286E00" w:rsidRDefault="00286E00" w:rsidP="00286E00">
      <w:pPr>
        <w:spacing w:line="360" w:lineRule="auto"/>
        <w:jc w:val="both"/>
        <w:rPr>
          <w:rFonts w:asciiTheme="majorHAnsi" w:hAnsiTheme="majorHAnsi" w:cstheme="majorHAnsi"/>
          <w:sz w:val="24"/>
          <w:szCs w:val="24"/>
        </w:rPr>
      </w:pPr>
    </w:p>
    <w:p w14:paraId="7CBBB74C" w14:textId="77777777" w:rsidR="00286E00" w:rsidRPr="00286E00" w:rsidRDefault="00286E00" w:rsidP="00286E00">
      <w:pPr>
        <w:spacing w:line="360" w:lineRule="auto"/>
        <w:jc w:val="both"/>
        <w:rPr>
          <w:rFonts w:asciiTheme="majorHAnsi" w:hAnsiTheme="majorHAnsi" w:cstheme="majorHAnsi"/>
          <w:sz w:val="24"/>
          <w:szCs w:val="24"/>
        </w:rPr>
      </w:pPr>
    </w:p>
    <w:p w14:paraId="4873CC3B" w14:textId="77777777" w:rsidR="00286E00" w:rsidRPr="00286E00" w:rsidRDefault="00286E00" w:rsidP="00286E00">
      <w:pPr>
        <w:spacing w:line="360" w:lineRule="auto"/>
        <w:jc w:val="both"/>
        <w:rPr>
          <w:rFonts w:asciiTheme="majorHAnsi" w:hAnsiTheme="majorHAnsi" w:cstheme="majorHAnsi"/>
          <w:sz w:val="24"/>
          <w:szCs w:val="24"/>
        </w:rPr>
      </w:pPr>
    </w:p>
    <w:p w14:paraId="1D6EC362"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lang w:eastAsia="en-US"/>
        </w:rPr>
      </w:pPr>
      <w:r w:rsidRPr="00286E00">
        <w:rPr>
          <w:rFonts w:asciiTheme="majorHAnsi" w:eastAsiaTheme="minorHAnsi" w:hAnsiTheme="majorHAnsi" w:cstheme="majorHAnsi"/>
          <w:color w:val="auto"/>
          <w:lang w:eastAsia="en-US"/>
        </w:rPr>
        <w:t>Image 1: Gibbs Reflective Cycle</w:t>
      </w:r>
    </w:p>
    <w:p w14:paraId="3D4A592C" w14:textId="77777777" w:rsidR="00286E00" w:rsidRPr="00286E00" w:rsidRDefault="00286E00" w:rsidP="00286E00">
      <w:pPr>
        <w:spacing w:line="360" w:lineRule="auto"/>
        <w:jc w:val="both"/>
        <w:rPr>
          <w:rFonts w:asciiTheme="majorHAnsi" w:hAnsiTheme="majorHAnsi" w:cstheme="majorHAnsi"/>
          <w:sz w:val="24"/>
          <w:szCs w:val="24"/>
        </w:rPr>
      </w:pPr>
    </w:p>
    <w:p w14:paraId="684BCD44" w14:textId="77777777" w:rsidR="00286E00" w:rsidRPr="00286E00" w:rsidRDefault="00286E00" w:rsidP="00286E00">
      <w:pPr>
        <w:spacing w:line="360" w:lineRule="auto"/>
        <w:jc w:val="both"/>
        <w:rPr>
          <w:rFonts w:asciiTheme="majorHAnsi" w:hAnsiTheme="majorHAnsi" w:cstheme="majorHAnsi"/>
          <w:sz w:val="24"/>
          <w:szCs w:val="24"/>
        </w:rPr>
      </w:pPr>
    </w:p>
    <w:p w14:paraId="3F0E9334" w14:textId="77777777" w:rsidR="00286E00" w:rsidRPr="00286E00" w:rsidRDefault="00286E00" w:rsidP="00286E00">
      <w:pPr>
        <w:spacing w:line="360" w:lineRule="auto"/>
        <w:jc w:val="both"/>
        <w:rPr>
          <w:rFonts w:asciiTheme="majorHAnsi" w:hAnsiTheme="majorHAnsi" w:cstheme="majorHAnsi"/>
          <w:sz w:val="24"/>
          <w:szCs w:val="24"/>
        </w:rPr>
      </w:pPr>
    </w:p>
    <w:p w14:paraId="2D320224" w14:textId="77777777" w:rsidR="00286E00" w:rsidRPr="00286E00" w:rsidRDefault="00286E00" w:rsidP="00286E00">
      <w:pPr>
        <w:spacing w:line="360" w:lineRule="auto"/>
        <w:jc w:val="both"/>
        <w:rPr>
          <w:rFonts w:asciiTheme="majorHAnsi" w:hAnsiTheme="majorHAnsi" w:cstheme="majorHAnsi"/>
          <w:sz w:val="24"/>
          <w:szCs w:val="24"/>
        </w:rPr>
      </w:pPr>
    </w:p>
    <w:p w14:paraId="7288E728" w14:textId="77777777"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sz w:val="24"/>
          <w:szCs w:val="24"/>
        </w:rPr>
        <w:t>One evening while on patrol a colleague was completing stopped vehicle checks over the air nearby to where I was patrolling. They were satisfied with the information they had received and left the area. I then received a call from a local Community Support Officer (CSO) informing me they had previously dealt with the male in question and they were not in fact allowed to be using that vehicle, in this case an off-road bike. As I was nearby, I made my way to the location to conduct further enquiries.</w:t>
      </w:r>
    </w:p>
    <w:p w14:paraId="0918DFB2" w14:textId="77777777"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sz w:val="24"/>
          <w:szCs w:val="24"/>
        </w:rPr>
        <w:t>I discovered the male had insurance on the bike and had a CBT bike licence, but his licence was for a lower powered bike. Consequently, the male was in fact driving overwise than in accordance with a licence, driving without insurance and the bike was not in a road legal condition. I considered discretionary outcomes such as educating the male and issuing a warning. However, after consulting with the local CSOs who were familiar with the male it became apparent he had been warned previously and continued to disregard the law. Therefore, the male was issued with a Traffic Offence Report (TOR) and the bike was seized.</w:t>
      </w:r>
    </w:p>
    <w:p w14:paraId="1A4A7460" w14:textId="77777777" w:rsidR="00286E00" w:rsidRPr="00286E00" w:rsidRDefault="00286E00" w:rsidP="00286E00">
      <w:pPr>
        <w:spacing w:line="360" w:lineRule="auto"/>
        <w:jc w:val="both"/>
        <w:rPr>
          <w:rFonts w:asciiTheme="majorHAnsi" w:hAnsiTheme="majorHAnsi" w:cstheme="majorHAnsi"/>
          <w:sz w:val="24"/>
          <w:szCs w:val="24"/>
        </w:rPr>
      </w:pPr>
    </w:p>
    <w:p w14:paraId="355F5002" w14:textId="77777777" w:rsidR="00286E00" w:rsidRPr="00286E00" w:rsidRDefault="00286E00" w:rsidP="00286E00">
      <w:pPr>
        <w:spacing w:line="360" w:lineRule="auto"/>
        <w:jc w:val="both"/>
        <w:rPr>
          <w:rFonts w:asciiTheme="majorHAnsi" w:hAnsiTheme="majorHAnsi" w:cstheme="majorHAnsi"/>
          <w:sz w:val="24"/>
          <w:szCs w:val="24"/>
        </w:rPr>
      </w:pPr>
    </w:p>
    <w:p w14:paraId="248D1AFE" w14:textId="77777777"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sz w:val="24"/>
          <w:szCs w:val="24"/>
        </w:rPr>
        <w:t xml:space="preserve">To structure our thought process when dealing with policing incidents officers use the National Decision Model. This is a universal process in police services across the country and has aided in ensuring all officers make the same decisions when faced with the same information. The mnemonic we use to remember the process is CIAPOAR. To use this process officers gather all available information and intelligence while assessing threat, risk and harm. They then develop a working </w:t>
      </w:r>
      <w:r w:rsidRPr="00286E00">
        <w:rPr>
          <w:rFonts w:asciiTheme="majorHAnsi" w:hAnsiTheme="majorHAnsi" w:cstheme="majorHAnsi"/>
          <w:sz w:val="24"/>
          <w:szCs w:val="24"/>
        </w:rPr>
        <w:lastRenderedPageBreak/>
        <w:t>strategy in line with relevant powers and policies identifying their options and any contingencies. Action is then taken, and the outcome reviewed. If necessary, the cycle is begun again. Underpinning every step of the cycle is the Code of Ethics and Human Rights.</w:t>
      </w:r>
    </w:p>
    <w:p w14:paraId="545159F0" w14:textId="77777777" w:rsidR="00286E00" w:rsidRPr="00286E00" w:rsidRDefault="00286E00" w:rsidP="00286E00">
      <w:pPr>
        <w:spacing w:line="360" w:lineRule="auto"/>
        <w:jc w:val="both"/>
        <w:rPr>
          <w:rFonts w:asciiTheme="majorHAnsi" w:hAnsiTheme="majorHAnsi" w:cstheme="majorHAnsi"/>
          <w:sz w:val="24"/>
          <w:szCs w:val="24"/>
        </w:rPr>
      </w:pPr>
    </w:p>
    <w:p w14:paraId="4FF439F5" w14:textId="77777777"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noProof/>
          <w:sz w:val="24"/>
          <w:szCs w:val="24"/>
        </w:rPr>
        <w:drawing>
          <wp:anchor distT="0" distB="0" distL="114300" distR="114300" simplePos="0" relativeHeight="251661312" behindDoc="0" locked="0" layoutInCell="1" allowOverlap="1" wp14:anchorId="1292B518" wp14:editId="213A26F9">
            <wp:simplePos x="0" y="0"/>
            <wp:positionH relativeFrom="margin">
              <wp:posOffset>1924685</wp:posOffset>
            </wp:positionH>
            <wp:positionV relativeFrom="paragraph">
              <wp:posOffset>19685</wp:posOffset>
            </wp:positionV>
            <wp:extent cx="2983230" cy="210121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6">
                      <a:extLst>
                        <a:ext uri="{28A0092B-C50C-407E-A947-70E740481C1C}">
                          <a14:useLocalDpi xmlns:a14="http://schemas.microsoft.com/office/drawing/2010/main" val="0"/>
                        </a:ext>
                      </a:extLst>
                    </a:blip>
                    <a:srcRect l="7719" r="5261"/>
                    <a:stretch/>
                  </pic:blipFill>
                  <pic:spPr bwMode="auto">
                    <a:xfrm>
                      <a:off x="0" y="0"/>
                      <a:ext cx="2983230" cy="21012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6049D0" w14:textId="77777777" w:rsidR="00286E00" w:rsidRPr="00286E00" w:rsidRDefault="00286E00" w:rsidP="00286E00">
      <w:pPr>
        <w:spacing w:line="360" w:lineRule="auto"/>
        <w:jc w:val="both"/>
        <w:rPr>
          <w:rFonts w:asciiTheme="majorHAnsi" w:hAnsiTheme="majorHAnsi" w:cstheme="majorHAnsi"/>
          <w:sz w:val="24"/>
          <w:szCs w:val="24"/>
        </w:rPr>
      </w:pPr>
    </w:p>
    <w:p w14:paraId="73FC9A49" w14:textId="77777777" w:rsidR="00286E00" w:rsidRPr="00286E00" w:rsidRDefault="00286E00" w:rsidP="00286E00">
      <w:pPr>
        <w:spacing w:line="360" w:lineRule="auto"/>
        <w:jc w:val="both"/>
        <w:rPr>
          <w:rFonts w:asciiTheme="majorHAnsi" w:hAnsiTheme="majorHAnsi" w:cstheme="majorHAnsi"/>
          <w:sz w:val="24"/>
          <w:szCs w:val="24"/>
        </w:rPr>
      </w:pPr>
    </w:p>
    <w:p w14:paraId="3CB7C7AC"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7173F3B6"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lang w:eastAsia="en-US"/>
        </w:rPr>
      </w:pPr>
      <w:r w:rsidRPr="00286E00">
        <w:rPr>
          <w:rFonts w:asciiTheme="majorHAnsi" w:eastAsiaTheme="minorHAnsi" w:hAnsiTheme="majorHAnsi" w:cstheme="majorHAnsi"/>
          <w:color w:val="auto"/>
          <w:lang w:eastAsia="en-US"/>
        </w:rPr>
        <w:t>Image 3: National Decision Model</w:t>
      </w:r>
    </w:p>
    <w:p w14:paraId="08599258"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lang w:eastAsia="en-US"/>
        </w:rPr>
      </w:pPr>
    </w:p>
    <w:p w14:paraId="6F4FEBF2"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p>
    <w:p w14:paraId="681B82AC" w14:textId="69FA8E2A"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286E00">
        <w:rPr>
          <w:rFonts w:asciiTheme="majorHAnsi" w:eastAsiaTheme="minorHAnsi" w:hAnsiTheme="majorHAnsi" w:cstheme="majorHAnsi"/>
          <w:color w:val="auto"/>
          <w:sz w:val="24"/>
          <w:szCs w:val="24"/>
          <w:lang w:eastAsia="en-US"/>
        </w:rPr>
        <w:t>Rowe discusses how discretion can be used in a variety of ways and for a mixture of purposes within policing (2020, p. 56). One way it presents itself is in neighbourhood policing when dealing with long running disputes. As Delattre discusses, another way suggested was the use of discretion in anticipation for any future events or decisions made by other officers (as quoted in B</w:t>
      </w:r>
      <w:r>
        <w:rPr>
          <w:rFonts w:asciiTheme="majorHAnsi" w:eastAsiaTheme="minorHAnsi" w:hAnsiTheme="majorHAnsi" w:cstheme="majorHAnsi"/>
          <w:color w:val="auto"/>
          <w:sz w:val="24"/>
          <w:szCs w:val="24"/>
          <w:lang w:eastAsia="en-US"/>
        </w:rPr>
        <w:t>ryant and Bryant, 2020</w:t>
      </w:r>
      <w:r w:rsidRPr="00286E00">
        <w:rPr>
          <w:rFonts w:asciiTheme="majorHAnsi" w:eastAsiaTheme="minorHAnsi" w:hAnsiTheme="majorHAnsi" w:cstheme="majorHAnsi"/>
          <w:color w:val="auto"/>
          <w:sz w:val="24"/>
          <w:szCs w:val="24"/>
          <w:lang w:eastAsia="en-US"/>
        </w:rPr>
        <w:t>, p. 79). Anticipating future events is perfectly justified in guiding decision making in the context of choosing to pursue alternative and non-criminalising outcomes such as community resolutions, providing the necessity for them has been met. However, letting your previous experiences of similar cases being designated No Further Action (NFA) by the Crown Prosecution Service (CPS) does not warrant the use of discretion in dictating the mindset with which officers investigate such offences. Police officers are information gatherers, not judges.</w:t>
      </w:r>
    </w:p>
    <w:p w14:paraId="0270DFB9"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286E00">
        <w:rPr>
          <w:rFonts w:asciiTheme="majorHAnsi" w:eastAsiaTheme="minorHAnsi" w:hAnsiTheme="majorHAnsi" w:cstheme="majorHAnsi"/>
          <w:color w:val="auto"/>
          <w:sz w:val="24"/>
          <w:szCs w:val="24"/>
          <w:lang w:eastAsia="en-US"/>
        </w:rPr>
        <w:t>Discretion itself can be a divisive topic. While many people would feel glad to only receive a verbal warning, others view this as an inconsistent application of the law. These critics would advocate for the complete removal of discretion in policing but with the current demands on the service and a criminal justice service already struggling to cope this would not be feasible.</w:t>
      </w:r>
    </w:p>
    <w:p w14:paraId="3F436A83"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286E00">
        <w:rPr>
          <w:rFonts w:asciiTheme="majorHAnsi" w:eastAsiaTheme="minorHAnsi" w:hAnsiTheme="majorHAnsi" w:cstheme="majorHAnsi"/>
          <w:color w:val="auto"/>
          <w:sz w:val="24"/>
          <w:szCs w:val="24"/>
          <w:lang w:eastAsia="en-US"/>
        </w:rPr>
        <w:t xml:space="preserve">An area where I favour discretion is with traffic offences, as with this situation I dealt with. Rowe goes into some detail on this, making reference to what is known as ‘the attitude test’ (2020, p. 56). What makes traffic such an interesting and receptive set of legislation to discretion is the opportunities it presents for education and awareness. According to the road safety charity Road Peace, 5 people die on the roads each day and every 22 minutes someone is killed or seriously injured on the road (Road </w:t>
      </w:r>
      <w:r w:rsidRPr="00286E00">
        <w:rPr>
          <w:rFonts w:asciiTheme="majorHAnsi" w:eastAsiaTheme="minorHAnsi" w:hAnsiTheme="majorHAnsi" w:cstheme="majorHAnsi"/>
          <w:color w:val="auto"/>
          <w:sz w:val="24"/>
          <w:szCs w:val="24"/>
          <w:lang w:eastAsia="en-US"/>
        </w:rPr>
        <w:lastRenderedPageBreak/>
        <w:t>Danger Reduction, Road Peace). Road safety statistics are published by the Department of Transport and collated through the police submission of Stats 19 booklets for Road Traffic Collisions (RTCs).</w:t>
      </w:r>
    </w:p>
    <w:p w14:paraId="185A072D"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286E00">
        <w:rPr>
          <w:rFonts w:asciiTheme="majorHAnsi" w:eastAsiaTheme="minorHAnsi" w:hAnsiTheme="majorHAnsi" w:cstheme="majorHAnsi"/>
          <w:color w:val="auto"/>
          <w:sz w:val="24"/>
          <w:szCs w:val="24"/>
          <w:lang w:eastAsia="en-US"/>
        </w:rPr>
        <w:t>Wilson explains that discretion increases the lower hierarchy the officer (1968, p. 55). If we think of the policing world as a pyramid, the base levels are low level crimes, but they are also the most common crimes and the ones with the most options for disposals. This is also the level where the majority of police constables operate in order to be able to meet the demands on the service. It is only natural then that there is an increased reliance on discretion firstly because it allows for more appropriate outcomes to individual situations, but also because it prevents the system from being more overloaded than it already is, almost acting as a screening process.</w:t>
      </w:r>
    </w:p>
    <w:p w14:paraId="50D1FCD3"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286E00">
        <w:rPr>
          <w:rFonts w:asciiTheme="majorHAnsi" w:eastAsiaTheme="minorHAnsi" w:hAnsiTheme="majorHAnsi" w:cstheme="majorHAnsi"/>
          <w:color w:val="auto"/>
          <w:sz w:val="24"/>
          <w:szCs w:val="24"/>
          <w:lang w:eastAsia="en-US"/>
        </w:rPr>
        <w:t>When dealing with the sort of offences that can go on a Traffic Offence Reports, most commonly using a mobile phone while driving or having a broken bulb, these can be turned into educational opportunities for the driver. As new drivers in the first two years of their license can be disqualified if they reach 6 points, and the consequence of using a mobile phone while driving is 6 points, a new driver could be automatically disqualified. While all drivers are judged at the same standard in the eyes of the law, many may not yet have an appreciation for how much concentration is diminished by flicking your eyes towards a screen or what the law deems to mean using a mobile phone while driving. It is also possible they know full well what they are doing, but we can never know everything and must trust we have made a good decision.</w:t>
      </w:r>
    </w:p>
    <w:p w14:paraId="22DCFC54"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286E00">
        <w:rPr>
          <w:rFonts w:asciiTheme="majorHAnsi" w:eastAsiaTheme="minorHAnsi" w:hAnsiTheme="majorHAnsi" w:cstheme="majorHAnsi"/>
          <w:color w:val="auto"/>
          <w:sz w:val="24"/>
          <w:szCs w:val="24"/>
          <w:lang w:eastAsia="en-US"/>
        </w:rPr>
        <w:t>For this situation my first thought was using this as an opportunity for education. With there being such a wide range of bikes and bike licences, it could have been a genuine mistake. This was my first interaction with this person, so I began by talking to him to ascertain his level of awareness. I conducted my own checks on the Police National Computer (PNC) with enhanced driver licence search for the male asking specifically for the power outage he was licenced to operate. Once I was satisfied he had broken the law I considered my options.</w:t>
      </w:r>
    </w:p>
    <w:p w14:paraId="12C8D58B"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color w:val="auto"/>
          <w:sz w:val="24"/>
          <w:szCs w:val="24"/>
          <w:lang w:eastAsia="en-US"/>
        </w:rPr>
      </w:pPr>
      <w:r w:rsidRPr="00286E00">
        <w:rPr>
          <w:rFonts w:asciiTheme="majorHAnsi" w:eastAsiaTheme="minorHAnsi" w:hAnsiTheme="majorHAnsi" w:cstheme="majorHAnsi"/>
          <w:color w:val="auto"/>
          <w:sz w:val="24"/>
          <w:szCs w:val="24"/>
          <w:lang w:eastAsia="en-US"/>
        </w:rPr>
        <w:t xml:space="preserve">Although my preferred method of disposal would have been to explain to the male what he had done wrong and figure out how to rectify the situation, the CSO confirmed they had already attempted to educate the male and had given him a verbal warning on another occasion. To me this indicated a blatant disregard for the law and gave me no confidence to assume he would make the necessary changes as he had not done so previously. Despite building a good rapport with the male myself, he showed hostility towards my colleagues, some of whom he had encountered before and others </w:t>
      </w:r>
      <w:r w:rsidRPr="00286E00">
        <w:rPr>
          <w:rFonts w:asciiTheme="majorHAnsi" w:eastAsiaTheme="minorHAnsi" w:hAnsiTheme="majorHAnsi" w:cstheme="majorHAnsi"/>
          <w:color w:val="auto"/>
          <w:sz w:val="24"/>
          <w:szCs w:val="24"/>
          <w:lang w:eastAsia="en-US"/>
        </w:rPr>
        <w:lastRenderedPageBreak/>
        <w:t>meeting for the first time. This confirmed to me the male knew he was in the wrong but was attempting to lead me towards giving him another warning.</w:t>
      </w:r>
    </w:p>
    <w:p w14:paraId="3DB503B9"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sz w:val="24"/>
          <w:szCs w:val="24"/>
        </w:rPr>
      </w:pPr>
    </w:p>
    <w:p w14:paraId="645C9BF5"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sz w:val="24"/>
          <w:szCs w:val="24"/>
        </w:rPr>
      </w:pPr>
      <w:r w:rsidRPr="00286E00">
        <w:rPr>
          <w:rFonts w:asciiTheme="majorHAnsi" w:eastAsiaTheme="minorHAnsi" w:hAnsiTheme="majorHAnsi" w:cstheme="majorHAnsi"/>
          <w:sz w:val="24"/>
          <w:szCs w:val="24"/>
        </w:rPr>
        <w:t>All policing investigations are governed by the requirements of the Criminal Investigations and Procedures Act 1967. This regulates the investigation and regulates the recording and retention of information obtained. In 2005 the Home Office released its updated Code of Practice for the Management of Police Information (MoPI). For this situation, my body worn video (BWV) was activated. This meant the entire interaction could be reviewed if the subject were to complain or if I was audited. BWV benefits everybody involved as it is neutral to the situation simply capturing what has happened. It also negates the whole ‘he said, she said’ scenario if anything was to be challenged in the future.</w:t>
      </w:r>
    </w:p>
    <w:p w14:paraId="4FD7F858"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sz w:val="24"/>
          <w:szCs w:val="24"/>
        </w:rPr>
      </w:pPr>
      <w:r w:rsidRPr="00286E00">
        <w:rPr>
          <w:rFonts w:asciiTheme="majorHAnsi" w:eastAsiaTheme="minorHAnsi" w:hAnsiTheme="majorHAnsi" w:cstheme="majorHAnsi"/>
          <w:sz w:val="24"/>
          <w:szCs w:val="24"/>
        </w:rPr>
        <w:t>By recording these interactions we are also keeping a track of our decision making process, evidencing our journey through the NDM. This is extremely beneficial to us as when we are dispatched to calls we do not know what we are going to be faced with or where in the criminal justice system we may end up. Having strong body worn footage of the decision-making process means officers are less likely to be called to court to give their evidence orally freeing them to continue working on the front line giving the public a good service.</w:t>
      </w:r>
    </w:p>
    <w:p w14:paraId="2B5F28DA"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sz w:val="24"/>
          <w:szCs w:val="24"/>
        </w:rPr>
      </w:pPr>
      <w:r w:rsidRPr="00286E00">
        <w:rPr>
          <w:rFonts w:asciiTheme="majorHAnsi" w:eastAsiaTheme="minorHAnsi" w:hAnsiTheme="majorHAnsi" w:cstheme="majorHAnsi"/>
          <w:sz w:val="24"/>
          <w:szCs w:val="24"/>
        </w:rPr>
        <w:t>In addition to capturing information on BWV, the PNC checks I conducted over the air are automatically recorded in my electronic pocket notebook (ePNB) for me to refence later and as a record of the request as all personal information requests are documented as evidence of them being for legitimate policing purposes. The paperwork I completed in issuing the TOR and the Section 165 seizure are on carbon paper where the writing goes through several layers of paper generating multiple identical copies of the same form. As a minimum there is a subject copy, an officer copy and a Welsh copy. As a Welsh police service we have a legal obligation under the Welsh Language Act 1993 to have all of our communication options being available bilingually otherwise we face a fine.</w:t>
      </w:r>
    </w:p>
    <w:p w14:paraId="7CAF07B6" w14:textId="77777777" w:rsidR="00286E00" w:rsidRPr="00286E00" w:rsidRDefault="00286E00" w:rsidP="00286E00">
      <w:pPr>
        <w:overflowPunct/>
        <w:autoSpaceDE/>
        <w:autoSpaceDN/>
        <w:adjustRightInd/>
        <w:spacing w:after="160" w:line="360" w:lineRule="auto"/>
        <w:jc w:val="both"/>
        <w:textAlignment w:val="auto"/>
        <w:rPr>
          <w:rFonts w:asciiTheme="majorHAnsi" w:hAnsiTheme="majorHAnsi" w:cstheme="majorHAnsi"/>
          <w:sz w:val="24"/>
          <w:szCs w:val="24"/>
          <w:lang w:eastAsia="en-US"/>
        </w:rPr>
      </w:pPr>
      <w:r w:rsidRPr="00286E00">
        <w:rPr>
          <w:rFonts w:asciiTheme="majorHAnsi" w:eastAsiaTheme="minorHAnsi" w:hAnsiTheme="majorHAnsi" w:cstheme="majorHAnsi"/>
          <w:sz w:val="24"/>
          <w:szCs w:val="24"/>
        </w:rPr>
        <w:t xml:space="preserve">Within these forms is an area to record the caution reply. It is essential this is recorded along with any other significant statements because if someone refuses to accept the ticket they will be investigated criminally and will be questioned on such statements in interview or court. It is vital officers are observant of these comments and have BWV activated as they have the potential to be incriminating. Police officers are independent evidence gatherers for the criminal justice system meaning we gather </w:t>
      </w:r>
      <w:r w:rsidRPr="00286E00">
        <w:rPr>
          <w:rFonts w:asciiTheme="majorHAnsi" w:eastAsiaTheme="minorHAnsi" w:hAnsiTheme="majorHAnsi" w:cstheme="majorHAnsi"/>
          <w:sz w:val="24"/>
          <w:szCs w:val="24"/>
        </w:rPr>
        <w:lastRenderedPageBreak/>
        <w:t>evidence that can both confirm and deny that a crime has been committed. We would not be conducting our duties under the CPIA if we were to disregard this. For this situation the male made no reply which I documented. He signed the paperwork and accepted the reality of what was happening. I also gave him the Welsh copy of the form to prevent any complaints regarding that.</w:t>
      </w:r>
    </w:p>
    <w:p w14:paraId="61C7CD1F" w14:textId="77777777" w:rsidR="00286E00" w:rsidRPr="00286E00" w:rsidRDefault="00286E00" w:rsidP="00286E00">
      <w:pPr>
        <w:spacing w:line="360" w:lineRule="auto"/>
        <w:jc w:val="both"/>
        <w:rPr>
          <w:rFonts w:asciiTheme="majorHAnsi" w:hAnsiTheme="majorHAnsi" w:cstheme="majorHAnsi"/>
          <w:sz w:val="24"/>
          <w:szCs w:val="24"/>
        </w:rPr>
      </w:pPr>
    </w:p>
    <w:p w14:paraId="49150FC7" w14:textId="77777777"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sz w:val="24"/>
          <w:szCs w:val="24"/>
        </w:rPr>
        <w:t>A response to this situation could have easily been tainted with bias against the male with an off-road bike as the bikes are often loud and when used in places they are not designed for have the potential to be dangerous. While policing is about protecting life and property, and preventing and detecting crime, I believe it is also a public service and that is a service for all of the public. If the situation allows, everybody should be given an opportunity to put right a wrong and avoid becoming criminalised. But as the College of Policing reminds us you must act consistently and with the skills of your training (as quoted in Rowe, p. 58).</w:t>
      </w:r>
    </w:p>
    <w:p w14:paraId="480B2640" w14:textId="6D16A2B6"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sz w:val="24"/>
          <w:szCs w:val="24"/>
        </w:rPr>
        <w:t>There is always a fear that discretion can cross into discrimination with police critics arguing this is normal practice. It cannot be denied that historically people from ethnic minority backgrounds have had disproportionately more interactions with the police (B</w:t>
      </w:r>
      <w:r>
        <w:rPr>
          <w:rFonts w:asciiTheme="majorHAnsi" w:hAnsiTheme="majorHAnsi" w:cstheme="majorHAnsi"/>
          <w:sz w:val="24"/>
          <w:szCs w:val="24"/>
        </w:rPr>
        <w:t>ryant and Bryant, 2020</w:t>
      </w:r>
      <w:r w:rsidRPr="00286E00">
        <w:rPr>
          <w:rFonts w:asciiTheme="majorHAnsi" w:hAnsiTheme="majorHAnsi" w:cstheme="majorHAnsi"/>
          <w:sz w:val="24"/>
          <w:szCs w:val="24"/>
        </w:rPr>
        <w:t>, p. 81). If there is to be an improvement in outcomes and perceptions the change needs to come from officers. We need to be acutely aware of our own unconscious biases and not be afraid to question the decisions of our colleagues if we are concerned. Change can only occur if we work collaboratively.</w:t>
      </w:r>
    </w:p>
    <w:p w14:paraId="6EC740BC" w14:textId="360238A6" w:rsidR="00286E00" w:rsidRPr="00286E00" w:rsidRDefault="00286E00" w:rsidP="00286E00">
      <w:pPr>
        <w:spacing w:line="360" w:lineRule="auto"/>
        <w:jc w:val="both"/>
        <w:rPr>
          <w:rFonts w:asciiTheme="majorHAnsi" w:hAnsiTheme="majorHAnsi" w:cstheme="majorHAnsi"/>
          <w:sz w:val="24"/>
          <w:szCs w:val="24"/>
        </w:rPr>
      </w:pPr>
      <w:r w:rsidRPr="00286E00">
        <w:rPr>
          <w:rFonts w:asciiTheme="majorHAnsi" w:hAnsiTheme="majorHAnsi" w:cstheme="majorHAnsi"/>
          <w:sz w:val="24"/>
          <w:szCs w:val="24"/>
        </w:rPr>
        <w:t>As a response to the criticism of discretion a new policy of ‘positive action’ has been applied nationwide which has reduced reliance on discretion (B</w:t>
      </w:r>
      <w:r>
        <w:rPr>
          <w:rFonts w:asciiTheme="majorHAnsi" w:hAnsiTheme="majorHAnsi" w:cstheme="majorHAnsi"/>
          <w:sz w:val="24"/>
          <w:szCs w:val="24"/>
        </w:rPr>
        <w:t>ryant and Bryant</w:t>
      </w:r>
      <w:r w:rsidRPr="00286E00">
        <w:rPr>
          <w:rFonts w:asciiTheme="majorHAnsi" w:hAnsiTheme="majorHAnsi" w:cstheme="majorHAnsi"/>
          <w:sz w:val="24"/>
          <w:szCs w:val="24"/>
        </w:rPr>
        <w:t>, p. 79). Positive action is for when you have found yourself in a legitimate policing scenario and some form of action needs to be taken and it must have a positive effect on the situation. A good example for this would be a breach of the peace between two parties in a house caused by intoxication. Although you would be acting within the words of the law to effect an arrest, what essentially needs to happen is for one party to leave the situation and we can assist with that by dropping someone to a friend’s house for the night. It creates the same outcome while removing the need for discretion and not draining limited police resources by taking someone into custody.</w:t>
      </w:r>
    </w:p>
    <w:p w14:paraId="6D0B642E" w14:textId="77777777" w:rsidR="00286E00" w:rsidRPr="00286E00" w:rsidRDefault="00286E00" w:rsidP="00286E00">
      <w:pPr>
        <w:spacing w:line="360" w:lineRule="auto"/>
        <w:jc w:val="both"/>
        <w:rPr>
          <w:rFonts w:asciiTheme="majorHAnsi" w:hAnsiTheme="majorHAnsi" w:cstheme="majorHAnsi"/>
          <w:sz w:val="24"/>
          <w:szCs w:val="24"/>
        </w:rPr>
      </w:pPr>
    </w:p>
    <w:p w14:paraId="690F2A86" w14:textId="77777777" w:rsidR="00286E00" w:rsidRPr="00286E00" w:rsidRDefault="00286E00" w:rsidP="00286E00">
      <w:pPr>
        <w:spacing w:line="360" w:lineRule="auto"/>
        <w:jc w:val="both"/>
        <w:rPr>
          <w:rFonts w:asciiTheme="majorHAnsi" w:hAnsiTheme="majorHAnsi" w:cstheme="majorHAnsi"/>
          <w:sz w:val="24"/>
          <w:szCs w:val="24"/>
        </w:rPr>
      </w:pPr>
    </w:p>
    <w:p w14:paraId="05DF5397" w14:textId="77777777" w:rsidR="00286E00" w:rsidRPr="00286E00" w:rsidRDefault="00286E00" w:rsidP="00286E00">
      <w:pPr>
        <w:overflowPunct/>
        <w:autoSpaceDE/>
        <w:autoSpaceDN/>
        <w:adjustRightInd/>
        <w:spacing w:after="160" w:line="360" w:lineRule="auto"/>
        <w:jc w:val="both"/>
        <w:textAlignment w:val="auto"/>
        <w:rPr>
          <w:rFonts w:asciiTheme="majorHAnsi" w:eastAsiaTheme="minorHAnsi" w:hAnsiTheme="majorHAnsi" w:cstheme="majorHAnsi"/>
          <w:sz w:val="24"/>
          <w:szCs w:val="24"/>
        </w:rPr>
      </w:pPr>
      <w:r w:rsidRPr="00286E00">
        <w:rPr>
          <w:rFonts w:asciiTheme="majorHAnsi" w:eastAsiaTheme="minorHAnsi" w:hAnsiTheme="majorHAnsi" w:cstheme="majorHAnsi"/>
          <w:color w:val="auto"/>
          <w:sz w:val="24"/>
          <w:szCs w:val="24"/>
          <w:lang w:eastAsia="en-US"/>
        </w:rPr>
        <w:t xml:space="preserve">I went into this situation with a limited knowledge of off-road bikes and knew I would need to rely on my colleagues for information. Although it is unrealistic to think you could know about everything, </w:t>
      </w:r>
      <w:r w:rsidRPr="00286E00">
        <w:rPr>
          <w:rFonts w:asciiTheme="majorHAnsi" w:eastAsiaTheme="minorHAnsi" w:hAnsiTheme="majorHAnsi" w:cstheme="majorHAnsi"/>
          <w:color w:val="auto"/>
          <w:sz w:val="24"/>
          <w:szCs w:val="24"/>
          <w:lang w:eastAsia="en-US"/>
        </w:rPr>
        <w:lastRenderedPageBreak/>
        <w:t>given the large number of bikes in the area in which I work I need to have a deeper understanding of them than I currently do if I am going to police them effectively. To aid this development I will consult with CSOs when they are available to share knowledge and contact them directly if I am every in a situation where I am unsure as they are very experienced in these matters. In this situation, had I not had the CSOs there to inform me they had already used the education method it is likely I would have given the male a warning.</w:t>
      </w:r>
    </w:p>
    <w:p w14:paraId="4C811AD3" w14:textId="73699973"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1FBF8992" w:rsidR="00025650" w:rsidRPr="00025650" w:rsidRDefault="00BE6DCF" w:rsidP="00E6298B">
      <w:pPr>
        <w:ind w:right="107"/>
        <w:jc w:val="both"/>
        <w:rPr>
          <w:b/>
          <w:sz w:val="24"/>
          <w:szCs w:val="24"/>
        </w:rPr>
      </w:pPr>
      <w:r>
        <w:rPr>
          <w:b/>
          <w:sz w:val="24"/>
          <w:szCs w:val="24"/>
        </w:rPr>
        <w:t>Word count = 2373</w:t>
      </w: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171C24" w:rsidRPr="00270EEB" w14:paraId="67CEB11A" w14:textId="77777777" w:rsidTr="28A9B94D">
        <w:tc>
          <w:tcPr>
            <w:tcW w:w="2462" w:type="dxa"/>
            <w:shd w:val="clear" w:color="auto" w:fill="auto"/>
          </w:tcPr>
          <w:p w14:paraId="2475E6B5" w14:textId="77777777" w:rsidR="00171C24" w:rsidRPr="00171C24" w:rsidRDefault="00171C24" w:rsidP="00171C24">
            <w:pPr>
              <w:ind w:right="107"/>
              <w:rPr>
                <w:rFonts w:asciiTheme="majorHAnsi" w:hAnsiTheme="majorHAnsi" w:cstheme="majorHAnsi"/>
                <w:sz w:val="24"/>
                <w:szCs w:val="24"/>
              </w:rPr>
            </w:pPr>
          </w:p>
          <w:p w14:paraId="5A2081E6" w14:textId="77777777"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Verbal communication with subjects and members of the public</w:t>
            </w:r>
          </w:p>
          <w:p w14:paraId="2C2444B9" w14:textId="77777777" w:rsidR="00171C24" w:rsidRPr="00171C24" w:rsidRDefault="00171C24" w:rsidP="00171C24">
            <w:pPr>
              <w:ind w:right="107"/>
              <w:rPr>
                <w:rFonts w:asciiTheme="majorHAnsi" w:hAnsiTheme="majorHAnsi" w:cstheme="majorHAnsi"/>
                <w:sz w:val="24"/>
                <w:szCs w:val="24"/>
              </w:rPr>
            </w:pPr>
          </w:p>
          <w:p w14:paraId="066D43D4" w14:textId="77777777" w:rsidR="00171C24" w:rsidRPr="00171C24" w:rsidRDefault="00171C24" w:rsidP="00171C24">
            <w:pPr>
              <w:ind w:right="107"/>
              <w:rPr>
                <w:rFonts w:asciiTheme="majorHAnsi" w:hAnsiTheme="majorHAnsi" w:cstheme="majorHAnsi"/>
                <w:sz w:val="24"/>
                <w:szCs w:val="24"/>
              </w:rPr>
            </w:pPr>
          </w:p>
          <w:p w14:paraId="28CFCE98" w14:textId="77777777" w:rsidR="00171C24" w:rsidRPr="00171C24" w:rsidRDefault="00171C24" w:rsidP="00171C24">
            <w:pPr>
              <w:ind w:right="107"/>
              <w:rPr>
                <w:rFonts w:asciiTheme="majorHAnsi" w:hAnsiTheme="majorHAnsi" w:cstheme="majorHAnsi"/>
                <w:sz w:val="24"/>
                <w:szCs w:val="24"/>
              </w:rPr>
            </w:pPr>
          </w:p>
          <w:p w14:paraId="473567FF" w14:textId="77777777" w:rsidR="00171C24" w:rsidRPr="00171C24" w:rsidRDefault="00171C24" w:rsidP="00171C24">
            <w:pPr>
              <w:ind w:right="107"/>
              <w:rPr>
                <w:rFonts w:asciiTheme="majorHAnsi" w:hAnsiTheme="majorHAnsi" w:cstheme="majorHAnsi"/>
                <w:sz w:val="24"/>
                <w:szCs w:val="24"/>
              </w:rPr>
            </w:pPr>
          </w:p>
          <w:p w14:paraId="66E3861D" w14:textId="77777777" w:rsidR="00171C24" w:rsidRPr="00171C24" w:rsidRDefault="00171C24" w:rsidP="00171C24">
            <w:pPr>
              <w:ind w:right="107"/>
              <w:rPr>
                <w:rFonts w:asciiTheme="majorHAnsi" w:hAnsiTheme="majorHAnsi" w:cstheme="majorHAnsi"/>
                <w:sz w:val="24"/>
                <w:szCs w:val="24"/>
              </w:rPr>
            </w:pPr>
          </w:p>
          <w:p w14:paraId="419CF6A1" w14:textId="77777777" w:rsidR="00171C24" w:rsidRPr="00171C24" w:rsidRDefault="00171C24" w:rsidP="00171C24">
            <w:pPr>
              <w:ind w:right="107"/>
              <w:rPr>
                <w:rFonts w:asciiTheme="majorHAnsi" w:hAnsiTheme="majorHAnsi" w:cstheme="majorHAnsi"/>
                <w:sz w:val="24"/>
                <w:szCs w:val="24"/>
              </w:rPr>
            </w:pPr>
          </w:p>
          <w:p w14:paraId="3DAE4E23" w14:textId="77777777" w:rsidR="00171C24" w:rsidRPr="00171C24" w:rsidRDefault="00171C24" w:rsidP="00171C24">
            <w:pPr>
              <w:ind w:right="107"/>
              <w:rPr>
                <w:rFonts w:asciiTheme="majorHAnsi" w:hAnsiTheme="majorHAnsi" w:cstheme="majorHAnsi"/>
                <w:sz w:val="24"/>
                <w:szCs w:val="24"/>
              </w:rPr>
            </w:pPr>
          </w:p>
          <w:p w14:paraId="531A87CC" w14:textId="507939F1"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 xml:space="preserve"> </w:t>
            </w:r>
          </w:p>
        </w:tc>
        <w:tc>
          <w:tcPr>
            <w:tcW w:w="2433" w:type="dxa"/>
            <w:shd w:val="clear" w:color="auto" w:fill="auto"/>
          </w:tcPr>
          <w:p w14:paraId="3BD876A6" w14:textId="62F871C6"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Every day I encounter situations which are new and unfamiliar to me creating many opportunities for me to practice communicating. I can evaluate if I am successful at communicating by assessing how others respond to me and by if I reach the desired outcome of the interaction. This could be gaining some information or observing an action I required of them.</w:t>
            </w:r>
          </w:p>
        </w:tc>
        <w:tc>
          <w:tcPr>
            <w:tcW w:w="2426" w:type="dxa"/>
            <w:shd w:val="clear" w:color="auto" w:fill="auto"/>
          </w:tcPr>
          <w:p w14:paraId="7A4C9A77" w14:textId="7031A9B2"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I will work with different people on my shift to observe how they communicate in certain situations. I will pick up on phrasing and terminology that can assist in being clear, concise and assertive within the context of policing. If I am struggling to communicate through language barriers I can incorporate the use of language line.</w:t>
            </w:r>
          </w:p>
        </w:tc>
        <w:tc>
          <w:tcPr>
            <w:tcW w:w="2426" w:type="dxa"/>
            <w:shd w:val="clear" w:color="auto" w:fill="auto"/>
          </w:tcPr>
          <w:p w14:paraId="3C47F9AA"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S - tactical communication is the number 1 tool of a constable</w:t>
            </w:r>
          </w:p>
          <w:p w14:paraId="3041CD18"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M – I can measure this by seeing how others respond to me</w:t>
            </w:r>
          </w:p>
          <w:p w14:paraId="6765DF7E"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A – I can learn how to communicate better from every encounter I have with somehow</w:t>
            </w:r>
          </w:p>
          <w:p w14:paraId="4A3BD371"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R – it is not realistic that I will get it right every time but it is realistic that I will be able to develop over time</w:t>
            </w:r>
          </w:p>
          <w:p w14:paraId="003BC03B" w14:textId="742B7AC0"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T – an ongoing process of dynamic development</w:t>
            </w:r>
          </w:p>
        </w:tc>
      </w:tr>
      <w:tr w:rsidR="00171C24" w:rsidRPr="00270EEB" w14:paraId="3EE957C7" w14:textId="77777777" w:rsidTr="28A9B94D">
        <w:tc>
          <w:tcPr>
            <w:tcW w:w="2462" w:type="dxa"/>
            <w:shd w:val="clear" w:color="auto" w:fill="auto"/>
          </w:tcPr>
          <w:p w14:paraId="43111CBF" w14:textId="77777777" w:rsidR="00171C24" w:rsidRPr="00171C24" w:rsidRDefault="00171C24" w:rsidP="00171C24">
            <w:pPr>
              <w:ind w:right="107"/>
              <w:rPr>
                <w:rFonts w:asciiTheme="majorHAnsi" w:hAnsiTheme="majorHAnsi" w:cstheme="majorHAnsi"/>
                <w:sz w:val="24"/>
                <w:szCs w:val="24"/>
              </w:rPr>
            </w:pPr>
          </w:p>
          <w:p w14:paraId="0288B51D" w14:textId="77777777" w:rsidR="00171C24" w:rsidRPr="00171C24" w:rsidRDefault="00171C24" w:rsidP="00171C24">
            <w:pPr>
              <w:ind w:right="107"/>
              <w:rPr>
                <w:rFonts w:asciiTheme="majorHAnsi" w:hAnsiTheme="majorHAnsi" w:cstheme="majorHAnsi"/>
                <w:sz w:val="24"/>
                <w:szCs w:val="24"/>
              </w:rPr>
            </w:pPr>
          </w:p>
          <w:p w14:paraId="5198D853" w14:textId="77777777"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Conflict management – confidence in the use of force</w:t>
            </w:r>
          </w:p>
          <w:p w14:paraId="6FAFCA3C" w14:textId="77777777" w:rsidR="00171C24" w:rsidRPr="00171C24" w:rsidRDefault="00171C24" w:rsidP="00171C24">
            <w:pPr>
              <w:ind w:right="107"/>
              <w:rPr>
                <w:rFonts w:asciiTheme="majorHAnsi" w:hAnsiTheme="majorHAnsi" w:cstheme="majorHAnsi"/>
                <w:sz w:val="24"/>
                <w:szCs w:val="24"/>
              </w:rPr>
            </w:pPr>
          </w:p>
          <w:p w14:paraId="45EE47B9" w14:textId="77777777" w:rsidR="00171C24" w:rsidRPr="00171C24" w:rsidRDefault="00171C24" w:rsidP="00171C24">
            <w:pPr>
              <w:ind w:right="107"/>
              <w:rPr>
                <w:rFonts w:asciiTheme="majorHAnsi" w:hAnsiTheme="majorHAnsi" w:cstheme="majorHAnsi"/>
                <w:sz w:val="24"/>
                <w:szCs w:val="24"/>
              </w:rPr>
            </w:pPr>
          </w:p>
          <w:p w14:paraId="61425BA6" w14:textId="77777777" w:rsidR="00171C24" w:rsidRPr="00171C24" w:rsidRDefault="00171C24" w:rsidP="00171C24">
            <w:pPr>
              <w:ind w:right="107"/>
              <w:rPr>
                <w:rFonts w:asciiTheme="majorHAnsi" w:hAnsiTheme="majorHAnsi" w:cstheme="majorHAnsi"/>
                <w:sz w:val="24"/>
                <w:szCs w:val="24"/>
              </w:rPr>
            </w:pPr>
          </w:p>
          <w:p w14:paraId="49C2C82B" w14:textId="77777777" w:rsidR="00171C24" w:rsidRPr="00171C24" w:rsidRDefault="00171C24" w:rsidP="00171C24">
            <w:pPr>
              <w:ind w:right="107"/>
              <w:rPr>
                <w:rFonts w:asciiTheme="majorHAnsi" w:hAnsiTheme="majorHAnsi" w:cstheme="majorHAnsi"/>
                <w:sz w:val="24"/>
                <w:szCs w:val="24"/>
              </w:rPr>
            </w:pPr>
          </w:p>
          <w:p w14:paraId="508603CB" w14:textId="77777777" w:rsidR="00171C24" w:rsidRPr="00171C24" w:rsidRDefault="00171C24" w:rsidP="00171C24">
            <w:pPr>
              <w:ind w:right="107"/>
              <w:rPr>
                <w:rFonts w:asciiTheme="majorHAnsi" w:hAnsiTheme="majorHAnsi" w:cstheme="majorHAnsi"/>
                <w:sz w:val="24"/>
                <w:szCs w:val="24"/>
              </w:rPr>
            </w:pPr>
          </w:p>
          <w:p w14:paraId="404C6B59" w14:textId="77777777" w:rsidR="00171C24" w:rsidRPr="00171C24" w:rsidRDefault="00171C24" w:rsidP="00171C24">
            <w:pPr>
              <w:ind w:right="107"/>
              <w:rPr>
                <w:rFonts w:asciiTheme="majorHAnsi" w:hAnsiTheme="majorHAnsi" w:cstheme="majorHAnsi"/>
                <w:sz w:val="24"/>
                <w:szCs w:val="24"/>
              </w:rPr>
            </w:pPr>
          </w:p>
          <w:p w14:paraId="4EBEFEB0" w14:textId="77777777" w:rsidR="00171C24" w:rsidRPr="00171C24" w:rsidRDefault="00171C24" w:rsidP="00171C24">
            <w:pPr>
              <w:ind w:right="107"/>
              <w:rPr>
                <w:rFonts w:asciiTheme="majorHAnsi" w:hAnsiTheme="majorHAnsi" w:cstheme="majorHAnsi"/>
                <w:sz w:val="24"/>
                <w:szCs w:val="24"/>
              </w:rPr>
            </w:pPr>
          </w:p>
          <w:p w14:paraId="103D791C" w14:textId="77777777" w:rsidR="00171C24" w:rsidRPr="00171C24" w:rsidRDefault="00171C24" w:rsidP="00171C24">
            <w:pPr>
              <w:ind w:right="107"/>
              <w:rPr>
                <w:rFonts w:asciiTheme="majorHAnsi" w:hAnsiTheme="majorHAnsi" w:cstheme="majorHAnsi"/>
                <w:sz w:val="24"/>
                <w:szCs w:val="24"/>
              </w:rPr>
            </w:pPr>
          </w:p>
          <w:p w14:paraId="7BA19DB6" w14:textId="77777777" w:rsidR="00171C24" w:rsidRPr="00171C24" w:rsidRDefault="00171C24" w:rsidP="00171C24">
            <w:pPr>
              <w:ind w:right="107"/>
              <w:rPr>
                <w:rFonts w:asciiTheme="majorHAnsi" w:hAnsiTheme="majorHAnsi" w:cstheme="majorHAnsi"/>
                <w:sz w:val="24"/>
                <w:szCs w:val="24"/>
              </w:rPr>
            </w:pPr>
          </w:p>
        </w:tc>
        <w:tc>
          <w:tcPr>
            <w:tcW w:w="2433" w:type="dxa"/>
            <w:shd w:val="clear" w:color="auto" w:fill="auto"/>
          </w:tcPr>
          <w:p w14:paraId="022C407D" w14:textId="215BF27A"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 xml:space="preserve">To achieve this, I will not shy away from challenging situations. I will practice the approved home office techniques and stay up to date with use of force powers and policies so I can be confident in their use when required. Becoming confident is using force will come with experience and I </w:t>
            </w:r>
            <w:r w:rsidRPr="00171C24">
              <w:rPr>
                <w:rFonts w:asciiTheme="majorHAnsi" w:hAnsiTheme="majorHAnsi" w:cstheme="majorHAnsi"/>
                <w:sz w:val="24"/>
                <w:szCs w:val="24"/>
              </w:rPr>
              <w:lastRenderedPageBreak/>
              <w:t>need to be patient that this is a process of continuous learning.</w:t>
            </w:r>
          </w:p>
        </w:tc>
        <w:tc>
          <w:tcPr>
            <w:tcW w:w="2426" w:type="dxa"/>
            <w:shd w:val="clear" w:color="auto" w:fill="auto"/>
          </w:tcPr>
          <w:p w14:paraId="5F71FAD9" w14:textId="77777777"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lastRenderedPageBreak/>
              <w:t>To learn how to take and maintain control of specific situations I will observe and assist my colleagues at calls and debrief exactly what happened afterwards so I can understand the thought process and we can brainstorm how to improve next time.</w:t>
            </w:r>
          </w:p>
          <w:p w14:paraId="76B2A824" w14:textId="32B15071"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 xml:space="preserve">To provide knowledge on the physical techniques I </w:t>
            </w:r>
            <w:r w:rsidRPr="00171C24">
              <w:rPr>
                <w:rFonts w:asciiTheme="majorHAnsi" w:hAnsiTheme="majorHAnsi" w:cstheme="majorHAnsi"/>
                <w:sz w:val="24"/>
                <w:szCs w:val="24"/>
              </w:rPr>
              <w:lastRenderedPageBreak/>
              <w:t>can ask Officer Safety Training instructors for further clarification. I am looking forward to my OST refresher where I can practice the techniques in a safe environment.</w:t>
            </w:r>
          </w:p>
        </w:tc>
        <w:tc>
          <w:tcPr>
            <w:tcW w:w="2426" w:type="dxa"/>
            <w:shd w:val="clear" w:color="auto" w:fill="auto"/>
          </w:tcPr>
          <w:p w14:paraId="5767D152"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lastRenderedPageBreak/>
              <w:t>S – specific to a policing context</w:t>
            </w:r>
          </w:p>
          <w:p w14:paraId="44D62190"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M – measurable by the quality of the outcome and audit of my use of force forms and BWV</w:t>
            </w:r>
          </w:p>
          <w:p w14:paraId="65D264EE"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A – I will be exposed to situations which will allow me to make judgements of my use of force</w:t>
            </w:r>
          </w:p>
          <w:p w14:paraId="5376F393"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R – realistic to the expectations of the job</w:t>
            </w:r>
          </w:p>
          <w:p w14:paraId="185B2EE5" w14:textId="156B2493"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lastRenderedPageBreak/>
              <w:t>T – within my 12-week tutorship I will be able to take enough control of a situation while waiting for assistance and be confident in taking action to protect the public</w:t>
            </w:r>
          </w:p>
        </w:tc>
      </w:tr>
      <w:tr w:rsidR="00171C24" w14:paraId="20B9F7DC" w14:textId="77777777" w:rsidTr="00286E00">
        <w:tc>
          <w:tcPr>
            <w:tcW w:w="2462" w:type="dxa"/>
            <w:shd w:val="clear" w:color="auto" w:fill="auto"/>
          </w:tcPr>
          <w:p w14:paraId="19667456" w14:textId="77777777" w:rsidR="00171C24" w:rsidRPr="00171C24" w:rsidRDefault="00171C24" w:rsidP="00171C24">
            <w:pPr>
              <w:ind w:right="107"/>
              <w:rPr>
                <w:rFonts w:asciiTheme="majorHAnsi" w:hAnsiTheme="majorHAnsi" w:cstheme="majorHAnsi"/>
                <w:sz w:val="24"/>
                <w:szCs w:val="24"/>
              </w:rPr>
            </w:pPr>
          </w:p>
          <w:p w14:paraId="0A89D0AD" w14:textId="77777777"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Time management and management of workload</w:t>
            </w:r>
          </w:p>
          <w:p w14:paraId="6417309F" w14:textId="77777777" w:rsidR="00171C24" w:rsidRPr="00171C24" w:rsidRDefault="00171C24" w:rsidP="00171C24">
            <w:pPr>
              <w:ind w:right="107"/>
              <w:rPr>
                <w:rFonts w:asciiTheme="majorHAnsi" w:hAnsiTheme="majorHAnsi" w:cstheme="majorHAnsi"/>
                <w:sz w:val="24"/>
                <w:szCs w:val="24"/>
              </w:rPr>
            </w:pPr>
          </w:p>
          <w:p w14:paraId="68B1314E" w14:textId="77777777" w:rsidR="00171C24" w:rsidRPr="00171C24" w:rsidRDefault="00171C24" w:rsidP="00171C24">
            <w:pPr>
              <w:ind w:right="107"/>
              <w:rPr>
                <w:rFonts w:asciiTheme="majorHAnsi" w:hAnsiTheme="majorHAnsi" w:cstheme="majorHAnsi"/>
                <w:sz w:val="24"/>
                <w:szCs w:val="24"/>
              </w:rPr>
            </w:pPr>
          </w:p>
          <w:p w14:paraId="70BD6C9A" w14:textId="77777777" w:rsidR="00171C24" w:rsidRPr="00171C24" w:rsidRDefault="00171C24" w:rsidP="00171C24">
            <w:pPr>
              <w:ind w:right="107"/>
              <w:rPr>
                <w:rFonts w:asciiTheme="majorHAnsi" w:hAnsiTheme="majorHAnsi" w:cstheme="majorHAnsi"/>
                <w:sz w:val="24"/>
                <w:szCs w:val="24"/>
              </w:rPr>
            </w:pPr>
          </w:p>
          <w:p w14:paraId="2DFC4609" w14:textId="77777777" w:rsidR="00171C24" w:rsidRPr="00171C24" w:rsidRDefault="00171C24" w:rsidP="00171C24">
            <w:pPr>
              <w:ind w:right="107"/>
              <w:rPr>
                <w:rFonts w:asciiTheme="majorHAnsi" w:hAnsiTheme="majorHAnsi" w:cstheme="majorHAnsi"/>
                <w:sz w:val="24"/>
                <w:szCs w:val="24"/>
              </w:rPr>
            </w:pPr>
          </w:p>
          <w:p w14:paraId="421784F0" w14:textId="77777777" w:rsidR="00171C24" w:rsidRPr="00171C24" w:rsidRDefault="00171C24" w:rsidP="00171C24">
            <w:pPr>
              <w:ind w:right="107"/>
              <w:rPr>
                <w:rFonts w:asciiTheme="majorHAnsi" w:hAnsiTheme="majorHAnsi" w:cstheme="majorHAnsi"/>
                <w:sz w:val="24"/>
                <w:szCs w:val="24"/>
              </w:rPr>
            </w:pPr>
          </w:p>
          <w:p w14:paraId="1B53B179" w14:textId="77777777" w:rsidR="00171C24" w:rsidRPr="00171C24" w:rsidRDefault="00171C24" w:rsidP="00171C24">
            <w:pPr>
              <w:ind w:right="107"/>
              <w:rPr>
                <w:rFonts w:asciiTheme="majorHAnsi" w:hAnsiTheme="majorHAnsi" w:cstheme="majorHAnsi"/>
                <w:sz w:val="24"/>
                <w:szCs w:val="24"/>
              </w:rPr>
            </w:pPr>
          </w:p>
          <w:p w14:paraId="74CC30F7" w14:textId="77777777" w:rsidR="00171C24" w:rsidRPr="00171C24" w:rsidRDefault="00171C24" w:rsidP="00171C24">
            <w:pPr>
              <w:ind w:right="107"/>
              <w:rPr>
                <w:rFonts w:asciiTheme="majorHAnsi" w:hAnsiTheme="majorHAnsi" w:cstheme="majorHAnsi"/>
                <w:sz w:val="24"/>
                <w:szCs w:val="24"/>
              </w:rPr>
            </w:pPr>
          </w:p>
          <w:p w14:paraId="587F74E8" w14:textId="77777777" w:rsidR="00171C24" w:rsidRPr="00171C24" w:rsidRDefault="00171C24" w:rsidP="00171C24">
            <w:pPr>
              <w:ind w:right="107"/>
              <w:rPr>
                <w:rFonts w:asciiTheme="majorHAnsi" w:hAnsiTheme="majorHAnsi" w:cstheme="majorHAnsi"/>
                <w:sz w:val="24"/>
                <w:szCs w:val="24"/>
              </w:rPr>
            </w:pPr>
          </w:p>
          <w:p w14:paraId="2CB4C7D1" w14:textId="77777777" w:rsidR="00171C24" w:rsidRPr="00171C24" w:rsidRDefault="00171C24" w:rsidP="00171C24">
            <w:pPr>
              <w:ind w:right="107"/>
              <w:rPr>
                <w:rFonts w:asciiTheme="majorHAnsi" w:hAnsiTheme="majorHAnsi" w:cstheme="majorHAnsi"/>
                <w:sz w:val="24"/>
                <w:szCs w:val="24"/>
              </w:rPr>
            </w:pPr>
          </w:p>
          <w:p w14:paraId="2E62671B" w14:textId="77777777" w:rsidR="00171C24" w:rsidRPr="00171C24" w:rsidRDefault="00171C24" w:rsidP="00171C24">
            <w:pPr>
              <w:ind w:right="107"/>
              <w:rPr>
                <w:rFonts w:asciiTheme="majorHAnsi" w:hAnsiTheme="majorHAnsi" w:cstheme="majorHAnsi"/>
                <w:sz w:val="24"/>
                <w:szCs w:val="24"/>
              </w:rPr>
            </w:pPr>
          </w:p>
          <w:p w14:paraId="1FAEEFFD" w14:textId="77777777" w:rsidR="00171C24" w:rsidRPr="00171C24" w:rsidRDefault="00171C24" w:rsidP="00171C24">
            <w:pPr>
              <w:ind w:right="107"/>
              <w:rPr>
                <w:rFonts w:asciiTheme="majorHAnsi" w:hAnsiTheme="majorHAnsi" w:cstheme="majorHAnsi"/>
                <w:sz w:val="24"/>
                <w:szCs w:val="24"/>
              </w:rPr>
            </w:pPr>
          </w:p>
        </w:tc>
        <w:tc>
          <w:tcPr>
            <w:tcW w:w="2433" w:type="dxa"/>
            <w:shd w:val="clear" w:color="auto" w:fill="auto"/>
          </w:tcPr>
          <w:p w14:paraId="15398ECF" w14:textId="101A49E8"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I will learn from my colleagues how they organise their time and notes. Once I have realistically learnt how long individual tasks take, I will be better able to plan them into a practical working schedule.</w:t>
            </w:r>
          </w:p>
        </w:tc>
        <w:tc>
          <w:tcPr>
            <w:tcW w:w="2426" w:type="dxa"/>
            <w:shd w:val="clear" w:color="auto" w:fill="auto"/>
          </w:tcPr>
          <w:p w14:paraId="5C286321" w14:textId="5B920D9D" w:rsidR="00171C24" w:rsidRPr="00171C24" w:rsidRDefault="00171C24" w:rsidP="00171C24">
            <w:pPr>
              <w:ind w:right="107"/>
              <w:rPr>
                <w:rFonts w:asciiTheme="majorHAnsi" w:hAnsiTheme="majorHAnsi" w:cstheme="majorHAnsi"/>
                <w:sz w:val="24"/>
                <w:szCs w:val="24"/>
              </w:rPr>
            </w:pPr>
            <w:r w:rsidRPr="00171C24">
              <w:rPr>
                <w:rFonts w:asciiTheme="majorHAnsi" w:hAnsiTheme="majorHAnsi" w:cstheme="majorHAnsi"/>
                <w:sz w:val="24"/>
                <w:szCs w:val="24"/>
              </w:rPr>
              <w:t>My tutor and mentor will help teach me how to manage a workload in the first 12 weeks. After that my colleagues can help offer guidance if I am unsure of something and provide assistance in undertaking tasks. If I am struggling with something on my workload, I can ask my sergeant for support. It may take me some time to become efficient at all parts of my job. If I feel I am struggling to do certain tasks I can seek out additional training for certain tasks just as statement writing and case file workshops.</w:t>
            </w:r>
          </w:p>
        </w:tc>
        <w:tc>
          <w:tcPr>
            <w:tcW w:w="2426" w:type="dxa"/>
            <w:shd w:val="clear" w:color="auto" w:fill="auto"/>
          </w:tcPr>
          <w:p w14:paraId="0D21330E"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S – manage a policing workload in the shift pattern</w:t>
            </w:r>
          </w:p>
          <w:p w14:paraId="4DB04C98"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M – measurable by number of crimes on my niche</w:t>
            </w:r>
          </w:p>
          <w:p w14:paraId="7F773902"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A – it may take me some time to get my work flowing efficiently but I am aware of resources to help me</w:t>
            </w:r>
          </w:p>
          <w:p w14:paraId="1BD3011B" w14:textId="77777777"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R – realistic to the job expectations of a substantive constable</w:t>
            </w:r>
          </w:p>
          <w:p w14:paraId="146FD137" w14:textId="08DE3A8F" w:rsidR="00171C24" w:rsidRPr="00171C24" w:rsidRDefault="00171C24" w:rsidP="00171C24">
            <w:pPr>
              <w:rPr>
                <w:rFonts w:asciiTheme="majorHAnsi" w:hAnsiTheme="majorHAnsi" w:cstheme="majorHAnsi"/>
                <w:sz w:val="24"/>
                <w:szCs w:val="24"/>
              </w:rPr>
            </w:pPr>
            <w:r w:rsidRPr="00171C24">
              <w:rPr>
                <w:rFonts w:asciiTheme="majorHAnsi" w:hAnsiTheme="majorHAnsi" w:cstheme="majorHAnsi"/>
                <w:sz w:val="24"/>
                <w:szCs w:val="24"/>
              </w:rPr>
              <w:t>T – initially developed over 12-week tutorship in preparation for the full workload to follow</w:t>
            </w:r>
          </w:p>
        </w:tc>
      </w:tr>
    </w:tbl>
    <w:p w14:paraId="18D95106" w14:textId="77777777" w:rsidR="00575A8F" w:rsidRPr="00270EEB" w:rsidRDefault="00575A8F" w:rsidP="00E6298B">
      <w:pPr>
        <w:ind w:right="107"/>
        <w:jc w:val="both"/>
        <w:rPr>
          <w:sz w:val="24"/>
          <w:szCs w:val="24"/>
        </w:rPr>
      </w:pPr>
    </w:p>
    <w:p w14:paraId="6F4678AE" w14:textId="77777777" w:rsidR="00BE6DCF" w:rsidRDefault="00BE6DCF" w:rsidP="00E6298B">
      <w:pPr>
        <w:overflowPunct/>
        <w:autoSpaceDE/>
        <w:autoSpaceDN/>
        <w:adjustRightInd/>
        <w:ind w:right="107"/>
        <w:textAlignment w:val="auto"/>
        <w:rPr>
          <w:b/>
          <w:sz w:val="24"/>
          <w:szCs w:val="24"/>
        </w:rPr>
      </w:pPr>
    </w:p>
    <w:p w14:paraId="7DF140BE" w14:textId="2370A00F"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7E9C0D9" w14:textId="77777777" w:rsidR="00171C24" w:rsidRPr="008B25E6" w:rsidRDefault="00171C24" w:rsidP="008B25E6">
      <w:pPr>
        <w:overflowPunct/>
        <w:autoSpaceDE/>
        <w:autoSpaceDN/>
        <w:adjustRightInd/>
        <w:spacing w:after="160"/>
        <w:textAlignment w:val="auto"/>
        <w:rPr>
          <w:rFonts w:asciiTheme="majorHAnsi" w:eastAsiaTheme="minorHAnsi" w:hAnsiTheme="majorHAnsi" w:cstheme="majorHAnsi"/>
          <w:b/>
          <w:bCs/>
          <w:color w:val="auto"/>
          <w:sz w:val="24"/>
          <w:szCs w:val="24"/>
          <w:u w:val="single"/>
          <w:lang w:eastAsia="en-US"/>
        </w:rPr>
      </w:pPr>
      <w:r w:rsidRPr="008B25E6">
        <w:rPr>
          <w:rFonts w:asciiTheme="majorHAnsi" w:eastAsiaTheme="minorHAnsi" w:hAnsiTheme="majorHAnsi" w:cstheme="majorHAnsi"/>
          <w:b/>
          <w:bCs/>
          <w:color w:val="auto"/>
          <w:sz w:val="24"/>
          <w:szCs w:val="24"/>
          <w:u w:val="single"/>
          <w:lang w:eastAsia="en-US"/>
        </w:rPr>
        <w:t>Image</w:t>
      </w:r>
    </w:p>
    <w:p w14:paraId="1D9817EE" w14:textId="15C6AB46"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Image 1: Gibbs Reflective Cycle, </w:t>
      </w:r>
      <w:hyperlink r:id="rId27" w:history="1">
        <w:r w:rsidRPr="008B25E6">
          <w:rPr>
            <w:rFonts w:asciiTheme="majorHAnsi" w:eastAsiaTheme="minorHAnsi" w:hAnsiTheme="majorHAnsi" w:cstheme="majorHAnsi"/>
            <w:color w:val="auto"/>
            <w:sz w:val="24"/>
            <w:szCs w:val="24"/>
            <w:u w:val="single"/>
            <w:lang w:eastAsia="en-US"/>
          </w:rPr>
          <w:t>https://www.ed.ac.uk/reflection/reflectors-toolkit/reflecting-on-experience/gibbs-reflective-cycle</w:t>
        </w:r>
      </w:hyperlink>
      <w:r w:rsidRPr="008B25E6">
        <w:rPr>
          <w:rFonts w:asciiTheme="majorHAnsi" w:eastAsiaTheme="minorHAnsi" w:hAnsiTheme="majorHAnsi" w:cstheme="majorHAnsi"/>
          <w:color w:val="auto"/>
          <w:sz w:val="24"/>
          <w:szCs w:val="24"/>
          <w:lang w:eastAsia="en-US"/>
        </w:rPr>
        <w:t xml:space="preserve"> (last accessed: 17/02/2022). Information adapted from: Adapted from</w:t>
      </w:r>
      <w:r w:rsidR="00BE6DCF" w:rsidRPr="00BE6DCF">
        <w:rPr>
          <w:rFonts w:asciiTheme="majorHAnsi" w:eastAsiaTheme="minorHAnsi" w:hAnsiTheme="majorHAnsi" w:cstheme="majorHAnsi"/>
          <w:color w:val="auto"/>
          <w:sz w:val="24"/>
          <w:szCs w:val="24"/>
          <w:lang w:eastAsia="en-US"/>
        </w:rPr>
        <w:t xml:space="preserve"> </w:t>
      </w:r>
      <w:r w:rsidR="00BE6DCF" w:rsidRPr="008B25E6">
        <w:rPr>
          <w:rFonts w:asciiTheme="majorHAnsi" w:eastAsiaTheme="minorHAnsi" w:hAnsiTheme="majorHAnsi" w:cstheme="majorHAnsi"/>
          <w:color w:val="auto"/>
          <w:sz w:val="24"/>
          <w:szCs w:val="24"/>
          <w:lang w:eastAsia="en-US"/>
        </w:rPr>
        <w:t>Gibbs G (1988). Learning by Doing: A guide to teaching and learning methods. Further Education Unit. Oxford Polytechnic: Oxford.</w:t>
      </w:r>
    </w:p>
    <w:p w14:paraId="21D45341" w14:textId="52AC2DB7" w:rsidR="008B25E6" w:rsidRP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Image 2: Betari’s Box</w:t>
      </w:r>
      <w:r w:rsidR="00BE6DCF">
        <w:rPr>
          <w:rFonts w:asciiTheme="majorHAnsi" w:eastAsiaTheme="minorHAnsi" w:hAnsiTheme="majorHAnsi" w:cstheme="majorHAnsi"/>
          <w:color w:val="auto"/>
          <w:sz w:val="24"/>
          <w:szCs w:val="24"/>
          <w:lang w:eastAsia="en-US"/>
        </w:rPr>
        <w:t>,</w:t>
      </w:r>
      <w:r>
        <w:rPr>
          <w:rFonts w:asciiTheme="majorHAnsi" w:eastAsiaTheme="minorHAnsi" w:hAnsiTheme="majorHAnsi" w:cstheme="majorHAnsi"/>
          <w:color w:val="auto"/>
          <w:sz w:val="24"/>
          <w:szCs w:val="24"/>
          <w:lang w:eastAsia="en-US"/>
        </w:rPr>
        <w:t xml:space="preserve"> </w:t>
      </w:r>
      <w:hyperlink r:id="rId28" w:history="1">
        <w:r w:rsidRPr="008B25E6">
          <w:rPr>
            <w:rStyle w:val="Hyperlink"/>
            <w:rFonts w:asciiTheme="majorHAnsi" w:eastAsiaTheme="minorHAnsi" w:hAnsiTheme="majorHAnsi" w:cstheme="majorHAnsi"/>
            <w:sz w:val="24"/>
            <w:szCs w:val="24"/>
            <w:lang w:eastAsia="en-US"/>
          </w:rPr>
          <w:t>https://www.mindtools.com/pages/article/newCS_82.htm</w:t>
        </w:r>
      </w:hyperlink>
      <w:r w:rsidRPr="008B25E6">
        <w:rPr>
          <w:rFonts w:asciiTheme="majorHAnsi" w:eastAsiaTheme="minorHAnsi" w:hAnsiTheme="majorHAnsi" w:cstheme="majorHAnsi"/>
          <w:color w:val="auto"/>
          <w:sz w:val="24"/>
          <w:szCs w:val="24"/>
          <w:lang w:eastAsia="en-US"/>
        </w:rPr>
        <w:t xml:space="preserve"> </w:t>
      </w:r>
    </w:p>
    <w:p w14:paraId="4C986CDA" w14:textId="02CECFBA" w:rsidR="008B25E6" w:rsidRP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Image 3: National Decision Model</w:t>
      </w:r>
      <w:r w:rsidR="00BE6DCF">
        <w:rPr>
          <w:rFonts w:asciiTheme="majorHAnsi" w:eastAsiaTheme="minorHAnsi" w:hAnsiTheme="majorHAnsi" w:cstheme="majorHAnsi"/>
          <w:color w:val="auto"/>
          <w:sz w:val="24"/>
          <w:szCs w:val="24"/>
          <w:lang w:eastAsia="en-US"/>
        </w:rPr>
        <w:t xml:space="preserve">, </w:t>
      </w:r>
      <w:hyperlink r:id="rId29" w:history="1">
        <w:r w:rsidR="00BE6DCF" w:rsidRPr="0075060E">
          <w:rPr>
            <w:rStyle w:val="Hyperlink"/>
            <w:rFonts w:asciiTheme="majorHAnsi" w:eastAsiaTheme="minorHAnsi" w:hAnsiTheme="majorHAnsi" w:cstheme="majorHAnsi"/>
            <w:sz w:val="24"/>
            <w:szCs w:val="24"/>
            <w:lang w:eastAsia="en-US"/>
          </w:rPr>
          <w:t>https://www.app.college.police.uk/app-content/national-decision-model/the-national-decision-model/</w:t>
        </w:r>
      </w:hyperlink>
      <w:r w:rsidR="00BE6DCF">
        <w:rPr>
          <w:rFonts w:asciiTheme="majorHAnsi" w:eastAsiaTheme="minorHAnsi" w:hAnsiTheme="majorHAnsi" w:cstheme="majorHAnsi"/>
          <w:color w:val="auto"/>
          <w:sz w:val="24"/>
          <w:szCs w:val="24"/>
          <w:lang w:eastAsia="en-US"/>
        </w:rPr>
        <w:t xml:space="preserve"> </w:t>
      </w:r>
    </w:p>
    <w:p w14:paraId="5A7C63C2" w14:textId="4E25A161"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710C02C8" w14:textId="77777777" w:rsidR="00171C24" w:rsidRPr="008B25E6" w:rsidRDefault="00171C24" w:rsidP="008B25E6">
      <w:pPr>
        <w:overflowPunct/>
        <w:autoSpaceDE/>
        <w:autoSpaceDN/>
        <w:adjustRightInd/>
        <w:spacing w:after="160"/>
        <w:textAlignment w:val="auto"/>
        <w:rPr>
          <w:rFonts w:asciiTheme="majorHAnsi" w:eastAsiaTheme="minorHAnsi" w:hAnsiTheme="majorHAnsi" w:cstheme="majorHAnsi"/>
          <w:b/>
          <w:bCs/>
          <w:color w:val="auto"/>
          <w:sz w:val="24"/>
          <w:szCs w:val="24"/>
          <w:u w:val="single"/>
          <w:lang w:eastAsia="en-US"/>
        </w:rPr>
      </w:pPr>
      <w:r w:rsidRPr="008B25E6">
        <w:rPr>
          <w:rFonts w:asciiTheme="majorHAnsi" w:eastAsiaTheme="minorHAnsi" w:hAnsiTheme="majorHAnsi" w:cstheme="majorHAnsi"/>
          <w:b/>
          <w:bCs/>
          <w:color w:val="auto"/>
          <w:sz w:val="24"/>
          <w:szCs w:val="24"/>
          <w:u w:val="single"/>
          <w:lang w:eastAsia="en-US"/>
        </w:rPr>
        <w:t>Bibliography</w:t>
      </w:r>
    </w:p>
    <w:p w14:paraId="74D3B5C7" w14:textId="7723A67C"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Berger, B. G. and Owen, D. R. (1992) ‘Mood Alteration with Yoga and Swimming: Aerobic Exercise May Not Be Necessary’, </w:t>
      </w:r>
      <w:r w:rsidRPr="008B25E6">
        <w:rPr>
          <w:rFonts w:asciiTheme="majorHAnsi" w:eastAsiaTheme="minorHAnsi" w:hAnsiTheme="majorHAnsi" w:cstheme="majorHAnsi"/>
          <w:i/>
          <w:iCs/>
          <w:color w:val="auto"/>
          <w:sz w:val="24"/>
          <w:szCs w:val="24"/>
          <w:lang w:eastAsia="en-US"/>
        </w:rPr>
        <w:t>Perceptual and Motor Skills</w:t>
      </w:r>
      <w:r w:rsidRPr="008B25E6">
        <w:rPr>
          <w:rFonts w:asciiTheme="majorHAnsi" w:eastAsiaTheme="minorHAnsi" w:hAnsiTheme="majorHAnsi" w:cstheme="majorHAnsi"/>
          <w:color w:val="auto"/>
          <w:sz w:val="24"/>
          <w:szCs w:val="24"/>
          <w:lang w:eastAsia="en-US"/>
        </w:rPr>
        <w:t xml:space="preserve">, 75(3), pp. 1331–1343. </w:t>
      </w:r>
      <w:r w:rsidR="008F4205" w:rsidRPr="008B25E6">
        <w:rPr>
          <w:rFonts w:asciiTheme="majorHAnsi" w:eastAsiaTheme="minorHAnsi" w:hAnsiTheme="majorHAnsi" w:cstheme="majorHAnsi"/>
          <w:color w:val="auto"/>
          <w:sz w:val="24"/>
          <w:szCs w:val="24"/>
          <w:lang w:eastAsia="en-US"/>
        </w:rPr>
        <w:t xml:space="preserve"> </w:t>
      </w:r>
    </w:p>
    <w:p w14:paraId="78F18EB2" w14:textId="224A115B"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Berger, B.G. (1994) ‘Coping With Stress: The Effectiveness of Exercise and Other Techniques’, Quest (National Association for Kinesiology in Higher Education), 46(1), pp. 100–119.</w:t>
      </w:r>
    </w:p>
    <w:p w14:paraId="4BE6DCEF" w14:textId="622EE462" w:rsidR="008F4205" w:rsidRDefault="008F4205" w:rsidP="008F4205">
      <w:pPr>
        <w:rPr>
          <w:rFonts w:asciiTheme="majorHAnsi" w:hAnsiTheme="majorHAnsi" w:cstheme="majorHAnsi"/>
          <w:color w:val="auto"/>
          <w:sz w:val="24"/>
          <w:szCs w:val="24"/>
        </w:rPr>
      </w:pPr>
      <w:r w:rsidRPr="008B25E6">
        <w:rPr>
          <w:rFonts w:asciiTheme="majorHAnsi" w:hAnsiTheme="majorHAnsi" w:cstheme="majorHAnsi"/>
          <w:color w:val="auto"/>
          <w:sz w:val="24"/>
          <w:szCs w:val="24"/>
        </w:rPr>
        <w:t xml:space="preserve">Bryant, R., and Bryant, S., </w:t>
      </w:r>
      <w:r>
        <w:rPr>
          <w:rFonts w:asciiTheme="majorHAnsi" w:hAnsiTheme="majorHAnsi" w:cstheme="majorHAnsi"/>
          <w:color w:val="auto"/>
          <w:sz w:val="24"/>
          <w:szCs w:val="24"/>
        </w:rPr>
        <w:t>(</w:t>
      </w:r>
      <w:r w:rsidRPr="008B25E6">
        <w:rPr>
          <w:rFonts w:asciiTheme="majorHAnsi" w:hAnsiTheme="majorHAnsi" w:cstheme="majorHAnsi"/>
          <w:color w:val="auto"/>
          <w:sz w:val="24"/>
          <w:szCs w:val="24"/>
        </w:rPr>
        <w:t>2020</w:t>
      </w:r>
      <w:r>
        <w:rPr>
          <w:rFonts w:asciiTheme="majorHAnsi" w:hAnsiTheme="majorHAnsi" w:cstheme="majorHAnsi"/>
          <w:color w:val="auto"/>
          <w:sz w:val="24"/>
          <w:szCs w:val="24"/>
        </w:rPr>
        <w:t>)</w:t>
      </w:r>
      <w:r w:rsidRPr="008B25E6">
        <w:rPr>
          <w:rFonts w:asciiTheme="majorHAnsi" w:hAnsiTheme="majorHAnsi" w:cstheme="majorHAnsi"/>
          <w:color w:val="auto"/>
          <w:sz w:val="24"/>
          <w:szCs w:val="24"/>
        </w:rPr>
        <w:t xml:space="preserve">. </w:t>
      </w:r>
      <w:r w:rsidRPr="008B25E6">
        <w:rPr>
          <w:rFonts w:asciiTheme="majorHAnsi" w:hAnsiTheme="majorHAnsi" w:cstheme="majorHAnsi"/>
          <w:i/>
          <w:iCs/>
          <w:color w:val="auto"/>
          <w:sz w:val="24"/>
          <w:szCs w:val="24"/>
        </w:rPr>
        <w:t xml:space="preserve">Blackstones Handbook for Policing Students. </w:t>
      </w:r>
      <w:r w:rsidRPr="008B25E6">
        <w:rPr>
          <w:rFonts w:asciiTheme="majorHAnsi" w:hAnsiTheme="majorHAnsi" w:cstheme="majorHAnsi"/>
          <w:color w:val="auto"/>
          <w:sz w:val="24"/>
          <w:szCs w:val="24"/>
        </w:rPr>
        <w:t>Oxford University Press, Oxford.</w:t>
      </w:r>
    </w:p>
    <w:p w14:paraId="65FC4929" w14:textId="77777777" w:rsidR="00171C24" w:rsidRPr="008B25E6" w:rsidRDefault="00171C24"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Chiesa, A. and Serretti, A. (2010) ‘A systematic review of neurobioloical and clinical features of mindfulness meditations’, </w:t>
      </w:r>
      <w:r w:rsidRPr="008B25E6">
        <w:rPr>
          <w:rFonts w:asciiTheme="majorHAnsi" w:eastAsiaTheme="minorHAnsi" w:hAnsiTheme="majorHAnsi" w:cstheme="majorHAnsi"/>
          <w:i/>
          <w:iCs/>
          <w:color w:val="auto"/>
          <w:sz w:val="24"/>
          <w:szCs w:val="24"/>
          <w:lang w:eastAsia="en-US"/>
        </w:rPr>
        <w:t>Psychological Medicine</w:t>
      </w:r>
      <w:r w:rsidRPr="008B25E6">
        <w:rPr>
          <w:rFonts w:asciiTheme="majorHAnsi" w:eastAsiaTheme="minorHAnsi" w:hAnsiTheme="majorHAnsi" w:cstheme="majorHAnsi"/>
          <w:color w:val="auto"/>
          <w:sz w:val="24"/>
          <w:szCs w:val="24"/>
          <w:lang w:eastAsia="en-US"/>
        </w:rPr>
        <w:t>, 40 (8), pp. 1239–1252.</w:t>
      </w:r>
    </w:p>
    <w:p w14:paraId="59E80FF5" w14:textId="737BFFA3" w:rsidR="008F4205" w:rsidRPr="008B25E6" w:rsidRDefault="008F4205"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Christopher,</w:t>
      </w:r>
      <w:r>
        <w:rPr>
          <w:rFonts w:asciiTheme="majorHAnsi" w:eastAsiaTheme="minorHAnsi" w:hAnsiTheme="majorHAnsi" w:cstheme="majorHAnsi"/>
          <w:color w:val="auto"/>
          <w:sz w:val="24"/>
          <w:szCs w:val="24"/>
          <w:lang w:eastAsia="en-US"/>
        </w:rPr>
        <w:t xml:space="preserve"> S. (2015)</w:t>
      </w:r>
      <w:r w:rsidRPr="008B25E6">
        <w:rPr>
          <w:rFonts w:asciiTheme="majorHAnsi" w:eastAsiaTheme="minorHAnsi" w:hAnsiTheme="majorHAnsi" w:cstheme="majorHAnsi"/>
          <w:color w:val="auto"/>
          <w:sz w:val="24"/>
          <w:szCs w:val="24"/>
          <w:lang w:eastAsia="en-US"/>
        </w:rPr>
        <w:t xml:space="preserve"> </w:t>
      </w:r>
      <w:r>
        <w:rPr>
          <w:rFonts w:asciiTheme="majorHAnsi" w:eastAsiaTheme="minorHAnsi" w:hAnsiTheme="majorHAnsi" w:cstheme="majorHAnsi"/>
          <w:color w:val="auto"/>
          <w:sz w:val="24"/>
          <w:szCs w:val="24"/>
          <w:lang w:eastAsia="en-US"/>
        </w:rPr>
        <w:t>‘</w:t>
      </w:r>
      <w:r w:rsidRPr="008B25E6">
        <w:rPr>
          <w:rFonts w:asciiTheme="majorHAnsi" w:eastAsiaTheme="minorHAnsi" w:hAnsiTheme="majorHAnsi" w:cstheme="majorHAnsi"/>
          <w:color w:val="auto"/>
          <w:sz w:val="24"/>
          <w:szCs w:val="24"/>
          <w:lang w:eastAsia="en-US"/>
        </w:rPr>
        <w:t>The Police Service Can Be a Critical Reflective Practice… If It Wants</w:t>
      </w:r>
      <w:r>
        <w:rPr>
          <w:rFonts w:asciiTheme="majorHAnsi" w:eastAsiaTheme="minorHAnsi" w:hAnsiTheme="majorHAnsi" w:cstheme="majorHAnsi"/>
          <w:color w:val="auto"/>
          <w:sz w:val="24"/>
          <w:szCs w:val="24"/>
          <w:lang w:eastAsia="en-US"/>
        </w:rPr>
        <w:t>'</w:t>
      </w:r>
      <w:r w:rsidRPr="008B25E6">
        <w:rPr>
          <w:rFonts w:asciiTheme="majorHAnsi" w:eastAsiaTheme="minorHAnsi" w:hAnsiTheme="majorHAnsi" w:cstheme="majorHAnsi"/>
          <w:color w:val="auto"/>
          <w:sz w:val="24"/>
          <w:szCs w:val="24"/>
          <w:lang w:eastAsia="en-US"/>
        </w:rPr>
        <w:t xml:space="preserve">, </w:t>
      </w:r>
      <w:r w:rsidRPr="008F4205">
        <w:rPr>
          <w:rFonts w:asciiTheme="majorHAnsi" w:eastAsiaTheme="minorHAnsi" w:hAnsiTheme="majorHAnsi" w:cstheme="majorHAnsi"/>
          <w:i/>
          <w:iCs/>
          <w:color w:val="auto"/>
          <w:sz w:val="24"/>
          <w:szCs w:val="24"/>
          <w:lang w:eastAsia="en-US"/>
        </w:rPr>
        <w:t>Policing</w:t>
      </w:r>
      <w:r w:rsidRPr="008B25E6">
        <w:rPr>
          <w:rFonts w:asciiTheme="majorHAnsi" w:eastAsiaTheme="minorHAnsi" w:hAnsiTheme="majorHAnsi" w:cstheme="majorHAnsi"/>
          <w:color w:val="auto"/>
          <w:sz w:val="24"/>
          <w:szCs w:val="24"/>
          <w:lang w:eastAsia="en-US"/>
        </w:rPr>
        <w:t>, Volume 9, Number 4, pp. 326-339.</w:t>
      </w:r>
    </w:p>
    <w:p w14:paraId="188B306A" w14:textId="77777777" w:rsidR="008F4205" w:rsidRDefault="008F4205" w:rsidP="008B25E6">
      <w:pPr>
        <w:overflowPunct/>
        <w:autoSpaceDE/>
        <w:autoSpaceDN/>
        <w:adjustRightInd/>
        <w:spacing w:after="160"/>
        <w:textAlignment w:val="auto"/>
        <w:rPr>
          <w:rFonts w:asciiTheme="majorHAnsi" w:hAnsiTheme="majorHAnsi" w:cstheme="majorHAnsi"/>
          <w:color w:val="auto"/>
          <w:sz w:val="24"/>
          <w:szCs w:val="24"/>
          <w:shd w:val="clear" w:color="auto" w:fill="FFFFFF"/>
        </w:rPr>
      </w:pPr>
      <w:r w:rsidRPr="00523CE2">
        <w:rPr>
          <w:rFonts w:asciiTheme="majorHAnsi" w:hAnsiTheme="majorHAnsi" w:cstheme="majorHAnsi"/>
          <w:color w:val="auto"/>
          <w:sz w:val="24"/>
          <w:szCs w:val="24"/>
          <w:shd w:val="clear" w:color="auto" w:fill="FFFFFF"/>
        </w:rPr>
        <w:t xml:space="preserve">Finneran, M.A. (2020). </w:t>
      </w:r>
      <w:r w:rsidRPr="008F4205">
        <w:rPr>
          <w:rFonts w:asciiTheme="majorHAnsi" w:hAnsiTheme="majorHAnsi" w:cstheme="majorHAnsi"/>
          <w:i/>
          <w:iCs/>
          <w:color w:val="auto"/>
          <w:sz w:val="24"/>
          <w:szCs w:val="24"/>
          <w:shd w:val="clear" w:color="auto" w:fill="FFFFFF"/>
        </w:rPr>
        <w:t>Surviving Domestic Abuse: Formal and Informal Supports and Services</w:t>
      </w:r>
      <w:r w:rsidRPr="00523CE2">
        <w:rPr>
          <w:rFonts w:asciiTheme="majorHAnsi" w:hAnsiTheme="majorHAnsi" w:cstheme="majorHAnsi"/>
          <w:color w:val="auto"/>
          <w:sz w:val="24"/>
          <w:szCs w:val="24"/>
          <w:shd w:val="clear" w:color="auto" w:fill="FFFFFF"/>
        </w:rPr>
        <w:t xml:space="preserve"> (1st ed.). </w:t>
      </w:r>
      <w:r>
        <w:rPr>
          <w:rFonts w:asciiTheme="majorHAnsi" w:hAnsiTheme="majorHAnsi" w:cstheme="majorHAnsi"/>
          <w:color w:val="auto"/>
          <w:sz w:val="24"/>
          <w:szCs w:val="24"/>
          <w:shd w:val="clear" w:color="auto" w:fill="FFFFFF"/>
        </w:rPr>
        <w:t xml:space="preserve">New York: </w:t>
      </w:r>
      <w:r w:rsidRPr="00523CE2">
        <w:rPr>
          <w:rFonts w:asciiTheme="majorHAnsi" w:hAnsiTheme="majorHAnsi" w:cstheme="majorHAnsi"/>
          <w:color w:val="auto"/>
          <w:sz w:val="24"/>
          <w:szCs w:val="24"/>
          <w:shd w:val="clear" w:color="auto" w:fill="FFFFFF"/>
        </w:rPr>
        <w:t>Routledge</w:t>
      </w:r>
    </w:p>
    <w:p w14:paraId="1A8F8589" w14:textId="18232D3D"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Grecucci, A. et al. (2015) ‘Mindful Emotion Regulation: Exploring the Neurocognitive Mechanisms behind Mindfulness’, </w:t>
      </w:r>
      <w:r w:rsidRPr="008B25E6">
        <w:rPr>
          <w:rFonts w:asciiTheme="majorHAnsi" w:eastAsiaTheme="minorHAnsi" w:hAnsiTheme="majorHAnsi" w:cstheme="majorHAnsi"/>
          <w:i/>
          <w:iCs/>
          <w:color w:val="auto"/>
          <w:sz w:val="24"/>
          <w:szCs w:val="24"/>
          <w:lang w:eastAsia="en-US"/>
        </w:rPr>
        <w:t>BioMed research international</w:t>
      </w:r>
      <w:r w:rsidRPr="008B25E6">
        <w:rPr>
          <w:rFonts w:asciiTheme="majorHAnsi" w:eastAsiaTheme="minorHAnsi" w:hAnsiTheme="majorHAnsi" w:cstheme="majorHAnsi"/>
          <w:color w:val="auto"/>
          <w:sz w:val="24"/>
          <w:szCs w:val="24"/>
          <w:lang w:eastAsia="en-US"/>
        </w:rPr>
        <w:t>, pp. 670724–9.</w:t>
      </w:r>
    </w:p>
    <w:p w14:paraId="0F0291DE" w14:textId="1495C9AC"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Herrman, H. et al. (2011) ‘What is Resilience?’, </w:t>
      </w:r>
      <w:r w:rsidRPr="008B25E6">
        <w:rPr>
          <w:rFonts w:asciiTheme="majorHAnsi" w:eastAsiaTheme="minorHAnsi" w:hAnsiTheme="majorHAnsi" w:cstheme="majorHAnsi"/>
          <w:i/>
          <w:iCs/>
          <w:color w:val="auto"/>
          <w:sz w:val="24"/>
          <w:szCs w:val="24"/>
          <w:lang w:eastAsia="en-US"/>
        </w:rPr>
        <w:t>The Canadian Journal of Psychiatry</w:t>
      </w:r>
      <w:r w:rsidRPr="008B25E6">
        <w:rPr>
          <w:rFonts w:asciiTheme="majorHAnsi" w:eastAsiaTheme="minorHAnsi" w:hAnsiTheme="majorHAnsi" w:cstheme="majorHAnsi"/>
          <w:color w:val="auto"/>
          <w:sz w:val="24"/>
          <w:szCs w:val="24"/>
          <w:lang w:eastAsia="en-US"/>
        </w:rPr>
        <w:t>, 56(5), pp. 258–265.</w:t>
      </w:r>
    </w:p>
    <w:p w14:paraId="70A2B4DB" w14:textId="77777777"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Kabat-Zinn, J. (1990) </w:t>
      </w:r>
      <w:r w:rsidRPr="008B25E6">
        <w:rPr>
          <w:rFonts w:asciiTheme="majorHAnsi" w:eastAsiaTheme="minorHAnsi" w:hAnsiTheme="majorHAnsi" w:cstheme="majorHAnsi"/>
          <w:i/>
          <w:iCs/>
          <w:color w:val="auto"/>
          <w:sz w:val="24"/>
          <w:szCs w:val="24"/>
          <w:lang w:eastAsia="en-US"/>
        </w:rPr>
        <w:t>Full Catastrophe Living: How to Cope with Stress, Pain and Illness Using Mindfulness Meditation</w:t>
      </w:r>
      <w:r w:rsidRPr="008B25E6">
        <w:rPr>
          <w:rFonts w:asciiTheme="majorHAnsi" w:eastAsiaTheme="minorHAnsi" w:hAnsiTheme="majorHAnsi" w:cstheme="majorHAnsi"/>
          <w:color w:val="auto"/>
          <w:sz w:val="24"/>
          <w:szCs w:val="24"/>
          <w:lang w:eastAsia="en-US"/>
        </w:rPr>
        <w:t>, London: Piatkus Books.</w:t>
      </w:r>
    </w:p>
    <w:p w14:paraId="1CA8993E" w14:textId="5677D425" w:rsidR="008F4205" w:rsidRPr="008B25E6" w:rsidRDefault="008F4205"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Lipsky, M. (1980). </w:t>
      </w:r>
      <w:r w:rsidRPr="008B25E6">
        <w:rPr>
          <w:rFonts w:asciiTheme="majorHAnsi" w:eastAsiaTheme="minorHAnsi" w:hAnsiTheme="majorHAnsi" w:cstheme="majorHAnsi"/>
          <w:i/>
          <w:iCs/>
          <w:color w:val="auto"/>
          <w:sz w:val="24"/>
          <w:szCs w:val="24"/>
          <w:lang w:eastAsia="en-US"/>
        </w:rPr>
        <w:t>Street-Level Beurocracy: Dilemmas of the Individual in Public Service</w:t>
      </w:r>
      <w:r w:rsidRPr="008B25E6">
        <w:rPr>
          <w:rFonts w:asciiTheme="majorHAnsi" w:eastAsiaTheme="minorHAnsi" w:hAnsiTheme="majorHAnsi" w:cstheme="majorHAnsi"/>
          <w:color w:val="auto"/>
          <w:sz w:val="24"/>
          <w:szCs w:val="24"/>
          <w:lang w:eastAsia="en-US"/>
        </w:rPr>
        <w:t>. New York: Russell Sage.</w:t>
      </w:r>
    </w:p>
    <w:p w14:paraId="77B3DA28" w14:textId="5FABDE83" w:rsidR="008F4205" w:rsidRDefault="008F4205"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Mills, C.B., Kwon, A.C. and Brown, K.A. (2021) ‘Examining the COMM in COMMunity Policing: Communication Accommodation, Perception, and Trust in Law Enforcement-Suspect</w:t>
      </w:r>
      <w:r>
        <w:rPr>
          <w:rFonts w:asciiTheme="majorHAnsi" w:eastAsiaTheme="minorHAnsi" w:hAnsiTheme="majorHAnsi" w:cstheme="majorHAnsi"/>
          <w:color w:val="auto"/>
          <w:sz w:val="24"/>
          <w:szCs w:val="24"/>
          <w:lang w:eastAsia="en-US"/>
        </w:rPr>
        <w:t xml:space="preserve">’, </w:t>
      </w:r>
      <w:r w:rsidRPr="008F4205">
        <w:rPr>
          <w:rFonts w:asciiTheme="majorHAnsi" w:eastAsiaTheme="minorHAnsi" w:hAnsiTheme="majorHAnsi" w:cstheme="majorHAnsi"/>
          <w:i/>
          <w:iCs/>
          <w:color w:val="auto"/>
          <w:sz w:val="24"/>
          <w:szCs w:val="24"/>
          <w:lang w:eastAsia="en-US"/>
        </w:rPr>
        <w:t>Journal of Police and Criminal Psychology</w:t>
      </w:r>
      <w:r>
        <w:rPr>
          <w:rFonts w:asciiTheme="majorHAnsi" w:eastAsiaTheme="minorHAnsi" w:hAnsiTheme="majorHAnsi" w:cstheme="majorHAnsi"/>
          <w:color w:val="auto"/>
          <w:sz w:val="24"/>
          <w:szCs w:val="24"/>
          <w:lang w:eastAsia="en-US"/>
        </w:rPr>
        <w:t>,</w:t>
      </w:r>
      <w:r w:rsidRPr="00BE6DCF">
        <w:rPr>
          <w:rFonts w:asciiTheme="majorHAnsi" w:eastAsiaTheme="minorHAnsi" w:hAnsiTheme="majorHAnsi" w:cstheme="majorHAnsi"/>
          <w:color w:val="auto"/>
          <w:sz w:val="24"/>
          <w:szCs w:val="24"/>
          <w:lang w:eastAsia="en-US"/>
        </w:rPr>
        <w:t xml:space="preserve"> 36</w:t>
      </w:r>
      <w:r>
        <w:rPr>
          <w:rFonts w:asciiTheme="majorHAnsi" w:eastAsiaTheme="minorHAnsi" w:hAnsiTheme="majorHAnsi" w:cstheme="majorHAnsi"/>
          <w:color w:val="auto"/>
          <w:sz w:val="24"/>
          <w:szCs w:val="24"/>
          <w:lang w:eastAsia="en-US"/>
        </w:rPr>
        <w:t xml:space="preserve"> (2),</w:t>
      </w:r>
      <w:r>
        <w:rPr>
          <w:rFonts w:asciiTheme="majorHAnsi" w:eastAsiaTheme="minorHAnsi" w:hAnsiTheme="majorHAnsi" w:cstheme="majorHAnsi"/>
          <w:color w:val="auto"/>
          <w:sz w:val="24"/>
          <w:szCs w:val="24"/>
          <w:lang w:eastAsia="en-US"/>
        </w:rPr>
        <w:t xml:space="preserve"> pp. </w:t>
      </w:r>
      <w:r w:rsidRPr="00BE6DCF">
        <w:rPr>
          <w:rFonts w:asciiTheme="majorHAnsi" w:eastAsiaTheme="minorHAnsi" w:hAnsiTheme="majorHAnsi" w:cstheme="majorHAnsi"/>
          <w:color w:val="auto"/>
          <w:sz w:val="24"/>
          <w:szCs w:val="24"/>
          <w:lang w:eastAsia="en-US"/>
        </w:rPr>
        <w:t>333–341</w:t>
      </w:r>
      <w:r>
        <w:rPr>
          <w:rFonts w:asciiTheme="majorHAnsi" w:eastAsiaTheme="minorHAnsi" w:hAnsiTheme="majorHAnsi" w:cstheme="majorHAnsi"/>
          <w:color w:val="auto"/>
          <w:sz w:val="24"/>
          <w:szCs w:val="24"/>
          <w:lang w:eastAsia="en-US"/>
        </w:rPr>
        <w:t>.</w:t>
      </w:r>
    </w:p>
    <w:p w14:paraId="1ED60119" w14:textId="77777777" w:rsidR="008F4205" w:rsidRDefault="008F4205" w:rsidP="008B25E6">
      <w:pPr>
        <w:overflowPunct/>
        <w:autoSpaceDE/>
        <w:autoSpaceDN/>
        <w:adjustRightInd/>
        <w:spacing w:after="160"/>
        <w:textAlignment w:val="auto"/>
        <w:rPr>
          <w:rFonts w:asciiTheme="majorHAnsi" w:eastAsiaTheme="minorHAnsi" w:hAnsiTheme="majorHAnsi" w:cstheme="majorHAnsi"/>
          <w:color w:val="auto"/>
          <w:sz w:val="24"/>
          <w:szCs w:val="24"/>
          <w:shd w:val="clear" w:color="auto" w:fill="FFFFFF"/>
          <w:lang w:eastAsia="en-US"/>
        </w:rPr>
      </w:pPr>
      <w:r w:rsidRPr="008B25E6">
        <w:rPr>
          <w:rFonts w:asciiTheme="majorHAnsi" w:eastAsiaTheme="minorHAnsi" w:hAnsiTheme="majorHAnsi" w:cstheme="majorHAnsi"/>
          <w:color w:val="auto"/>
          <w:sz w:val="24"/>
          <w:szCs w:val="24"/>
          <w:shd w:val="clear" w:color="auto" w:fill="FFFFFF"/>
          <w:lang w:eastAsia="en-US"/>
        </w:rPr>
        <w:lastRenderedPageBreak/>
        <w:t xml:space="preserve">Pearson, G, &amp; Rowe, M </w:t>
      </w:r>
      <w:r>
        <w:rPr>
          <w:rFonts w:asciiTheme="majorHAnsi" w:eastAsiaTheme="minorHAnsi" w:hAnsiTheme="majorHAnsi" w:cstheme="majorHAnsi"/>
          <w:color w:val="auto"/>
          <w:sz w:val="24"/>
          <w:szCs w:val="24"/>
          <w:shd w:val="clear" w:color="auto" w:fill="FFFFFF"/>
          <w:lang w:eastAsia="en-US"/>
        </w:rPr>
        <w:t>(</w:t>
      </w:r>
      <w:r w:rsidRPr="008B25E6">
        <w:rPr>
          <w:rFonts w:asciiTheme="majorHAnsi" w:eastAsiaTheme="minorHAnsi" w:hAnsiTheme="majorHAnsi" w:cstheme="majorHAnsi"/>
          <w:color w:val="auto"/>
          <w:sz w:val="24"/>
          <w:szCs w:val="24"/>
          <w:shd w:val="clear" w:color="auto" w:fill="FFFFFF"/>
          <w:lang w:eastAsia="en-US"/>
        </w:rPr>
        <w:t>2020</w:t>
      </w:r>
      <w:r>
        <w:rPr>
          <w:rFonts w:asciiTheme="majorHAnsi" w:eastAsiaTheme="minorHAnsi" w:hAnsiTheme="majorHAnsi" w:cstheme="majorHAnsi"/>
          <w:color w:val="auto"/>
          <w:sz w:val="24"/>
          <w:szCs w:val="24"/>
          <w:shd w:val="clear" w:color="auto" w:fill="FFFFFF"/>
          <w:lang w:eastAsia="en-US"/>
        </w:rPr>
        <w:t>)</w:t>
      </w:r>
      <w:r w:rsidRPr="008B25E6">
        <w:rPr>
          <w:rFonts w:asciiTheme="majorHAnsi" w:eastAsiaTheme="minorHAnsi" w:hAnsiTheme="majorHAnsi" w:cstheme="majorHAnsi"/>
          <w:color w:val="auto"/>
          <w:sz w:val="24"/>
          <w:szCs w:val="24"/>
          <w:shd w:val="clear" w:color="auto" w:fill="FFFFFF"/>
          <w:lang w:eastAsia="en-US"/>
        </w:rPr>
        <w:t xml:space="preserve">, </w:t>
      </w:r>
      <w:r w:rsidRPr="00BE6DCF">
        <w:rPr>
          <w:rFonts w:asciiTheme="majorHAnsi" w:eastAsiaTheme="minorHAnsi" w:hAnsiTheme="majorHAnsi" w:cstheme="majorHAnsi"/>
          <w:i/>
          <w:iCs/>
          <w:color w:val="auto"/>
          <w:sz w:val="24"/>
          <w:szCs w:val="24"/>
          <w:shd w:val="clear" w:color="auto" w:fill="FFFFFF"/>
          <w:lang w:eastAsia="en-US"/>
        </w:rPr>
        <w:t>Police Street Powers and Criminal Justice : Regulation and Discretion in a Time of Change</w:t>
      </w:r>
      <w:r w:rsidRPr="008B25E6">
        <w:rPr>
          <w:rFonts w:asciiTheme="majorHAnsi" w:eastAsiaTheme="minorHAnsi" w:hAnsiTheme="majorHAnsi" w:cstheme="majorHAnsi"/>
          <w:color w:val="auto"/>
          <w:sz w:val="24"/>
          <w:szCs w:val="24"/>
          <w:shd w:val="clear" w:color="auto" w:fill="FFFFFF"/>
          <w:lang w:eastAsia="en-US"/>
        </w:rPr>
        <w:t xml:space="preserve">, </w:t>
      </w:r>
      <w:r>
        <w:rPr>
          <w:rFonts w:asciiTheme="majorHAnsi" w:eastAsiaTheme="minorHAnsi" w:hAnsiTheme="majorHAnsi" w:cstheme="majorHAnsi"/>
          <w:color w:val="auto"/>
          <w:sz w:val="24"/>
          <w:szCs w:val="24"/>
          <w:shd w:val="clear" w:color="auto" w:fill="FFFFFF"/>
          <w:lang w:eastAsia="en-US"/>
        </w:rPr>
        <w:t xml:space="preserve">London: </w:t>
      </w:r>
      <w:r w:rsidRPr="008B25E6">
        <w:rPr>
          <w:rFonts w:asciiTheme="majorHAnsi" w:eastAsiaTheme="minorHAnsi" w:hAnsiTheme="majorHAnsi" w:cstheme="majorHAnsi"/>
          <w:color w:val="auto"/>
          <w:sz w:val="24"/>
          <w:szCs w:val="24"/>
          <w:shd w:val="clear" w:color="auto" w:fill="FFFFFF"/>
          <w:lang w:eastAsia="en-US"/>
        </w:rPr>
        <w:t>Bloomsbury Publishing Plc</w:t>
      </w:r>
      <w:r>
        <w:rPr>
          <w:rFonts w:asciiTheme="majorHAnsi" w:eastAsiaTheme="minorHAnsi" w:hAnsiTheme="majorHAnsi" w:cstheme="majorHAnsi"/>
          <w:color w:val="auto"/>
          <w:sz w:val="24"/>
          <w:szCs w:val="24"/>
          <w:shd w:val="clear" w:color="auto" w:fill="FFFFFF"/>
          <w:lang w:eastAsia="en-US"/>
        </w:rPr>
        <w:t>.</w:t>
      </w:r>
    </w:p>
    <w:p w14:paraId="2D013324" w14:textId="5AB2F7B7"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Police Federation (2016) </w:t>
      </w:r>
      <w:r w:rsidRPr="008B25E6">
        <w:rPr>
          <w:rFonts w:asciiTheme="majorHAnsi" w:eastAsiaTheme="minorHAnsi" w:hAnsiTheme="majorHAnsi" w:cstheme="majorHAnsi"/>
          <w:i/>
          <w:iCs/>
          <w:color w:val="auto"/>
          <w:sz w:val="24"/>
          <w:szCs w:val="24"/>
          <w:lang w:eastAsia="en-US"/>
        </w:rPr>
        <w:t>Mental Health</w:t>
      </w:r>
      <w:r w:rsidRPr="008B25E6">
        <w:rPr>
          <w:rFonts w:asciiTheme="majorHAnsi" w:eastAsiaTheme="minorHAnsi" w:hAnsiTheme="majorHAnsi" w:cstheme="majorHAnsi"/>
          <w:color w:val="auto"/>
          <w:sz w:val="24"/>
          <w:szCs w:val="24"/>
          <w:lang w:eastAsia="en-US"/>
        </w:rPr>
        <w:t xml:space="preserve">. Available at: </w:t>
      </w:r>
      <w:hyperlink r:id="rId30" w:history="1">
        <w:r w:rsidRPr="008B25E6">
          <w:rPr>
            <w:rFonts w:asciiTheme="majorHAnsi" w:eastAsiaTheme="minorHAnsi" w:hAnsiTheme="majorHAnsi" w:cstheme="majorHAnsi"/>
            <w:color w:val="auto"/>
            <w:sz w:val="24"/>
            <w:szCs w:val="24"/>
            <w:u w:val="single"/>
            <w:lang w:eastAsia="en-US"/>
          </w:rPr>
          <w:t>https://www.polfed.org/our-work/wellbeing/mental-health/</w:t>
        </w:r>
      </w:hyperlink>
      <w:r w:rsidRPr="008B25E6">
        <w:rPr>
          <w:rFonts w:asciiTheme="majorHAnsi" w:eastAsiaTheme="minorHAnsi" w:hAnsiTheme="majorHAnsi" w:cstheme="majorHAnsi"/>
          <w:color w:val="auto"/>
          <w:sz w:val="24"/>
          <w:szCs w:val="24"/>
          <w:lang w:eastAsia="en-US"/>
        </w:rPr>
        <w:t xml:space="preserve"> (last accessed: 17/02/2022).</w:t>
      </w:r>
    </w:p>
    <w:p w14:paraId="2213B00A" w14:textId="77777777"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Price, S. and Price, L. (2011) </w:t>
      </w:r>
      <w:r w:rsidRPr="008B25E6">
        <w:rPr>
          <w:rFonts w:asciiTheme="majorHAnsi" w:eastAsiaTheme="minorHAnsi" w:hAnsiTheme="majorHAnsi" w:cstheme="majorHAnsi"/>
          <w:i/>
          <w:iCs/>
          <w:color w:val="auto"/>
          <w:sz w:val="24"/>
          <w:szCs w:val="24"/>
          <w:lang w:eastAsia="en-US"/>
        </w:rPr>
        <w:t xml:space="preserve">Aromatherapy for Health Professionals. </w:t>
      </w:r>
      <w:r w:rsidRPr="008B25E6">
        <w:rPr>
          <w:rFonts w:asciiTheme="majorHAnsi" w:eastAsiaTheme="minorHAnsi" w:hAnsiTheme="majorHAnsi" w:cstheme="majorHAnsi"/>
          <w:color w:val="auto"/>
          <w:sz w:val="24"/>
          <w:szCs w:val="24"/>
          <w:lang w:eastAsia="en-US"/>
        </w:rPr>
        <w:t>London: Elsevier Health Sciences.</w:t>
      </w:r>
    </w:p>
    <w:p w14:paraId="6348C271" w14:textId="555DEE2F" w:rsidR="008F4205" w:rsidRDefault="008F4205"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 xml:space="preserve">Road Danger Reduction, Road Peace, </w:t>
      </w:r>
      <w:hyperlink r:id="rId31" w:history="1">
        <w:r w:rsidRPr="008B25E6">
          <w:rPr>
            <w:rFonts w:asciiTheme="majorHAnsi" w:hAnsiTheme="majorHAnsi" w:cstheme="majorHAnsi"/>
            <w:color w:val="auto"/>
            <w:sz w:val="24"/>
            <w:szCs w:val="24"/>
            <w:u w:val="single"/>
          </w:rPr>
          <w:t>https://www.roadpeace.org/prevention/</w:t>
        </w:r>
      </w:hyperlink>
      <w:r>
        <w:rPr>
          <w:rFonts w:asciiTheme="majorHAnsi" w:hAnsiTheme="majorHAnsi" w:cstheme="majorHAnsi"/>
          <w:color w:val="auto"/>
          <w:sz w:val="24"/>
          <w:szCs w:val="24"/>
        </w:rPr>
        <w:t xml:space="preserve"> (last accessed: 03/04/2022).</w:t>
      </w:r>
    </w:p>
    <w:p w14:paraId="68553FCE" w14:textId="20F7F398"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Selye, H. (1975). </w:t>
      </w:r>
      <w:r w:rsidRPr="008B25E6">
        <w:rPr>
          <w:rFonts w:asciiTheme="majorHAnsi" w:eastAsiaTheme="minorHAnsi" w:hAnsiTheme="majorHAnsi" w:cstheme="majorHAnsi"/>
          <w:i/>
          <w:iCs/>
          <w:color w:val="auto"/>
          <w:sz w:val="24"/>
          <w:szCs w:val="24"/>
          <w:lang w:eastAsia="en-US"/>
        </w:rPr>
        <w:t>Stress without distress</w:t>
      </w:r>
      <w:r w:rsidRPr="008B25E6">
        <w:rPr>
          <w:rFonts w:asciiTheme="majorHAnsi" w:eastAsiaTheme="minorHAnsi" w:hAnsiTheme="majorHAnsi" w:cstheme="majorHAnsi"/>
          <w:color w:val="auto"/>
          <w:sz w:val="24"/>
          <w:szCs w:val="24"/>
          <w:lang w:eastAsia="en-US"/>
        </w:rPr>
        <w:t>. New York: Signet.</w:t>
      </w:r>
    </w:p>
    <w:p w14:paraId="297DA950" w14:textId="77777777"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Stein, S. Steven, J. and Bartone, P.T. (2020) </w:t>
      </w:r>
      <w:r w:rsidRPr="008B25E6">
        <w:rPr>
          <w:rFonts w:asciiTheme="majorHAnsi" w:eastAsiaTheme="minorHAnsi" w:hAnsiTheme="majorHAnsi" w:cstheme="majorHAnsi"/>
          <w:i/>
          <w:iCs/>
          <w:color w:val="auto"/>
          <w:sz w:val="24"/>
          <w:szCs w:val="24"/>
          <w:lang w:eastAsia="en-US"/>
        </w:rPr>
        <w:t>Hardiness : making stress work for you to achieve your life goals</w:t>
      </w:r>
      <w:r w:rsidRPr="008B25E6">
        <w:rPr>
          <w:rFonts w:asciiTheme="majorHAnsi" w:eastAsiaTheme="minorHAnsi" w:hAnsiTheme="majorHAnsi" w:cstheme="majorHAnsi"/>
          <w:color w:val="auto"/>
          <w:sz w:val="24"/>
          <w:szCs w:val="24"/>
          <w:lang w:eastAsia="en-US"/>
        </w:rPr>
        <w:t>. 1st edition. Hoboken, New Jersey: Wiley.</w:t>
      </w:r>
    </w:p>
    <w:p w14:paraId="1FB6101C" w14:textId="577B1AF3" w:rsidR="00BA3512"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Thompson GJ, Jenkins JB (2013) </w:t>
      </w:r>
      <w:r w:rsidRPr="00BA3512">
        <w:rPr>
          <w:rFonts w:asciiTheme="majorHAnsi" w:eastAsiaTheme="minorHAnsi" w:hAnsiTheme="majorHAnsi" w:cstheme="majorHAnsi"/>
          <w:i/>
          <w:iCs/>
          <w:color w:val="auto"/>
          <w:sz w:val="24"/>
          <w:szCs w:val="24"/>
          <w:lang w:eastAsia="en-US"/>
        </w:rPr>
        <w:t>Verbal judo: The gentle art of persuasion</w:t>
      </w:r>
      <w:r w:rsidRPr="008B25E6">
        <w:rPr>
          <w:rFonts w:asciiTheme="majorHAnsi" w:eastAsiaTheme="minorHAnsi" w:hAnsiTheme="majorHAnsi" w:cstheme="majorHAnsi"/>
          <w:color w:val="auto"/>
          <w:sz w:val="24"/>
          <w:szCs w:val="24"/>
          <w:lang w:eastAsia="en-US"/>
        </w:rPr>
        <w:t xml:space="preserve">. </w:t>
      </w:r>
      <w:r>
        <w:rPr>
          <w:rFonts w:asciiTheme="majorHAnsi" w:eastAsiaTheme="minorHAnsi" w:hAnsiTheme="majorHAnsi" w:cstheme="majorHAnsi"/>
          <w:color w:val="auto"/>
          <w:sz w:val="24"/>
          <w:szCs w:val="24"/>
          <w:lang w:eastAsia="en-US"/>
        </w:rPr>
        <w:t xml:space="preserve">New York: </w:t>
      </w:r>
      <w:r w:rsidRPr="008B25E6">
        <w:rPr>
          <w:rFonts w:asciiTheme="majorHAnsi" w:eastAsiaTheme="minorHAnsi" w:hAnsiTheme="majorHAnsi" w:cstheme="majorHAnsi"/>
          <w:color w:val="auto"/>
          <w:sz w:val="24"/>
          <w:szCs w:val="24"/>
          <w:lang w:eastAsia="en-US"/>
        </w:rPr>
        <w:t>Harper-Collins</w:t>
      </w:r>
      <w:r>
        <w:rPr>
          <w:rFonts w:asciiTheme="majorHAnsi" w:eastAsiaTheme="minorHAnsi" w:hAnsiTheme="majorHAnsi" w:cstheme="majorHAnsi"/>
          <w:color w:val="auto"/>
          <w:sz w:val="24"/>
          <w:szCs w:val="24"/>
          <w:lang w:eastAsia="en-US"/>
        </w:rPr>
        <w:t>.</w:t>
      </w:r>
    </w:p>
    <w:p w14:paraId="6F28060F" w14:textId="7F8B6C6C" w:rsidR="000E5D64" w:rsidRPr="00523CE2" w:rsidRDefault="000E5D64" w:rsidP="000E5D64">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 xml:space="preserve">Victimless Prosecution, Dodds Solicitors, </w:t>
      </w:r>
      <w:hyperlink r:id="rId32" w:history="1">
        <w:r w:rsidRPr="00523CE2">
          <w:rPr>
            <w:rFonts w:asciiTheme="majorHAnsi" w:eastAsiaTheme="minorHAnsi" w:hAnsiTheme="majorHAnsi" w:cstheme="majorHAnsi"/>
            <w:color w:val="auto"/>
            <w:sz w:val="24"/>
            <w:szCs w:val="24"/>
            <w:u w:val="single"/>
            <w:lang w:eastAsia="en-US"/>
          </w:rPr>
          <w:t>https://www.dodds-solicitors.co.uk/2020/02/18/victimless-prosecutions/</w:t>
        </w:r>
      </w:hyperlink>
      <w:r w:rsidRPr="00523CE2">
        <w:rPr>
          <w:rFonts w:asciiTheme="majorHAnsi" w:eastAsiaTheme="minorHAnsi" w:hAnsiTheme="majorHAnsi" w:cstheme="majorHAnsi"/>
          <w:color w:val="auto"/>
          <w:sz w:val="24"/>
          <w:szCs w:val="24"/>
          <w:lang w:eastAsia="en-US"/>
        </w:rPr>
        <w:t xml:space="preserve"> </w:t>
      </w:r>
      <w:r>
        <w:rPr>
          <w:rFonts w:asciiTheme="majorHAnsi" w:eastAsiaTheme="minorHAnsi" w:hAnsiTheme="majorHAnsi" w:cstheme="majorHAnsi"/>
          <w:color w:val="auto"/>
          <w:sz w:val="24"/>
          <w:szCs w:val="24"/>
          <w:lang w:eastAsia="en-US"/>
        </w:rPr>
        <w:t>(last accessed: 03/04/2022).</w:t>
      </w:r>
    </w:p>
    <w:p w14:paraId="247175EB" w14:textId="4F7D26A6" w:rsidR="008F4205" w:rsidRPr="008B25E6" w:rsidRDefault="008F4205"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 xml:space="preserve">Walby, S. and Allen, J. (2004), </w:t>
      </w:r>
      <w:r w:rsidRPr="00BE6DCF">
        <w:rPr>
          <w:rFonts w:asciiTheme="majorHAnsi" w:eastAsiaTheme="minorHAnsi" w:hAnsiTheme="majorHAnsi" w:cstheme="majorHAnsi"/>
          <w:i/>
          <w:iCs/>
          <w:color w:val="auto"/>
          <w:sz w:val="24"/>
          <w:szCs w:val="24"/>
          <w:lang w:eastAsia="en-US"/>
        </w:rPr>
        <w:t>Domestic violence, sexual assault and stalking: Findings from the British Crime Survey</w:t>
      </w:r>
      <w:r w:rsidRPr="00523CE2">
        <w:rPr>
          <w:rFonts w:asciiTheme="majorHAnsi" w:eastAsiaTheme="minorHAnsi" w:hAnsiTheme="majorHAnsi" w:cstheme="majorHAnsi"/>
          <w:color w:val="auto"/>
          <w:sz w:val="24"/>
          <w:szCs w:val="24"/>
          <w:lang w:eastAsia="en-US"/>
        </w:rPr>
        <w:t>. London: Home Office.</w:t>
      </w:r>
    </w:p>
    <w:p w14:paraId="54D535FB" w14:textId="77777777" w:rsidR="00171C24" w:rsidRPr="008B25E6" w:rsidRDefault="00171C24"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Wald, J. et al. (2006) </w:t>
      </w:r>
      <w:r w:rsidRPr="008B25E6">
        <w:rPr>
          <w:rFonts w:asciiTheme="majorHAnsi" w:eastAsiaTheme="minorHAnsi" w:hAnsiTheme="majorHAnsi" w:cstheme="majorHAnsi"/>
          <w:i/>
          <w:iCs/>
          <w:color w:val="auto"/>
          <w:sz w:val="24"/>
          <w:szCs w:val="24"/>
          <w:lang w:eastAsia="en-US"/>
        </w:rPr>
        <w:t>Literature review of concepts: psychological resiliency.</w:t>
      </w:r>
      <w:r w:rsidRPr="008B25E6">
        <w:rPr>
          <w:rFonts w:asciiTheme="majorHAnsi" w:eastAsiaTheme="minorHAnsi" w:hAnsiTheme="majorHAnsi" w:cstheme="majorHAnsi"/>
          <w:color w:val="auto"/>
          <w:sz w:val="24"/>
          <w:szCs w:val="24"/>
          <w:lang w:eastAsia="en-US"/>
        </w:rPr>
        <w:t xml:space="preserve"> Toronto (ON): Defence R&amp;D Canada.</w:t>
      </w:r>
    </w:p>
    <w:p w14:paraId="41577F16" w14:textId="7D991E10" w:rsidR="008F4205" w:rsidRPr="008B25E6" w:rsidRDefault="008F4205"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Wilson, J. W. (1968) </w:t>
      </w:r>
      <w:r w:rsidRPr="008B25E6">
        <w:rPr>
          <w:rFonts w:asciiTheme="majorHAnsi" w:eastAsiaTheme="minorHAnsi" w:hAnsiTheme="majorHAnsi" w:cstheme="majorHAnsi"/>
          <w:i/>
          <w:iCs/>
          <w:color w:val="auto"/>
          <w:sz w:val="24"/>
          <w:szCs w:val="24"/>
          <w:lang w:eastAsia="en-US"/>
        </w:rPr>
        <w:t xml:space="preserve">Varieties of Police Bahaviour: The Management of Law and Order in Eight Communities, </w:t>
      </w:r>
      <w:r w:rsidRPr="008B25E6">
        <w:rPr>
          <w:rFonts w:asciiTheme="majorHAnsi" w:eastAsiaTheme="minorHAnsi" w:hAnsiTheme="majorHAnsi" w:cstheme="majorHAnsi"/>
          <w:color w:val="auto"/>
          <w:sz w:val="24"/>
          <w:szCs w:val="24"/>
          <w:lang w:eastAsia="en-US"/>
        </w:rPr>
        <w:t>Cambridge, MA: Harvard University Press.</w:t>
      </w:r>
    </w:p>
    <w:p w14:paraId="4E05E6C0" w14:textId="026DED98" w:rsidR="00BE6DCF" w:rsidRPr="008B25E6" w:rsidRDefault="00171C24" w:rsidP="008F4205">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eastAsiaTheme="minorHAnsi" w:hAnsiTheme="majorHAnsi" w:cstheme="majorHAnsi"/>
          <w:color w:val="auto"/>
          <w:sz w:val="24"/>
          <w:szCs w:val="24"/>
          <w:lang w:eastAsia="en-US"/>
        </w:rPr>
        <w:t xml:space="preserve">Worwood, V. A. (2016) </w:t>
      </w:r>
      <w:r w:rsidRPr="008B25E6">
        <w:rPr>
          <w:rFonts w:asciiTheme="majorHAnsi" w:eastAsiaTheme="minorHAnsi" w:hAnsiTheme="majorHAnsi" w:cstheme="majorHAnsi"/>
          <w:i/>
          <w:iCs/>
          <w:color w:val="auto"/>
          <w:sz w:val="24"/>
          <w:szCs w:val="24"/>
          <w:lang w:eastAsia="en-US"/>
        </w:rPr>
        <w:t xml:space="preserve">The Complete Book of Essential Oils and Aromatherapy. </w:t>
      </w:r>
      <w:r w:rsidRPr="008B25E6">
        <w:rPr>
          <w:rFonts w:asciiTheme="majorHAnsi" w:eastAsiaTheme="minorHAnsi" w:hAnsiTheme="majorHAnsi" w:cstheme="majorHAnsi"/>
          <w:color w:val="auto"/>
          <w:sz w:val="24"/>
          <w:szCs w:val="24"/>
          <w:lang w:eastAsia="en-US"/>
        </w:rPr>
        <w:t>2</w:t>
      </w:r>
      <w:r w:rsidRPr="008B25E6">
        <w:rPr>
          <w:rFonts w:asciiTheme="majorHAnsi" w:eastAsiaTheme="minorHAnsi" w:hAnsiTheme="majorHAnsi" w:cstheme="majorHAnsi"/>
          <w:color w:val="auto"/>
          <w:sz w:val="24"/>
          <w:szCs w:val="24"/>
          <w:vertAlign w:val="superscript"/>
          <w:lang w:eastAsia="en-US"/>
        </w:rPr>
        <w:t>nd</w:t>
      </w:r>
      <w:r w:rsidRPr="008B25E6">
        <w:rPr>
          <w:rFonts w:asciiTheme="majorHAnsi" w:eastAsiaTheme="minorHAnsi" w:hAnsiTheme="majorHAnsi" w:cstheme="majorHAnsi"/>
          <w:color w:val="auto"/>
          <w:sz w:val="24"/>
          <w:szCs w:val="24"/>
          <w:lang w:eastAsia="en-US"/>
        </w:rPr>
        <w:t xml:space="preserve"> edn, United Stated: New World Library.</w:t>
      </w:r>
    </w:p>
    <w:p w14:paraId="3D579E1A" w14:textId="1B2675A3" w:rsidR="00BE6DCF" w:rsidRPr="00523CE2" w:rsidRDefault="00BE6DCF" w:rsidP="00BE6DCF">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 xml:space="preserve">Women’s Aid, What Is Domestic Abuse? </w:t>
      </w:r>
      <w:hyperlink r:id="rId33" w:history="1">
        <w:r w:rsidRPr="00523CE2">
          <w:rPr>
            <w:rFonts w:asciiTheme="majorHAnsi" w:eastAsiaTheme="minorHAnsi" w:hAnsiTheme="majorHAnsi" w:cstheme="majorHAnsi"/>
            <w:color w:val="auto"/>
            <w:sz w:val="24"/>
            <w:szCs w:val="24"/>
            <w:u w:val="single"/>
            <w:lang w:eastAsia="en-US"/>
          </w:rPr>
          <w:t>https://www.womensaid.org.uk/information-support/what-is-domestic-abuse/</w:t>
        </w:r>
      </w:hyperlink>
      <w:r w:rsidRPr="00523CE2">
        <w:rPr>
          <w:rFonts w:asciiTheme="majorHAnsi" w:eastAsiaTheme="minorHAnsi" w:hAnsiTheme="majorHAnsi" w:cstheme="majorHAnsi"/>
          <w:color w:val="auto"/>
          <w:sz w:val="24"/>
          <w:szCs w:val="24"/>
          <w:lang w:eastAsia="en-US"/>
        </w:rPr>
        <w:t xml:space="preserve"> </w:t>
      </w:r>
      <w:r w:rsidR="008F4205">
        <w:rPr>
          <w:rFonts w:asciiTheme="majorHAnsi" w:eastAsiaTheme="minorHAnsi" w:hAnsiTheme="majorHAnsi" w:cstheme="majorHAnsi"/>
          <w:color w:val="auto"/>
          <w:sz w:val="24"/>
          <w:szCs w:val="24"/>
          <w:lang w:eastAsia="en-US"/>
        </w:rPr>
        <w:t>(last accessed 27/02/2022).</w:t>
      </w:r>
    </w:p>
    <w:p w14:paraId="3F337ABA" w14:textId="41651335" w:rsidR="00BE6DCF" w:rsidRDefault="00BE6DCF"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2BD78CE7" w14:textId="40261BF6" w:rsidR="00BE6DCF" w:rsidRPr="00BA3512" w:rsidRDefault="00BE6DCF"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BE6DCF">
        <w:rPr>
          <w:rFonts w:asciiTheme="majorHAnsi" w:eastAsiaTheme="minorHAnsi" w:hAnsiTheme="majorHAnsi" w:cstheme="majorHAnsi"/>
          <w:b/>
          <w:bCs/>
          <w:color w:val="auto"/>
          <w:sz w:val="24"/>
          <w:szCs w:val="24"/>
          <w:u w:val="single"/>
          <w:lang w:eastAsia="en-US"/>
        </w:rPr>
        <w:t>College of Policing Resources</w:t>
      </w:r>
      <w:r w:rsidR="00BA3512">
        <w:rPr>
          <w:rFonts w:asciiTheme="majorHAnsi" w:eastAsiaTheme="minorHAnsi" w:hAnsiTheme="majorHAnsi" w:cstheme="majorHAnsi"/>
          <w:b/>
          <w:bCs/>
          <w:color w:val="auto"/>
          <w:sz w:val="24"/>
          <w:szCs w:val="24"/>
          <w:u w:val="single"/>
          <w:lang w:eastAsia="en-US"/>
        </w:rPr>
        <w:t xml:space="preserve"> </w:t>
      </w:r>
      <w:r w:rsidR="00BA3512">
        <w:rPr>
          <w:rFonts w:asciiTheme="majorHAnsi" w:eastAsiaTheme="minorHAnsi" w:hAnsiTheme="majorHAnsi" w:cstheme="majorHAnsi"/>
          <w:color w:val="auto"/>
          <w:sz w:val="24"/>
          <w:szCs w:val="24"/>
          <w:lang w:eastAsia="en-US"/>
        </w:rPr>
        <w:t>(all last accessed 03/04/2022)</w:t>
      </w:r>
    </w:p>
    <w:p w14:paraId="6E1B9DC4" w14:textId="3C2F7B2B" w:rsidR="00BA3512" w:rsidRPr="008B25E6"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Association of Chief Police Officers, Personal Safety Manual, Module 6: Communication, pp. 1-48</w:t>
      </w:r>
      <w:r>
        <w:rPr>
          <w:rFonts w:asciiTheme="majorHAnsi" w:eastAsiaTheme="minorHAnsi" w:hAnsiTheme="majorHAnsi" w:cstheme="majorHAnsi"/>
          <w:color w:val="auto"/>
          <w:sz w:val="24"/>
          <w:szCs w:val="24"/>
          <w:lang w:eastAsia="en-US"/>
        </w:rPr>
        <w:t>.</w:t>
      </w:r>
    </w:p>
    <w:p w14:paraId="6DD763E7" w14:textId="77777777" w:rsidR="00BA3512" w:rsidRPr="008B25E6"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Code of Ethics, College of Policing, </w:t>
      </w:r>
      <w:hyperlink r:id="rId34" w:history="1">
        <w:r w:rsidRPr="008B25E6">
          <w:rPr>
            <w:rStyle w:val="Hyperlink"/>
            <w:rFonts w:asciiTheme="majorHAnsi" w:eastAsiaTheme="minorHAnsi" w:hAnsiTheme="majorHAnsi" w:cstheme="majorHAnsi"/>
            <w:color w:val="auto"/>
            <w:sz w:val="24"/>
            <w:szCs w:val="24"/>
            <w:lang w:eastAsia="en-US"/>
          </w:rPr>
          <w:t>https://www.college.police.uk/ethics/code-of-ethics</w:t>
        </w:r>
      </w:hyperlink>
      <w:r w:rsidRPr="008B25E6">
        <w:rPr>
          <w:rFonts w:asciiTheme="majorHAnsi" w:eastAsiaTheme="minorHAnsi" w:hAnsiTheme="majorHAnsi" w:cstheme="majorHAnsi"/>
          <w:color w:val="auto"/>
          <w:sz w:val="24"/>
          <w:szCs w:val="24"/>
          <w:lang w:eastAsia="en-US"/>
        </w:rPr>
        <w:t xml:space="preserve">. </w:t>
      </w:r>
    </w:p>
    <w:p w14:paraId="7B208109" w14:textId="77777777" w:rsidR="00BA3512" w:rsidRPr="008B25E6"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Code of Ethics pdf </w:t>
      </w:r>
      <w:hyperlink r:id="rId35" w:history="1">
        <w:r w:rsidRPr="008B25E6">
          <w:rPr>
            <w:rStyle w:val="Hyperlink"/>
            <w:rFonts w:asciiTheme="majorHAnsi" w:eastAsiaTheme="minorHAnsi" w:hAnsiTheme="majorHAnsi" w:cstheme="majorHAnsi"/>
            <w:color w:val="auto"/>
            <w:sz w:val="24"/>
            <w:szCs w:val="24"/>
            <w:lang w:eastAsia="en-US"/>
          </w:rPr>
          <w:t>https://assets.college.police.uk/s3fs-public/2021-02/code_of_ethics.pdf</w:t>
        </w:r>
      </w:hyperlink>
      <w:r w:rsidRPr="008B25E6">
        <w:rPr>
          <w:rFonts w:asciiTheme="majorHAnsi" w:eastAsiaTheme="minorHAnsi" w:hAnsiTheme="majorHAnsi" w:cstheme="majorHAnsi"/>
          <w:color w:val="auto"/>
          <w:sz w:val="24"/>
          <w:szCs w:val="24"/>
          <w:lang w:eastAsia="en-US"/>
        </w:rPr>
        <w:t xml:space="preserve"> </w:t>
      </w:r>
    </w:p>
    <w:p w14:paraId="5FB81C21" w14:textId="100D2E84" w:rsidR="00BA3512" w:rsidRPr="008B25E6"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Common process for managing police information</w:t>
      </w:r>
      <w:r>
        <w:rPr>
          <w:rFonts w:asciiTheme="majorHAnsi" w:eastAsiaTheme="minorHAnsi" w:hAnsiTheme="majorHAnsi" w:cstheme="majorHAnsi"/>
          <w:color w:val="auto"/>
          <w:sz w:val="24"/>
          <w:szCs w:val="24"/>
          <w:lang w:eastAsia="en-US"/>
        </w:rPr>
        <w:t xml:space="preserve"> </w:t>
      </w:r>
      <w:hyperlink r:id="rId36" w:history="1">
        <w:r w:rsidRPr="008B25E6">
          <w:rPr>
            <w:rFonts w:asciiTheme="majorHAnsi" w:eastAsiaTheme="minorHAnsi" w:hAnsiTheme="majorHAnsi" w:cstheme="majorHAnsi"/>
            <w:color w:val="auto"/>
            <w:sz w:val="24"/>
            <w:szCs w:val="24"/>
            <w:u w:val="single"/>
            <w:lang w:eastAsia="en-US"/>
          </w:rPr>
          <w:t>https://www.app.college.police.uk/app-content/information-management/management-of-police-information/common-process/</w:t>
        </w:r>
      </w:hyperlink>
    </w:p>
    <w:p w14:paraId="67D50EC6" w14:textId="79E3B50C" w:rsidR="00BA3512" w:rsidRPr="008B25E6"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hyperlink r:id="rId37" w:history="1">
        <w:r w:rsidRPr="00BA3512">
          <w:rPr>
            <w:rStyle w:val="Hyperlink"/>
            <w:rFonts w:asciiTheme="majorHAnsi" w:eastAsiaTheme="minorHAnsi" w:hAnsiTheme="majorHAnsi" w:cstheme="majorHAnsi"/>
            <w:sz w:val="24"/>
            <w:szCs w:val="24"/>
            <w:u w:val="none"/>
            <w:lang w:eastAsia="en-US"/>
          </w:rPr>
          <w:t>Conflict management skills, College of Policing</w:t>
        </w:r>
      </w:hyperlink>
      <w:r w:rsidRPr="00BA3512">
        <w:rPr>
          <w:rFonts w:asciiTheme="majorHAnsi" w:eastAsiaTheme="minorHAnsi" w:hAnsiTheme="majorHAnsi" w:cstheme="majorHAnsi"/>
          <w:color w:val="auto"/>
          <w:sz w:val="24"/>
          <w:szCs w:val="24"/>
          <w:lang w:eastAsia="en-US"/>
        </w:rPr>
        <w:t>,</w:t>
      </w:r>
      <w:r w:rsidRPr="008B25E6">
        <w:rPr>
          <w:rFonts w:asciiTheme="majorHAnsi" w:eastAsiaTheme="minorHAnsi" w:hAnsiTheme="majorHAnsi" w:cstheme="majorHAnsi"/>
          <w:color w:val="auto"/>
          <w:sz w:val="24"/>
          <w:szCs w:val="24"/>
          <w:lang w:eastAsia="en-US"/>
        </w:rPr>
        <w:t xml:space="preserve"> </w:t>
      </w:r>
      <w:hyperlink r:id="rId38" w:history="1">
        <w:r w:rsidRPr="008B25E6">
          <w:rPr>
            <w:rStyle w:val="Hyperlink"/>
            <w:rFonts w:asciiTheme="majorHAnsi" w:eastAsiaTheme="minorHAnsi" w:hAnsiTheme="majorHAnsi" w:cstheme="majorHAnsi"/>
            <w:color w:val="auto"/>
            <w:sz w:val="24"/>
            <w:szCs w:val="24"/>
            <w:lang w:eastAsia="en-US"/>
          </w:rPr>
          <w:t>https://www.college.police.uk/guidance/conflict-management/conflict-management-skills</w:t>
        </w:r>
      </w:hyperlink>
      <w:r w:rsidRPr="008B25E6">
        <w:rPr>
          <w:rFonts w:asciiTheme="majorHAnsi" w:eastAsiaTheme="minorHAnsi" w:hAnsiTheme="majorHAnsi" w:cstheme="majorHAnsi"/>
          <w:color w:val="auto"/>
          <w:sz w:val="24"/>
          <w:szCs w:val="24"/>
          <w:lang w:eastAsia="en-US"/>
        </w:rPr>
        <w:t xml:space="preserve"> </w:t>
      </w:r>
    </w:p>
    <w:p w14:paraId="0DF87ABB" w14:textId="77777777" w:rsidR="00BA3512" w:rsidRPr="008B25E6"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hyperlink r:id="rId39" w:history="1">
        <w:r w:rsidRPr="00523CE2">
          <w:rPr>
            <w:rFonts w:asciiTheme="majorHAnsi" w:eastAsiaTheme="minorHAnsi" w:hAnsiTheme="majorHAnsi" w:cstheme="majorHAnsi"/>
            <w:color w:val="auto"/>
            <w:sz w:val="24"/>
            <w:szCs w:val="24"/>
            <w:lang w:eastAsia="en-US"/>
          </w:rPr>
          <w:t xml:space="preserve">Investigation Process, College of Policing, </w:t>
        </w:r>
        <w:r w:rsidRPr="00523CE2">
          <w:rPr>
            <w:rFonts w:asciiTheme="majorHAnsi" w:eastAsiaTheme="minorHAnsi" w:hAnsiTheme="majorHAnsi" w:cstheme="majorHAnsi"/>
            <w:color w:val="auto"/>
            <w:sz w:val="24"/>
            <w:szCs w:val="24"/>
            <w:u w:val="single"/>
            <w:lang w:eastAsia="en-US"/>
          </w:rPr>
          <w:t>https://www.app.college.police.uk/app-content/investigations/investigation-process/#golden-hour</w:t>
        </w:r>
      </w:hyperlink>
    </w:p>
    <w:p w14:paraId="4C3B1AF5" w14:textId="77777777" w:rsidR="00BA3512" w:rsidRDefault="00BA351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6C45A126" w14:textId="46442C9C" w:rsidR="00BA3512" w:rsidRPr="008B25E6"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lastRenderedPageBreak/>
        <w:t xml:space="preserve">Legal Application, Stop Search, College of Policing </w:t>
      </w:r>
      <w:hyperlink r:id="rId40" w:history="1">
        <w:r w:rsidRPr="008B25E6">
          <w:rPr>
            <w:rStyle w:val="Hyperlink"/>
            <w:rFonts w:asciiTheme="majorHAnsi" w:eastAsiaTheme="minorHAnsi" w:hAnsiTheme="majorHAnsi" w:cstheme="majorHAnsi"/>
            <w:color w:val="auto"/>
            <w:sz w:val="24"/>
            <w:szCs w:val="24"/>
            <w:lang w:eastAsia="en-US"/>
          </w:rPr>
          <w:t>https://www.app.college.police.uk/app-content/stop-and-search/legal/legal-application/</w:t>
        </w:r>
      </w:hyperlink>
      <w:r w:rsidRPr="008B25E6">
        <w:rPr>
          <w:rFonts w:asciiTheme="majorHAnsi" w:eastAsiaTheme="minorHAnsi" w:hAnsiTheme="majorHAnsi" w:cstheme="majorHAnsi"/>
          <w:color w:val="auto"/>
          <w:sz w:val="24"/>
          <w:szCs w:val="24"/>
          <w:lang w:eastAsia="en-US"/>
        </w:rPr>
        <w:t xml:space="preserve"> </w:t>
      </w:r>
      <w:r>
        <w:rPr>
          <w:rFonts w:asciiTheme="majorHAnsi" w:eastAsiaTheme="minorHAnsi" w:hAnsiTheme="majorHAnsi" w:cstheme="majorHAnsi"/>
          <w:color w:val="auto"/>
          <w:sz w:val="24"/>
          <w:szCs w:val="24"/>
          <w:lang w:eastAsia="en-US"/>
        </w:rPr>
        <w:t xml:space="preserve"> </w:t>
      </w:r>
    </w:p>
    <w:p w14:paraId="012FA777" w14:textId="77777777" w:rsidR="00BA3512" w:rsidRPr="008B25E6" w:rsidRDefault="00BA3512" w:rsidP="00BA3512">
      <w:pPr>
        <w:rPr>
          <w:rFonts w:asciiTheme="majorHAnsi" w:hAnsiTheme="majorHAnsi" w:cstheme="majorHAnsi"/>
          <w:color w:val="auto"/>
          <w:sz w:val="24"/>
          <w:szCs w:val="24"/>
        </w:rPr>
      </w:pPr>
      <w:r w:rsidRPr="008B25E6">
        <w:rPr>
          <w:rFonts w:asciiTheme="majorHAnsi" w:hAnsiTheme="majorHAnsi" w:cstheme="majorHAnsi"/>
          <w:color w:val="auto"/>
          <w:sz w:val="24"/>
          <w:szCs w:val="24"/>
        </w:rPr>
        <w:t xml:space="preserve">Management of Police Information, Information Management, College of Policing, </w:t>
      </w:r>
      <w:hyperlink r:id="rId41" w:history="1">
        <w:r w:rsidRPr="008B25E6">
          <w:rPr>
            <w:rFonts w:asciiTheme="majorHAnsi" w:hAnsiTheme="majorHAnsi" w:cstheme="majorHAnsi"/>
            <w:color w:val="auto"/>
            <w:sz w:val="24"/>
            <w:szCs w:val="24"/>
            <w:u w:val="single"/>
          </w:rPr>
          <w:t>https://www.app.college.police.uk/app-content/information-management/management-of-police-information/</w:t>
        </w:r>
      </w:hyperlink>
      <w:r w:rsidRPr="008B25E6">
        <w:rPr>
          <w:rFonts w:asciiTheme="majorHAnsi" w:hAnsiTheme="majorHAnsi" w:cstheme="majorHAnsi"/>
          <w:color w:val="auto"/>
          <w:sz w:val="24"/>
          <w:szCs w:val="24"/>
        </w:rPr>
        <w:t xml:space="preserve"> </w:t>
      </w:r>
    </w:p>
    <w:p w14:paraId="35786D56" w14:textId="77777777" w:rsidR="00BA3512"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48286939" w14:textId="5C25E96A" w:rsidR="00286E00" w:rsidRPr="00BA3512" w:rsidRDefault="00286E00"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National Decision Model, College of Policing,</w:t>
      </w:r>
      <w:bookmarkStart w:id="4" w:name="_Hlk99982766"/>
      <w:r w:rsidR="00BA3512">
        <w:rPr>
          <w:rFonts w:asciiTheme="majorHAnsi" w:eastAsiaTheme="minorHAnsi" w:hAnsiTheme="majorHAnsi" w:cstheme="majorHAnsi"/>
          <w:color w:val="auto"/>
          <w:sz w:val="24"/>
          <w:szCs w:val="24"/>
          <w:lang w:eastAsia="en-US"/>
        </w:rPr>
        <w:t xml:space="preserve"> </w:t>
      </w:r>
      <w:hyperlink r:id="rId42" w:history="1">
        <w:r w:rsidR="00BA3512" w:rsidRPr="0075060E">
          <w:rPr>
            <w:rStyle w:val="Hyperlink"/>
            <w:rFonts w:asciiTheme="majorHAnsi" w:eastAsiaTheme="minorHAnsi" w:hAnsiTheme="majorHAnsi" w:cstheme="majorHAnsi"/>
            <w:sz w:val="24"/>
            <w:szCs w:val="24"/>
            <w:lang w:eastAsia="en-US"/>
          </w:rPr>
          <w:t>https://www.app.college.police.uk/app-content/national-decision-model/the-national-decision-model/</w:t>
        </w:r>
      </w:hyperlink>
      <w:r w:rsidRPr="008B25E6">
        <w:rPr>
          <w:rFonts w:asciiTheme="majorHAnsi" w:eastAsiaTheme="minorHAnsi" w:hAnsiTheme="majorHAnsi" w:cstheme="majorHAnsi"/>
          <w:color w:val="auto"/>
          <w:sz w:val="24"/>
          <w:szCs w:val="24"/>
          <w:lang w:eastAsia="en-US"/>
        </w:rPr>
        <w:t xml:space="preserve"> </w:t>
      </w:r>
      <w:bookmarkEnd w:id="4"/>
    </w:p>
    <w:p w14:paraId="04D447EE" w14:textId="77777777" w:rsidR="008B25E6" w:rsidRP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Police Officers Oath </w:t>
      </w:r>
      <w:hyperlink r:id="rId43" w:history="1">
        <w:r w:rsidRPr="008B25E6">
          <w:rPr>
            <w:rStyle w:val="Hyperlink"/>
            <w:rFonts w:asciiTheme="majorHAnsi" w:eastAsiaTheme="minorHAnsi" w:hAnsiTheme="majorHAnsi" w:cstheme="majorHAnsi"/>
            <w:color w:val="auto"/>
            <w:sz w:val="24"/>
            <w:szCs w:val="24"/>
            <w:lang w:eastAsia="en-US"/>
          </w:rPr>
          <w:t>https://foi.west-midlands.police.uk/police-officer-oath-298a-21/</w:t>
        </w:r>
      </w:hyperlink>
      <w:r w:rsidRPr="008B25E6">
        <w:rPr>
          <w:rFonts w:asciiTheme="majorHAnsi" w:eastAsiaTheme="minorHAnsi" w:hAnsiTheme="majorHAnsi" w:cstheme="majorHAnsi"/>
          <w:color w:val="auto"/>
          <w:sz w:val="24"/>
          <w:szCs w:val="24"/>
          <w:lang w:eastAsia="en-US"/>
        </w:rPr>
        <w:t xml:space="preserve"> </w:t>
      </w:r>
    </w:p>
    <w:p w14:paraId="1E1B8917" w14:textId="77777777" w:rsidR="008F4205" w:rsidRDefault="008F4205" w:rsidP="008B25E6">
      <w:pPr>
        <w:overflowPunct/>
        <w:autoSpaceDE/>
        <w:autoSpaceDN/>
        <w:adjustRightInd/>
        <w:ind w:right="107"/>
        <w:textAlignment w:val="auto"/>
        <w:rPr>
          <w:rFonts w:asciiTheme="majorHAnsi" w:hAnsiTheme="majorHAnsi" w:cstheme="majorHAnsi"/>
          <w:b/>
          <w:bCs/>
          <w:color w:val="auto"/>
          <w:sz w:val="24"/>
          <w:szCs w:val="24"/>
          <w:u w:val="single"/>
        </w:rPr>
      </w:pPr>
    </w:p>
    <w:p w14:paraId="34A08C1D" w14:textId="312EDA73" w:rsidR="00A46230" w:rsidRPr="00BA3512" w:rsidRDefault="00A46230" w:rsidP="008B25E6">
      <w:pPr>
        <w:overflowPunct/>
        <w:autoSpaceDE/>
        <w:autoSpaceDN/>
        <w:adjustRightInd/>
        <w:ind w:right="107"/>
        <w:textAlignment w:val="auto"/>
        <w:rPr>
          <w:rFonts w:asciiTheme="majorHAnsi" w:hAnsiTheme="majorHAnsi" w:cstheme="majorHAnsi"/>
          <w:color w:val="auto"/>
          <w:sz w:val="24"/>
          <w:szCs w:val="24"/>
        </w:rPr>
      </w:pPr>
      <w:r w:rsidRPr="008B25E6">
        <w:rPr>
          <w:rFonts w:asciiTheme="majorHAnsi" w:hAnsiTheme="majorHAnsi" w:cstheme="majorHAnsi"/>
          <w:b/>
          <w:bCs/>
          <w:color w:val="auto"/>
          <w:sz w:val="24"/>
          <w:szCs w:val="24"/>
          <w:u w:val="single"/>
        </w:rPr>
        <w:t>Legislation</w:t>
      </w:r>
      <w:r w:rsidR="00BA3512">
        <w:rPr>
          <w:rFonts w:asciiTheme="majorHAnsi" w:hAnsiTheme="majorHAnsi" w:cstheme="majorHAnsi"/>
          <w:b/>
          <w:bCs/>
          <w:color w:val="auto"/>
          <w:sz w:val="24"/>
          <w:szCs w:val="24"/>
          <w:u w:val="single"/>
        </w:rPr>
        <w:t xml:space="preserve"> </w:t>
      </w:r>
      <w:r w:rsidR="00BA3512">
        <w:rPr>
          <w:rFonts w:asciiTheme="majorHAnsi" w:hAnsiTheme="majorHAnsi" w:cstheme="majorHAnsi"/>
          <w:color w:val="auto"/>
          <w:sz w:val="24"/>
          <w:szCs w:val="24"/>
        </w:rPr>
        <w:t>(all last accessed 03/04/2022)</w:t>
      </w:r>
    </w:p>
    <w:p w14:paraId="238A0435" w14:textId="54A4FB8F" w:rsidR="00286E00" w:rsidRPr="008B25E6" w:rsidRDefault="00286E00"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063759EE" w14:textId="4D364E5F" w:rsidR="00286E00" w:rsidRPr="008B25E6" w:rsidRDefault="00286E00"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Welsh Language Act 1993</w:t>
      </w:r>
      <w:r w:rsidR="00BA3512">
        <w:rPr>
          <w:rFonts w:asciiTheme="majorHAnsi" w:eastAsiaTheme="minorHAnsi" w:hAnsiTheme="majorHAnsi" w:cstheme="majorHAnsi"/>
          <w:color w:val="auto"/>
          <w:sz w:val="24"/>
          <w:szCs w:val="24"/>
          <w:lang w:eastAsia="en-US"/>
        </w:rPr>
        <w:t xml:space="preserve"> </w:t>
      </w:r>
      <w:hyperlink r:id="rId44" w:history="1">
        <w:r w:rsidR="00BA3512" w:rsidRPr="0075060E">
          <w:rPr>
            <w:rStyle w:val="Hyperlink"/>
            <w:rFonts w:asciiTheme="majorHAnsi" w:eastAsiaTheme="minorHAnsi" w:hAnsiTheme="majorHAnsi" w:cstheme="majorHAnsi"/>
            <w:sz w:val="24"/>
            <w:szCs w:val="24"/>
            <w:lang w:eastAsia="en-US"/>
          </w:rPr>
          <w:t>https://www.legislation.gov.uk/ukpga/1993/38/contents?lang=en</w:t>
        </w:r>
      </w:hyperlink>
    </w:p>
    <w:p w14:paraId="06F11162" w14:textId="77777777" w:rsidR="00286E00" w:rsidRPr="008B25E6" w:rsidRDefault="00286E00" w:rsidP="008F4205">
      <w:pPr>
        <w:rPr>
          <w:rFonts w:asciiTheme="majorHAnsi" w:hAnsiTheme="majorHAnsi" w:cstheme="majorHAnsi"/>
          <w:color w:val="auto"/>
          <w:sz w:val="24"/>
          <w:szCs w:val="24"/>
        </w:rPr>
      </w:pPr>
      <w:r w:rsidRPr="008B25E6">
        <w:rPr>
          <w:rFonts w:asciiTheme="majorHAnsi" w:hAnsiTheme="majorHAnsi" w:cstheme="majorHAnsi"/>
          <w:color w:val="auto"/>
          <w:sz w:val="24"/>
          <w:szCs w:val="24"/>
        </w:rPr>
        <w:t>Power to Seize a Vehicle Driven Without Licence or Insurance – Section 165A Road Traffic Act 1988</w:t>
      </w:r>
    </w:p>
    <w:p w14:paraId="1DDB9B04" w14:textId="28C5BD29" w:rsidR="00286E00" w:rsidRPr="008B25E6" w:rsidRDefault="00286E00" w:rsidP="008F4205">
      <w:pPr>
        <w:rPr>
          <w:rFonts w:asciiTheme="majorHAnsi" w:hAnsiTheme="majorHAnsi" w:cstheme="majorHAnsi"/>
          <w:color w:val="auto"/>
          <w:sz w:val="24"/>
          <w:szCs w:val="24"/>
        </w:rPr>
      </w:pPr>
      <w:hyperlink r:id="rId45" w:history="1">
        <w:r w:rsidRPr="008B25E6">
          <w:rPr>
            <w:rFonts w:asciiTheme="majorHAnsi" w:hAnsiTheme="majorHAnsi" w:cstheme="majorHAnsi"/>
            <w:color w:val="auto"/>
            <w:sz w:val="24"/>
            <w:szCs w:val="24"/>
            <w:u w:val="single"/>
          </w:rPr>
          <w:t>https://www.legislation.gov.uk/ukpga/1988/52/section/165A</w:t>
        </w:r>
      </w:hyperlink>
      <w:r w:rsidRPr="008B25E6">
        <w:rPr>
          <w:rFonts w:asciiTheme="majorHAnsi" w:hAnsiTheme="majorHAnsi" w:cstheme="majorHAnsi"/>
          <w:color w:val="auto"/>
          <w:sz w:val="24"/>
          <w:szCs w:val="24"/>
        </w:rPr>
        <w:t xml:space="preserve"> </w:t>
      </w:r>
    </w:p>
    <w:p w14:paraId="005140E3" w14:textId="77777777" w:rsidR="00BA3512" w:rsidRDefault="00BA351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0CF564B7" w14:textId="678BFC0C" w:rsidR="00523CE2" w:rsidRPr="00BA3512" w:rsidRDefault="00523CE2" w:rsidP="00BA3512">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Domestic Violence, Crime and Victims Act 2004</w:t>
      </w:r>
      <w:r w:rsidR="00BA3512">
        <w:rPr>
          <w:rFonts w:asciiTheme="majorHAnsi" w:eastAsiaTheme="minorHAnsi" w:hAnsiTheme="majorHAnsi" w:cstheme="majorHAnsi"/>
          <w:color w:val="auto"/>
          <w:sz w:val="24"/>
          <w:szCs w:val="24"/>
          <w:lang w:eastAsia="en-US"/>
        </w:rPr>
        <w:t xml:space="preserve"> </w:t>
      </w:r>
      <w:hyperlink r:id="rId46" w:history="1">
        <w:r w:rsidR="00BA3512" w:rsidRPr="0075060E">
          <w:rPr>
            <w:rStyle w:val="Hyperlink"/>
            <w:rFonts w:asciiTheme="majorHAnsi" w:eastAsiaTheme="minorHAnsi" w:hAnsiTheme="majorHAnsi" w:cstheme="majorHAnsi"/>
            <w:sz w:val="24"/>
            <w:szCs w:val="24"/>
            <w:lang w:eastAsia="en-US"/>
          </w:rPr>
          <w:t>https://www.legislation.gov.uk/ukpga/2004/28/contents</w:t>
        </w:r>
      </w:hyperlink>
    </w:p>
    <w:p w14:paraId="1B8622AE" w14:textId="2E5AB6E4" w:rsidR="00523CE2" w:rsidRPr="00523CE2" w:rsidRDefault="00523CE2" w:rsidP="008F4205">
      <w:pPr>
        <w:overflowPunct/>
        <w:autoSpaceDE/>
        <w:autoSpaceDN/>
        <w:adjustRightInd/>
        <w:ind w:right="107"/>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Threats to Kill – Section 16 Offences Against the Person Act 1861</w:t>
      </w:r>
      <w:r w:rsidR="00BA3512">
        <w:rPr>
          <w:rFonts w:asciiTheme="majorHAnsi" w:eastAsiaTheme="minorHAnsi" w:hAnsiTheme="majorHAnsi" w:cstheme="majorHAnsi"/>
          <w:color w:val="auto"/>
          <w:sz w:val="24"/>
          <w:szCs w:val="24"/>
          <w:lang w:eastAsia="en-US"/>
        </w:rPr>
        <w:t xml:space="preserve"> </w:t>
      </w:r>
      <w:hyperlink r:id="rId47" w:history="1">
        <w:r w:rsidR="00BA3512" w:rsidRPr="0075060E">
          <w:rPr>
            <w:rStyle w:val="Hyperlink"/>
            <w:rFonts w:asciiTheme="majorHAnsi" w:eastAsiaTheme="minorHAnsi" w:hAnsiTheme="majorHAnsi" w:cstheme="majorHAnsi"/>
            <w:sz w:val="24"/>
            <w:szCs w:val="24"/>
            <w:lang w:eastAsia="en-US"/>
          </w:rPr>
          <w:t>https://www.legislation.gov.uk/ukpga/Vict/24-25/100/section/16</w:t>
        </w:r>
      </w:hyperlink>
      <w:r w:rsidRPr="00523CE2">
        <w:rPr>
          <w:rFonts w:asciiTheme="majorHAnsi" w:eastAsiaTheme="minorHAnsi" w:hAnsiTheme="majorHAnsi" w:cstheme="majorHAnsi"/>
          <w:color w:val="auto"/>
          <w:sz w:val="24"/>
          <w:szCs w:val="24"/>
          <w:lang w:eastAsia="en-US"/>
        </w:rPr>
        <w:t xml:space="preserve"> </w:t>
      </w:r>
    </w:p>
    <w:p w14:paraId="1AC08A72" w14:textId="77777777" w:rsidR="00BA3512"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1C048892" w14:textId="692710E8" w:rsidR="00523CE2" w:rsidRPr="00523CE2" w:rsidRDefault="00523CE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Assault Occasioning Bodily Harm – Section 47 Offences Against the Person Act 1861</w:t>
      </w:r>
      <w:r w:rsidRPr="008B25E6">
        <w:rPr>
          <w:rFonts w:asciiTheme="majorHAnsi" w:eastAsiaTheme="minorHAnsi" w:hAnsiTheme="majorHAnsi" w:cstheme="majorHAnsi"/>
          <w:color w:val="auto"/>
          <w:sz w:val="24"/>
          <w:szCs w:val="24"/>
          <w:lang w:eastAsia="en-US"/>
        </w:rPr>
        <w:t xml:space="preserve"> </w:t>
      </w:r>
      <w:hyperlink r:id="rId48" w:history="1">
        <w:r w:rsidRPr="00523CE2">
          <w:rPr>
            <w:rFonts w:asciiTheme="majorHAnsi" w:eastAsiaTheme="minorHAnsi" w:hAnsiTheme="majorHAnsi" w:cstheme="majorHAnsi"/>
            <w:color w:val="auto"/>
            <w:sz w:val="24"/>
            <w:szCs w:val="24"/>
            <w:u w:val="single"/>
            <w:lang w:eastAsia="en-US"/>
          </w:rPr>
          <w:t>https://www.legislation.gov.uk/ukpga/Vict/24-25/100/section/47</w:t>
        </w:r>
      </w:hyperlink>
      <w:r w:rsidRPr="00523CE2">
        <w:rPr>
          <w:rFonts w:asciiTheme="majorHAnsi" w:eastAsiaTheme="minorHAnsi" w:hAnsiTheme="majorHAnsi" w:cstheme="majorHAnsi"/>
          <w:color w:val="auto"/>
          <w:sz w:val="24"/>
          <w:szCs w:val="24"/>
          <w:lang w:eastAsia="en-US"/>
        </w:rPr>
        <w:t xml:space="preserve"> </w:t>
      </w:r>
    </w:p>
    <w:p w14:paraId="689AB07C" w14:textId="77777777" w:rsidR="00BA3512"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74F802CE" w14:textId="483306DA" w:rsidR="00523CE2" w:rsidRPr="00523CE2" w:rsidRDefault="00523CE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 xml:space="preserve">Destroy or Damage Property – Section 1 Criminal Damage Act 1971 </w:t>
      </w:r>
      <w:hyperlink r:id="rId49" w:history="1">
        <w:r w:rsidRPr="00523CE2">
          <w:rPr>
            <w:rFonts w:asciiTheme="majorHAnsi" w:eastAsiaTheme="minorHAnsi" w:hAnsiTheme="majorHAnsi" w:cstheme="majorHAnsi"/>
            <w:color w:val="auto"/>
            <w:sz w:val="24"/>
            <w:szCs w:val="24"/>
            <w:u w:val="single"/>
            <w:lang w:eastAsia="en-US"/>
          </w:rPr>
          <w:t>https://www.legislation.gov.uk/ukpga/1971/48/section/1</w:t>
        </w:r>
      </w:hyperlink>
      <w:r w:rsidRPr="00523CE2">
        <w:rPr>
          <w:rFonts w:asciiTheme="majorHAnsi" w:eastAsiaTheme="minorHAnsi" w:hAnsiTheme="majorHAnsi" w:cstheme="majorHAnsi"/>
          <w:color w:val="auto"/>
          <w:sz w:val="24"/>
          <w:szCs w:val="24"/>
          <w:lang w:eastAsia="en-US"/>
        </w:rPr>
        <w:t xml:space="preserve"> </w:t>
      </w:r>
    </w:p>
    <w:p w14:paraId="4AFD9AD4" w14:textId="77777777" w:rsidR="00BA3512"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69909AC2" w14:textId="117184BA" w:rsidR="00523CE2" w:rsidRPr="00523CE2" w:rsidRDefault="00523CE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 xml:space="preserve">Controlling or Coercive Behaviour in an Intimate or Family Relationship, CPS, </w:t>
      </w:r>
      <w:hyperlink r:id="rId50" w:history="1">
        <w:r w:rsidRPr="00523CE2">
          <w:rPr>
            <w:rFonts w:asciiTheme="majorHAnsi" w:eastAsiaTheme="minorHAnsi" w:hAnsiTheme="majorHAnsi" w:cstheme="majorHAnsi"/>
            <w:color w:val="auto"/>
            <w:sz w:val="24"/>
            <w:szCs w:val="24"/>
            <w:u w:val="single"/>
            <w:lang w:eastAsia="en-US"/>
          </w:rPr>
          <w:t>https://www.cps.gov.uk/legal-guidance/controlling-or-coercive-behaviour-intimate-or-family-relationship</w:t>
        </w:r>
      </w:hyperlink>
      <w:r w:rsidRPr="00523CE2">
        <w:rPr>
          <w:rFonts w:asciiTheme="majorHAnsi" w:eastAsiaTheme="minorHAnsi" w:hAnsiTheme="majorHAnsi" w:cstheme="majorHAnsi"/>
          <w:color w:val="auto"/>
          <w:sz w:val="24"/>
          <w:szCs w:val="24"/>
          <w:lang w:eastAsia="en-US"/>
        </w:rPr>
        <w:t xml:space="preserve"> </w:t>
      </w:r>
    </w:p>
    <w:p w14:paraId="3245FF7F" w14:textId="1206D025" w:rsidR="00523CE2" w:rsidRPr="00523CE2" w:rsidRDefault="00523CE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78BCE40C" w14:textId="137A4303" w:rsidR="008B25E6" w:rsidRPr="008B25E6"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Section 1 </w:t>
      </w:r>
      <w:r w:rsidR="00BA3512">
        <w:rPr>
          <w:rFonts w:asciiTheme="majorHAnsi" w:eastAsiaTheme="minorHAnsi" w:hAnsiTheme="majorHAnsi" w:cstheme="majorHAnsi"/>
          <w:color w:val="auto"/>
          <w:sz w:val="24"/>
          <w:szCs w:val="24"/>
          <w:lang w:eastAsia="en-US"/>
        </w:rPr>
        <w:t xml:space="preserve">Stop Search - </w:t>
      </w:r>
      <w:r w:rsidRPr="008B25E6">
        <w:rPr>
          <w:rFonts w:asciiTheme="majorHAnsi" w:eastAsiaTheme="minorHAnsi" w:hAnsiTheme="majorHAnsi" w:cstheme="majorHAnsi"/>
          <w:color w:val="auto"/>
          <w:sz w:val="24"/>
          <w:szCs w:val="24"/>
          <w:lang w:eastAsia="en-US"/>
        </w:rPr>
        <w:t xml:space="preserve">Police and Criminal Evidence Act 1984 </w:t>
      </w:r>
      <w:hyperlink r:id="rId51" w:history="1">
        <w:r w:rsidRPr="008B25E6">
          <w:rPr>
            <w:rStyle w:val="Hyperlink"/>
            <w:rFonts w:asciiTheme="majorHAnsi" w:eastAsiaTheme="minorHAnsi" w:hAnsiTheme="majorHAnsi" w:cstheme="majorHAnsi"/>
            <w:color w:val="auto"/>
            <w:sz w:val="24"/>
            <w:szCs w:val="24"/>
            <w:lang w:eastAsia="en-US"/>
          </w:rPr>
          <w:t>https://www.legislation.gov.uk/ukpga/1984/60/section/1</w:t>
        </w:r>
      </w:hyperlink>
    </w:p>
    <w:p w14:paraId="1A28A46F" w14:textId="77777777" w:rsidR="00BA3512"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0185A25D" w14:textId="7E2986E3" w:rsidR="008B25E6" w:rsidRPr="008B25E6"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Common assault Section 39 Criminal Justice Act 1988 </w:t>
      </w:r>
      <w:hyperlink r:id="rId52" w:history="1">
        <w:r w:rsidRPr="008B25E6">
          <w:rPr>
            <w:rStyle w:val="Hyperlink"/>
            <w:rFonts w:asciiTheme="majorHAnsi" w:eastAsiaTheme="minorHAnsi" w:hAnsiTheme="majorHAnsi" w:cstheme="majorHAnsi"/>
            <w:color w:val="auto"/>
            <w:sz w:val="24"/>
            <w:szCs w:val="24"/>
            <w:lang w:eastAsia="en-US"/>
          </w:rPr>
          <w:t>https://www.legislation.gov.uk/ukpga/1988/33/section/39</w:t>
        </w:r>
      </w:hyperlink>
      <w:r w:rsidRPr="008B25E6">
        <w:rPr>
          <w:rFonts w:asciiTheme="majorHAnsi" w:eastAsiaTheme="minorHAnsi" w:hAnsiTheme="majorHAnsi" w:cstheme="majorHAnsi"/>
          <w:color w:val="auto"/>
          <w:sz w:val="24"/>
          <w:szCs w:val="24"/>
          <w:lang w:eastAsia="en-US"/>
        </w:rPr>
        <w:t xml:space="preserve"> </w:t>
      </w:r>
    </w:p>
    <w:p w14:paraId="263D7166" w14:textId="77777777" w:rsidR="00BA3512"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0C5C0334" w14:textId="77777777" w:rsidR="00BA3512"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Common law</w:t>
      </w:r>
      <w:r w:rsidR="008962DC">
        <w:rPr>
          <w:rFonts w:asciiTheme="majorHAnsi" w:eastAsiaTheme="minorHAnsi" w:hAnsiTheme="majorHAnsi" w:cstheme="majorHAnsi"/>
          <w:color w:val="auto"/>
          <w:sz w:val="24"/>
          <w:szCs w:val="24"/>
          <w:lang w:eastAsia="en-US"/>
        </w:rPr>
        <w:t xml:space="preserve"> </w:t>
      </w:r>
      <w:r w:rsidR="008962DC" w:rsidRPr="008962DC">
        <w:rPr>
          <w:rFonts w:asciiTheme="majorHAnsi" w:eastAsiaTheme="minorHAnsi" w:hAnsiTheme="majorHAnsi" w:cstheme="majorHAnsi"/>
          <w:color w:val="auto"/>
          <w:sz w:val="24"/>
          <w:szCs w:val="24"/>
          <w:lang w:eastAsia="en-US"/>
        </w:rPr>
        <w:t>self-defence</w:t>
      </w:r>
    </w:p>
    <w:p w14:paraId="7EB282F4" w14:textId="50CE1081" w:rsidR="008B25E6" w:rsidRPr="008962DC" w:rsidRDefault="008962DC"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hyperlink r:id="rId53" w:history="1">
        <w:r w:rsidRPr="008962DC">
          <w:rPr>
            <w:rStyle w:val="Hyperlink"/>
            <w:rFonts w:asciiTheme="majorHAnsi" w:eastAsiaTheme="minorHAnsi" w:hAnsiTheme="majorHAnsi" w:cstheme="majorHAnsi"/>
            <w:color w:val="auto"/>
            <w:sz w:val="24"/>
            <w:szCs w:val="24"/>
            <w:lang w:eastAsia="en-US"/>
          </w:rPr>
          <w:t>https://www.legislation.gov.uk/ukpga/2008/4/section/76</w:t>
        </w:r>
      </w:hyperlink>
      <w:r w:rsidRPr="008962DC">
        <w:rPr>
          <w:rFonts w:asciiTheme="majorHAnsi" w:eastAsiaTheme="minorHAnsi" w:hAnsiTheme="majorHAnsi" w:cstheme="majorHAnsi"/>
          <w:color w:val="auto"/>
          <w:sz w:val="24"/>
          <w:szCs w:val="24"/>
          <w:lang w:eastAsia="en-US"/>
        </w:rPr>
        <w:t xml:space="preserve"> </w:t>
      </w:r>
    </w:p>
    <w:p w14:paraId="2156BB30" w14:textId="2438F471" w:rsidR="008B25E6" w:rsidRPr="008B25E6"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lastRenderedPageBreak/>
        <w:t>Section 3 Criminal Law Act 1967</w:t>
      </w:r>
    </w:p>
    <w:p w14:paraId="1757D8B6" w14:textId="40F3894E" w:rsidR="008B25E6" w:rsidRPr="008B25E6"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hyperlink r:id="rId54" w:history="1">
        <w:r w:rsidRPr="008B25E6">
          <w:rPr>
            <w:rStyle w:val="Hyperlink"/>
            <w:rFonts w:asciiTheme="majorHAnsi" w:eastAsiaTheme="minorHAnsi" w:hAnsiTheme="majorHAnsi" w:cstheme="majorHAnsi"/>
            <w:color w:val="auto"/>
            <w:sz w:val="24"/>
            <w:szCs w:val="24"/>
            <w:lang w:eastAsia="en-US"/>
          </w:rPr>
          <w:t>https://www.legislation.gov.uk/ukpga/1967/58/section/3</w:t>
        </w:r>
      </w:hyperlink>
      <w:r w:rsidRPr="008B25E6">
        <w:rPr>
          <w:rFonts w:asciiTheme="majorHAnsi" w:eastAsiaTheme="minorHAnsi" w:hAnsiTheme="majorHAnsi" w:cstheme="majorHAnsi"/>
          <w:color w:val="auto"/>
          <w:sz w:val="24"/>
          <w:szCs w:val="24"/>
          <w:lang w:eastAsia="en-US"/>
        </w:rPr>
        <w:t xml:space="preserve"> </w:t>
      </w:r>
    </w:p>
    <w:p w14:paraId="1734A149" w14:textId="77777777" w:rsidR="00BA3512"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20218168" w14:textId="59E73DA4" w:rsidR="008B25E6" w:rsidRPr="008B25E6"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Section 117 Police and Criminal Evidence Act 1984 </w:t>
      </w:r>
      <w:hyperlink r:id="rId55" w:history="1">
        <w:r w:rsidRPr="008B25E6">
          <w:rPr>
            <w:rStyle w:val="Hyperlink"/>
            <w:rFonts w:asciiTheme="majorHAnsi" w:eastAsiaTheme="minorHAnsi" w:hAnsiTheme="majorHAnsi" w:cstheme="majorHAnsi"/>
            <w:color w:val="auto"/>
            <w:sz w:val="24"/>
            <w:szCs w:val="24"/>
            <w:lang w:eastAsia="en-US"/>
          </w:rPr>
          <w:t>https://www.legislation.gov.uk/ukpga/1984/60/section/117</w:t>
        </w:r>
      </w:hyperlink>
      <w:r w:rsidRPr="008B25E6">
        <w:rPr>
          <w:rFonts w:asciiTheme="majorHAnsi" w:eastAsiaTheme="minorHAnsi" w:hAnsiTheme="majorHAnsi" w:cstheme="majorHAnsi"/>
          <w:color w:val="auto"/>
          <w:sz w:val="24"/>
          <w:szCs w:val="24"/>
          <w:lang w:eastAsia="en-US"/>
        </w:rPr>
        <w:t xml:space="preserve"> </w:t>
      </w:r>
    </w:p>
    <w:p w14:paraId="27E2A009" w14:textId="77777777" w:rsidR="00BA3512"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406E2A9A" w14:textId="591C25CA" w:rsidR="008B25E6" w:rsidRPr="008B25E6"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Section 76 Criminal Justice and Immigration Act 2008 </w:t>
      </w:r>
      <w:hyperlink r:id="rId56" w:history="1">
        <w:r w:rsidRPr="008B25E6">
          <w:rPr>
            <w:rStyle w:val="Hyperlink"/>
            <w:rFonts w:asciiTheme="majorHAnsi" w:eastAsiaTheme="minorHAnsi" w:hAnsiTheme="majorHAnsi" w:cstheme="majorHAnsi"/>
            <w:color w:val="auto"/>
            <w:sz w:val="24"/>
            <w:szCs w:val="24"/>
            <w:lang w:eastAsia="en-US"/>
          </w:rPr>
          <w:t>https://www.legislation.gov.uk/ukpga/2008/4/section/76</w:t>
        </w:r>
      </w:hyperlink>
      <w:r w:rsidRPr="008B25E6">
        <w:rPr>
          <w:rFonts w:asciiTheme="majorHAnsi" w:eastAsiaTheme="minorHAnsi" w:hAnsiTheme="majorHAnsi" w:cstheme="majorHAnsi"/>
          <w:color w:val="auto"/>
          <w:sz w:val="24"/>
          <w:szCs w:val="24"/>
          <w:lang w:eastAsia="en-US"/>
        </w:rPr>
        <w:t xml:space="preserve"> </w:t>
      </w:r>
    </w:p>
    <w:p w14:paraId="06C22590" w14:textId="77777777" w:rsidR="00BA3512"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5D653C25" w14:textId="3C223117" w:rsidR="008B25E6" w:rsidRPr="008B25E6"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Section 24 Police and Criminal evidence Act 1984 </w:t>
      </w:r>
      <w:hyperlink r:id="rId57" w:history="1">
        <w:r w:rsidRPr="008B25E6">
          <w:rPr>
            <w:rStyle w:val="Hyperlink"/>
            <w:rFonts w:asciiTheme="majorHAnsi" w:eastAsiaTheme="minorHAnsi" w:hAnsiTheme="majorHAnsi" w:cstheme="majorHAnsi"/>
            <w:color w:val="auto"/>
            <w:sz w:val="24"/>
            <w:szCs w:val="24"/>
            <w:lang w:eastAsia="en-US"/>
          </w:rPr>
          <w:t>https://www.legislation.gov.uk/ukpga/1984/60/section/24</w:t>
        </w:r>
      </w:hyperlink>
    </w:p>
    <w:p w14:paraId="0FC14E5B" w14:textId="77777777" w:rsidR="008B25E6" w:rsidRPr="008B25E6"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hyperlink r:id="rId58" w:history="1">
        <w:r w:rsidRPr="008B25E6">
          <w:rPr>
            <w:rStyle w:val="Hyperlink"/>
            <w:rFonts w:asciiTheme="majorHAnsi" w:eastAsiaTheme="minorHAnsi" w:hAnsiTheme="majorHAnsi" w:cstheme="majorHAnsi"/>
            <w:color w:val="auto"/>
            <w:sz w:val="24"/>
            <w:szCs w:val="24"/>
            <w:lang w:eastAsia="en-US"/>
          </w:rPr>
          <w:t>https://www.legislation.gov.uk/ukpga/1984/60/section/24A</w:t>
        </w:r>
      </w:hyperlink>
    </w:p>
    <w:p w14:paraId="4A847F17" w14:textId="77777777" w:rsidR="00BA3512"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2556E3FC" w14:textId="0566403D" w:rsidR="008B25E6" w:rsidRDefault="008B25E6"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 xml:space="preserve">Criminal Procedure and Investigations Act 1996 </w:t>
      </w:r>
      <w:hyperlink r:id="rId59" w:history="1">
        <w:r w:rsidRPr="008B25E6">
          <w:rPr>
            <w:rStyle w:val="Hyperlink"/>
            <w:rFonts w:asciiTheme="majorHAnsi" w:eastAsiaTheme="minorHAnsi" w:hAnsiTheme="majorHAnsi" w:cstheme="majorHAnsi"/>
            <w:color w:val="auto"/>
            <w:sz w:val="24"/>
            <w:szCs w:val="24"/>
            <w:lang w:eastAsia="en-US"/>
          </w:rPr>
          <w:t>https://www.legislation.gov.uk/ukpga/1996/25/contents</w:t>
        </w:r>
      </w:hyperlink>
      <w:r w:rsidRPr="008B25E6">
        <w:rPr>
          <w:rFonts w:asciiTheme="majorHAnsi" w:eastAsiaTheme="minorHAnsi" w:hAnsiTheme="majorHAnsi" w:cstheme="majorHAnsi"/>
          <w:color w:val="auto"/>
          <w:sz w:val="24"/>
          <w:szCs w:val="24"/>
          <w:lang w:eastAsia="en-US"/>
        </w:rPr>
        <w:t xml:space="preserve"> </w:t>
      </w:r>
    </w:p>
    <w:p w14:paraId="3EBB2353" w14:textId="77777777" w:rsidR="00BA3512" w:rsidRPr="008B25E6" w:rsidRDefault="00BA3512" w:rsidP="008F4205">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297F7120" w14:textId="77777777" w:rsidR="00BA3512" w:rsidRPr="008B25E6" w:rsidRDefault="00BA3512" w:rsidP="00BA3512">
      <w:pPr>
        <w:overflowPunct/>
        <w:autoSpaceDE/>
        <w:autoSpaceDN/>
        <w:adjustRightInd/>
        <w:ind w:right="107"/>
        <w:textAlignment w:val="auto"/>
        <w:rPr>
          <w:rFonts w:asciiTheme="majorHAnsi" w:hAnsiTheme="majorHAnsi" w:cstheme="majorHAnsi"/>
          <w:color w:val="auto"/>
          <w:sz w:val="24"/>
          <w:szCs w:val="24"/>
        </w:rPr>
      </w:pPr>
      <w:r w:rsidRPr="00523CE2">
        <w:rPr>
          <w:rFonts w:asciiTheme="majorHAnsi" w:eastAsiaTheme="minorHAnsi" w:hAnsiTheme="majorHAnsi" w:cstheme="majorHAnsi"/>
          <w:color w:val="auto"/>
          <w:sz w:val="24"/>
          <w:szCs w:val="24"/>
          <w:lang w:eastAsia="en-US"/>
        </w:rPr>
        <w:t xml:space="preserve">Key Requirements of CPIA, Health and Safety Executive, </w:t>
      </w:r>
      <w:hyperlink r:id="rId60" w:history="1">
        <w:r w:rsidRPr="00523CE2">
          <w:rPr>
            <w:rFonts w:asciiTheme="majorHAnsi" w:eastAsiaTheme="minorHAnsi" w:hAnsiTheme="majorHAnsi" w:cstheme="majorHAnsi"/>
            <w:color w:val="auto"/>
            <w:sz w:val="24"/>
            <w:szCs w:val="24"/>
            <w:u w:val="single"/>
            <w:lang w:eastAsia="en-US"/>
          </w:rPr>
          <w:t>https://www.hse.gov.uk/enforce/enforcementguide/pretrial/after-key.htm</w:t>
        </w:r>
      </w:hyperlink>
    </w:p>
    <w:p w14:paraId="1923970B" w14:textId="77777777" w:rsidR="00BA3512" w:rsidRDefault="00BA3512" w:rsidP="00BA3512">
      <w:pPr>
        <w:overflowPunct/>
        <w:autoSpaceDE/>
        <w:autoSpaceDN/>
        <w:adjustRightInd/>
        <w:ind w:right="107"/>
        <w:textAlignment w:val="auto"/>
        <w:rPr>
          <w:rFonts w:asciiTheme="majorHAnsi" w:hAnsiTheme="majorHAnsi" w:cstheme="majorHAnsi"/>
          <w:b/>
          <w:bCs/>
          <w:color w:val="auto"/>
          <w:sz w:val="24"/>
          <w:szCs w:val="24"/>
          <w:u w:val="single"/>
        </w:rPr>
      </w:pPr>
    </w:p>
    <w:p w14:paraId="482D7B1E" w14:textId="77777777" w:rsidR="00523CE2" w:rsidRPr="008B25E6"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0A88D2A0" w14:textId="2F3917D7" w:rsidR="00523CE2" w:rsidRPr="008B25E6" w:rsidRDefault="00523CE2" w:rsidP="008B25E6">
      <w:pPr>
        <w:overflowPunct/>
        <w:autoSpaceDE/>
        <w:autoSpaceDN/>
        <w:adjustRightInd/>
        <w:spacing w:after="160"/>
        <w:textAlignment w:val="auto"/>
        <w:rPr>
          <w:rFonts w:asciiTheme="majorHAnsi" w:eastAsiaTheme="minorHAnsi" w:hAnsiTheme="majorHAnsi" w:cstheme="majorHAnsi"/>
          <w:b/>
          <w:bCs/>
          <w:color w:val="auto"/>
          <w:sz w:val="24"/>
          <w:szCs w:val="24"/>
          <w:u w:val="single"/>
          <w:lang w:eastAsia="en-US"/>
        </w:rPr>
      </w:pPr>
      <w:r w:rsidRPr="008B25E6">
        <w:rPr>
          <w:rFonts w:asciiTheme="majorHAnsi" w:eastAsiaTheme="minorHAnsi" w:hAnsiTheme="majorHAnsi" w:cstheme="majorHAnsi"/>
          <w:b/>
          <w:bCs/>
          <w:color w:val="auto"/>
          <w:sz w:val="24"/>
          <w:szCs w:val="24"/>
          <w:u w:val="single"/>
          <w:lang w:eastAsia="en-US"/>
        </w:rPr>
        <w:t>Codes</w:t>
      </w:r>
    </w:p>
    <w:p w14:paraId="3C546168" w14:textId="77777777" w:rsidR="00523CE2" w:rsidRPr="008B25E6"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u w:val="single"/>
          <w:lang w:eastAsia="en-US"/>
        </w:rPr>
      </w:pPr>
    </w:p>
    <w:p w14:paraId="02DA8982" w14:textId="13D91860"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The Victims Code</w:t>
      </w:r>
    </w:p>
    <w:p w14:paraId="14D9F8BA"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1. To be able to understand and to be understood</w:t>
      </w:r>
    </w:p>
    <w:p w14:paraId="0927A967"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2. To have the details of the crime recorded without unjustified delay</w:t>
      </w:r>
    </w:p>
    <w:p w14:paraId="519A96E1"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3. To be provided with information when reporting the crime</w:t>
      </w:r>
    </w:p>
    <w:p w14:paraId="329B1400"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4. To be referred to services that support victims and have services and support tailored to your needs</w:t>
      </w:r>
    </w:p>
    <w:p w14:paraId="025B0AD0"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5. To be provided with information about compensation</w:t>
      </w:r>
    </w:p>
    <w:p w14:paraId="79BA739F"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6. To be provided with information about the investigation and prosecution</w:t>
      </w:r>
    </w:p>
    <w:p w14:paraId="00F2A576"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7. To make a Victim Personal Statement</w:t>
      </w:r>
    </w:p>
    <w:p w14:paraId="77C24C4C"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8. To be given information about the trial, trial process and your role as a witness</w:t>
      </w:r>
    </w:p>
    <w:p w14:paraId="73F5F4CC"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9. To be given information about the outcome of the case and any appeals</w:t>
      </w:r>
    </w:p>
    <w:p w14:paraId="3DBD1EC9"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10. To be paid expenses and have property returned</w:t>
      </w:r>
    </w:p>
    <w:p w14:paraId="1B52D56C"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t>11. To be given information about the offender following a conviction</w:t>
      </w:r>
    </w:p>
    <w:p w14:paraId="53D23FE3"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523CE2">
        <w:rPr>
          <w:rFonts w:asciiTheme="majorHAnsi" w:eastAsiaTheme="minorHAnsi" w:hAnsiTheme="majorHAnsi" w:cstheme="majorHAnsi"/>
          <w:color w:val="auto"/>
          <w:sz w:val="24"/>
          <w:szCs w:val="24"/>
          <w:lang w:eastAsia="en-US"/>
        </w:rPr>
        <w:lastRenderedPageBreak/>
        <w:t>12. To make a complaint about your Rights not being met</w:t>
      </w:r>
    </w:p>
    <w:p w14:paraId="43E9D562" w14:textId="77777777" w:rsidR="00523CE2" w:rsidRPr="00523CE2"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hyperlink r:id="rId61" w:history="1">
        <w:r w:rsidRPr="00523CE2">
          <w:rPr>
            <w:rFonts w:asciiTheme="majorHAnsi" w:eastAsiaTheme="minorHAnsi" w:hAnsiTheme="majorHAnsi" w:cstheme="majorHAnsi"/>
            <w:color w:val="auto"/>
            <w:sz w:val="24"/>
            <w:szCs w:val="24"/>
            <w:u w:val="single"/>
            <w:lang w:eastAsia="en-US"/>
          </w:rPr>
          <w:t>https://www.victimsupport.org.uk/help-and-support/your-rights/victims-code/</w:t>
        </w:r>
      </w:hyperlink>
      <w:r w:rsidRPr="00523CE2">
        <w:rPr>
          <w:rFonts w:asciiTheme="majorHAnsi" w:eastAsiaTheme="minorHAnsi" w:hAnsiTheme="majorHAnsi" w:cstheme="majorHAnsi"/>
          <w:color w:val="auto"/>
          <w:sz w:val="24"/>
          <w:szCs w:val="24"/>
          <w:lang w:eastAsia="en-US"/>
        </w:rPr>
        <w:t xml:space="preserve"> </w:t>
      </w:r>
    </w:p>
    <w:p w14:paraId="7CABFC58" w14:textId="6EDC50F0" w:rsidR="00523CE2" w:rsidRPr="008B25E6"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1519EA65" w14:textId="36AC4B5D" w:rsidR="00523CE2" w:rsidRPr="008B25E6"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Code of Ethics</w:t>
      </w:r>
    </w:p>
    <w:p w14:paraId="06235B95" w14:textId="343730D1" w:rsidR="00523CE2" w:rsidRPr="008B25E6" w:rsidRDefault="00523CE2"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Accountability - You are answerable for your decisions, actions and omissions.</w:t>
      </w:r>
    </w:p>
    <w:p w14:paraId="7CE32FE4" w14:textId="5A9E6C44" w:rsidR="00523CE2" w:rsidRPr="008B25E6" w:rsidRDefault="00523CE2"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Fairness - You treat people fairly.</w:t>
      </w:r>
    </w:p>
    <w:p w14:paraId="2D4E0B6C" w14:textId="66676599" w:rsidR="00523CE2" w:rsidRPr="008B25E6" w:rsidRDefault="00523CE2"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Honesty - You are truthful and trustworthy.</w:t>
      </w:r>
    </w:p>
    <w:p w14:paraId="0E0471CB" w14:textId="5FD86839" w:rsidR="00523CE2" w:rsidRPr="008B25E6" w:rsidRDefault="00523CE2"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Integrity - You always do the right thing.</w:t>
      </w:r>
    </w:p>
    <w:p w14:paraId="3ACFA895" w14:textId="3D315FDE" w:rsidR="00523CE2" w:rsidRPr="008B25E6" w:rsidRDefault="00523CE2"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Leadership - You lead by good example.</w:t>
      </w:r>
    </w:p>
    <w:p w14:paraId="63874118" w14:textId="320777EC" w:rsidR="00523CE2" w:rsidRPr="008B25E6" w:rsidRDefault="00523CE2"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Objectivity - You make choices on evidence and your best professional judgement.</w:t>
      </w:r>
    </w:p>
    <w:p w14:paraId="54CF689B" w14:textId="0AAC4ABE" w:rsidR="00523CE2" w:rsidRPr="008B25E6" w:rsidRDefault="00523CE2"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Openness - You are open and transparent in your actions and decisions.</w:t>
      </w:r>
    </w:p>
    <w:p w14:paraId="653B7229" w14:textId="396AEFD8" w:rsidR="00523CE2" w:rsidRPr="008B25E6" w:rsidRDefault="00523CE2"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Respect - You treat everyone with respect.</w:t>
      </w:r>
    </w:p>
    <w:p w14:paraId="0AD41105" w14:textId="06B7E479" w:rsidR="00523CE2" w:rsidRPr="008B25E6" w:rsidRDefault="00523CE2" w:rsidP="008B25E6">
      <w:pPr>
        <w:overflowPunct/>
        <w:autoSpaceDE/>
        <w:autoSpaceDN/>
        <w:adjustRightInd/>
        <w:spacing w:after="160"/>
        <w:textAlignment w:val="auto"/>
        <w:rPr>
          <w:rFonts w:asciiTheme="majorHAnsi" w:hAnsiTheme="majorHAnsi" w:cstheme="majorHAnsi"/>
          <w:color w:val="auto"/>
          <w:sz w:val="24"/>
          <w:szCs w:val="24"/>
        </w:rPr>
      </w:pPr>
      <w:r w:rsidRPr="008B25E6">
        <w:rPr>
          <w:rFonts w:asciiTheme="majorHAnsi" w:hAnsiTheme="majorHAnsi" w:cstheme="majorHAnsi"/>
          <w:color w:val="auto"/>
          <w:sz w:val="24"/>
          <w:szCs w:val="24"/>
        </w:rPr>
        <w:t>Selflessness - You act in the public interest</w:t>
      </w:r>
    </w:p>
    <w:p w14:paraId="3062095B" w14:textId="0324BEB7" w:rsidR="00523CE2" w:rsidRPr="008B25E6"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hyperlink r:id="rId62" w:history="1">
        <w:r w:rsidRPr="008B25E6">
          <w:rPr>
            <w:rStyle w:val="Hyperlink"/>
            <w:rFonts w:asciiTheme="majorHAnsi" w:eastAsiaTheme="minorHAnsi" w:hAnsiTheme="majorHAnsi" w:cstheme="majorHAnsi"/>
            <w:color w:val="auto"/>
            <w:sz w:val="24"/>
            <w:szCs w:val="24"/>
            <w:lang w:eastAsia="en-US"/>
          </w:rPr>
          <w:t>https://assets.college.police.uk/s3fs-public/2021-02/code_of_ethics.pdf</w:t>
        </w:r>
      </w:hyperlink>
    </w:p>
    <w:p w14:paraId="75A81CBE" w14:textId="77777777" w:rsidR="00523CE2" w:rsidRPr="008B25E6"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2EDBC641" w14:textId="1FF535FE" w:rsidR="00523CE2" w:rsidRPr="008B25E6"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sidRPr="008B25E6">
        <w:rPr>
          <w:rFonts w:asciiTheme="majorHAnsi" w:eastAsiaTheme="minorHAnsi" w:hAnsiTheme="majorHAnsi" w:cstheme="majorHAnsi"/>
          <w:color w:val="auto"/>
          <w:sz w:val="24"/>
          <w:szCs w:val="24"/>
          <w:lang w:eastAsia="en-US"/>
        </w:rPr>
        <w:t>Codes of Practice</w:t>
      </w:r>
    </w:p>
    <w:p w14:paraId="61E31AB3" w14:textId="08BD3DE7" w:rsidR="00523CE2"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A - stop search</w:t>
      </w:r>
    </w:p>
    <w:p w14:paraId="2F9C6C9C" w14:textId="786AC485" w:rsid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B – search of premises</w:t>
      </w:r>
    </w:p>
    <w:p w14:paraId="6CC09808" w14:textId="77777777" w:rsid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C – detention, treatment and questioning of suspects</w:t>
      </w:r>
    </w:p>
    <w:p w14:paraId="7C6BC6E8" w14:textId="308C9E7E" w:rsid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D – identification of subjects</w:t>
      </w:r>
    </w:p>
    <w:p w14:paraId="7B08056A" w14:textId="77777777" w:rsid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E – audio-only recording of interviews</w:t>
      </w:r>
    </w:p>
    <w:p w14:paraId="69E4AE6A" w14:textId="77777777" w:rsid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F – audio-visual recording of interviews</w:t>
      </w:r>
    </w:p>
    <w:p w14:paraId="6F13E943" w14:textId="77777777" w:rsid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G – power of arrest</w:t>
      </w:r>
    </w:p>
    <w:p w14:paraId="4CE7FF89" w14:textId="6D7F449E" w:rsidR="00523CE2" w:rsidRPr="008B25E6" w:rsidRDefault="008B25E6"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 xml:space="preserve">H – detention, treatment and questioning of terrorist suspects </w:t>
      </w:r>
    </w:p>
    <w:p w14:paraId="57F4853C" w14:textId="223787F8" w:rsidR="00523CE2" w:rsidRPr="008B25E6"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hyperlink r:id="rId63" w:history="1">
        <w:r w:rsidRPr="008B25E6">
          <w:rPr>
            <w:rStyle w:val="Hyperlink"/>
            <w:rFonts w:asciiTheme="majorHAnsi" w:eastAsiaTheme="minorHAnsi" w:hAnsiTheme="majorHAnsi" w:cstheme="majorHAnsi"/>
            <w:color w:val="auto"/>
            <w:sz w:val="24"/>
            <w:szCs w:val="24"/>
            <w:lang w:eastAsia="en-US"/>
          </w:rPr>
          <w:t>https://www.gov.uk/guidance/police-and-criminal-evidence-act-1984-pace-codes-of-practice</w:t>
        </w:r>
      </w:hyperlink>
    </w:p>
    <w:p w14:paraId="7B1D1A74" w14:textId="77777777" w:rsidR="00523CE2" w:rsidRPr="008B25E6" w:rsidRDefault="00523CE2" w:rsidP="008B25E6">
      <w:pPr>
        <w:overflowPunct/>
        <w:autoSpaceDE/>
        <w:autoSpaceDN/>
        <w:adjustRightInd/>
        <w:spacing w:after="160"/>
        <w:textAlignment w:val="auto"/>
        <w:rPr>
          <w:rFonts w:asciiTheme="majorHAnsi" w:eastAsiaTheme="minorHAnsi" w:hAnsiTheme="majorHAnsi" w:cstheme="majorHAnsi"/>
          <w:color w:val="auto"/>
          <w:sz w:val="24"/>
          <w:szCs w:val="24"/>
          <w:lang w:eastAsia="en-US"/>
        </w:rPr>
      </w:pPr>
    </w:p>
    <w:p w14:paraId="0300264D" w14:textId="37CA084D" w:rsidR="00523CE2" w:rsidRPr="008B25E6" w:rsidRDefault="00523CE2" w:rsidP="00523CE2">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5CAD51E2" w14:textId="002B28C4" w:rsidR="00523CE2" w:rsidRPr="008B25E6" w:rsidRDefault="00523CE2" w:rsidP="00523CE2">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12C79CA1" w14:textId="0ED09386" w:rsidR="00523CE2" w:rsidRPr="008B25E6" w:rsidRDefault="00523CE2" w:rsidP="00523CE2">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72B84503" w14:textId="77777777" w:rsidR="00523CE2" w:rsidRPr="00523CE2" w:rsidRDefault="00523CE2" w:rsidP="00523CE2">
      <w:pPr>
        <w:overflowPunct/>
        <w:autoSpaceDE/>
        <w:autoSpaceDN/>
        <w:adjustRightInd/>
        <w:spacing w:after="160" w:line="259" w:lineRule="auto"/>
        <w:textAlignment w:val="auto"/>
        <w:rPr>
          <w:rFonts w:asciiTheme="majorHAnsi" w:eastAsiaTheme="minorHAnsi" w:hAnsiTheme="majorHAnsi" w:cstheme="majorHAnsi"/>
          <w:color w:val="auto"/>
          <w:sz w:val="24"/>
          <w:szCs w:val="24"/>
          <w:lang w:eastAsia="en-US"/>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2A37E8D2" w14:textId="40C25BAE" w:rsidR="0030C684" w:rsidRDefault="0030C684" w:rsidP="2E5ED9CE">
      <w:pPr>
        <w:ind w:left="3600" w:firstLine="720"/>
        <w:rPr>
          <w:rFonts w:eastAsia="Arial"/>
          <w:b/>
          <w:bCs/>
          <w:sz w:val="24"/>
          <w:szCs w:val="24"/>
        </w:rPr>
      </w:pPr>
      <w:bookmarkStart w:id="5" w:name="_GoBack"/>
      <w:bookmarkEnd w:id="5"/>
      <w:r w:rsidRPr="2E5ED9CE">
        <w:rPr>
          <w:rFonts w:eastAsia="Arial"/>
          <w:b/>
          <w:bCs/>
          <w:sz w:val="24"/>
          <w:szCs w:val="24"/>
        </w:rPr>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EB2275B" w:rsidR="28A9B94D" w:rsidRDefault="28A9B94D" w:rsidP="28A9B94D">
      <w:pPr>
        <w:jc w:val="both"/>
      </w:pPr>
      <w:r w:rsidRPr="2E5ED9CE">
        <w:rPr>
          <w:rFonts w:eastAsia="Arial"/>
          <w:sz w:val="24"/>
          <w:szCs w:val="24"/>
        </w:rPr>
        <w:t xml:space="preserve">Signed:  _ _ </w:t>
      </w:r>
      <w:r w:rsidR="00171C24">
        <w:rPr>
          <w:rFonts w:eastAsia="Arial"/>
          <w:sz w:val="24"/>
          <w:szCs w:val="24"/>
        </w:rPr>
        <w:t>P. Jenkins</w:t>
      </w:r>
      <w:r w:rsidRPr="2E5ED9CE">
        <w:rPr>
          <w:rFonts w:eastAsia="Arial"/>
          <w:sz w:val="24"/>
          <w:szCs w:val="24"/>
        </w:rPr>
        <w:t>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072BC4DE" w:rsidR="28A9B94D" w:rsidRDefault="28A9B94D" w:rsidP="28A9B94D">
      <w:pPr>
        <w:jc w:val="both"/>
      </w:pPr>
      <w:r w:rsidRPr="28A9B94D">
        <w:rPr>
          <w:rFonts w:eastAsia="Arial"/>
          <w:sz w:val="24"/>
          <w:szCs w:val="24"/>
        </w:rPr>
        <w:t xml:space="preserve">Date: _ _ </w:t>
      </w:r>
      <w:r w:rsidR="00171C24">
        <w:rPr>
          <w:rFonts w:eastAsia="Arial"/>
          <w:sz w:val="24"/>
          <w:szCs w:val="24"/>
        </w:rPr>
        <w:t>04/04/2022</w:t>
      </w:r>
      <w:r w:rsidRPr="28A9B94D">
        <w:rPr>
          <w:rFonts w:eastAsia="Arial"/>
          <w:sz w:val="24"/>
          <w:szCs w:val="24"/>
        </w:rPr>
        <w:t>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0EA62A" w14:textId="77777777" w:rsidR="0059565F" w:rsidRDefault="0059565F">
      <w:r>
        <w:separator/>
      </w:r>
    </w:p>
  </w:endnote>
  <w:endnote w:type="continuationSeparator" w:id="0">
    <w:p w14:paraId="65355BE4" w14:textId="77777777" w:rsidR="0059565F" w:rsidRDefault="005956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8B25E6" w:rsidRDefault="008B25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8B25E6" w:rsidRDefault="008B25E6">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8B25E6" w:rsidRPr="00BB5EAA" w:rsidRDefault="008B25E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8B25E6" w:rsidRDefault="008B2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88DF39" w14:textId="77777777" w:rsidR="0059565F" w:rsidRDefault="0059565F">
      <w:r>
        <w:separator/>
      </w:r>
    </w:p>
  </w:footnote>
  <w:footnote w:type="continuationSeparator" w:id="0">
    <w:p w14:paraId="5A5808DC" w14:textId="77777777" w:rsidR="0059565F" w:rsidRDefault="005956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8B25E6" w:rsidRDefault="008B25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8B25E6" w:rsidRDefault="008B25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8B25E6" w:rsidRDefault="008B25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DE1741A"/>
    <w:multiLevelType w:val="multilevel"/>
    <w:tmpl w:val="C7B03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721B"/>
    <w:rsid w:val="000B1E96"/>
    <w:rsid w:val="000C378F"/>
    <w:rsid w:val="000C6892"/>
    <w:rsid w:val="000C6FFE"/>
    <w:rsid w:val="000D0BB6"/>
    <w:rsid w:val="000E26B0"/>
    <w:rsid w:val="000E5D64"/>
    <w:rsid w:val="000F1599"/>
    <w:rsid w:val="000F1769"/>
    <w:rsid w:val="000F4AA0"/>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71C24"/>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8B7"/>
    <w:rsid w:val="00270EEB"/>
    <w:rsid w:val="0027147E"/>
    <w:rsid w:val="002761F4"/>
    <w:rsid w:val="002775E1"/>
    <w:rsid w:val="00277844"/>
    <w:rsid w:val="00277979"/>
    <w:rsid w:val="002808EB"/>
    <w:rsid w:val="00286E00"/>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3CE2"/>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565F"/>
    <w:rsid w:val="005A1B4C"/>
    <w:rsid w:val="005A46BF"/>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62DC"/>
    <w:rsid w:val="00897F3E"/>
    <w:rsid w:val="008A21B4"/>
    <w:rsid w:val="008A4576"/>
    <w:rsid w:val="008B07DE"/>
    <w:rsid w:val="008B25E6"/>
    <w:rsid w:val="008B28E7"/>
    <w:rsid w:val="008C14C7"/>
    <w:rsid w:val="008C2FFB"/>
    <w:rsid w:val="008C6EEA"/>
    <w:rsid w:val="008D5813"/>
    <w:rsid w:val="008D634E"/>
    <w:rsid w:val="008D778A"/>
    <w:rsid w:val="008F22BD"/>
    <w:rsid w:val="008F4205"/>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6230"/>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3512"/>
    <w:rsid w:val="00BB06CB"/>
    <w:rsid w:val="00BB0EFE"/>
    <w:rsid w:val="00BB261F"/>
    <w:rsid w:val="00BB2887"/>
    <w:rsid w:val="00BB5EAA"/>
    <w:rsid w:val="00BB5F11"/>
    <w:rsid w:val="00BC04FA"/>
    <w:rsid w:val="00BC1C22"/>
    <w:rsid w:val="00BC460B"/>
    <w:rsid w:val="00BC5725"/>
    <w:rsid w:val="00BD30B1"/>
    <w:rsid w:val="00BE0F7B"/>
    <w:rsid w:val="00BE10C2"/>
    <w:rsid w:val="00BE6DCF"/>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9E279719-E83C-4F01-B797-11315BCE4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23CE2"/>
    <w:rPr>
      <w:color w:val="605E5C"/>
      <w:shd w:val="clear" w:color="auto" w:fill="E1DFDD"/>
    </w:rPr>
  </w:style>
  <w:style w:type="character" w:styleId="FollowedHyperlink">
    <w:name w:val="FollowedHyperlink"/>
    <w:basedOn w:val="DefaultParagraphFont"/>
    <w:uiPriority w:val="99"/>
    <w:semiHidden/>
    <w:unhideWhenUsed/>
    <w:rsid w:val="008B25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image" Target="media/image7.png"/><Relationship Id="rId39" Type="http://schemas.openxmlformats.org/officeDocument/2006/relationships/hyperlink" Target="https://gwentpolice-my.sharepoint.com/personal/poppy_jenkins_gwent_police_uk/Documents/Investigation%20Process,%20College%20of%20Policing,%20https:/www.app.college.police.uk/app-content/investigations/investigation-process/" TargetMode="External"/><Relationship Id="rId21" Type="http://schemas.openxmlformats.org/officeDocument/2006/relationships/image" Target="media/image3.png"/><Relationship Id="rId34" Type="http://schemas.openxmlformats.org/officeDocument/2006/relationships/hyperlink" Target="https://www.college.police.uk/ethics/code-of-ethics" TargetMode="External"/><Relationship Id="rId42" Type="http://schemas.openxmlformats.org/officeDocument/2006/relationships/hyperlink" Target="https://www.app.college.police.uk/app-content/national-decision-model/the-national-decision-model/" TargetMode="External"/><Relationship Id="rId47" Type="http://schemas.openxmlformats.org/officeDocument/2006/relationships/hyperlink" Target="https://www.legislation.gov.uk/ukpga/Vict/24-25/100/section/16" TargetMode="External"/><Relationship Id="rId50" Type="http://schemas.openxmlformats.org/officeDocument/2006/relationships/hyperlink" Target="https://www.cps.gov.uk/legal-guidance/controlling-or-coercive-behaviour-intimate-or-family-relationship" TargetMode="External"/><Relationship Id="rId55" Type="http://schemas.openxmlformats.org/officeDocument/2006/relationships/hyperlink" Target="https://www.legislation.gov.uk/ukpga/1984/60/section/117" TargetMode="External"/><Relationship Id="rId63" Type="http://schemas.openxmlformats.org/officeDocument/2006/relationships/hyperlink" Target="https://www.gov.uk/guidance/police-and-criminal-evidence-act-1984-pace-codes-of-practic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www.app.college.police.uk/app-content/information-management/management-of-police-information/" TargetMode="External"/><Relationship Id="rId54" Type="http://schemas.openxmlformats.org/officeDocument/2006/relationships/hyperlink" Target="https://www.legislation.gov.uk/ukpga/1967/58/section/3" TargetMode="External"/><Relationship Id="rId62" Type="http://schemas.openxmlformats.org/officeDocument/2006/relationships/hyperlink" Target="https://assets.college.police.uk/s3fs-public/2021-02/code_of_ethic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png"/><Relationship Id="rId32" Type="http://schemas.openxmlformats.org/officeDocument/2006/relationships/hyperlink" Target="https://www.dodds-solicitors.co.uk/2020/02/18/victimless-prosecutions/" TargetMode="External"/><Relationship Id="rId37" Type="http://schemas.openxmlformats.org/officeDocument/2006/relationships/hyperlink" Target="file:///C:\Users\407853\Downloads\Conflict%20management%20skills,%20College%20of%20Policing" TargetMode="External"/><Relationship Id="rId40" Type="http://schemas.openxmlformats.org/officeDocument/2006/relationships/hyperlink" Target="https://www.app.college.police.uk/app-content/stop-and-search/legal/legal-application/" TargetMode="External"/><Relationship Id="rId45" Type="http://schemas.openxmlformats.org/officeDocument/2006/relationships/hyperlink" Target="https://www.legislation.gov.uk/ukpga/1988/52/section/165A" TargetMode="External"/><Relationship Id="rId53" Type="http://schemas.openxmlformats.org/officeDocument/2006/relationships/hyperlink" Target="https://www.legislation.gov.uk/ukpga/2008/4/section/76" TargetMode="External"/><Relationship Id="rId58" Type="http://schemas.openxmlformats.org/officeDocument/2006/relationships/hyperlink" Target="https://www.legislation.gov.uk/ukpga/1984/60/section/24A"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mindtools.com/pages/article/newCS_82.htm" TargetMode="External"/><Relationship Id="rId36" Type="http://schemas.openxmlformats.org/officeDocument/2006/relationships/hyperlink" Target="https://www.app.college.police.uk/app-content/information-management/management-of-police-information/common-process/" TargetMode="External"/><Relationship Id="rId49" Type="http://schemas.openxmlformats.org/officeDocument/2006/relationships/hyperlink" Target="https://www.legislation.gov.uk/ukpga/1971/48/section/1" TargetMode="External"/><Relationship Id="rId57" Type="http://schemas.openxmlformats.org/officeDocument/2006/relationships/hyperlink" Target="https://www.legislation.gov.uk/ukpga/1984/60/section/24" TargetMode="External"/><Relationship Id="rId61" Type="http://schemas.openxmlformats.org/officeDocument/2006/relationships/hyperlink" Target="https://www.victimsupport.org.uk/help-and-support/your-rights/victims-code/"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roadpeace.org/prevention/" TargetMode="External"/><Relationship Id="rId44" Type="http://schemas.openxmlformats.org/officeDocument/2006/relationships/hyperlink" Target="https://www.legislation.gov.uk/ukpga/1993/38/contents?lang=en" TargetMode="External"/><Relationship Id="rId52" Type="http://schemas.openxmlformats.org/officeDocument/2006/relationships/hyperlink" Target="https://www.legislation.gov.uk/ukpga/1988/33/section/39" TargetMode="External"/><Relationship Id="rId60" Type="http://schemas.openxmlformats.org/officeDocument/2006/relationships/hyperlink" Target="https://www.hse.gov.uk/enforce/enforcementguide/pretrial/after-key.htm"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4.png"/><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hyperlink" Target="https://www.polfed.org/our-work/wellbeing/mental-health/" TargetMode="External"/><Relationship Id="rId35" Type="http://schemas.openxmlformats.org/officeDocument/2006/relationships/hyperlink" Target="https://assets.college.police.uk/s3fs-public/2021-02/code_of_ethics.pdf" TargetMode="External"/><Relationship Id="rId43" Type="http://schemas.openxmlformats.org/officeDocument/2006/relationships/hyperlink" Target="https://foi.west-midlands.police.uk/police-officer-oath-298a-21/" TargetMode="External"/><Relationship Id="rId48" Type="http://schemas.openxmlformats.org/officeDocument/2006/relationships/hyperlink" Target="https://www.legislation.gov.uk/ukpga/Vict/24-25/100/section/47" TargetMode="External"/><Relationship Id="rId56" Type="http://schemas.openxmlformats.org/officeDocument/2006/relationships/hyperlink" Target="https://www.legislation.gov.uk/ukpga/2008/4/section/76"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legislation.gov.uk/ukpga/1984/60/section/1"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image" Target="media/image6.png"/><Relationship Id="rId33" Type="http://schemas.openxmlformats.org/officeDocument/2006/relationships/hyperlink" Target="https://www.womensaid.org.uk/information-support/what-is-domestic-abuse/" TargetMode="External"/><Relationship Id="rId38" Type="http://schemas.openxmlformats.org/officeDocument/2006/relationships/hyperlink" Target="https://www.college.police.uk/guidance/conflict-management/conflict-management-skills" TargetMode="External"/><Relationship Id="rId46" Type="http://schemas.openxmlformats.org/officeDocument/2006/relationships/hyperlink" Target="https://www.legislation.gov.uk/ukpga/2004/28/contents" TargetMode="External"/><Relationship Id="rId59" Type="http://schemas.openxmlformats.org/officeDocument/2006/relationships/hyperlink" Target="https://www.legislation.gov.uk/ukpga/1996/2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0c5e2ecc7238b548236090ab09b74282">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a93b68bca45ba9f25df4da92cafcfc0c"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83BE254-51E8-4D29-B698-4D91F600CF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D5F642-DB42-4E78-8458-F5A98ADC0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38</Pages>
  <Words>11991</Words>
  <Characters>68350</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Jenkins, Poppy</cp:lastModifiedBy>
  <cp:revision>4</cp:revision>
  <cp:lastPrinted>2019-08-13T11:47:00Z</cp:lastPrinted>
  <dcterms:created xsi:type="dcterms:W3CDTF">2022-04-04T15:59:00Z</dcterms:created>
  <dcterms:modified xsi:type="dcterms:W3CDTF">2022-04-04T16:01:00Z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2022-02-15T17:14:59Z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0f23c0d9-8c6b-4ab3-8ba6-5d211acc5444</vt:lpwstr>
  </property>
  <property fmtid="{D5CDD505-2E9C-101B-9397-08002B2CF9AE}" pid="9" name="MSIP_Label_f2acd28b-79a3-4a0f-b0ff-4b75658b1549_ContentBits">
    <vt:lpwstr>0</vt:lpwstr>
  </property>
</Properties>
</file>