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062B54" w14:textId="55E2F862" w:rsidR="00964F63" w:rsidRDefault="00AC5F7F" w:rsidP="00AC5F7F">
      <w:pPr>
        <w:jc w:val="center"/>
        <w:rPr>
          <w:b/>
          <w:bCs/>
          <w:sz w:val="28"/>
          <w:szCs w:val="28"/>
          <w:u w:val="single"/>
          <w:lang w:val="en-US"/>
        </w:rPr>
      </w:pPr>
      <w:r w:rsidRPr="00AC5F7F">
        <w:rPr>
          <w:b/>
          <w:bCs/>
          <w:sz w:val="28"/>
          <w:szCs w:val="28"/>
          <w:u w:val="single"/>
          <w:lang w:val="en-US"/>
        </w:rPr>
        <w:t>Was the First Crusade a ‘New’ Enterprise</w:t>
      </w:r>
    </w:p>
    <w:p w14:paraId="7F5FBC30" w14:textId="16C36F8E" w:rsidR="00AC5F7F" w:rsidRDefault="00AC5F7F" w:rsidP="00AC5F7F">
      <w:pPr>
        <w:jc w:val="center"/>
        <w:rPr>
          <w:b/>
          <w:bCs/>
          <w:sz w:val="28"/>
          <w:szCs w:val="28"/>
          <w:u w:val="single"/>
          <w:lang w:val="en-US"/>
        </w:rPr>
      </w:pPr>
    </w:p>
    <w:p w14:paraId="629B66A3" w14:textId="69A8DCA5" w:rsidR="00AC5F7F" w:rsidRDefault="00AC5F7F" w:rsidP="00AC5F7F">
      <w:pPr>
        <w:rPr>
          <w:sz w:val="24"/>
          <w:szCs w:val="24"/>
          <w:lang w:val="en-US"/>
        </w:rPr>
      </w:pPr>
      <w:r>
        <w:rPr>
          <w:sz w:val="24"/>
          <w:szCs w:val="24"/>
          <w:lang w:val="en-US"/>
        </w:rPr>
        <w:t xml:space="preserve">When the First Crusade was preached in 1095 it triggered a series of events that continue </w:t>
      </w:r>
      <w:r w:rsidR="001F5ECC">
        <w:rPr>
          <w:sz w:val="24"/>
          <w:szCs w:val="24"/>
          <w:lang w:val="en-US"/>
        </w:rPr>
        <w:t xml:space="preserve">to </w:t>
      </w:r>
      <w:r>
        <w:rPr>
          <w:sz w:val="24"/>
          <w:szCs w:val="24"/>
          <w:lang w:val="en-US"/>
        </w:rPr>
        <w:t>define the relationships between the cultures and religions</w:t>
      </w:r>
      <w:r w:rsidR="0025373A">
        <w:rPr>
          <w:sz w:val="24"/>
          <w:szCs w:val="24"/>
          <w:lang w:val="en-US"/>
        </w:rPr>
        <w:t xml:space="preserve"> involved</w:t>
      </w:r>
      <w:r>
        <w:rPr>
          <w:sz w:val="24"/>
          <w:szCs w:val="24"/>
          <w:lang w:val="en-US"/>
        </w:rPr>
        <w:t xml:space="preserve"> to this day</w:t>
      </w:r>
      <w:r w:rsidR="001F5ECC">
        <w:rPr>
          <w:sz w:val="24"/>
          <w:szCs w:val="24"/>
          <w:lang w:val="en-US"/>
        </w:rPr>
        <w:t>.</w:t>
      </w:r>
      <w:r>
        <w:rPr>
          <w:rStyle w:val="FootnoteReference"/>
          <w:sz w:val="24"/>
          <w:szCs w:val="24"/>
          <w:lang w:val="en-US"/>
        </w:rPr>
        <w:footnoteReference w:id="1"/>
      </w:r>
      <w:r>
        <w:rPr>
          <w:sz w:val="24"/>
          <w:szCs w:val="24"/>
          <w:lang w:val="en-US"/>
        </w:rPr>
        <w:t xml:space="preserve"> However, is it accurate to say that the First Crusade was a ‘new’ enterprise? Looking at the events and rulers </w:t>
      </w:r>
      <w:proofErr w:type="gramStart"/>
      <w:r>
        <w:rPr>
          <w:sz w:val="24"/>
          <w:szCs w:val="24"/>
          <w:lang w:val="en-US"/>
        </w:rPr>
        <w:t>previous to</w:t>
      </w:r>
      <w:proofErr w:type="gramEnd"/>
      <w:r>
        <w:rPr>
          <w:sz w:val="24"/>
          <w:szCs w:val="24"/>
          <w:lang w:val="en-US"/>
        </w:rPr>
        <w:t xml:space="preserve"> 1095 would suggest not, and that is what this essay </w:t>
      </w:r>
      <w:r w:rsidR="001F5ECC">
        <w:rPr>
          <w:sz w:val="24"/>
          <w:szCs w:val="24"/>
          <w:lang w:val="en-US"/>
        </w:rPr>
        <w:t>addresses</w:t>
      </w:r>
      <w:r>
        <w:rPr>
          <w:sz w:val="24"/>
          <w:szCs w:val="24"/>
          <w:lang w:val="en-US"/>
        </w:rPr>
        <w:t xml:space="preserve">. Due to the broad nature of </w:t>
      </w:r>
      <w:r w:rsidR="0025373A">
        <w:rPr>
          <w:sz w:val="24"/>
          <w:szCs w:val="24"/>
          <w:lang w:val="en-US"/>
        </w:rPr>
        <w:t>what can be defined as a precursor of the crusades I will be splitting it into a few key categories</w:t>
      </w:r>
      <w:r w:rsidR="001F5ECC">
        <w:rPr>
          <w:sz w:val="24"/>
          <w:szCs w:val="24"/>
          <w:lang w:val="en-US"/>
        </w:rPr>
        <w:t>:</w:t>
      </w:r>
      <w:r w:rsidR="0025373A">
        <w:rPr>
          <w:sz w:val="24"/>
          <w:szCs w:val="24"/>
          <w:lang w:val="en-US"/>
        </w:rPr>
        <w:t xml:space="preserve"> Leo IV’s words to the Frankish army</w:t>
      </w:r>
      <w:r w:rsidR="0025373A">
        <w:rPr>
          <w:rStyle w:val="FootnoteReference"/>
          <w:sz w:val="24"/>
          <w:szCs w:val="24"/>
          <w:lang w:val="en-US"/>
        </w:rPr>
        <w:footnoteReference w:id="2"/>
      </w:r>
      <w:r w:rsidR="0025373A">
        <w:rPr>
          <w:sz w:val="24"/>
          <w:szCs w:val="24"/>
          <w:lang w:val="en-US"/>
        </w:rPr>
        <w:t xml:space="preserve">, </w:t>
      </w:r>
      <w:r w:rsidR="00544129">
        <w:rPr>
          <w:sz w:val="24"/>
          <w:szCs w:val="24"/>
          <w:lang w:val="en-US"/>
        </w:rPr>
        <w:t xml:space="preserve">Pope </w:t>
      </w:r>
      <w:r w:rsidR="004C634D">
        <w:rPr>
          <w:sz w:val="24"/>
          <w:szCs w:val="24"/>
          <w:lang w:val="en-US"/>
        </w:rPr>
        <w:t>John VIII’s letter to the bishops of the realm of Louis II</w:t>
      </w:r>
      <w:r w:rsidR="00544129">
        <w:rPr>
          <w:rStyle w:val="FootnoteReference"/>
          <w:sz w:val="24"/>
          <w:szCs w:val="24"/>
          <w:lang w:val="en-US"/>
        </w:rPr>
        <w:footnoteReference w:id="3"/>
      </w:r>
      <w:r w:rsidR="00544129">
        <w:rPr>
          <w:sz w:val="24"/>
          <w:szCs w:val="24"/>
          <w:lang w:val="en-US"/>
        </w:rPr>
        <w:t>, the work of Pope Gregory VII, and some of the ‘Holy Wars’ that occurred before 1095. This is to ensure that my parameters are concise enough to keep my essay cohesive. I will be starting with Leo IV.</w:t>
      </w:r>
    </w:p>
    <w:p w14:paraId="00A2AB67" w14:textId="13D55667" w:rsidR="000B17F7" w:rsidRPr="00E61E52" w:rsidRDefault="000B17F7" w:rsidP="00AC5F7F">
      <w:pPr>
        <w:rPr>
          <w:sz w:val="24"/>
          <w:szCs w:val="24"/>
          <w:lang w:val="en-US"/>
        </w:rPr>
      </w:pPr>
      <w:r>
        <w:rPr>
          <w:sz w:val="24"/>
          <w:szCs w:val="24"/>
          <w:lang w:val="en-US"/>
        </w:rPr>
        <w:t xml:space="preserve">Leo IV was </w:t>
      </w:r>
      <w:r w:rsidR="00BC474E">
        <w:rPr>
          <w:sz w:val="24"/>
          <w:szCs w:val="24"/>
          <w:lang w:val="en-US"/>
        </w:rPr>
        <w:t>Pope from 847 to his death in 855</w:t>
      </w:r>
      <w:r w:rsidR="00BC474E">
        <w:rPr>
          <w:rStyle w:val="FootnoteReference"/>
          <w:sz w:val="24"/>
          <w:szCs w:val="24"/>
          <w:lang w:val="en-US"/>
        </w:rPr>
        <w:footnoteReference w:id="4"/>
      </w:r>
      <w:r w:rsidR="00BC474E">
        <w:rPr>
          <w:sz w:val="24"/>
          <w:szCs w:val="24"/>
          <w:lang w:val="en-US"/>
        </w:rPr>
        <w:t xml:space="preserve"> </w:t>
      </w:r>
      <w:r w:rsidR="001F5ECC">
        <w:rPr>
          <w:sz w:val="24"/>
          <w:szCs w:val="24"/>
          <w:lang w:val="en-US"/>
        </w:rPr>
        <w:t xml:space="preserve">and was </w:t>
      </w:r>
      <w:r w:rsidR="00BC474E">
        <w:rPr>
          <w:sz w:val="24"/>
          <w:szCs w:val="24"/>
          <w:lang w:val="en-US"/>
        </w:rPr>
        <w:t>most known for the refortification of Rome after the Saracen raid of 846</w:t>
      </w:r>
      <w:r w:rsidR="00DE53D1">
        <w:rPr>
          <w:rStyle w:val="FootnoteReference"/>
          <w:sz w:val="24"/>
          <w:szCs w:val="24"/>
          <w:lang w:val="en-US"/>
        </w:rPr>
        <w:footnoteReference w:id="5"/>
      </w:r>
      <w:r w:rsidR="00DE53D1">
        <w:rPr>
          <w:sz w:val="24"/>
          <w:szCs w:val="24"/>
          <w:lang w:val="en-US"/>
        </w:rPr>
        <w:t>. However, what is relevant to the crusades is his words to the Frankish Army, more specifically this</w:t>
      </w:r>
      <w:r w:rsidR="001F5ECC">
        <w:rPr>
          <w:sz w:val="24"/>
          <w:szCs w:val="24"/>
          <w:lang w:val="en-US"/>
        </w:rPr>
        <w:t>:</w:t>
      </w:r>
      <w:r w:rsidR="00DE53D1">
        <w:rPr>
          <w:sz w:val="24"/>
          <w:szCs w:val="24"/>
          <w:lang w:val="en-US"/>
        </w:rPr>
        <w:t xml:space="preserve"> “</w:t>
      </w:r>
      <w:r w:rsidR="00DE53D1" w:rsidRPr="00DE53D1">
        <w:rPr>
          <w:sz w:val="24"/>
          <w:szCs w:val="24"/>
        </w:rPr>
        <w:t>Now we hope that none</w:t>
      </w:r>
      <w:r w:rsidR="00E61E52">
        <w:rPr>
          <w:sz w:val="24"/>
          <w:szCs w:val="24"/>
        </w:rPr>
        <w:t xml:space="preserve"> </w:t>
      </w:r>
      <w:r w:rsidR="00DE53D1" w:rsidRPr="00DE53D1">
        <w:rPr>
          <w:sz w:val="24"/>
          <w:szCs w:val="24"/>
        </w:rPr>
        <w:t>of you will be slain, but we wish you to know that the kingdom of heaven will be given as a reward to those who shall be killed in this war.</w:t>
      </w:r>
      <w:r w:rsidR="00DE53D1">
        <w:rPr>
          <w:sz w:val="24"/>
          <w:szCs w:val="24"/>
        </w:rPr>
        <w:t>”</w:t>
      </w:r>
      <w:r w:rsidR="00DE53D1">
        <w:rPr>
          <w:rStyle w:val="FootnoteReference"/>
          <w:sz w:val="24"/>
          <w:szCs w:val="24"/>
        </w:rPr>
        <w:footnoteReference w:id="6"/>
      </w:r>
      <w:r w:rsidR="00BB1A20">
        <w:rPr>
          <w:sz w:val="24"/>
          <w:szCs w:val="24"/>
        </w:rPr>
        <w:t xml:space="preserve"> This quote is a clear example of remission of sin as a reward for fighting those that</w:t>
      </w:r>
      <w:r w:rsidR="0006218D">
        <w:rPr>
          <w:sz w:val="24"/>
          <w:szCs w:val="24"/>
        </w:rPr>
        <w:t xml:space="preserve"> oppose the church, from the way it is conveyed it seems to have been intended as a means of raising the morale of the Frankish army by promising them a bright future w</w:t>
      </w:r>
      <w:r w:rsidR="001F5ECC">
        <w:rPr>
          <w:sz w:val="24"/>
          <w:szCs w:val="24"/>
        </w:rPr>
        <w:t>h</w:t>
      </w:r>
      <w:r w:rsidR="0006218D">
        <w:rPr>
          <w:sz w:val="24"/>
          <w:szCs w:val="24"/>
        </w:rPr>
        <w:t>ether they returned from combat or not. However, when Pope Urban II used the same idea in his preaching of the crusade in 1095, it was seemingly intended as more of a glorification of the sacrifice made by those who died attempting to retake the Holy Land</w:t>
      </w:r>
      <w:r w:rsidR="0057651A">
        <w:rPr>
          <w:rStyle w:val="FootnoteReference"/>
          <w:sz w:val="24"/>
          <w:szCs w:val="24"/>
        </w:rPr>
        <w:footnoteReference w:id="7"/>
      </w:r>
      <w:r w:rsidR="0057651A">
        <w:rPr>
          <w:sz w:val="24"/>
          <w:szCs w:val="24"/>
        </w:rPr>
        <w:t xml:space="preserve">. The intended result of this glorification is </w:t>
      </w:r>
      <w:proofErr w:type="gramStart"/>
      <w:r w:rsidR="0057651A">
        <w:rPr>
          <w:sz w:val="24"/>
          <w:szCs w:val="24"/>
        </w:rPr>
        <w:t>similar to</w:t>
      </w:r>
      <w:proofErr w:type="gramEnd"/>
      <w:r w:rsidR="0057651A">
        <w:rPr>
          <w:sz w:val="24"/>
          <w:szCs w:val="24"/>
        </w:rPr>
        <w:t xml:space="preserve"> Leo IV’s usage of remission of sin; to boost morale and set the army in the right mindset for the battle ahead, although Urban’s usage was more simplified as it was intended for the wider public at the time.</w:t>
      </w:r>
    </w:p>
    <w:p w14:paraId="0C46AD15" w14:textId="64A11804" w:rsidR="0008399C" w:rsidRDefault="0008399C" w:rsidP="00AC5F7F">
      <w:pPr>
        <w:rPr>
          <w:sz w:val="24"/>
          <w:szCs w:val="24"/>
        </w:rPr>
      </w:pPr>
      <w:r>
        <w:rPr>
          <w:sz w:val="24"/>
          <w:szCs w:val="24"/>
        </w:rPr>
        <w:t>Along a similar vein as Leo IV’s words to the Frankish army was the letter from Pope John VIII to the bishops in the realm of Louis the Stammerer in 878</w:t>
      </w:r>
      <w:r>
        <w:rPr>
          <w:rStyle w:val="FootnoteReference"/>
          <w:sz w:val="24"/>
          <w:szCs w:val="24"/>
        </w:rPr>
        <w:footnoteReference w:id="8"/>
      </w:r>
      <w:r>
        <w:rPr>
          <w:sz w:val="24"/>
          <w:szCs w:val="24"/>
        </w:rPr>
        <w:t xml:space="preserve">. For all intents and purposes the core message between the words of Leo IV, John VIII and Urban II are one and the same; those who die in battle against the ‘heathen’ will be granted immediate acceptance to </w:t>
      </w:r>
      <w:r>
        <w:rPr>
          <w:sz w:val="24"/>
          <w:szCs w:val="24"/>
        </w:rPr>
        <w:lastRenderedPageBreak/>
        <w:t>heaven. However, it is John VIII’s use of the clergy in the region</w:t>
      </w:r>
      <w:r w:rsidR="00C81204">
        <w:rPr>
          <w:sz w:val="24"/>
          <w:szCs w:val="24"/>
        </w:rPr>
        <w:t xml:space="preserve"> to spread the message</w:t>
      </w:r>
      <w:r>
        <w:rPr>
          <w:sz w:val="24"/>
          <w:szCs w:val="24"/>
        </w:rPr>
        <w:t xml:space="preserve"> that bridges the gap between </w:t>
      </w:r>
      <w:r w:rsidR="00C81204">
        <w:rPr>
          <w:sz w:val="24"/>
          <w:szCs w:val="24"/>
        </w:rPr>
        <w:t>the simple message of remission of sin and the way that Pope Urban preached the crusade in 1095</w:t>
      </w:r>
      <w:r w:rsidR="00C81204">
        <w:rPr>
          <w:rStyle w:val="FootnoteReference"/>
          <w:sz w:val="24"/>
          <w:szCs w:val="24"/>
        </w:rPr>
        <w:footnoteReference w:id="9"/>
      </w:r>
      <w:r w:rsidR="00C81204">
        <w:rPr>
          <w:sz w:val="24"/>
          <w:szCs w:val="24"/>
        </w:rPr>
        <w:t>. In fact, the way in which the two messages twin each other means that it would not be too far out of the realm of possibility to assume that Urban II may have even taken some inspiration from the way that John VIII spread his message.</w:t>
      </w:r>
    </w:p>
    <w:p w14:paraId="45969788" w14:textId="3658BA8B" w:rsidR="00E61E52" w:rsidRDefault="000A532B" w:rsidP="00AC5F7F">
      <w:pPr>
        <w:rPr>
          <w:sz w:val="24"/>
          <w:szCs w:val="24"/>
        </w:rPr>
      </w:pPr>
      <w:r>
        <w:rPr>
          <w:sz w:val="24"/>
          <w:szCs w:val="24"/>
        </w:rPr>
        <w:t xml:space="preserve">The work of Pope Gregory VII is an entirely different matter. Pope Gregory VII </w:t>
      </w:r>
      <w:r w:rsidR="00B429DA">
        <w:rPr>
          <w:sz w:val="24"/>
          <w:szCs w:val="24"/>
        </w:rPr>
        <w:t>led the church from 1073 to 1085</w:t>
      </w:r>
      <w:r w:rsidR="00904152">
        <w:rPr>
          <w:sz w:val="24"/>
          <w:szCs w:val="24"/>
        </w:rPr>
        <w:t xml:space="preserve"> </w:t>
      </w:r>
      <w:r w:rsidR="00B33D8D">
        <w:rPr>
          <w:sz w:val="24"/>
          <w:szCs w:val="24"/>
        </w:rPr>
        <w:t xml:space="preserve">and </w:t>
      </w:r>
      <w:r w:rsidR="00904152">
        <w:rPr>
          <w:sz w:val="24"/>
          <w:szCs w:val="24"/>
        </w:rPr>
        <w:t>is a relatively controversial figure in history</w:t>
      </w:r>
      <w:r w:rsidR="001F5ECC">
        <w:rPr>
          <w:sz w:val="24"/>
          <w:szCs w:val="24"/>
        </w:rPr>
        <w:t>,</w:t>
      </w:r>
      <w:r w:rsidR="00904152">
        <w:rPr>
          <w:sz w:val="24"/>
          <w:szCs w:val="24"/>
        </w:rPr>
        <w:t xml:space="preserve"> due to his reforms</w:t>
      </w:r>
      <w:r w:rsidR="00904152">
        <w:rPr>
          <w:rStyle w:val="FootnoteReference"/>
          <w:sz w:val="24"/>
          <w:szCs w:val="24"/>
        </w:rPr>
        <w:footnoteReference w:id="10"/>
      </w:r>
      <w:r w:rsidR="00904152">
        <w:rPr>
          <w:sz w:val="24"/>
          <w:szCs w:val="24"/>
        </w:rPr>
        <w:t>.</w:t>
      </w:r>
      <w:r w:rsidR="00DF7266">
        <w:rPr>
          <w:sz w:val="24"/>
          <w:szCs w:val="24"/>
        </w:rPr>
        <w:t xml:space="preserve"> </w:t>
      </w:r>
      <w:r w:rsidR="009E2C0B">
        <w:rPr>
          <w:sz w:val="24"/>
          <w:szCs w:val="24"/>
        </w:rPr>
        <w:t>However, it is his letter from 1074 that proves that the concept of a crusade existed long before Pope Urban II preached it. It is best to start by stating that the situation in 1074 was not dissimilar to that in 1095</w:t>
      </w:r>
      <w:r w:rsidR="001F5ECC">
        <w:rPr>
          <w:sz w:val="24"/>
          <w:szCs w:val="24"/>
        </w:rPr>
        <w:t>;</w:t>
      </w:r>
      <w:r w:rsidR="000835A6">
        <w:rPr>
          <w:sz w:val="24"/>
          <w:szCs w:val="24"/>
        </w:rPr>
        <w:t xml:space="preserve"> this can be proven when comparing Pope Gregory VII’s letter to Pope Urban II’s speech. Pope Gregory explained the situation in the </w:t>
      </w:r>
      <w:r w:rsidR="001F5ECC">
        <w:rPr>
          <w:sz w:val="24"/>
          <w:szCs w:val="24"/>
        </w:rPr>
        <w:t>E</w:t>
      </w:r>
      <w:r w:rsidR="000835A6">
        <w:rPr>
          <w:sz w:val="24"/>
          <w:szCs w:val="24"/>
        </w:rPr>
        <w:t>ast thusly</w:t>
      </w:r>
      <w:r w:rsidR="00E61E52">
        <w:rPr>
          <w:sz w:val="24"/>
          <w:szCs w:val="24"/>
        </w:rPr>
        <w:t>:</w:t>
      </w:r>
      <w:r w:rsidR="000835A6">
        <w:rPr>
          <w:sz w:val="24"/>
          <w:szCs w:val="24"/>
        </w:rPr>
        <w:t xml:space="preserve"> </w:t>
      </w:r>
    </w:p>
    <w:p w14:paraId="5C91585A" w14:textId="3B212616" w:rsidR="00E61E52" w:rsidRDefault="000835A6" w:rsidP="00E61E52">
      <w:pPr>
        <w:ind w:left="720"/>
        <w:rPr>
          <w:sz w:val="24"/>
          <w:szCs w:val="24"/>
        </w:rPr>
      </w:pPr>
      <w:r w:rsidRPr="000835A6">
        <w:rPr>
          <w:sz w:val="24"/>
          <w:szCs w:val="24"/>
        </w:rPr>
        <w:t>We hereby inform you that the bearer of this letter, on his recent return from across the sea [from Palestine], came to Rome to visit us. He repeated what we had heard from many others, that a pagan race had overcome the Christians and with horrible cruelty had devastated everything almost to the walls of Constantinople, and were now governing the conquered lands with tyrannical violence, and that they had slain many thousands of Christians as if they were but sheep.</w:t>
      </w:r>
      <w:r>
        <w:rPr>
          <w:rStyle w:val="FootnoteReference"/>
          <w:sz w:val="24"/>
          <w:szCs w:val="24"/>
        </w:rPr>
        <w:footnoteReference w:id="11"/>
      </w:r>
      <w:r>
        <w:rPr>
          <w:sz w:val="24"/>
          <w:szCs w:val="24"/>
        </w:rPr>
        <w:t xml:space="preserve"> </w:t>
      </w:r>
    </w:p>
    <w:p w14:paraId="61FE59FF" w14:textId="185B41F0" w:rsidR="00E61E52" w:rsidRDefault="000835A6" w:rsidP="00AC5F7F">
      <w:pPr>
        <w:rPr>
          <w:sz w:val="24"/>
          <w:szCs w:val="24"/>
        </w:rPr>
      </w:pPr>
      <w:r>
        <w:rPr>
          <w:sz w:val="24"/>
          <w:szCs w:val="24"/>
        </w:rPr>
        <w:t>compared with Pope Urban II’s speech</w:t>
      </w:r>
      <w:r w:rsidR="00E61E52">
        <w:rPr>
          <w:sz w:val="24"/>
          <w:szCs w:val="24"/>
        </w:rPr>
        <w:t>:</w:t>
      </w:r>
      <w:r>
        <w:rPr>
          <w:sz w:val="24"/>
          <w:szCs w:val="24"/>
        </w:rPr>
        <w:t xml:space="preserve"> </w:t>
      </w:r>
    </w:p>
    <w:p w14:paraId="30B9C7E4" w14:textId="1FAC96C7" w:rsidR="00E61E52" w:rsidRDefault="00E61E52" w:rsidP="00E61E52">
      <w:pPr>
        <w:ind w:left="720"/>
        <w:rPr>
          <w:sz w:val="24"/>
          <w:szCs w:val="24"/>
        </w:rPr>
      </w:pPr>
      <w:r>
        <w:rPr>
          <w:sz w:val="24"/>
          <w:szCs w:val="24"/>
        </w:rPr>
        <w:t>…</w:t>
      </w:r>
      <w:r w:rsidR="000835A6" w:rsidRPr="000835A6">
        <w:rPr>
          <w:sz w:val="24"/>
          <w:szCs w:val="24"/>
        </w:rPr>
        <w:t>a race from the kingdom of the Persians, an accursed race, a race utterly alienated from God, a generation forsooth which has not directed its heart and has not entrusted its spirit to God, has invaded the lands of those Christians and has depopulated them by the sword</w:t>
      </w:r>
      <w:r>
        <w:rPr>
          <w:sz w:val="24"/>
          <w:szCs w:val="24"/>
        </w:rPr>
        <w:t>…</w:t>
      </w:r>
      <w:r w:rsidR="000835A6">
        <w:rPr>
          <w:rStyle w:val="FootnoteReference"/>
          <w:sz w:val="24"/>
          <w:szCs w:val="24"/>
        </w:rPr>
        <w:footnoteReference w:id="12"/>
      </w:r>
      <w:r w:rsidR="000835A6">
        <w:rPr>
          <w:sz w:val="24"/>
          <w:szCs w:val="24"/>
        </w:rPr>
        <w:t xml:space="preserve"> </w:t>
      </w:r>
    </w:p>
    <w:p w14:paraId="13234D3D" w14:textId="1A86DB8D" w:rsidR="000A532B" w:rsidRDefault="00E61E52" w:rsidP="00AC5F7F">
      <w:pPr>
        <w:rPr>
          <w:sz w:val="24"/>
          <w:szCs w:val="24"/>
        </w:rPr>
      </w:pPr>
      <w:r>
        <w:rPr>
          <w:sz w:val="24"/>
          <w:szCs w:val="24"/>
        </w:rPr>
        <w:t>T</w:t>
      </w:r>
      <w:r w:rsidR="000835A6">
        <w:rPr>
          <w:sz w:val="24"/>
          <w:szCs w:val="24"/>
        </w:rPr>
        <w:t>his version of the speech does go into more detail about the anecdotes that Urban II used when referring to the attack on Christians in Jerusalem</w:t>
      </w:r>
      <w:r w:rsidR="00225B58">
        <w:rPr>
          <w:sz w:val="24"/>
          <w:szCs w:val="24"/>
        </w:rPr>
        <w:t xml:space="preserve">, however, for the sake of </w:t>
      </w:r>
      <w:r>
        <w:rPr>
          <w:sz w:val="24"/>
          <w:szCs w:val="24"/>
        </w:rPr>
        <w:t>brevity I have omitted it</w:t>
      </w:r>
      <w:r w:rsidR="00225B58">
        <w:rPr>
          <w:sz w:val="24"/>
          <w:szCs w:val="24"/>
        </w:rPr>
        <w:t xml:space="preserve">. The similarities in both what is happening and how it is described are plain to see, although Urban II’s speech has far more anti-Muslim sentiment within it. </w:t>
      </w:r>
      <w:r>
        <w:rPr>
          <w:sz w:val="24"/>
          <w:szCs w:val="24"/>
        </w:rPr>
        <w:t>This</w:t>
      </w:r>
      <w:r w:rsidR="00225B58">
        <w:rPr>
          <w:sz w:val="24"/>
          <w:szCs w:val="24"/>
        </w:rPr>
        <w:t xml:space="preserve"> begs the question</w:t>
      </w:r>
      <w:r>
        <w:rPr>
          <w:sz w:val="24"/>
          <w:szCs w:val="24"/>
        </w:rPr>
        <w:t>:</w:t>
      </w:r>
      <w:r w:rsidR="00225B58">
        <w:rPr>
          <w:sz w:val="24"/>
          <w:szCs w:val="24"/>
        </w:rPr>
        <w:t xml:space="preserve"> why did the crusades not begin in Pope Gregory VII</w:t>
      </w:r>
      <w:r>
        <w:rPr>
          <w:sz w:val="24"/>
          <w:szCs w:val="24"/>
        </w:rPr>
        <w:t>’s</w:t>
      </w:r>
      <w:r w:rsidR="00225B58">
        <w:rPr>
          <w:sz w:val="24"/>
          <w:szCs w:val="24"/>
        </w:rPr>
        <w:t xml:space="preserve"> tenure as pope? The simple answer is that they did, in concept at least. Within the later parts of Gregory VII’s letter he lays the foundations for what would later become the crusading movement; ‘</w:t>
      </w:r>
      <w:r w:rsidR="00225B58" w:rsidRPr="00225B58">
        <w:rPr>
          <w:sz w:val="24"/>
          <w:szCs w:val="24"/>
        </w:rPr>
        <w:t>But simply to grieve is not our whole duty. The example of our Redeemer and the bond of fraternal love demand that we should lay down our lives to liberate them.</w:t>
      </w:r>
      <w:r w:rsidR="00225B58">
        <w:rPr>
          <w:sz w:val="24"/>
          <w:szCs w:val="24"/>
        </w:rPr>
        <w:t>’</w:t>
      </w:r>
      <w:r w:rsidR="00225B58">
        <w:rPr>
          <w:rStyle w:val="FootnoteReference"/>
          <w:sz w:val="24"/>
          <w:szCs w:val="24"/>
        </w:rPr>
        <w:footnoteReference w:id="13"/>
      </w:r>
      <w:r w:rsidR="00225B58">
        <w:rPr>
          <w:sz w:val="24"/>
          <w:szCs w:val="24"/>
        </w:rPr>
        <w:t xml:space="preserve"> Put simply he states that it should be </w:t>
      </w:r>
      <w:r w:rsidR="005D1966">
        <w:rPr>
          <w:sz w:val="24"/>
          <w:szCs w:val="24"/>
        </w:rPr>
        <w:t xml:space="preserve">the duty of all Christians within the Holy Roman Empire to go and </w:t>
      </w:r>
      <w:r w:rsidR="005D1966">
        <w:rPr>
          <w:sz w:val="24"/>
          <w:szCs w:val="24"/>
        </w:rPr>
        <w:lastRenderedPageBreak/>
        <w:t xml:space="preserve">defend the Christians in the </w:t>
      </w:r>
      <w:r>
        <w:rPr>
          <w:sz w:val="24"/>
          <w:szCs w:val="24"/>
        </w:rPr>
        <w:t>E</w:t>
      </w:r>
      <w:r w:rsidR="005D1966">
        <w:rPr>
          <w:sz w:val="24"/>
          <w:szCs w:val="24"/>
        </w:rPr>
        <w:t xml:space="preserve">ast from the injustices levied against them by the pagans. In essence this letter </w:t>
      </w:r>
      <w:proofErr w:type="gramStart"/>
      <w:r w:rsidR="005D1966">
        <w:rPr>
          <w:sz w:val="24"/>
          <w:szCs w:val="24"/>
        </w:rPr>
        <w:t>can be seen as</w:t>
      </w:r>
      <w:proofErr w:type="gramEnd"/>
      <w:r w:rsidR="005D1966">
        <w:rPr>
          <w:sz w:val="24"/>
          <w:szCs w:val="24"/>
        </w:rPr>
        <w:t xml:space="preserve"> a prototype for what would later become Pope Urban’s speech in 1095. Unfortunately for Gregory VII he found himself in a dispute with Henry IV before his hope for a crusade could be realised, eventually dying in exile in 1085</w:t>
      </w:r>
      <w:r w:rsidR="005D1966">
        <w:rPr>
          <w:rStyle w:val="FootnoteReference"/>
          <w:sz w:val="24"/>
          <w:szCs w:val="24"/>
        </w:rPr>
        <w:footnoteReference w:id="14"/>
      </w:r>
      <w:r w:rsidR="005D1966">
        <w:rPr>
          <w:sz w:val="24"/>
          <w:szCs w:val="24"/>
        </w:rPr>
        <w:t>. However, what his letter proves is that the ideas for a crusade had long been established before Pope Urban officially called for one in 1095.</w:t>
      </w:r>
    </w:p>
    <w:p w14:paraId="6FD387E9" w14:textId="2111E0CB" w:rsidR="003607B8" w:rsidRDefault="003607B8" w:rsidP="00AC5F7F">
      <w:pPr>
        <w:rPr>
          <w:sz w:val="24"/>
          <w:szCs w:val="24"/>
        </w:rPr>
      </w:pPr>
    </w:p>
    <w:p w14:paraId="45E99BFF" w14:textId="2962CCC6" w:rsidR="003607B8" w:rsidRDefault="003607B8" w:rsidP="00AC5F7F">
      <w:pPr>
        <w:rPr>
          <w:sz w:val="24"/>
          <w:szCs w:val="24"/>
        </w:rPr>
      </w:pPr>
      <w:r>
        <w:rPr>
          <w:sz w:val="24"/>
          <w:szCs w:val="24"/>
        </w:rPr>
        <w:t xml:space="preserve">The </w:t>
      </w:r>
      <w:proofErr w:type="gramStart"/>
      <w:r>
        <w:rPr>
          <w:sz w:val="24"/>
          <w:szCs w:val="24"/>
        </w:rPr>
        <w:t xml:space="preserve">aforementioned </w:t>
      </w:r>
      <w:r w:rsidR="00E61E52">
        <w:rPr>
          <w:sz w:val="24"/>
          <w:szCs w:val="24"/>
        </w:rPr>
        <w:t>p</w:t>
      </w:r>
      <w:r>
        <w:rPr>
          <w:sz w:val="24"/>
          <w:szCs w:val="24"/>
        </w:rPr>
        <w:t>opes</w:t>
      </w:r>
      <w:proofErr w:type="gramEnd"/>
      <w:r>
        <w:rPr>
          <w:sz w:val="24"/>
          <w:szCs w:val="24"/>
        </w:rPr>
        <w:t xml:space="preserve"> are a clear representation of how the </w:t>
      </w:r>
      <w:r w:rsidR="009157BE">
        <w:rPr>
          <w:sz w:val="24"/>
          <w:szCs w:val="24"/>
        </w:rPr>
        <w:t>ideas surrounding the preaching and incentivising</w:t>
      </w:r>
      <w:r>
        <w:rPr>
          <w:sz w:val="24"/>
          <w:szCs w:val="24"/>
        </w:rPr>
        <w:t xml:space="preserve"> </w:t>
      </w:r>
      <w:r w:rsidR="009157BE">
        <w:rPr>
          <w:sz w:val="24"/>
          <w:szCs w:val="24"/>
        </w:rPr>
        <w:t>the</w:t>
      </w:r>
      <w:r>
        <w:rPr>
          <w:sz w:val="24"/>
          <w:szCs w:val="24"/>
        </w:rPr>
        <w:t xml:space="preserve"> crusade existed long before </w:t>
      </w:r>
      <w:r w:rsidR="009157BE">
        <w:rPr>
          <w:sz w:val="24"/>
          <w:szCs w:val="24"/>
        </w:rPr>
        <w:t xml:space="preserve">1095. However, it is also relevant to look at the historical precedent for conflicts arising from religion and religious differences. As with </w:t>
      </w:r>
      <w:r w:rsidR="00A2270D">
        <w:rPr>
          <w:sz w:val="24"/>
          <w:szCs w:val="24"/>
        </w:rPr>
        <w:t>much</w:t>
      </w:r>
      <w:r w:rsidR="009157BE">
        <w:rPr>
          <w:sz w:val="24"/>
          <w:szCs w:val="24"/>
        </w:rPr>
        <w:t xml:space="preserve"> of history there are plenty of examples of religious conflicts both before and after 1095, indeed religious differences seem to boil the nuances of ideological disputes in warfare down to their most basic and raw forms. </w:t>
      </w:r>
      <w:proofErr w:type="gramStart"/>
      <w:r w:rsidR="009157BE">
        <w:rPr>
          <w:sz w:val="24"/>
          <w:szCs w:val="24"/>
        </w:rPr>
        <w:t>However</w:t>
      </w:r>
      <w:proofErr w:type="gramEnd"/>
      <w:r w:rsidR="009157BE">
        <w:rPr>
          <w:sz w:val="24"/>
          <w:szCs w:val="24"/>
        </w:rPr>
        <w:t xml:space="preserve"> in keeping with the question at hand it is best to focus on religious disputes prior to 1095. </w:t>
      </w:r>
      <w:r w:rsidR="0086023D">
        <w:rPr>
          <w:sz w:val="24"/>
          <w:szCs w:val="24"/>
        </w:rPr>
        <w:t>A good example of this would be the battle of the Milvian Bridge in 312CE</w:t>
      </w:r>
      <w:r w:rsidR="0086023D">
        <w:rPr>
          <w:rStyle w:val="FootnoteReference"/>
          <w:sz w:val="24"/>
          <w:szCs w:val="24"/>
        </w:rPr>
        <w:footnoteReference w:id="15"/>
      </w:r>
      <w:r w:rsidR="00392F42">
        <w:rPr>
          <w:sz w:val="24"/>
          <w:szCs w:val="24"/>
        </w:rPr>
        <w:t xml:space="preserve">. To properly explain how this battle ties into the concept of the crusades and holy wars </w:t>
      </w:r>
      <w:proofErr w:type="gramStart"/>
      <w:r w:rsidR="00392F42">
        <w:rPr>
          <w:sz w:val="24"/>
          <w:szCs w:val="24"/>
        </w:rPr>
        <w:t>as a whole it</w:t>
      </w:r>
      <w:proofErr w:type="gramEnd"/>
      <w:r w:rsidR="00392F42">
        <w:rPr>
          <w:sz w:val="24"/>
          <w:szCs w:val="24"/>
        </w:rPr>
        <w:t xml:space="preserve"> is best to begin by explaining what it was. As mentioned above</w:t>
      </w:r>
      <w:r w:rsidR="00A2270D">
        <w:rPr>
          <w:sz w:val="24"/>
          <w:szCs w:val="24"/>
        </w:rPr>
        <w:t>,</w:t>
      </w:r>
      <w:r w:rsidR="00392F42">
        <w:rPr>
          <w:sz w:val="24"/>
          <w:szCs w:val="24"/>
        </w:rPr>
        <w:t xml:space="preserve"> </w:t>
      </w:r>
      <w:r w:rsidR="00A2270D">
        <w:rPr>
          <w:sz w:val="24"/>
          <w:szCs w:val="24"/>
        </w:rPr>
        <w:t>this</w:t>
      </w:r>
      <w:r w:rsidR="00392F42">
        <w:rPr>
          <w:sz w:val="24"/>
          <w:szCs w:val="24"/>
        </w:rPr>
        <w:t xml:space="preserve"> was a battle in 312CE between Constantine I and Maxentius at the Milvian Bridge, a bridge that crossed the Tiber into Rome, </w:t>
      </w:r>
      <w:r w:rsidR="00A2270D">
        <w:rPr>
          <w:sz w:val="24"/>
          <w:szCs w:val="24"/>
        </w:rPr>
        <w:t>which</w:t>
      </w:r>
      <w:r w:rsidR="00392F42">
        <w:rPr>
          <w:sz w:val="24"/>
          <w:szCs w:val="24"/>
        </w:rPr>
        <w:t xml:space="preserve"> was one of a string of victories that would see Constantine I become the master of the Roman </w:t>
      </w:r>
      <w:r w:rsidR="00A2270D">
        <w:rPr>
          <w:sz w:val="24"/>
          <w:szCs w:val="24"/>
        </w:rPr>
        <w:t>E</w:t>
      </w:r>
      <w:r w:rsidR="00392F42">
        <w:rPr>
          <w:sz w:val="24"/>
          <w:szCs w:val="24"/>
        </w:rPr>
        <w:t>mpire in 324CE</w:t>
      </w:r>
      <w:r w:rsidR="00392F42">
        <w:rPr>
          <w:rStyle w:val="FootnoteReference"/>
          <w:sz w:val="24"/>
          <w:szCs w:val="24"/>
        </w:rPr>
        <w:footnoteReference w:id="16"/>
      </w:r>
      <w:r w:rsidR="00392F42">
        <w:rPr>
          <w:sz w:val="24"/>
          <w:szCs w:val="24"/>
        </w:rPr>
        <w:t xml:space="preserve">. However, what is more significant to the question at hand is the story of what happened just prior to the battle. It is said that </w:t>
      </w:r>
      <w:r w:rsidR="00F02832">
        <w:rPr>
          <w:sz w:val="24"/>
          <w:szCs w:val="24"/>
        </w:rPr>
        <w:t xml:space="preserve">a day before the battle began, Constantine and his forces saw a cross of light above the sun with the words ‘In this sign conquer’, and that later that night he received a dream in which Christ told him to use the symbol of the cross against his enemies. The next day he did just that, telling his troops to paint the Christian symbol onto their shields, and when they achieved </w:t>
      </w:r>
      <w:r w:rsidR="008A19DE">
        <w:rPr>
          <w:sz w:val="24"/>
          <w:szCs w:val="24"/>
        </w:rPr>
        <w:t>victory,</w:t>
      </w:r>
      <w:r w:rsidR="00F02832">
        <w:rPr>
          <w:sz w:val="24"/>
          <w:szCs w:val="24"/>
        </w:rPr>
        <w:t xml:space="preserve"> he attributed it to the god of the Christians</w:t>
      </w:r>
      <w:r w:rsidR="00F02832">
        <w:rPr>
          <w:rStyle w:val="FootnoteReference"/>
          <w:sz w:val="24"/>
          <w:szCs w:val="24"/>
        </w:rPr>
        <w:footnoteReference w:id="17"/>
      </w:r>
      <w:r w:rsidR="00F02832">
        <w:rPr>
          <w:sz w:val="24"/>
          <w:szCs w:val="24"/>
        </w:rPr>
        <w:t xml:space="preserve">. Although in recent years some of the specifics of the account have been called into question, there are two parts that </w:t>
      </w:r>
      <w:r w:rsidR="00A2270D">
        <w:rPr>
          <w:sz w:val="24"/>
          <w:szCs w:val="24"/>
        </w:rPr>
        <w:t>are</w:t>
      </w:r>
      <w:r w:rsidR="00F02832">
        <w:rPr>
          <w:sz w:val="24"/>
          <w:szCs w:val="24"/>
        </w:rPr>
        <w:t xml:space="preserve"> consistent throughout many contemporary </w:t>
      </w:r>
      <w:r w:rsidR="008A19DE">
        <w:rPr>
          <w:sz w:val="24"/>
          <w:szCs w:val="24"/>
        </w:rPr>
        <w:t>accounts:</w:t>
      </w:r>
      <w:r w:rsidR="00F02832">
        <w:rPr>
          <w:sz w:val="24"/>
          <w:szCs w:val="24"/>
        </w:rPr>
        <w:t xml:space="preserve"> the painting of Christian symbols on the shields of Constantine’s army and </w:t>
      </w:r>
      <w:r w:rsidR="008212E5">
        <w:rPr>
          <w:sz w:val="24"/>
          <w:szCs w:val="24"/>
        </w:rPr>
        <w:t>Constantine’s insistence on attributing the victory to the god of the Christians</w:t>
      </w:r>
      <w:r w:rsidR="008212E5">
        <w:rPr>
          <w:rStyle w:val="FootnoteReference"/>
          <w:sz w:val="24"/>
          <w:szCs w:val="24"/>
        </w:rPr>
        <w:footnoteReference w:id="18"/>
      </w:r>
      <w:r w:rsidR="008212E5">
        <w:rPr>
          <w:sz w:val="24"/>
          <w:szCs w:val="24"/>
        </w:rPr>
        <w:t xml:space="preserve">. From the consistencies within the </w:t>
      </w:r>
      <w:r w:rsidR="008A19DE">
        <w:rPr>
          <w:sz w:val="24"/>
          <w:szCs w:val="24"/>
        </w:rPr>
        <w:t>accounts,</w:t>
      </w:r>
      <w:r w:rsidR="008212E5">
        <w:rPr>
          <w:sz w:val="24"/>
          <w:szCs w:val="24"/>
        </w:rPr>
        <w:t xml:space="preserve"> it could be reasonably assumed that this was an early use of God’s will as a motivation for battle, an idea that would see far more use within the crusades. For that </w:t>
      </w:r>
      <w:r w:rsidR="008A19DE">
        <w:rPr>
          <w:sz w:val="24"/>
          <w:szCs w:val="24"/>
        </w:rPr>
        <w:t>reason,</w:t>
      </w:r>
      <w:r w:rsidR="008212E5">
        <w:rPr>
          <w:sz w:val="24"/>
          <w:szCs w:val="24"/>
        </w:rPr>
        <w:t xml:space="preserve"> it can be extrapolated that even the most basic concepts of the crusades, such as the ideas of a holy war and God’s will, existed long before they were preached in 1095.</w:t>
      </w:r>
    </w:p>
    <w:p w14:paraId="55CC6177" w14:textId="1B3B49A6" w:rsidR="00DD0F2A" w:rsidRDefault="00DD0F2A" w:rsidP="00AC5F7F">
      <w:pPr>
        <w:rPr>
          <w:rFonts w:cstheme="minorHAnsi"/>
          <w:sz w:val="24"/>
          <w:szCs w:val="24"/>
          <w:lang w:val="en-US"/>
        </w:rPr>
      </w:pPr>
      <w:r>
        <w:rPr>
          <w:rFonts w:cstheme="minorHAnsi"/>
          <w:sz w:val="24"/>
          <w:szCs w:val="24"/>
          <w:lang w:val="en-US"/>
        </w:rPr>
        <w:lastRenderedPageBreak/>
        <w:t>M</w:t>
      </w:r>
      <w:r w:rsidRPr="00DD0F2A">
        <w:rPr>
          <w:rFonts w:cstheme="minorHAnsi"/>
          <w:sz w:val="24"/>
          <w:szCs w:val="24"/>
          <w:lang w:val="en-US"/>
        </w:rPr>
        <w:t xml:space="preserve">ost of the sources I have used within this essay have been primary, such as letters sent by the popes or chronicles of the time. However, there were a small number of occasions where the sources used could </w:t>
      </w:r>
      <w:proofErr w:type="gramStart"/>
      <w:r w:rsidRPr="00DD0F2A">
        <w:rPr>
          <w:rFonts w:cstheme="minorHAnsi"/>
          <w:sz w:val="24"/>
          <w:szCs w:val="24"/>
          <w:lang w:val="en-US"/>
        </w:rPr>
        <w:t>be seen as</w:t>
      </w:r>
      <w:proofErr w:type="gramEnd"/>
      <w:r w:rsidRPr="00DD0F2A">
        <w:rPr>
          <w:rFonts w:cstheme="minorHAnsi"/>
          <w:sz w:val="24"/>
          <w:szCs w:val="24"/>
          <w:lang w:val="en-US"/>
        </w:rPr>
        <w:t xml:space="preserve"> questionable at best. In those occasions I have, to the best of my abilities, explained how these sources are flawed and what I have done to maintain the integrity of the essay at large. However, there is one example that I have not explained; the version of Pope Urban’s speech I have been using. For the entirety of this </w:t>
      </w:r>
      <w:proofErr w:type="gramStart"/>
      <w:r w:rsidRPr="00DD0F2A">
        <w:rPr>
          <w:rFonts w:cstheme="minorHAnsi"/>
          <w:sz w:val="24"/>
          <w:szCs w:val="24"/>
          <w:lang w:val="en-US"/>
        </w:rPr>
        <w:t>essay</w:t>
      </w:r>
      <w:proofErr w:type="gramEnd"/>
      <w:r w:rsidRPr="00DD0F2A">
        <w:rPr>
          <w:rFonts w:cstheme="minorHAnsi"/>
          <w:sz w:val="24"/>
          <w:szCs w:val="24"/>
          <w:lang w:val="en-US"/>
        </w:rPr>
        <w:t xml:space="preserve"> I have been using Robert the Monk’s version of the speech, mainly due to the fact that it is the one that I found easiest to extrapolate the relevant information from. </w:t>
      </w:r>
      <w:proofErr w:type="gramStart"/>
      <w:r w:rsidRPr="00DD0F2A">
        <w:rPr>
          <w:rFonts w:cstheme="minorHAnsi"/>
          <w:sz w:val="24"/>
          <w:szCs w:val="24"/>
          <w:lang w:val="en-US"/>
        </w:rPr>
        <w:t>However</w:t>
      </w:r>
      <w:proofErr w:type="gramEnd"/>
      <w:r w:rsidRPr="00DD0F2A">
        <w:rPr>
          <w:rFonts w:cstheme="minorHAnsi"/>
          <w:sz w:val="24"/>
          <w:szCs w:val="24"/>
          <w:lang w:val="en-US"/>
        </w:rPr>
        <w:t xml:space="preserve"> this is not the only version of the speech, and in fact it could be argued that the </w:t>
      </w:r>
      <w:proofErr w:type="spellStart"/>
      <w:r w:rsidRPr="00DD0F2A">
        <w:rPr>
          <w:rFonts w:cstheme="minorHAnsi"/>
          <w:sz w:val="24"/>
          <w:szCs w:val="24"/>
          <w:lang w:val="en-US"/>
        </w:rPr>
        <w:t>Gesta</w:t>
      </w:r>
      <w:proofErr w:type="spellEnd"/>
      <w:r w:rsidRPr="00DD0F2A">
        <w:rPr>
          <w:rFonts w:cstheme="minorHAnsi"/>
          <w:sz w:val="24"/>
          <w:szCs w:val="24"/>
          <w:lang w:val="en-US"/>
        </w:rPr>
        <w:t xml:space="preserve"> Francorum has the version of the speech most faithful to the original due to it being written closer to the time</w:t>
      </w:r>
      <w:r w:rsidR="00325669">
        <w:rPr>
          <w:rStyle w:val="FootnoteReference"/>
          <w:rFonts w:cstheme="minorHAnsi"/>
          <w:sz w:val="24"/>
          <w:szCs w:val="24"/>
          <w:lang w:val="en-US"/>
        </w:rPr>
        <w:footnoteReference w:id="19"/>
      </w:r>
      <w:r w:rsidRPr="00DD0F2A">
        <w:rPr>
          <w:rFonts w:cstheme="minorHAnsi"/>
          <w:sz w:val="24"/>
          <w:szCs w:val="24"/>
          <w:lang w:val="en-US"/>
        </w:rPr>
        <w:t>.</w:t>
      </w:r>
    </w:p>
    <w:p w14:paraId="32CBF966" w14:textId="77777777" w:rsidR="0096436E" w:rsidRDefault="007E2B42" w:rsidP="00AC5F7F">
      <w:pPr>
        <w:rPr>
          <w:rFonts w:cstheme="minorHAnsi"/>
          <w:sz w:val="24"/>
          <w:szCs w:val="24"/>
          <w:lang w:val="en-US"/>
        </w:rPr>
      </w:pPr>
      <w:r w:rsidRPr="007E2B42">
        <w:rPr>
          <w:rFonts w:cstheme="minorHAnsi"/>
          <w:sz w:val="24"/>
          <w:szCs w:val="24"/>
          <w:lang w:val="en-US"/>
        </w:rPr>
        <w:t xml:space="preserve">This essay </w:t>
      </w:r>
      <w:r>
        <w:rPr>
          <w:rFonts w:cstheme="minorHAnsi"/>
          <w:sz w:val="24"/>
          <w:szCs w:val="24"/>
          <w:lang w:val="en-US"/>
        </w:rPr>
        <w:t>was</w:t>
      </w:r>
      <w:r w:rsidRPr="007E2B42">
        <w:rPr>
          <w:rFonts w:cstheme="minorHAnsi"/>
          <w:sz w:val="24"/>
          <w:szCs w:val="24"/>
          <w:lang w:val="en-US"/>
        </w:rPr>
        <w:t xml:space="preserve"> primarily focused on looking at w</w:t>
      </w:r>
      <w:r>
        <w:rPr>
          <w:rFonts w:cstheme="minorHAnsi"/>
          <w:sz w:val="24"/>
          <w:szCs w:val="24"/>
          <w:lang w:val="en-US"/>
        </w:rPr>
        <w:t>he</w:t>
      </w:r>
      <w:r w:rsidRPr="007E2B42">
        <w:rPr>
          <w:rFonts w:cstheme="minorHAnsi"/>
          <w:sz w:val="24"/>
          <w:szCs w:val="24"/>
          <w:lang w:val="en-US"/>
        </w:rPr>
        <w:t>ther the first crusade was a ‘new’ enterprise</w:t>
      </w:r>
      <w:r>
        <w:rPr>
          <w:rFonts w:cstheme="minorHAnsi"/>
          <w:sz w:val="24"/>
          <w:szCs w:val="24"/>
          <w:lang w:val="en-US"/>
        </w:rPr>
        <w:t>, and from my research</w:t>
      </w:r>
      <w:r w:rsidRPr="007E2B42">
        <w:rPr>
          <w:rFonts w:cstheme="minorHAnsi"/>
          <w:sz w:val="24"/>
          <w:szCs w:val="24"/>
          <w:lang w:val="en-US"/>
        </w:rPr>
        <w:t xml:space="preserve"> </w:t>
      </w:r>
      <w:r w:rsidR="0035358E">
        <w:rPr>
          <w:rFonts w:cstheme="minorHAnsi"/>
          <w:sz w:val="24"/>
          <w:szCs w:val="24"/>
          <w:lang w:val="en-US"/>
        </w:rPr>
        <w:t xml:space="preserve">it would not be accurate to say that </w:t>
      </w:r>
      <w:r>
        <w:rPr>
          <w:rFonts w:cstheme="minorHAnsi"/>
          <w:sz w:val="24"/>
          <w:szCs w:val="24"/>
          <w:lang w:val="en-US"/>
        </w:rPr>
        <w:t>this</w:t>
      </w:r>
      <w:r w:rsidR="0035358E">
        <w:rPr>
          <w:rFonts w:cstheme="minorHAnsi"/>
          <w:sz w:val="24"/>
          <w:szCs w:val="24"/>
          <w:lang w:val="en-US"/>
        </w:rPr>
        <w:t xml:space="preserve"> was</w:t>
      </w:r>
      <w:r>
        <w:rPr>
          <w:rFonts w:cstheme="minorHAnsi"/>
          <w:sz w:val="24"/>
          <w:szCs w:val="24"/>
          <w:lang w:val="en-US"/>
        </w:rPr>
        <w:t xml:space="preserve"> the case</w:t>
      </w:r>
      <w:r w:rsidR="0035358E">
        <w:rPr>
          <w:rFonts w:cstheme="minorHAnsi"/>
          <w:sz w:val="24"/>
          <w:szCs w:val="24"/>
          <w:lang w:val="en-US"/>
        </w:rPr>
        <w:t xml:space="preserve">. </w:t>
      </w:r>
      <w:r>
        <w:rPr>
          <w:rFonts w:cstheme="minorHAnsi"/>
          <w:sz w:val="24"/>
          <w:szCs w:val="24"/>
          <w:lang w:val="en-US"/>
        </w:rPr>
        <w:t>Moreover,</w:t>
      </w:r>
      <w:r w:rsidR="0035358E">
        <w:rPr>
          <w:rFonts w:cstheme="minorHAnsi"/>
          <w:sz w:val="24"/>
          <w:szCs w:val="24"/>
          <w:lang w:val="en-US"/>
        </w:rPr>
        <w:t xml:space="preserve"> evidence </w:t>
      </w:r>
      <w:r w:rsidR="00A2270D">
        <w:rPr>
          <w:rFonts w:cstheme="minorHAnsi"/>
          <w:sz w:val="24"/>
          <w:szCs w:val="24"/>
          <w:lang w:val="en-US"/>
        </w:rPr>
        <w:t xml:space="preserve">seems </w:t>
      </w:r>
      <w:r w:rsidR="0035358E">
        <w:rPr>
          <w:rFonts w:cstheme="minorHAnsi"/>
          <w:sz w:val="24"/>
          <w:szCs w:val="24"/>
          <w:lang w:val="en-US"/>
        </w:rPr>
        <w:t xml:space="preserve">to suggest the opposite; that the crusades were </w:t>
      </w:r>
      <w:proofErr w:type="gramStart"/>
      <w:r w:rsidR="0035358E">
        <w:rPr>
          <w:rFonts w:cstheme="minorHAnsi"/>
          <w:sz w:val="24"/>
          <w:szCs w:val="24"/>
          <w:lang w:val="en-US"/>
        </w:rPr>
        <w:t>actually a</w:t>
      </w:r>
      <w:proofErr w:type="gramEnd"/>
      <w:r w:rsidR="0035358E">
        <w:rPr>
          <w:rFonts w:cstheme="minorHAnsi"/>
          <w:sz w:val="24"/>
          <w:szCs w:val="24"/>
          <w:lang w:val="en-US"/>
        </w:rPr>
        <w:t xml:space="preserve"> culmination of hundreds of years of tension between Christians and other groups</w:t>
      </w:r>
      <w:r>
        <w:rPr>
          <w:rFonts w:cstheme="minorHAnsi"/>
          <w:sz w:val="24"/>
          <w:szCs w:val="24"/>
          <w:lang w:val="en-US"/>
        </w:rPr>
        <w:t xml:space="preserve"> such as</w:t>
      </w:r>
      <w:r w:rsidR="00264766">
        <w:rPr>
          <w:rFonts w:cstheme="minorHAnsi"/>
          <w:sz w:val="24"/>
          <w:szCs w:val="24"/>
          <w:lang w:val="en-US"/>
        </w:rPr>
        <w:t xml:space="preserve"> the Saracens, Pagans, and </w:t>
      </w:r>
      <w:r w:rsidR="00372EBF">
        <w:rPr>
          <w:rFonts w:cstheme="minorHAnsi"/>
          <w:sz w:val="24"/>
          <w:szCs w:val="24"/>
          <w:lang w:val="en-US"/>
        </w:rPr>
        <w:t>Muslims that they saw as ‘Heathens’. The evidence to support the crusade as a culmination is mainly the similarities in message and method between Pope Urban II and the Popes that supported him. The similarities are as follows</w:t>
      </w:r>
      <w:r w:rsidR="00A2270D">
        <w:rPr>
          <w:rFonts w:cstheme="minorHAnsi"/>
          <w:sz w:val="24"/>
          <w:szCs w:val="24"/>
          <w:lang w:val="en-US"/>
        </w:rPr>
        <w:t>:</w:t>
      </w:r>
      <w:r w:rsidR="00372EBF">
        <w:rPr>
          <w:rFonts w:cstheme="minorHAnsi"/>
          <w:sz w:val="24"/>
          <w:szCs w:val="24"/>
          <w:lang w:val="en-US"/>
        </w:rPr>
        <w:t xml:space="preserve"> the use of remission of sin in the letters written by Leo IV and John VIII are strikingly similar to the way that pope Urban conveyed the idea in his speech, the anecdotes in Gregory VII’s letter about the treatment of the Christians in the </w:t>
      </w:r>
      <w:r w:rsidR="00A2270D">
        <w:rPr>
          <w:rFonts w:cstheme="minorHAnsi"/>
          <w:sz w:val="24"/>
          <w:szCs w:val="24"/>
          <w:lang w:val="en-US"/>
        </w:rPr>
        <w:t>H</w:t>
      </w:r>
      <w:r w:rsidR="00372EBF">
        <w:rPr>
          <w:rFonts w:cstheme="minorHAnsi"/>
          <w:sz w:val="24"/>
          <w:szCs w:val="24"/>
          <w:lang w:val="en-US"/>
        </w:rPr>
        <w:t xml:space="preserve">oly </w:t>
      </w:r>
      <w:r w:rsidR="00A2270D">
        <w:rPr>
          <w:rFonts w:cstheme="minorHAnsi"/>
          <w:sz w:val="24"/>
          <w:szCs w:val="24"/>
          <w:lang w:val="en-US"/>
        </w:rPr>
        <w:t>L</w:t>
      </w:r>
      <w:r w:rsidR="00372EBF">
        <w:rPr>
          <w:rFonts w:cstheme="minorHAnsi"/>
          <w:sz w:val="24"/>
          <w:szCs w:val="24"/>
          <w:lang w:val="en-US"/>
        </w:rPr>
        <w:t xml:space="preserve">and follow the same trend, and the use of Christian symbols within the attire of soldiers was a theme first seen at Milvian bridge. In my opinion it was </w:t>
      </w:r>
      <w:proofErr w:type="gramStart"/>
      <w:r w:rsidR="00372EBF">
        <w:rPr>
          <w:rFonts w:cstheme="minorHAnsi"/>
          <w:sz w:val="24"/>
          <w:szCs w:val="24"/>
          <w:lang w:val="en-US"/>
        </w:rPr>
        <w:t>all of</w:t>
      </w:r>
      <w:proofErr w:type="gramEnd"/>
      <w:r w:rsidR="00372EBF">
        <w:rPr>
          <w:rFonts w:cstheme="minorHAnsi"/>
          <w:sz w:val="24"/>
          <w:szCs w:val="24"/>
          <w:lang w:val="en-US"/>
        </w:rPr>
        <w:t xml:space="preserve"> these ideas coming together that created the baseline for the crusading movement</w:t>
      </w:r>
      <w:r w:rsidR="00325669">
        <w:rPr>
          <w:rFonts w:cstheme="minorHAnsi"/>
          <w:sz w:val="24"/>
          <w:szCs w:val="24"/>
          <w:lang w:val="en-US"/>
        </w:rPr>
        <w:t>, therefore it is inaccurate to define the Crusades as a ‘new’ enterprise.</w:t>
      </w:r>
    </w:p>
    <w:sdt>
      <w:sdtPr>
        <w:id w:val="93830568"/>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62B9F3C" w14:textId="410F5CD7" w:rsidR="0096436E" w:rsidRDefault="0096436E">
          <w:pPr>
            <w:pStyle w:val="Heading1"/>
          </w:pPr>
          <w:r>
            <w:t>Bibliography</w:t>
          </w:r>
        </w:p>
        <w:sdt>
          <w:sdtPr>
            <w:id w:val="111145805"/>
            <w:bibliography/>
          </w:sdtPr>
          <w:sdtContent>
            <w:p w14:paraId="3AE0ACED" w14:textId="77777777" w:rsidR="0096436E" w:rsidRDefault="0096436E">
              <w:pPr>
                <w:rPr>
                  <w:lang w:val="en-US"/>
                </w:rPr>
              </w:pPr>
              <w:proofErr w:type="spellStart"/>
              <w:r w:rsidRPr="0096436E">
                <w:rPr>
                  <w:lang w:val="en-US"/>
                </w:rPr>
                <w:t>Blaydes</w:t>
              </w:r>
              <w:proofErr w:type="spellEnd"/>
              <w:r w:rsidRPr="0096436E">
                <w:rPr>
                  <w:lang w:val="en-US"/>
                </w:rPr>
                <w:t>,</w:t>
              </w:r>
              <w:r w:rsidRPr="0096436E">
                <w:rPr>
                  <w:lang w:val="en-US"/>
                </w:rPr>
                <w:t xml:space="preserve"> </w:t>
              </w:r>
              <w:r w:rsidRPr="0096436E">
                <w:rPr>
                  <w:lang w:val="en-US"/>
                </w:rPr>
                <w:t>Lisa</w:t>
              </w:r>
              <w:r>
                <w:rPr>
                  <w:lang w:val="en-US"/>
                </w:rPr>
                <w:t>,</w:t>
              </w:r>
              <w:r w:rsidRPr="0096436E">
                <w:rPr>
                  <w:lang w:val="en-US"/>
                </w:rPr>
                <w:t xml:space="preserve"> Paik,</w:t>
              </w:r>
              <w:r w:rsidRPr="0096436E">
                <w:rPr>
                  <w:lang w:val="en-US"/>
                </w:rPr>
                <w:t xml:space="preserve"> </w:t>
              </w:r>
              <w:r w:rsidRPr="0096436E">
                <w:rPr>
                  <w:lang w:val="en-US"/>
                </w:rPr>
                <w:t>Christopher</w:t>
              </w:r>
              <w:r>
                <w:rPr>
                  <w:lang w:val="en-US"/>
                </w:rPr>
                <w:t>,</w:t>
              </w:r>
              <w:r w:rsidRPr="0096436E">
                <w:rPr>
                  <w:lang w:val="en-US"/>
                </w:rPr>
                <w:t xml:space="preserve"> ‘The Impact of the Holy Land Crusades on State Formation: War Mobilization, Trade Integration and Political Development in Medieval Europe’, </w:t>
              </w:r>
              <w:r w:rsidRPr="0096436E">
                <w:rPr>
                  <w:i/>
                  <w:iCs/>
                  <w:lang w:val="en-US"/>
                </w:rPr>
                <w:t xml:space="preserve">International Organization, </w:t>
              </w:r>
              <w:r w:rsidRPr="0096436E">
                <w:rPr>
                  <w:lang w:val="en-US"/>
                </w:rPr>
                <w:t>Vol. 70, No.3 (2016) p.551-586 (p.552)</w:t>
              </w:r>
            </w:p>
            <w:p w14:paraId="4932CE6E" w14:textId="77777777" w:rsidR="0096436E" w:rsidRDefault="0096436E">
              <w:proofErr w:type="spellStart"/>
              <w:r w:rsidRPr="0096436E">
                <w:t>Bongars</w:t>
              </w:r>
              <w:proofErr w:type="spellEnd"/>
              <w:r w:rsidRPr="0096436E">
                <w:t>, </w:t>
              </w:r>
              <w:proofErr w:type="spellStart"/>
              <w:r w:rsidRPr="0096436E">
                <w:rPr>
                  <w:i/>
                  <w:iCs/>
                </w:rPr>
                <w:t>Gesta</w:t>
              </w:r>
              <w:proofErr w:type="spellEnd"/>
              <w:r w:rsidRPr="0096436E">
                <w:rPr>
                  <w:i/>
                  <w:iCs/>
                </w:rPr>
                <w:t xml:space="preserve"> Dei per </w:t>
              </w:r>
              <w:proofErr w:type="spellStart"/>
              <w:r w:rsidRPr="0096436E">
                <w:rPr>
                  <w:i/>
                  <w:iCs/>
                </w:rPr>
                <w:t>Francos</w:t>
              </w:r>
              <w:proofErr w:type="spellEnd"/>
              <w:r w:rsidRPr="0096436E">
                <w:t>, 1, pp. 382 f., trans in Thatcher,</w:t>
              </w:r>
              <w:r w:rsidRPr="0096436E">
                <w:t xml:space="preserve"> </w:t>
              </w:r>
              <w:r w:rsidRPr="0096436E">
                <w:t>Oliver J.</w:t>
              </w:r>
              <w:r>
                <w:t>,</w:t>
              </w:r>
              <w:r w:rsidRPr="0096436E">
                <w:t xml:space="preserve"> and Holmes McNeal,</w:t>
              </w:r>
              <w:r w:rsidRPr="0096436E">
                <w:t xml:space="preserve"> </w:t>
              </w:r>
              <w:r w:rsidRPr="0096436E">
                <w:t>Edgar</w:t>
              </w:r>
              <w:r>
                <w:t>,</w:t>
              </w:r>
              <w:r w:rsidRPr="0096436E">
                <w:t xml:space="preserve"> eds., </w:t>
              </w:r>
              <w:r w:rsidRPr="0096436E">
                <w:rPr>
                  <w:i/>
                  <w:iCs/>
                </w:rPr>
                <w:t>A Source Book for Medieval History</w:t>
              </w:r>
              <w:r w:rsidRPr="0096436E">
                <w:t xml:space="preserve">, (New York: </w:t>
              </w:r>
              <w:proofErr w:type="spellStart"/>
              <w:r w:rsidRPr="0096436E">
                <w:t>Scribners</w:t>
              </w:r>
              <w:proofErr w:type="spellEnd"/>
              <w:r w:rsidRPr="0096436E">
                <w:t>, 1905), 513-17</w:t>
              </w:r>
            </w:p>
            <w:p w14:paraId="24A5C05B" w14:textId="3F18B3A1" w:rsidR="0096436E" w:rsidRDefault="0096436E">
              <w:proofErr w:type="spellStart"/>
              <w:r w:rsidRPr="0096436E">
                <w:t>Cavendsh</w:t>
              </w:r>
              <w:proofErr w:type="spellEnd"/>
              <w:r w:rsidRPr="0096436E">
                <w:t>,</w:t>
              </w:r>
              <w:r w:rsidRPr="0096436E">
                <w:t xml:space="preserve"> </w:t>
              </w:r>
              <w:r w:rsidRPr="0096436E">
                <w:t>Richard</w:t>
              </w:r>
              <w:r>
                <w:t>,</w:t>
              </w:r>
              <w:r w:rsidRPr="0096436E">
                <w:t xml:space="preserve"> ‘The Battle of the Milvian </w:t>
              </w:r>
              <w:proofErr w:type="gramStart"/>
              <w:r w:rsidRPr="0096436E">
                <w:t>Bridge.(</w:t>
              </w:r>
              <w:proofErr w:type="gramEnd"/>
              <w:r w:rsidRPr="0096436E">
                <w:t>Months Past: Anniversaries)’, </w:t>
              </w:r>
              <w:r w:rsidRPr="0096436E">
                <w:rPr>
                  <w:i/>
                  <w:iCs/>
                </w:rPr>
                <w:t>History Today</w:t>
              </w:r>
              <w:r w:rsidRPr="0096436E">
                <w:t>, 62.10 (2012), p8</w:t>
              </w:r>
            </w:p>
            <w:p w14:paraId="31AFF93C" w14:textId="236F9192" w:rsidR="0096436E" w:rsidRDefault="0096436E">
              <w:r w:rsidRPr="0096436E">
                <w:t>Doran,</w:t>
              </w:r>
              <w:r w:rsidRPr="0096436E">
                <w:t xml:space="preserve"> </w:t>
              </w:r>
              <w:r w:rsidRPr="0096436E">
                <w:t>John</w:t>
              </w:r>
              <w:r>
                <w:t>,</w:t>
              </w:r>
              <w:r w:rsidRPr="0096436E">
                <w:t xml:space="preserve"> ‘Gregory VII’, </w:t>
              </w:r>
              <w:r w:rsidRPr="0096436E">
                <w:rPr>
                  <w:i/>
                  <w:iCs/>
                </w:rPr>
                <w:t xml:space="preserve">Oxford Bibliographies, </w:t>
              </w:r>
              <w:r w:rsidRPr="0096436E">
                <w:t xml:space="preserve">2012, </w:t>
              </w:r>
              <w:hyperlink r:id="rId7" w:history="1">
                <w:r w:rsidRPr="0096436E">
                  <w:rPr>
                    <w:rStyle w:val="Hyperlink"/>
                  </w:rPr>
                  <w:t>https://www.oxfordbibliographies.com/view/document/obo-9780195396584/obo-9780195396584-0131.xml</w:t>
                </w:r>
              </w:hyperlink>
              <w:r w:rsidRPr="0096436E">
                <w:t xml:space="preserve">, [last accessed 15 March </w:t>
              </w:r>
              <w:proofErr w:type="gramStart"/>
              <w:r w:rsidRPr="0096436E">
                <w:t>2021</w:t>
              </w:r>
              <w:proofErr w:type="gramEnd"/>
            </w:p>
            <w:p w14:paraId="5387B605" w14:textId="5D31956F" w:rsidR="00C650B6" w:rsidRDefault="00C650B6">
              <w:r w:rsidRPr="00C650B6">
                <w:t xml:space="preserve">In </w:t>
              </w:r>
              <w:proofErr w:type="spellStart"/>
              <w:r w:rsidRPr="00C650B6">
                <w:t>Migne</w:t>
              </w:r>
              <w:proofErr w:type="spellEnd"/>
              <w:r w:rsidRPr="00C650B6">
                <w:t>, </w:t>
              </w:r>
              <w:proofErr w:type="spellStart"/>
              <w:r w:rsidRPr="00C650B6">
                <w:rPr>
                  <w:i/>
                  <w:iCs/>
                </w:rPr>
                <w:t>Patrologia</w:t>
              </w:r>
              <w:proofErr w:type="spellEnd"/>
              <w:r w:rsidRPr="00C650B6">
                <w:rPr>
                  <w:i/>
                  <w:iCs/>
                </w:rPr>
                <w:t xml:space="preserve"> Latina</w:t>
              </w:r>
              <w:r w:rsidRPr="00C650B6">
                <w:t>, 126: 816, trans. J. Thatcher,</w:t>
              </w:r>
              <w:r w:rsidRPr="00C650B6">
                <w:t xml:space="preserve"> </w:t>
              </w:r>
              <w:r w:rsidRPr="00C650B6">
                <w:t>Oliver</w:t>
              </w:r>
              <w:r>
                <w:t>,</w:t>
              </w:r>
              <w:r w:rsidRPr="00C650B6">
                <w:t xml:space="preserve"> and Holmes McNeal,</w:t>
              </w:r>
              <w:r w:rsidRPr="00C650B6">
                <w:t xml:space="preserve"> </w:t>
              </w:r>
              <w:r w:rsidRPr="00C650B6">
                <w:t>Edgar</w:t>
              </w:r>
              <w:r>
                <w:t>,</w:t>
              </w:r>
              <w:r w:rsidRPr="00C650B6">
                <w:t xml:space="preserve"> eds., </w:t>
              </w:r>
              <w:r w:rsidRPr="00C650B6">
                <w:rPr>
                  <w:i/>
                  <w:iCs/>
                </w:rPr>
                <w:t>A Source Book for Medieval History</w:t>
              </w:r>
              <w:r w:rsidRPr="00C650B6">
                <w:t xml:space="preserve">, (New York: </w:t>
              </w:r>
              <w:proofErr w:type="spellStart"/>
              <w:r w:rsidRPr="00C650B6">
                <w:t>Scribners</w:t>
              </w:r>
              <w:proofErr w:type="spellEnd"/>
              <w:r w:rsidRPr="00C650B6">
                <w:t>, 1905), 512</w:t>
              </w:r>
            </w:p>
            <w:p w14:paraId="133BEF04" w14:textId="769CD98D" w:rsidR="00C650B6" w:rsidRDefault="00C650B6">
              <w:r w:rsidRPr="00C650B6">
                <w:lastRenderedPageBreak/>
                <w:t xml:space="preserve">In </w:t>
              </w:r>
              <w:proofErr w:type="spellStart"/>
              <w:r w:rsidRPr="00C650B6">
                <w:t>Migne</w:t>
              </w:r>
              <w:proofErr w:type="spellEnd"/>
              <w:r w:rsidRPr="00C650B6">
                <w:t xml:space="preserve">, </w:t>
              </w:r>
              <w:proofErr w:type="spellStart"/>
              <w:r w:rsidRPr="00C650B6">
                <w:rPr>
                  <w:i/>
                  <w:iCs/>
                </w:rPr>
                <w:t>Patrologia</w:t>
              </w:r>
              <w:proofErr w:type="spellEnd"/>
              <w:r w:rsidRPr="00C650B6">
                <w:rPr>
                  <w:i/>
                  <w:iCs/>
                </w:rPr>
                <w:t xml:space="preserve"> Latina</w:t>
              </w:r>
              <w:r w:rsidRPr="00C650B6">
                <w:t>, 148:329, trans. J. Thatcher,</w:t>
              </w:r>
              <w:r w:rsidRPr="00C650B6">
                <w:t xml:space="preserve"> </w:t>
              </w:r>
              <w:r w:rsidRPr="00C650B6">
                <w:t>Oliver</w:t>
              </w:r>
              <w:r>
                <w:t>,</w:t>
              </w:r>
              <w:r w:rsidRPr="00C650B6">
                <w:t xml:space="preserve"> and Holmes McNeal,</w:t>
              </w:r>
              <w:r w:rsidRPr="00C650B6">
                <w:t xml:space="preserve"> </w:t>
              </w:r>
              <w:r w:rsidRPr="00C650B6">
                <w:t>Edgar</w:t>
              </w:r>
              <w:r>
                <w:t>,</w:t>
              </w:r>
              <w:r w:rsidRPr="00C650B6">
                <w:t xml:space="preserve"> eds., A Source Book for Medieval History, (New York: </w:t>
              </w:r>
              <w:proofErr w:type="spellStart"/>
              <w:r w:rsidRPr="00C650B6">
                <w:t>Scribners</w:t>
              </w:r>
              <w:proofErr w:type="spellEnd"/>
              <w:r w:rsidRPr="00C650B6">
                <w:t>, 1905), 512-13</w:t>
              </w:r>
            </w:p>
            <w:p w14:paraId="16138B89" w14:textId="77777777" w:rsidR="00C650B6" w:rsidRDefault="00C650B6">
              <w:r w:rsidRPr="00C650B6">
                <w:t xml:space="preserve">Leo IV, </w:t>
              </w:r>
              <w:r w:rsidRPr="00C650B6">
                <w:rPr>
                  <w:i/>
                  <w:iCs/>
                </w:rPr>
                <w:t xml:space="preserve">Forgiveness of Sins for Those Who Die in Battle </w:t>
              </w:r>
              <w:proofErr w:type="gramStart"/>
              <w:r w:rsidRPr="00C650B6">
                <w:rPr>
                  <w:i/>
                  <w:iCs/>
                </w:rPr>
                <w:t>With</w:t>
              </w:r>
              <w:proofErr w:type="gramEnd"/>
              <w:r w:rsidRPr="00C650B6">
                <w:rPr>
                  <w:i/>
                  <w:iCs/>
                </w:rPr>
                <w:t xml:space="preserve"> the Heathen</w:t>
              </w:r>
              <w:r w:rsidRPr="00C650B6">
                <w:t>, trans. J. Thatcher,</w:t>
              </w:r>
              <w:r w:rsidRPr="00C650B6">
                <w:t xml:space="preserve"> </w:t>
              </w:r>
              <w:r w:rsidRPr="00C650B6">
                <w:t>Oliver</w:t>
              </w:r>
              <w:r>
                <w:t>,</w:t>
              </w:r>
              <w:r w:rsidRPr="00C650B6">
                <w:t xml:space="preserve"> and Holmes McNeal,</w:t>
              </w:r>
              <w:r w:rsidRPr="00C650B6">
                <w:t xml:space="preserve"> </w:t>
              </w:r>
              <w:r w:rsidRPr="00C650B6">
                <w:t>Edgar</w:t>
              </w:r>
              <w:r>
                <w:t>,</w:t>
              </w:r>
              <w:r w:rsidRPr="00C650B6">
                <w:t xml:space="preserve"> eds., </w:t>
              </w:r>
              <w:r w:rsidRPr="00C650B6">
                <w:rPr>
                  <w:i/>
                  <w:iCs/>
                </w:rPr>
                <w:t>A Source Book for Medieval History</w:t>
              </w:r>
              <w:r w:rsidRPr="00C650B6">
                <w:t xml:space="preserve">, (New York: </w:t>
              </w:r>
              <w:proofErr w:type="spellStart"/>
              <w:r w:rsidRPr="00C650B6">
                <w:t>Scribners</w:t>
              </w:r>
              <w:proofErr w:type="spellEnd"/>
              <w:r w:rsidRPr="00C650B6">
                <w:t>, 1905), p.511-12</w:t>
              </w:r>
            </w:p>
            <w:p w14:paraId="05089805" w14:textId="77777777" w:rsidR="003C344E" w:rsidRDefault="003C344E">
              <w:r w:rsidRPr="003C344E">
                <w:t>Mann,</w:t>
              </w:r>
              <w:r w:rsidRPr="003C344E">
                <w:t xml:space="preserve"> </w:t>
              </w:r>
              <w:r w:rsidRPr="003C344E">
                <w:t>Horace</w:t>
              </w:r>
              <w:r>
                <w:t>,</w:t>
              </w:r>
              <w:r w:rsidRPr="003C344E">
                <w:t> "Pope St. Leo IV." </w:t>
              </w:r>
              <w:r w:rsidRPr="003C344E">
                <w:rPr>
                  <w:i/>
                  <w:iCs/>
                </w:rPr>
                <w:t xml:space="preserve">The Catholic </w:t>
              </w:r>
              <w:proofErr w:type="spellStart"/>
              <w:r w:rsidRPr="003C344E">
                <w:rPr>
                  <w:i/>
                  <w:iCs/>
                </w:rPr>
                <w:t>Encyclopedia</w:t>
              </w:r>
              <w:proofErr w:type="spellEnd"/>
              <w:r w:rsidRPr="003C344E">
                <w:rPr>
                  <w:u w:val="single"/>
                </w:rPr>
                <w:t>.</w:t>
              </w:r>
              <w:r w:rsidRPr="003C344E">
                <w:t> Vol. 9. New York: Robert Appleton Company, 1910. 11 Mar. 2021 </w:t>
              </w:r>
              <w:hyperlink r:id="rId8" w:history="1">
                <w:r w:rsidRPr="003C344E">
                  <w:rPr>
                    <w:rStyle w:val="Hyperlink"/>
                  </w:rPr>
                  <w:t>http://www.newadvent.org/cathen/09159a.htm</w:t>
                </w:r>
              </w:hyperlink>
              <w:r w:rsidRPr="003C344E">
                <w:t>, [Last accessed 11 March 2021]</w:t>
              </w:r>
            </w:p>
            <w:p w14:paraId="6288B130" w14:textId="7A24467A" w:rsidR="0096436E" w:rsidRDefault="003C344E">
              <w:r w:rsidRPr="003C344E">
                <w:t>Munro,</w:t>
              </w:r>
              <w:r w:rsidRPr="003C344E">
                <w:t xml:space="preserve"> </w:t>
              </w:r>
              <w:r w:rsidRPr="003C344E">
                <w:t>Dana C.</w:t>
              </w:r>
              <w:r>
                <w:t xml:space="preserve">, </w:t>
              </w:r>
              <w:r w:rsidRPr="003C344E">
                <w:rPr>
                  <w:i/>
                  <w:iCs/>
                </w:rPr>
                <w:t>Urban and the Crusaders</w:t>
              </w:r>
              <w:r w:rsidRPr="003C344E">
                <w:t>, Translations and Reprints from the Original Sources of European History, Vol 1:2, (Philadelphia: University of Pennsylvania, 1895), 5-8</w:t>
              </w:r>
            </w:p>
          </w:sdtContent>
        </w:sdt>
      </w:sdtContent>
    </w:sdt>
    <w:p w14:paraId="05129F29" w14:textId="40C07818" w:rsidR="00706AC8" w:rsidRDefault="00706AC8" w:rsidP="00AC5F7F">
      <w:pPr>
        <w:rPr>
          <w:rFonts w:cstheme="minorHAnsi"/>
          <w:sz w:val="24"/>
          <w:szCs w:val="24"/>
          <w:lang w:val="en-US"/>
        </w:rPr>
      </w:pPr>
    </w:p>
    <w:sectPr w:rsidR="00706AC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AD835E" w14:textId="77777777" w:rsidR="00600951" w:rsidRDefault="00600951" w:rsidP="00AC5F7F">
      <w:pPr>
        <w:spacing w:after="0" w:line="240" w:lineRule="auto"/>
      </w:pPr>
      <w:r>
        <w:separator/>
      </w:r>
    </w:p>
  </w:endnote>
  <w:endnote w:type="continuationSeparator" w:id="0">
    <w:p w14:paraId="57EA1AC8" w14:textId="77777777" w:rsidR="00600951" w:rsidRDefault="00600951" w:rsidP="00AC5F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D885FA" w14:textId="77777777" w:rsidR="00600951" w:rsidRDefault="00600951" w:rsidP="00AC5F7F">
      <w:pPr>
        <w:spacing w:after="0" w:line="240" w:lineRule="auto"/>
      </w:pPr>
      <w:r>
        <w:separator/>
      </w:r>
    </w:p>
  </w:footnote>
  <w:footnote w:type="continuationSeparator" w:id="0">
    <w:p w14:paraId="2E22D1B7" w14:textId="77777777" w:rsidR="00600951" w:rsidRDefault="00600951" w:rsidP="00AC5F7F">
      <w:pPr>
        <w:spacing w:after="0" w:line="240" w:lineRule="auto"/>
      </w:pPr>
      <w:r>
        <w:continuationSeparator/>
      </w:r>
    </w:p>
  </w:footnote>
  <w:footnote w:id="1">
    <w:p w14:paraId="31252D3B" w14:textId="4613FF5B" w:rsidR="00AC5F7F" w:rsidRPr="0025373A" w:rsidRDefault="00AC5F7F">
      <w:pPr>
        <w:pStyle w:val="FootnoteText"/>
        <w:rPr>
          <w:lang w:val="en-US"/>
        </w:rPr>
      </w:pPr>
      <w:r>
        <w:rPr>
          <w:rStyle w:val="FootnoteReference"/>
        </w:rPr>
        <w:footnoteRef/>
      </w:r>
      <w:r>
        <w:t xml:space="preserve"> </w:t>
      </w:r>
      <w:bookmarkStart w:id="0" w:name="_Hlk67045127"/>
      <w:r>
        <w:rPr>
          <w:lang w:val="en-US"/>
        </w:rPr>
        <w:t xml:space="preserve">Lisa </w:t>
      </w:r>
      <w:proofErr w:type="spellStart"/>
      <w:r>
        <w:rPr>
          <w:lang w:val="en-US"/>
        </w:rPr>
        <w:t>Blaydes</w:t>
      </w:r>
      <w:proofErr w:type="spellEnd"/>
      <w:r>
        <w:rPr>
          <w:lang w:val="en-US"/>
        </w:rPr>
        <w:t>, Christopher Paik, ‘The Impact of the Holy Land Crusades on State Formation: War Mobilization</w:t>
      </w:r>
      <w:r w:rsidR="0025373A">
        <w:rPr>
          <w:lang w:val="en-US"/>
        </w:rPr>
        <w:t xml:space="preserve">, Trade Integration and Political Development in Medieval Europe’, </w:t>
      </w:r>
      <w:r w:rsidR="0025373A">
        <w:rPr>
          <w:i/>
          <w:iCs/>
          <w:lang w:val="en-US"/>
        </w:rPr>
        <w:t xml:space="preserve">International Organization, </w:t>
      </w:r>
      <w:r w:rsidR="0025373A">
        <w:rPr>
          <w:lang w:val="en-US"/>
        </w:rPr>
        <w:t>Vol. 70, No.3 (2016) p.551-586 (p.552)</w:t>
      </w:r>
      <w:bookmarkEnd w:id="0"/>
      <w:r w:rsidR="0025373A">
        <w:rPr>
          <w:i/>
          <w:iCs/>
          <w:lang w:val="en-US"/>
        </w:rPr>
        <w:t xml:space="preserve"> </w:t>
      </w:r>
    </w:p>
  </w:footnote>
  <w:footnote w:id="2">
    <w:p w14:paraId="6024996E" w14:textId="2CD4F6F4" w:rsidR="0025373A" w:rsidRPr="0025373A" w:rsidRDefault="0025373A" w:rsidP="0025373A">
      <w:pPr>
        <w:pStyle w:val="FootnoteText"/>
      </w:pPr>
      <w:r>
        <w:rPr>
          <w:rStyle w:val="FootnoteReference"/>
        </w:rPr>
        <w:footnoteRef/>
      </w:r>
      <w:r>
        <w:t xml:space="preserve"> </w:t>
      </w:r>
      <w:bookmarkStart w:id="1" w:name="_Hlk66360474"/>
      <w:r w:rsidRPr="0025373A">
        <w:t>Leo IV</w:t>
      </w:r>
      <w:r>
        <w:t xml:space="preserve">, </w:t>
      </w:r>
      <w:r w:rsidRPr="0025373A">
        <w:rPr>
          <w:i/>
          <w:iCs/>
        </w:rPr>
        <w:t xml:space="preserve">Forgiveness of Sins for Those Who Die in Battle </w:t>
      </w:r>
      <w:proofErr w:type="gramStart"/>
      <w:r w:rsidRPr="0025373A">
        <w:rPr>
          <w:i/>
          <w:iCs/>
        </w:rPr>
        <w:t>With</w:t>
      </w:r>
      <w:proofErr w:type="gramEnd"/>
      <w:r w:rsidRPr="0025373A">
        <w:rPr>
          <w:i/>
          <w:iCs/>
        </w:rPr>
        <w:t xml:space="preserve"> the Heathen</w:t>
      </w:r>
      <w:r>
        <w:t xml:space="preserve">, </w:t>
      </w:r>
      <w:r w:rsidRPr="0025373A">
        <w:t xml:space="preserve">trans. Oliver J. Thatcher, and Edgar Holmes McNeal, eds., </w:t>
      </w:r>
      <w:r w:rsidRPr="0025373A">
        <w:rPr>
          <w:i/>
          <w:iCs/>
        </w:rPr>
        <w:t>A Source Book for Medieval History</w:t>
      </w:r>
      <w:r w:rsidRPr="0025373A">
        <w:t xml:space="preserve">, (New York: </w:t>
      </w:r>
      <w:proofErr w:type="spellStart"/>
      <w:r w:rsidRPr="0025373A">
        <w:t>Scribners</w:t>
      </w:r>
      <w:proofErr w:type="spellEnd"/>
      <w:r w:rsidRPr="0025373A">
        <w:t xml:space="preserve">, 1905), </w:t>
      </w:r>
      <w:r>
        <w:t>p.</w:t>
      </w:r>
      <w:r w:rsidRPr="0025373A">
        <w:t xml:space="preserve">511-12 </w:t>
      </w:r>
      <w:bookmarkEnd w:id="1"/>
    </w:p>
    <w:p w14:paraId="7A6F8507" w14:textId="771EEF38" w:rsidR="0025373A" w:rsidRPr="0025373A" w:rsidRDefault="0025373A">
      <w:pPr>
        <w:pStyle w:val="FootnoteText"/>
        <w:rPr>
          <w:lang w:val="en-US"/>
        </w:rPr>
      </w:pPr>
    </w:p>
  </w:footnote>
  <w:footnote w:id="3">
    <w:p w14:paraId="078C4D5E" w14:textId="163557BB" w:rsidR="00544129" w:rsidRPr="00544129" w:rsidRDefault="00544129">
      <w:pPr>
        <w:pStyle w:val="FootnoteText"/>
        <w:rPr>
          <w:lang w:val="en-US"/>
        </w:rPr>
      </w:pPr>
      <w:r>
        <w:rPr>
          <w:rStyle w:val="FootnoteReference"/>
        </w:rPr>
        <w:footnoteRef/>
      </w:r>
      <w:r>
        <w:t xml:space="preserve"> </w:t>
      </w:r>
      <w:bookmarkStart w:id="2" w:name="_Hlk66712114"/>
      <w:r>
        <w:t>I</w:t>
      </w:r>
      <w:r w:rsidRPr="00544129">
        <w:t xml:space="preserve">n </w:t>
      </w:r>
      <w:proofErr w:type="spellStart"/>
      <w:r w:rsidRPr="00544129">
        <w:t>Migne</w:t>
      </w:r>
      <w:proofErr w:type="spellEnd"/>
      <w:r w:rsidRPr="00544129">
        <w:t>, </w:t>
      </w:r>
      <w:proofErr w:type="spellStart"/>
      <w:r w:rsidRPr="00544129">
        <w:rPr>
          <w:i/>
          <w:iCs/>
        </w:rPr>
        <w:t>Patrologia</w:t>
      </w:r>
      <w:proofErr w:type="spellEnd"/>
      <w:r w:rsidRPr="00544129">
        <w:rPr>
          <w:i/>
          <w:iCs/>
        </w:rPr>
        <w:t xml:space="preserve"> Latina</w:t>
      </w:r>
      <w:r w:rsidRPr="00544129">
        <w:t>, 126: 816</w:t>
      </w:r>
      <w:r>
        <w:t xml:space="preserve">, </w:t>
      </w:r>
      <w:r w:rsidRPr="00544129">
        <w:t>trans. Oliver J. Thatcher, and Edgar Holmes McNeal, eds., </w:t>
      </w:r>
      <w:r w:rsidRPr="00544129">
        <w:rPr>
          <w:i/>
          <w:iCs/>
        </w:rPr>
        <w:t>A Source Book for Medieval History</w:t>
      </w:r>
      <w:r w:rsidRPr="00544129">
        <w:t xml:space="preserve">, (New York: </w:t>
      </w:r>
      <w:proofErr w:type="spellStart"/>
      <w:r w:rsidRPr="00544129">
        <w:t>Scribners</w:t>
      </w:r>
      <w:proofErr w:type="spellEnd"/>
      <w:r w:rsidRPr="00544129">
        <w:t>, 1905), 512</w:t>
      </w:r>
      <w:bookmarkEnd w:id="2"/>
    </w:p>
  </w:footnote>
  <w:footnote w:id="4">
    <w:p w14:paraId="7DEC1BAC" w14:textId="54CC45E1" w:rsidR="00BC474E" w:rsidRPr="00BC474E" w:rsidRDefault="00BC474E">
      <w:pPr>
        <w:pStyle w:val="FootnoteText"/>
        <w:rPr>
          <w:lang w:val="en-US"/>
        </w:rPr>
      </w:pPr>
      <w:r>
        <w:rPr>
          <w:rStyle w:val="FootnoteReference"/>
        </w:rPr>
        <w:footnoteRef/>
      </w:r>
      <w:r>
        <w:t xml:space="preserve"> </w:t>
      </w:r>
      <w:bookmarkStart w:id="3" w:name="_Hlk67044529"/>
      <w:r w:rsidRPr="00BC474E">
        <w:t xml:space="preserve">Leo IV, </w:t>
      </w:r>
      <w:r w:rsidRPr="00BC474E">
        <w:rPr>
          <w:i/>
          <w:iCs/>
        </w:rPr>
        <w:t xml:space="preserve">Forgiveness of Sins for Those Who Die in Battle </w:t>
      </w:r>
      <w:proofErr w:type="gramStart"/>
      <w:r w:rsidRPr="00BC474E">
        <w:rPr>
          <w:i/>
          <w:iCs/>
        </w:rPr>
        <w:t>With</w:t>
      </w:r>
      <w:proofErr w:type="gramEnd"/>
      <w:r w:rsidRPr="00BC474E">
        <w:rPr>
          <w:i/>
          <w:iCs/>
        </w:rPr>
        <w:t xml:space="preserve"> the Heathen</w:t>
      </w:r>
      <w:r w:rsidRPr="00BC474E">
        <w:t>, Thatcher, and McNeal</w:t>
      </w:r>
      <w:r w:rsidR="00325669">
        <w:t xml:space="preserve">, </w:t>
      </w:r>
      <w:r w:rsidRPr="00BC474E">
        <w:t>p.511-12</w:t>
      </w:r>
      <w:bookmarkEnd w:id="3"/>
    </w:p>
  </w:footnote>
  <w:footnote w:id="5">
    <w:p w14:paraId="529868D2" w14:textId="7C2F3690" w:rsidR="00DE53D1" w:rsidRPr="00DE53D1" w:rsidRDefault="00DE53D1">
      <w:pPr>
        <w:pStyle w:val="FootnoteText"/>
        <w:rPr>
          <w:lang w:val="en-US"/>
        </w:rPr>
      </w:pPr>
      <w:r>
        <w:rPr>
          <w:rStyle w:val="FootnoteReference"/>
        </w:rPr>
        <w:footnoteRef/>
      </w:r>
      <w:bookmarkStart w:id="4" w:name="_Hlk67046141"/>
      <w:r w:rsidRPr="00DE53D1">
        <w:t>Horace</w:t>
      </w:r>
      <w:r>
        <w:t xml:space="preserve"> </w:t>
      </w:r>
      <w:r w:rsidRPr="00DE53D1">
        <w:t>Mann, "Pope St. Leo IV." </w:t>
      </w:r>
      <w:r w:rsidRPr="00DE53D1">
        <w:rPr>
          <w:i/>
          <w:iCs/>
        </w:rPr>
        <w:t xml:space="preserve">The Catholic </w:t>
      </w:r>
      <w:proofErr w:type="spellStart"/>
      <w:r w:rsidRPr="00DE53D1">
        <w:rPr>
          <w:i/>
          <w:iCs/>
        </w:rPr>
        <w:t>Encyclopedia</w:t>
      </w:r>
      <w:proofErr w:type="spellEnd"/>
      <w:r w:rsidRPr="00DE53D1">
        <w:rPr>
          <w:u w:val="single"/>
        </w:rPr>
        <w:t>.</w:t>
      </w:r>
      <w:r w:rsidRPr="00DE53D1">
        <w:t> Vol. 9. New York: Robert Appleton Company, 1910. 11 Mar. 2021 </w:t>
      </w:r>
      <w:hyperlink r:id="rId1" w:history="1">
        <w:r w:rsidRPr="00BE6E80">
          <w:rPr>
            <w:rStyle w:val="Hyperlink"/>
          </w:rPr>
          <w:t>http://www.newadvent.org/cathen/09159a.htm</w:t>
        </w:r>
      </w:hyperlink>
      <w:r>
        <w:t>, [Last accessed 11 March 2021]</w:t>
      </w:r>
      <w:bookmarkEnd w:id="4"/>
    </w:p>
  </w:footnote>
  <w:footnote w:id="6">
    <w:p w14:paraId="345D6901" w14:textId="5DE143EC" w:rsidR="00DE53D1" w:rsidRPr="00DE53D1" w:rsidRDefault="00DE53D1">
      <w:pPr>
        <w:pStyle w:val="FootnoteText"/>
        <w:rPr>
          <w:lang w:val="en-US"/>
        </w:rPr>
      </w:pPr>
      <w:r>
        <w:rPr>
          <w:rStyle w:val="FootnoteReference"/>
        </w:rPr>
        <w:footnoteRef/>
      </w:r>
      <w:r>
        <w:t xml:space="preserve"> </w:t>
      </w:r>
      <w:r w:rsidR="00325669" w:rsidRPr="00325669">
        <w:t xml:space="preserve">Leo IV, </w:t>
      </w:r>
      <w:r w:rsidR="00325669" w:rsidRPr="00325669">
        <w:rPr>
          <w:i/>
          <w:iCs/>
        </w:rPr>
        <w:t xml:space="preserve">Forgiveness of Sins for Those Who Die in Battle </w:t>
      </w:r>
      <w:proofErr w:type="gramStart"/>
      <w:r w:rsidR="00325669" w:rsidRPr="00325669">
        <w:rPr>
          <w:i/>
          <w:iCs/>
        </w:rPr>
        <w:t>With</w:t>
      </w:r>
      <w:proofErr w:type="gramEnd"/>
      <w:r w:rsidR="00325669" w:rsidRPr="00325669">
        <w:rPr>
          <w:i/>
          <w:iCs/>
        </w:rPr>
        <w:t xml:space="preserve"> the Heathen</w:t>
      </w:r>
      <w:r w:rsidR="00325669" w:rsidRPr="00325669">
        <w:t>, Thatcher, and McNeal, p.511-12</w:t>
      </w:r>
    </w:p>
  </w:footnote>
  <w:footnote w:id="7">
    <w:p w14:paraId="208708C6" w14:textId="273F1123" w:rsidR="0057651A" w:rsidRPr="0057651A" w:rsidRDefault="0057651A">
      <w:pPr>
        <w:pStyle w:val="FootnoteText"/>
        <w:rPr>
          <w:lang w:val="en-US"/>
        </w:rPr>
      </w:pPr>
      <w:bookmarkStart w:id="5" w:name="_Hlk67045190"/>
      <w:r>
        <w:rPr>
          <w:rStyle w:val="FootnoteReference"/>
        </w:rPr>
        <w:footnoteRef/>
      </w:r>
      <w:r>
        <w:t xml:space="preserve"> </w:t>
      </w:r>
      <w:bookmarkStart w:id="6" w:name="_Hlk65238629"/>
      <w:proofErr w:type="spellStart"/>
      <w:r w:rsidRPr="0057651A">
        <w:t>Bongars</w:t>
      </w:r>
      <w:proofErr w:type="spellEnd"/>
      <w:r w:rsidRPr="0057651A">
        <w:t>, </w:t>
      </w:r>
      <w:proofErr w:type="spellStart"/>
      <w:r w:rsidRPr="0057651A">
        <w:rPr>
          <w:i/>
          <w:iCs/>
        </w:rPr>
        <w:t>Gesta</w:t>
      </w:r>
      <w:proofErr w:type="spellEnd"/>
      <w:r w:rsidRPr="0057651A">
        <w:rPr>
          <w:i/>
          <w:iCs/>
        </w:rPr>
        <w:t xml:space="preserve"> Dei per </w:t>
      </w:r>
      <w:proofErr w:type="spellStart"/>
      <w:r w:rsidRPr="0057651A">
        <w:rPr>
          <w:i/>
          <w:iCs/>
        </w:rPr>
        <w:t>Francos</w:t>
      </w:r>
      <w:proofErr w:type="spellEnd"/>
      <w:r w:rsidRPr="0057651A">
        <w:t>, 1, pp. 382 f., trans in Oliver J. Thatcher, and Edgar Holmes McNeal, eds., </w:t>
      </w:r>
      <w:r w:rsidRPr="0057651A">
        <w:rPr>
          <w:i/>
          <w:iCs/>
        </w:rPr>
        <w:t>A Source Book for Medieval History</w:t>
      </w:r>
      <w:r w:rsidRPr="0057651A">
        <w:t xml:space="preserve">, (New York: </w:t>
      </w:r>
      <w:proofErr w:type="spellStart"/>
      <w:r w:rsidRPr="0057651A">
        <w:t>Scribners</w:t>
      </w:r>
      <w:proofErr w:type="spellEnd"/>
      <w:r w:rsidRPr="0057651A">
        <w:t>, 1905), 513-17</w:t>
      </w:r>
      <w:bookmarkEnd w:id="5"/>
      <w:bookmarkEnd w:id="6"/>
    </w:p>
  </w:footnote>
  <w:footnote w:id="8">
    <w:p w14:paraId="726E7194" w14:textId="03F5D287" w:rsidR="0008399C" w:rsidRPr="0008399C" w:rsidRDefault="0008399C">
      <w:pPr>
        <w:pStyle w:val="FootnoteText"/>
        <w:rPr>
          <w:lang w:val="en-US"/>
        </w:rPr>
      </w:pPr>
      <w:r>
        <w:rPr>
          <w:rStyle w:val="FootnoteReference"/>
        </w:rPr>
        <w:footnoteRef/>
      </w:r>
      <w:r>
        <w:t xml:space="preserve"> </w:t>
      </w:r>
      <w:bookmarkStart w:id="7" w:name="_Hlk67044612"/>
      <w:r w:rsidRPr="0008399C">
        <w:t xml:space="preserve">In </w:t>
      </w:r>
      <w:proofErr w:type="spellStart"/>
      <w:r w:rsidRPr="0008399C">
        <w:t>Migne</w:t>
      </w:r>
      <w:proofErr w:type="spellEnd"/>
      <w:r w:rsidRPr="0008399C">
        <w:t>, </w:t>
      </w:r>
      <w:proofErr w:type="spellStart"/>
      <w:r w:rsidRPr="0008399C">
        <w:rPr>
          <w:i/>
          <w:iCs/>
        </w:rPr>
        <w:t>Patrologia</w:t>
      </w:r>
      <w:proofErr w:type="spellEnd"/>
      <w:r w:rsidRPr="0008399C">
        <w:rPr>
          <w:i/>
          <w:iCs/>
        </w:rPr>
        <w:t xml:space="preserve"> Latina</w:t>
      </w:r>
      <w:r w:rsidRPr="0008399C">
        <w:t>, 126: 816, Thatcher, and McNeal, 512</w:t>
      </w:r>
      <w:bookmarkEnd w:id="7"/>
    </w:p>
  </w:footnote>
  <w:footnote w:id="9">
    <w:p w14:paraId="53D22FEA" w14:textId="420726D6" w:rsidR="00C81204" w:rsidRPr="00C81204" w:rsidRDefault="00C81204">
      <w:pPr>
        <w:pStyle w:val="FootnoteText"/>
        <w:rPr>
          <w:lang w:val="en-US"/>
        </w:rPr>
      </w:pPr>
      <w:r>
        <w:rPr>
          <w:rStyle w:val="FootnoteReference"/>
        </w:rPr>
        <w:footnoteRef/>
      </w:r>
      <w:r>
        <w:t xml:space="preserve"> </w:t>
      </w:r>
      <w:r w:rsidR="00325669" w:rsidRPr="00325669">
        <w:t xml:space="preserve">In </w:t>
      </w:r>
      <w:proofErr w:type="spellStart"/>
      <w:r w:rsidR="00325669" w:rsidRPr="00325669">
        <w:t>Migne</w:t>
      </w:r>
      <w:proofErr w:type="spellEnd"/>
      <w:r w:rsidR="00325669" w:rsidRPr="00325669">
        <w:t>, </w:t>
      </w:r>
      <w:proofErr w:type="spellStart"/>
      <w:r w:rsidR="00325669" w:rsidRPr="00325669">
        <w:rPr>
          <w:i/>
          <w:iCs/>
        </w:rPr>
        <w:t>Patrologia</w:t>
      </w:r>
      <w:proofErr w:type="spellEnd"/>
      <w:r w:rsidR="00325669" w:rsidRPr="00325669">
        <w:rPr>
          <w:i/>
          <w:iCs/>
        </w:rPr>
        <w:t xml:space="preserve"> Latina</w:t>
      </w:r>
      <w:r w:rsidR="00325669" w:rsidRPr="00325669">
        <w:t>, 126: 816, Thatcher, and McNeal, 512</w:t>
      </w:r>
    </w:p>
  </w:footnote>
  <w:footnote w:id="10">
    <w:p w14:paraId="6553C8FC" w14:textId="5BB2D615" w:rsidR="00904152" w:rsidRPr="00904152" w:rsidRDefault="00904152">
      <w:pPr>
        <w:pStyle w:val="FootnoteText"/>
        <w:rPr>
          <w:lang w:val="en-US"/>
        </w:rPr>
      </w:pPr>
      <w:r>
        <w:rPr>
          <w:rStyle w:val="FootnoteReference"/>
        </w:rPr>
        <w:footnoteRef/>
      </w:r>
      <w:r>
        <w:t xml:space="preserve"> </w:t>
      </w:r>
      <w:bookmarkStart w:id="8" w:name="_Hlk66811876"/>
      <w:bookmarkStart w:id="9" w:name="_Hlk67045462"/>
      <w:r w:rsidRPr="00904152">
        <w:t xml:space="preserve">John Doran, ‘Gregory VII’, </w:t>
      </w:r>
      <w:r w:rsidRPr="00904152">
        <w:rPr>
          <w:i/>
          <w:iCs/>
        </w:rPr>
        <w:t xml:space="preserve">Oxford Bibliographies, </w:t>
      </w:r>
      <w:r w:rsidRPr="00904152">
        <w:t xml:space="preserve">2012, </w:t>
      </w:r>
      <w:hyperlink r:id="rId2" w:history="1">
        <w:r w:rsidRPr="00904152">
          <w:rPr>
            <w:rStyle w:val="Hyperlink"/>
          </w:rPr>
          <w:t>https://www.oxfordbibliographies.com/view/document/obo-9780195396584/obo-9780195396584-0131.xml</w:t>
        </w:r>
      </w:hyperlink>
      <w:r w:rsidRPr="00904152">
        <w:t>, [last accessed 15 March 2021</w:t>
      </w:r>
      <w:bookmarkEnd w:id="9"/>
      <w:r w:rsidRPr="00904152">
        <w:t>]</w:t>
      </w:r>
      <w:bookmarkEnd w:id="8"/>
    </w:p>
  </w:footnote>
  <w:footnote w:id="11">
    <w:p w14:paraId="7334C7CA" w14:textId="53263A46" w:rsidR="000835A6" w:rsidRPr="000835A6" w:rsidRDefault="000835A6" w:rsidP="000835A6">
      <w:pPr>
        <w:pStyle w:val="FootnoteText"/>
      </w:pPr>
      <w:r>
        <w:rPr>
          <w:rStyle w:val="FootnoteReference"/>
        </w:rPr>
        <w:footnoteRef/>
      </w:r>
      <w:r>
        <w:t xml:space="preserve"> </w:t>
      </w:r>
      <w:bookmarkStart w:id="10" w:name="_Hlk66811412"/>
      <w:r w:rsidRPr="000835A6">
        <w:t xml:space="preserve">In </w:t>
      </w:r>
      <w:proofErr w:type="spellStart"/>
      <w:r w:rsidRPr="000835A6">
        <w:t>Migne</w:t>
      </w:r>
      <w:proofErr w:type="spellEnd"/>
      <w:r w:rsidRPr="000835A6">
        <w:t xml:space="preserve">, </w:t>
      </w:r>
      <w:proofErr w:type="spellStart"/>
      <w:r w:rsidRPr="000835A6">
        <w:rPr>
          <w:i/>
          <w:iCs/>
        </w:rPr>
        <w:t>Patrologia</w:t>
      </w:r>
      <w:proofErr w:type="spellEnd"/>
      <w:r w:rsidRPr="000835A6">
        <w:rPr>
          <w:i/>
          <w:iCs/>
        </w:rPr>
        <w:t xml:space="preserve"> Latina</w:t>
      </w:r>
      <w:r w:rsidRPr="000835A6">
        <w:t>, 148:329</w:t>
      </w:r>
      <w:r>
        <w:t xml:space="preserve">, </w:t>
      </w:r>
      <w:r w:rsidRPr="000835A6">
        <w:t xml:space="preserve">trans. Oliver J. Thatcher, and Edgar Holmes McNeal, eds., A Source Book for Medieval History, (New York: </w:t>
      </w:r>
      <w:proofErr w:type="spellStart"/>
      <w:r w:rsidRPr="000835A6">
        <w:t>Scribners</w:t>
      </w:r>
      <w:proofErr w:type="spellEnd"/>
      <w:r w:rsidRPr="000835A6">
        <w:t>, 1905), 512-13</w:t>
      </w:r>
      <w:bookmarkEnd w:id="10"/>
    </w:p>
  </w:footnote>
  <w:footnote w:id="12">
    <w:p w14:paraId="52DC7684" w14:textId="66D1FE12" w:rsidR="000835A6" w:rsidRPr="000835A6" w:rsidRDefault="000835A6" w:rsidP="000835A6">
      <w:pPr>
        <w:pStyle w:val="FootnoteText"/>
      </w:pPr>
      <w:r>
        <w:rPr>
          <w:rStyle w:val="FootnoteReference"/>
        </w:rPr>
        <w:footnoteRef/>
      </w:r>
      <w:r>
        <w:t xml:space="preserve"> </w:t>
      </w:r>
      <w:bookmarkStart w:id="11" w:name="_Hlk67046203"/>
      <w:r w:rsidRPr="000835A6">
        <w:t xml:space="preserve">Dana C. Munro, </w:t>
      </w:r>
      <w:r w:rsidRPr="000835A6">
        <w:rPr>
          <w:i/>
          <w:iCs/>
        </w:rPr>
        <w:t>Urban and the Crusaders</w:t>
      </w:r>
      <w:r w:rsidRPr="000835A6">
        <w:t>, Translations and Reprints from the Original Sources of European History, Vol 1:2, (Philadelphia: University of Pennsylvania, 1895), 5-8</w:t>
      </w:r>
      <w:bookmarkEnd w:id="11"/>
    </w:p>
    <w:p w14:paraId="27D1C34F" w14:textId="6EBB7AFF" w:rsidR="000835A6" w:rsidRPr="000835A6" w:rsidRDefault="000835A6">
      <w:pPr>
        <w:pStyle w:val="FootnoteText"/>
        <w:rPr>
          <w:lang w:val="en-US"/>
        </w:rPr>
      </w:pPr>
    </w:p>
  </w:footnote>
  <w:footnote w:id="13">
    <w:p w14:paraId="15CDCAD0" w14:textId="2AB44963" w:rsidR="00225B58" w:rsidRPr="00225B58" w:rsidRDefault="00225B58">
      <w:pPr>
        <w:pStyle w:val="FootnoteText"/>
        <w:rPr>
          <w:lang w:val="en-US"/>
        </w:rPr>
      </w:pPr>
      <w:r>
        <w:rPr>
          <w:rStyle w:val="FootnoteReference"/>
        </w:rPr>
        <w:footnoteRef/>
      </w:r>
      <w:r>
        <w:t xml:space="preserve"> </w:t>
      </w:r>
      <w:r w:rsidRPr="00225B58">
        <w:t xml:space="preserve">In </w:t>
      </w:r>
      <w:proofErr w:type="spellStart"/>
      <w:r w:rsidRPr="00225B58">
        <w:t>Migne</w:t>
      </w:r>
      <w:proofErr w:type="spellEnd"/>
      <w:r w:rsidRPr="00225B58">
        <w:t xml:space="preserve">, </w:t>
      </w:r>
      <w:proofErr w:type="spellStart"/>
      <w:r w:rsidRPr="00225B58">
        <w:rPr>
          <w:i/>
          <w:iCs/>
        </w:rPr>
        <w:t>Patrologia</w:t>
      </w:r>
      <w:proofErr w:type="spellEnd"/>
      <w:r w:rsidRPr="00225B58">
        <w:rPr>
          <w:i/>
          <w:iCs/>
        </w:rPr>
        <w:t xml:space="preserve"> Latina</w:t>
      </w:r>
      <w:r w:rsidRPr="00225B58">
        <w:t>, 148:329, Thatcher, and McNeal, 512-13</w:t>
      </w:r>
    </w:p>
  </w:footnote>
  <w:footnote w:id="14">
    <w:p w14:paraId="6F881844" w14:textId="30487BA8" w:rsidR="005D1966" w:rsidRPr="005D1966" w:rsidRDefault="005D1966">
      <w:pPr>
        <w:pStyle w:val="FootnoteText"/>
        <w:rPr>
          <w:lang w:val="en-US"/>
        </w:rPr>
      </w:pPr>
      <w:r>
        <w:rPr>
          <w:rStyle w:val="FootnoteReference"/>
        </w:rPr>
        <w:footnoteRef/>
      </w:r>
      <w:r w:rsidRPr="005D1966">
        <w:t xml:space="preserve"> Doran, ‘Gregory VII’, </w:t>
      </w:r>
      <w:r w:rsidRPr="005D1966">
        <w:rPr>
          <w:i/>
          <w:iCs/>
        </w:rPr>
        <w:t>Oxford Bibliographies,</w:t>
      </w:r>
      <w:r w:rsidRPr="005D1966">
        <w:t xml:space="preserve"> [last accessed 1</w:t>
      </w:r>
      <w:r>
        <w:t>6</w:t>
      </w:r>
      <w:r w:rsidRPr="005D1966">
        <w:t xml:space="preserve"> March 2021]</w:t>
      </w:r>
    </w:p>
  </w:footnote>
  <w:footnote w:id="15">
    <w:p w14:paraId="7A80DCA4" w14:textId="46173265" w:rsidR="0086023D" w:rsidRPr="0086023D" w:rsidRDefault="0086023D">
      <w:pPr>
        <w:pStyle w:val="FootnoteText"/>
        <w:rPr>
          <w:lang w:val="en-US"/>
        </w:rPr>
      </w:pPr>
      <w:r>
        <w:rPr>
          <w:rStyle w:val="FootnoteReference"/>
        </w:rPr>
        <w:footnoteRef/>
      </w:r>
      <w:r>
        <w:t xml:space="preserve"> </w:t>
      </w:r>
      <w:bookmarkStart w:id="12" w:name="_Hlk67045290"/>
      <w:r w:rsidR="001A77EF" w:rsidRPr="001A77EF">
        <w:t xml:space="preserve"> Richard </w:t>
      </w:r>
      <w:proofErr w:type="spellStart"/>
      <w:r w:rsidR="001A77EF" w:rsidRPr="001A77EF">
        <w:t>Cavendsh</w:t>
      </w:r>
      <w:proofErr w:type="spellEnd"/>
      <w:r w:rsidR="001A77EF" w:rsidRPr="001A77EF">
        <w:t xml:space="preserve">, ‘The Battle of the Milvian </w:t>
      </w:r>
      <w:proofErr w:type="gramStart"/>
      <w:r w:rsidR="001A77EF" w:rsidRPr="001A77EF">
        <w:t>Bridge.(</w:t>
      </w:r>
      <w:proofErr w:type="gramEnd"/>
      <w:r w:rsidR="001A77EF" w:rsidRPr="001A77EF">
        <w:t>Months Past: Anniversaries)’, </w:t>
      </w:r>
      <w:r w:rsidR="001A77EF" w:rsidRPr="001A77EF">
        <w:rPr>
          <w:i/>
          <w:iCs/>
        </w:rPr>
        <w:t>History Today</w:t>
      </w:r>
      <w:r w:rsidR="001A77EF" w:rsidRPr="001A77EF">
        <w:t xml:space="preserve">, 62.10 (2012), </w:t>
      </w:r>
      <w:r w:rsidR="001A77EF">
        <w:t>p</w:t>
      </w:r>
      <w:r w:rsidR="001A77EF" w:rsidRPr="001A77EF">
        <w:t>8</w:t>
      </w:r>
      <w:bookmarkEnd w:id="12"/>
    </w:p>
  </w:footnote>
  <w:footnote w:id="16">
    <w:p w14:paraId="467DA762" w14:textId="630688B7" w:rsidR="00392F42" w:rsidRPr="00392F42" w:rsidRDefault="00392F42" w:rsidP="00392F42">
      <w:pPr>
        <w:pStyle w:val="FootnoteText"/>
        <w:rPr>
          <w:lang w:val="en-US"/>
        </w:rPr>
      </w:pPr>
      <w:r>
        <w:rPr>
          <w:rStyle w:val="FootnoteReference"/>
        </w:rPr>
        <w:footnoteRef/>
      </w:r>
      <w:r w:rsidRPr="00392F42">
        <w:t xml:space="preserve"> </w:t>
      </w:r>
      <w:bookmarkStart w:id="13" w:name="_Hlk67044874"/>
      <w:proofErr w:type="spellStart"/>
      <w:r w:rsidRPr="00392F42">
        <w:t>Cavendsh</w:t>
      </w:r>
      <w:proofErr w:type="spellEnd"/>
      <w:r w:rsidRPr="00392F42">
        <w:t xml:space="preserve">, ‘The Battle of the Milvian </w:t>
      </w:r>
      <w:proofErr w:type="gramStart"/>
      <w:r w:rsidRPr="00392F42">
        <w:t>Bridge.(</w:t>
      </w:r>
      <w:proofErr w:type="gramEnd"/>
      <w:r w:rsidRPr="00392F42">
        <w:t>Months Past: Anniversaries)’, p8</w:t>
      </w:r>
      <w:bookmarkEnd w:id="13"/>
    </w:p>
    <w:p w14:paraId="6AC9A6A2" w14:textId="7FDFEC43" w:rsidR="00392F42" w:rsidRPr="00392F42" w:rsidRDefault="00392F42" w:rsidP="00392F42">
      <w:pPr>
        <w:pStyle w:val="FootnoteText"/>
        <w:rPr>
          <w:lang w:val="en-US"/>
        </w:rPr>
      </w:pPr>
    </w:p>
  </w:footnote>
  <w:footnote w:id="17">
    <w:p w14:paraId="596B13FF" w14:textId="0B2FE918" w:rsidR="00F02832" w:rsidRPr="00F02832" w:rsidRDefault="00F02832" w:rsidP="00F02832">
      <w:pPr>
        <w:pStyle w:val="FootnoteText"/>
        <w:rPr>
          <w:lang w:val="en-US"/>
        </w:rPr>
      </w:pPr>
      <w:r>
        <w:rPr>
          <w:rStyle w:val="FootnoteReference"/>
        </w:rPr>
        <w:footnoteRef/>
      </w:r>
      <w:r>
        <w:t xml:space="preserve"> </w:t>
      </w:r>
      <w:proofErr w:type="spellStart"/>
      <w:r w:rsidR="00325669" w:rsidRPr="00325669">
        <w:t>Cavendsh</w:t>
      </w:r>
      <w:proofErr w:type="spellEnd"/>
      <w:r w:rsidR="00325669" w:rsidRPr="00325669">
        <w:t xml:space="preserve">, ‘The Battle of the Milvian </w:t>
      </w:r>
      <w:proofErr w:type="gramStart"/>
      <w:r w:rsidR="00325669" w:rsidRPr="00325669">
        <w:t>Bridge.(</w:t>
      </w:r>
      <w:proofErr w:type="gramEnd"/>
      <w:r w:rsidR="00325669" w:rsidRPr="00325669">
        <w:t>Months Past: Anniversaries)’, p8</w:t>
      </w:r>
    </w:p>
    <w:p w14:paraId="7121D6A4" w14:textId="4F2ADC76" w:rsidR="00F02832" w:rsidRPr="00F02832" w:rsidRDefault="00F02832" w:rsidP="00F02832">
      <w:pPr>
        <w:pStyle w:val="FootnoteText"/>
        <w:rPr>
          <w:lang w:val="en-US"/>
        </w:rPr>
      </w:pPr>
    </w:p>
  </w:footnote>
  <w:footnote w:id="18">
    <w:p w14:paraId="03AA792D" w14:textId="6DFB5A22" w:rsidR="008212E5" w:rsidRPr="008212E5" w:rsidRDefault="008212E5">
      <w:pPr>
        <w:pStyle w:val="FootnoteText"/>
        <w:rPr>
          <w:lang w:val="en-US"/>
        </w:rPr>
      </w:pPr>
      <w:r>
        <w:rPr>
          <w:rStyle w:val="FootnoteReference"/>
        </w:rPr>
        <w:footnoteRef/>
      </w:r>
      <w:r>
        <w:t xml:space="preserve"> </w:t>
      </w:r>
      <w:proofErr w:type="spellStart"/>
      <w:r w:rsidR="00325669" w:rsidRPr="00325669">
        <w:t>Cavendsh</w:t>
      </w:r>
      <w:proofErr w:type="spellEnd"/>
      <w:r w:rsidR="00325669" w:rsidRPr="00325669">
        <w:t xml:space="preserve">, ‘The Battle of the Milvian </w:t>
      </w:r>
      <w:proofErr w:type="gramStart"/>
      <w:r w:rsidR="00325669" w:rsidRPr="00325669">
        <w:t>Bridge.(</w:t>
      </w:r>
      <w:proofErr w:type="gramEnd"/>
      <w:r w:rsidR="00325669" w:rsidRPr="00325669">
        <w:t>Months Past: Anniversaries)’, p8</w:t>
      </w:r>
    </w:p>
  </w:footnote>
  <w:footnote w:id="19">
    <w:p w14:paraId="6D75E61F" w14:textId="77777777" w:rsidR="0096436E" w:rsidRDefault="00325669">
      <w:pPr>
        <w:pStyle w:val="FootnoteText"/>
      </w:pPr>
      <w:r>
        <w:rPr>
          <w:rStyle w:val="FootnoteReference"/>
        </w:rPr>
        <w:footnoteRef/>
      </w:r>
      <w:r>
        <w:t xml:space="preserve"> </w:t>
      </w:r>
      <w:r w:rsidR="0096436E" w:rsidRPr="0096436E">
        <w:t xml:space="preserve">August. C. </w:t>
      </w:r>
      <w:proofErr w:type="spellStart"/>
      <w:r w:rsidR="0096436E" w:rsidRPr="0096436E">
        <w:t>Krey</w:t>
      </w:r>
      <w:proofErr w:type="spellEnd"/>
      <w:r w:rsidR="0096436E" w:rsidRPr="0096436E">
        <w:t xml:space="preserve">, </w:t>
      </w:r>
      <w:r w:rsidR="0096436E" w:rsidRPr="0096436E">
        <w:rPr>
          <w:i/>
          <w:iCs/>
        </w:rPr>
        <w:t>The First Crusade: The Accounts of Eyewitnesses and Participants</w:t>
      </w:r>
      <w:r w:rsidR="0096436E" w:rsidRPr="0096436E">
        <w:t>, (Princeton: 1921), 28-30</w:t>
      </w:r>
    </w:p>
    <w:p w14:paraId="4C851F39" w14:textId="7666D3FE" w:rsidR="00325669" w:rsidRPr="00325669" w:rsidRDefault="00325669">
      <w:pPr>
        <w:pStyle w:val="FootnoteText"/>
        <w:rPr>
          <w:lang w:val="en-US"/>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F7F"/>
    <w:rsid w:val="0006218D"/>
    <w:rsid w:val="000835A6"/>
    <w:rsid w:val="000836FE"/>
    <w:rsid w:val="0008399C"/>
    <w:rsid w:val="000A532B"/>
    <w:rsid w:val="000B17F7"/>
    <w:rsid w:val="00103D97"/>
    <w:rsid w:val="00133B45"/>
    <w:rsid w:val="001A77EF"/>
    <w:rsid w:val="001F5ECC"/>
    <w:rsid w:val="00225B58"/>
    <w:rsid w:val="0025373A"/>
    <w:rsid w:val="00264766"/>
    <w:rsid w:val="003103A4"/>
    <w:rsid w:val="00325669"/>
    <w:rsid w:val="0035358E"/>
    <w:rsid w:val="003607B8"/>
    <w:rsid w:val="00372EBF"/>
    <w:rsid w:val="00392F42"/>
    <w:rsid w:val="003C344E"/>
    <w:rsid w:val="003C6ECE"/>
    <w:rsid w:val="003E369C"/>
    <w:rsid w:val="00484B7C"/>
    <w:rsid w:val="004C634D"/>
    <w:rsid w:val="00544129"/>
    <w:rsid w:val="0057651A"/>
    <w:rsid w:val="005D1966"/>
    <w:rsid w:val="005E3F9C"/>
    <w:rsid w:val="00600951"/>
    <w:rsid w:val="00696C8A"/>
    <w:rsid w:val="006A383D"/>
    <w:rsid w:val="006F6CD7"/>
    <w:rsid w:val="00706AC8"/>
    <w:rsid w:val="007C47E1"/>
    <w:rsid w:val="007E2B42"/>
    <w:rsid w:val="008053DD"/>
    <w:rsid w:val="008212E5"/>
    <w:rsid w:val="008363A6"/>
    <w:rsid w:val="008570C5"/>
    <w:rsid w:val="0086023D"/>
    <w:rsid w:val="0087019D"/>
    <w:rsid w:val="008A19DE"/>
    <w:rsid w:val="00904152"/>
    <w:rsid w:val="009157BE"/>
    <w:rsid w:val="009177A9"/>
    <w:rsid w:val="00927388"/>
    <w:rsid w:val="00933C79"/>
    <w:rsid w:val="0096436E"/>
    <w:rsid w:val="00964F63"/>
    <w:rsid w:val="00974661"/>
    <w:rsid w:val="009E2C0B"/>
    <w:rsid w:val="009F14E7"/>
    <w:rsid w:val="00A2270D"/>
    <w:rsid w:val="00AC5F7F"/>
    <w:rsid w:val="00AD246B"/>
    <w:rsid w:val="00AD4DDA"/>
    <w:rsid w:val="00B33D8D"/>
    <w:rsid w:val="00B429DA"/>
    <w:rsid w:val="00BA4959"/>
    <w:rsid w:val="00BB1A20"/>
    <w:rsid w:val="00BC474E"/>
    <w:rsid w:val="00C349EC"/>
    <w:rsid w:val="00C650B6"/>
    <w:rsid w:val="00C81204"/>
    <w:rsid w:val="00CF02BA"/>
    <w:rsid w:val="00D93D92"/>
    <w:rsid w:val="00DD0F2A"/>
    <w:rsid w:val="00DD251D"/>
    <w:rsid w:val="00DE53D1"/>
    <w:rsid w:val="00DF7266"/>
    <w:rsid w:val="00E40E96"/>
    <w:rsid w:val="00E61E52"/>
    <w:rsid w:val="00E75DFA"/>
    <w:rsid w:val="00F02832"/>
    <w:rsid w:val="00F948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259194"/>
  <w15:chartTrackingRefBased/>
  <w15:docId w15:val="{738691BD-B58B-4A96-B4DA-4E9B10326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436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C5F7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C5F7F"/>
    <w:rPr>
      <w:sz w:val="20"/>
      <w:szCs w:val="20"/>
    </w:rPr>
  </w:style>
  <w:style w:type="character" w:styleId="FootnoteReference">
    <w:name w:val="footnote reference"/>
    <w:basedOn w:val="DefaultParagraphFont"/>
    <w:uiPriority w:val="99"/>
    <w:semiHidden/>
    <w:unhideWhenUsed/>
    <w:rsid w:val="00AC5F7F"/>
    <w:rPr>
      <w:vertAlign w:val="superscript"/>
    </w:rPr>
  </w:style>
  <w:style w:type="paragraph" w:styleId="EndnoteText">
    <w:name w:val="endnote text"/>
    <w:basedOn w:val="Normal"/>
    <w:link w:val="EndnoteTextChar"/>
    <w:uiPriority w:val="99"/>
    <w:semiHidden/>
    <w:unhideWhenUsed/>
    <w:rsid w:val="00BC474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C474E"/>
    <w:rPr>
      <w:sz w:val="20"/>
      <w:szCs w:val="20"/>
    </w:rPr>
  </w:style>
  <w:style w:type="character" w:styleId="EndnoteReference">
    <w:name w:val="endnote reference"/>
    <w:basedOn w:val="DefaultParagraphFont"/>
    <w:uiPriority w:val="99"/>
    <w:semiHidden/>
    <w:unhideWhenUsed/>
    <w:rsid w:val="00BC474E"/>
    <w:rPr>
      <w:vertAlign w:val="superscript"/>
    </w:rPr>
  </w:style>
  <w:style w:type="character" w:styleId="Hyperlink">
    <w:name w:val="Hyperlink"/>
    <w:basedOn w:val="DefaultParagraphFont"/>
    <w:uiPriority w:val="99"/>
    <w:unhideWhenUsed/>
    <w:rsid w:val="00DE53D1"/>
    <w:rPr>
      <w:color w:val="0563C1" w:themeColor="hyperlink"/>
      <w:u w:val="single"/>
    </w:rPr>
  </w:style>
  <w:style w:type="character" w:styleId="UnresolvedMention">
    <w:name w:val="Unresolved Mention"/>
    <w:basedOn w:val="DefaultParagraphFont"/>
    <w:uiPriority w:val="99"/>
    <w:semiHidden/>
    <w:unhideWhenUsed/>
    <w:rsid w:val="00DE53D1"/>
    <w:rPr>
      <w:color w:val="605E5C"/>
      <w:shd w:val="clear" w:color="auto" w:fill="E1DFDD"/>
    </w:rPr>
  </w:style>
  <w:style w:type="character" w:styleId="FollowedHyperlink">
    <w:name w:val="FollowedHyperlink"/>
    <w:basedOn w:val="DefaultParagraphFont"/>
    <w:uiPriority w:val="99"/>
    <w:semiHidden/>
    <w:unhideWhenUsed/>
    <w:rsid w:val="00B33D8D"/>
    <w:rPr>
      <w:color w:val="954F72" w:themeColor="followedHyperlink"/>
      <w:u w:val="single"/>
    </w:rPr>
  </w:style>
  <w:style w:type="character" w:customStyle="1" w:styleId="Heading1Char">
    <w:name w:val="Heading 1 Char"/>
    <w:basedOn w:val="DefaultParagraphFont"/>
    <w:link w:val="Heading1"/>
    <w:uiPriority w:val="9"/>
    <w:rsid w:val="0096436E"/>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wadvent.org/cathen/09159a.htm" TargetMode="External"/><Relationship Id="rId3" Type="http://schemas.openxmlformats.org/officeDocument/2006/relationships/settings" Target="settings.xml"/><Relationship Id="rId7" Type="http://schemas.openxmlformats.org/officeDocument/2006/relationships/hyperlink" Target="https://www.oxfordbibliographies.com/view/document/obo-9780195396584/obo-9780195396584-0131.x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oxfordbibliographies.com/view/document/obo-9780195396584/obo-9780195396584-0131.xml" TargetMode="External"/><Relationship Id="rId1" Type="http://schemas.openxmlformats.org/officeDocument/2006/relationships/hyperlink" Target="http://www.newadvent.org/cathen/09159a.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24FB67-CD1F-4C0E-8EEB-5515E0DDD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2095</Words>
  <Characters>9768</Characters>
  <Application>Microsoft Office Word</Application>
  <DocSecurity>0</DocSecurity>
  <Lines>143</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Priestley</dc:creator>
  <cp:keywords/>
  <dc:description/>
  <cp:lastModifiedBy>Andrew Priestley</cp:lastModifiedBy>
  <cp:revision>2</cp:revision>
  <dcterms:created xsi:type="dcterms:W3CDTF">2021-03-19T11:37:00Z</dcterms:created>
  <dcterms:modified xsi:type="dcterms:W3CDTF">2021-03-19T11:37:00Z</dcterms:modified>
</cp:coreProperties>
</file>