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both"/>
        <w:rPr>
          <w:rFonts w:ascii="Times New Roman" w:hAnsi="Times New Roman" w:cs="Times New Roman"/>
          <w:b/>
          <w:i/>
          <w:sz w:val="24"/>
          <w:szCs w:val="24"/>
        </w:rPr>
      </w:pPr>
    </w:p>
    <w:p>
      <w:pPr>
        <w:spacing w:line="360" w:lineRule="auto"/>
        <w:jc w:val="both"/>
        <w:rPr>
          <w:rFonts w:ascii="Times New Roman" w:hAnsi="Times New Roman" w:cs="Times New Roman"/>
          <w:b/>
          <w:i/>
          <w:sz w:val="24"/>
          <w:szCs w:val="24"/>
        </w:rPr>
      </w:pPr>
      <w:r>
        <w:rPr>
          <w:rFonts w:ascii="Times New Roman" w:hAnsi="Times New Roman" w:cs="Times New Roman"/>
          <w:b/>
          <w:i/>
          <w:sz w:val="24"/>
          <w:szCs w:val="24"/>
        </w:rPr>
        <w:t xml:space="preserve">            </w:t>
      </w:r>
    </w:p>
    <w:p>
      <w:pPr>
        <w:spacing w:line="360" w:lineRule="auto"/>
        <w:jc w:val="both"/>
        <w:rPr>
          <w:rFonts w:ascii="Times New Roman" w:hAnsi="Times New Roman" w:cs="Times New Roman"/>
          <w:b/>
          <w:i/>
          <w:sz w:val="24"/>
          <w:szCs w:val="24"/>
        </w:rPr>
      </w:pPr>
    </w:p>
    <w:p>
      <w:pPr>
        <w:spacing w:line="360" w:lineRule="auto"/>
        <w:jc w:val="both"/>
        <w:rPr>
          <w:rFonts w:ascii="Times New Roman" w:hAnsi="Times New Roman" w:cs="Times New Roman"/>
          <w:b/>
          <w:i/>
          <w:sz w:val="24"/>
          <w:szCs w:val="24"/>
        </w:rPr>
      </w:pPr>
    </w:p>
    <w:p>
      <w:pPr>
        <w:spacing w:line="360" w:lineRule="auto"/>
        <w:ind w:firstLine="1201" w:firstLineChars="500"/>
        <w:jc w:val="both"/>
        <w:rPr>
          <w:rFonts w:ascii="Times New Roman" w:hAnsi="Times New Roman" w:cs="Times New Roman"/>
          <w:b/>
          <w:i/>
          <w:sz w:val="36"/>
          <w:szCs w:val="36"/>
        </w:rPr>
      </w:pPr>
      <w:r>
        <w:rPr>
          <w:rFonts w:ascii="Times New Roman" w:hAnsi="Times New Roman" w:cs="Times New Roman"/>
          <w:b/>
          <w:i/>
          <w:sz w:val="24"/>
          <w:szCs w:val="24"/>
        </w:rPr>
        <w:t xml:space="preserve">  </w:t>
      </w:r>
      <w:r>
        <w:rPr>
          <w:rFonts w:ascii="Times New Roman" w:hAnsi="Times New Roman" w:cs="Times New Roman"/>
          <w:b/>
          <w:i/>
          <w:sz w:val="36"/>
          <w:szCs w:val="36"/>
        </w:rPr>
        <w:t xml:space="preserve">Student name: IOANA GABRIELA BODNAR </w:t>
      </w:r>
    </w:p>
    <w:p>
      <w:pPr>
        <w:spacing w:line="360" w:lineRule="auto"/>
        <w:jc w:val="both"/>
        <w:rPr>
          <w:rFonts w:ascii="Times New Roman" w:hAnsi="Times New Roman" w:cs="Times New Roman"/>
          <w:b/>
          <w:i/>
          <w:sz w:val="36"/>
          <w:szCs w:val="36"/>
        </w:rPr>
      </w:pPr>
      <w:r>
        <w:rPr>
          <w:rFonts w:ascii="Times New Roman" w:hAnsi="Times New Roman" w:cs="Times New Roman"/>
          <w:b/>
          <w:i/>
          <w:sz w:val="36"/>
          <w:szCs w:val="36"/>
        </w:rPr>
        <w:t xml:space="preserve">                          </w:t>
      </w:r>
      <w:r>
        <w:rPr>
          <w:rFonts w:hint="default" w:ascii="Times New Roman" w:hAnsi="Times New Roman" w:cs="Times New Roman"/>
          <w:b/>
          <w:i/>
          <w:sz w:val="36"/>
          <w:szCs w:val="36"/>
          <w:lang w:val="ro-RO"/>
        </w:rPr>
        <w:t xml:space="preserve">     </w:t>
      </w:r>
      <w:r>
        <w:rPr>
          <w:rFonts w:ascii="Times New Roman" w:hAnsi="Times New Roman" w:cs="Times New Roman"/>
          <w:b/>
          <w:i/>
          <w:sz w:val="36"/>
          <w:szCs w:val="36"/>
        </w:rPr>
        <w:t>Student number: 1817471</w:t>
      </w:r>
    </w:p>
    <w:p>
      <w:pPr>
        <w:spacing w:line="360" w:lineRule="auto"/>
        <w:jc w:val="both"/>
        <w:rPr>
          <w:rFonts w:hint="default" w:ascii="Times New Roman" w:hAnsi="Times New Roman" w:cs="Times New Roman"/>
          <w:b/>
          <w:i/>
          <w:sz w:val="36"/>
          <w:szCs w:val="36"/>
          <w:lang w:val="ro-RO"/>
        </w:rPr>
      </w:pPr>
      <w:r>
        <w:rPr>
          <w:rFonts w:hint="default" w:ascii="Times New Roman" w:hAnsi="Times New Roman" w:cs="Times New Roman"/>
          <w:b/>
          <w:i/>
          <w:sz w:val="36"/>
          <w:szCs w:val="36"/>
          <w:lang w:val="ro-RO"/>
        </w:rPr>
        <w:t xml:space="preserve">              Student Email: </w:t>
      </w:r>
      <w:r>
        <w:rPr>
          <w:rFonts w:hint="default" w:ascii="Times New Roman" w:hAnsi="Times New Roman" w:cs="Times New Roman"/>
          <w:b/>
          <w:i/>
          <w:sz w:val="36"/>
          <w:szCs w:val="36"/>
          <w:lang w:val="ro-RO"/>
        </w:rPr>
        <w:fldChar w:fldCharType="begin"/>
      </w:r>
      <w:r>
        <w:rPr>
          <w:rFonts w:hint="default" w:ascii="Times New Roman" w:hAnsi="Times New Roman" w:cs="Times New Roman"/>
          <w:b/>
          <w:i/>
          <w:sz w:val="36"/>
          <w:szCs w:val="36"/>
          <w:lang w:val="ro-RO"/>
        </w:rPr>
        <w:instrText xml:space="preserve"> HYPERLINK "mailto:1817471@student.uwtsd.ac.uk" </w:instrText>
      </w:r>
      <w:r>
        <w:rPr>
          <w:rFonts w:hint="default" w:ascii="Times New Roman" w:hAnsi="Times New Roman" w:cs="Times New Roman"/>
          <w:b/>
          <w:i/>
          <w:sz w:val="36"/>
          <w:szCs w:val="36"/>
          <w:lang w:val="ro-RO"/>
        </w:rPr>
        <w:fldChar w:fldCharType="separate"/>
      </w:r>
      <w:r>
        <w:rPr>
          <w:rStyle w:val="8"/>
          <w:rFonts w:hint="default" w:ascii="Times New Roman" w:hAnsi="Times New Roman" w:cs="Times New Roman"/>
          <w:b/>
          <w:i/>
          <w:sz w:val="36"/>
          <w:szCs w:val="36"/>
          <w:lang w:val="ro-RO"/>
        </w:rPr>
        <w:t>1817471@student.uwtsd.ac.uk</w:t>
      </w:r>
      <w:r>
        <w:rPr>
          <w:rFonts w:hint="default" w:ascii="Times New Roman" w:hAnsi="Times New Roman" w:cs="Times New Roman"/>
          <w:b/>
          <w:i/>
          <w:sz w:val="36"/>
          <w:szCs w:val="36"/>
          <w:lang w:val="ro-RO"/>
        </w:rPr>
        <w:fldChar w:fldCharType="end"/>
      </w:r>
    </w:p>
    <w:p>
      <w:pPr>
        <w:spacing w:line="360" w:lineRule="auto"/>
        <w:ind w:firstLine="1081" w:firstLineChars="300"/>
        <w:jc w:val="both"/>
        <w:rPr>
          <w:rFonts w:hint="default" w:ascii="Times New Roman" w:hAnsi="Times New Roman" w:cs="Times New Roman"/>
          <w:b/>
          <w:i/>
          <w:sz w:val="36"/>
          <w:szCs w:val="36"/>
          <w:lang w:val="ro-RO"/>
        </w:rPr>
      </w:pPr>
      <w:r>
        <w:rPr>
          <w:rFonts w:hint="default" w:ascii="Times New Roman" w:hAnsi="Times New Roman" w:cs="Times New Roman"/>
          <w:b/>
          <w:i/>
          <w:sz w:val="36"/>
          <w:szCs w:val="36"/>
          <w:lang w:val="ro-RO"/>
        </w:rPr>
        <w:t>UNIVERSITY OF WALES: Trinity Saint David</w:t>
      </w:r>
    </w:p>
    <w:p>
      <w:pPr>
        <w:spacing w:line="360" w:lineRule="auto"/>
        <w:jc w:val="both"/>
        <w:rPr>
          <w:rFonts w:ascii="Times New Roman" w:hAnsi="Times New Roman" w:cs="Times New Roman"/>
          <w:b/>
          <w:i/>
          <w:sz w:val="36"/>
          <w:szCs w:val="36"/>
        </w:rPr>
      </w:pPr>
      <w:r>
        <w:rPr>
          <w:rFonts w:ascii="Times New Roman" w:hAnsi="Times New Roman" w:cs="Times New Roman"/>
          <w:b/>
          <w:i/>
          <w:sz w:val="36"/>
          <w:szCs w:val="36"/>
        </w:rPr>
        <w:t xml:space="preserve">        </w:t>
      </w:r>
      <w:r>
        <w:rPr>
          <w:rFonts w:hint="default" w:ascii="Times New Roman" w:hAnsi="Times New Roman" w:cs="Times New Roman"/>
          <w:b/>
          <w:i/>
          <w:sz w:val="36"/>
          <w:szCs w:val="36"/>
          <w:lang w:val="ro-RO"/>
        </w:rPr>
        <w:t xml:space="preserve">      </w:t>
      </w:r>
      <w:r>
        <w:rPr>
          <w:rFonts w:ascii="Times New Roman" w:hAnsi="Times New Roman" w:cs="Times New Roman"/>
          <w:b/>
          <w:i/>
          <w:sz w:val="36"/>
          <w:szCs w:val="36"/>
        </w:rPr>
        <w:t xml:space="preserve">Coordinating  teacher: MUSHFIQUR RAHMAN </w:t>
      </w:r>
    </w:p>
    <w:p>
      <w:pPr>
        <w:spacing w:line="360" w:lineRule="auto"/>
        <w:jc w:val="both"/>
        <w:rPr>
          <w:rFonts w:ascii="Times New Roman" w:hAnsi="Times New Roman" w:cs="Times New Roman"/>
          <w:bCs/>
          <w:i/>
          <w:sz w:val="44"/>
          <w:szCs w:val="44"/>
        </w:rPr>
      </w:pPr>
      <w:r>
        <w:rPr>
          <w:rFonts w:ascii="Times New Roman" w:hAnsi="Times New Roman" w:cs="Times New Roman"/>
          <w:b/>
          <w:i/>
          <w:sz w:val="36"/>
          <w:szCs w:val="36"/>
        </w:rPr>
        <w:t xml:space="preserve">                           </w:t>
      </w:r>
      <w:r>
        <w:rPr>
          <w:rFonts w:hint="default" w:ascii="Times New Roman" w:hAnsi="Times New Roman" w:cs="Times New Roman"/>
          <w:b/>
          <w:i/>
          <w:sz w:val="36"/>
          <w:szCs w:val="36"/>
          <w:lang w:val="ro-RO"/>
        </w:rPr>
        <w:t xml:space="preserve">      </w:t>
      </w:r>
      <w:r>
        <w:rPr>
          <w:rFonts w:ascii="Times New Roman" w:hAnsi="Times New Roman" w:cs="Times New Roman"/>
          <w:bCs/>
          <w:i/>
          <w:sz w:val="44"/>
          <w:szCs w:val="44"/>
        </w:rPr>
        <w:t xml:space="preserve">DISSERTATION </w:t>
      </w:r>
    </w:p>
    <w:p>
      <w:pPr>
        <w:spacing w:line="360" w:lineRule="auto"/>
        <w:jc w:val="both"/>
        <w:rPr>
          <w:rFonts w:ascii="Times New Roman" w:hAnsi="Times New Roman" w:cs="Times New Roman"/>
          <w:b/>
          <w:i/>
          <w:sz w:val="36"/>
          <w:szCs w:val="36"/>
        </w:rPr>
      </w:pPr>
      <w:r>
        <w:rPr>
          <w:rFonts w:ascii="Times New Roman" w:hAnsi="Times New Roman" w:cs="Times New Roman"/>
          <w:b/>
          <w:i/>
          <w:sz w:val="36"/>
          <w:szCs w:val="36"/>
        </w:rPr>
        <w:t xml:space="preserve">                         </w:t>
      </w:r>
      <w:r>
        <w:rPr>
          <w:rFonts w:hint="default" w:ascii="Times New Roman" w:hAnsi="Times New Roman" w:cs="Times New Roman"/>
          <w:b/>
          <w:i/>
          <w:sz w:val="36"/>
          <w:szCs w:val="36"/>
          <w:lang w:val="ro-RO"/>
        </w:rPr>
        <w:t xml:space="preserve">       </w:t>
      </w:r>
      <w:r>
        <w:rPr>
          <w:rFonts w:ascii="Times New Roman" w:hAnsi="Times New Roman" w:cs="Times New Roman"/>
          <w:b/>
          <w:i/>
          <w:sz w:val="36"/>
          <w:szCs w:val="36"/>
        </w:rPr>
        <w:t xml:space="preserve"> PROJECT NAME</w:t>
      </w:r>
    </w:p>
    <w:p>
      <w:pPr>
        <w:spacing w:line="360" w:lineRule="auto"/>
        <w:ind w:left="638" w:leftChars="290" w:firstLine="160" w:firstLineChars="50"/>
        <w:rPr>
          <w:rFonts w:ascii="Times New Roman" w:hAnsi="Times New Roman" w:cs="Times New Roman"/>
          <w:b/>
          <w:sz w:val="32"/>
          <w:szCs w:val="32"/>
        </w:rPr>
      </w:pPr>
      <w:r>
        <w:rPr>
          <w:rFonts w:ascii="Times New Roman" w:hAnsi="Times New Roman" w:cs="Times New Roman"/>
          <w:b/>
          <w:sz w:val="32"/>
          <w:szCs w:val="32"/>
        </w:rPr>
        <w:t xml:space="preserve">The importance of training and development for employee involvement and engagement: a case study of </w:t>
      </w:r>
      <w:r>
        <w:rPr>
          <w:rFonts w:hint="default" w:ascii="Times New Roman" w:hAnsi="Times New Roman" w:cs="Times New Roman"/>
          <w:b/>
          <w:sz w:val="32"/>
          <w:szCs w:val="32"/>
          <w:lang w:val="ro-RO"/>
        </w:rPr>
        <w:t xml:space="preserve">   </w:t>
      </w:r>
      <w:r>
        <w:rPr>
          <w:rFonts w:ascii="Times New Roman" w:hAnsi="Times New Roman" w:cs="Times New Roman"/>
          <w:b/>
          <w:sz w:val="32"/>
          <w:szCs w:val="32"/>
        </w:rPr>
        <w:t>Barclays Bank</w:t>
      </w:r>
    </w:p>
    <w:p>
      <w:pPr>
        <w:spacing w:line="360" w:lineRule="auto"/>
        <w:jc w:val="both"/>
        <w:rPr>
          <w:rFonts w:hint="default" w:ascii="Times New Roman" w:hAnsi="Times New Roman" w:cs="Times New Roman"/>
          <w:lang w:val="ro-RO"/>
        </w:rPr>
      </w:pPr>
      <w:r>
        <w:rPr>
          <w:rFonts w:ascii="Times New Roman" w:hAnsi="Times New Roman" w:cs="Times New Roman"/>
          <w:b/>
          <w:sz w:val="24"/>
          <w:szCs w:val="24"/>
        </w:rPr>
        <w:br w:type="page"/>
      </w:r>
      <w:r>
        <w:rPr>
          <w:rFonts w:hint="default" w:ascii="Times New Roman" w:hAnsi="Times New Roman" w:cs="Times New Roman"/>
          <w:b/>
          <w:sz w:val="24"/>
          <w:szCs w:val="24"/>
          <w:lang w:val="ro-RO"/>
        </w:rPr>
        <w:t xml:space="preserve"> </w:t>
      </w:r>
    </w:p>
    <w:tbl>
      <w:tblPr>
        <w:tblStyle w:val="10"/>
        <w:tblpPr w:leftFromText="180" w:rightFromText="180" w:vertAnchor="text" w:horzAnchor="page" w:tblpX="1539" w:tblpY="-897"/>
        <w:tblOverlap w:val="never"/>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77"/>
        <w:gridCol w:w="1274"/>
        <w:gridCol w:w="1415"/>
        <w:gridCol w:w="1149"/>
        <w:gridCol w:w="2114"/>
        <w:gridCol w:w="570"/>
        <w:gridCol w:w="711"/>
        <w:gridCol w:w="126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 w:hRule="atLeast"/>
        </w:trPr>
        <w:tc>
          <w:tcPr>
            <w:tcW w:w="9474" w:type="dxa"/>
            <w:gridSpan w:val="8"/>
            <w:shd w:val="clear" w:color="auto" w:fill="DBE5F1" w:themeFill="accent1" w:themeFillTint="33"/>
            <w:tcMar>
              <w:top w:w="85" w:type="dxa"/>
              <w:bottom w:w="85" w:type="dxa"/>
            </w:tcMar>
            <w:vAlign w:val="center"/>
          </w:tcPr>
          <w:p>
            <w:pPr>
              <w:tabs>
                <w:tab w:val="right" w:pos="9130"/>
              </w:tabs>
              <w:rPr>
                <w:rFonts w:asciiTheme="minorHAnsi" w:hAnsiTheme="minorHAnsi" w:cstheme="minorHAnsi"/>
                <w:b/>
                <w:sz w:val="20"/>
                <w:szCs w:val="20"/>
              </w:rPr>
            </w:pPr>
            <w:r>
              <w:rPr>
                <w:rFonts w:asciiTheme="minorHAnsi" w:hAnsiTheme="minorHAnsi" w:cstheme="minorHAnsi"/>
                <w:b/>
              </w:rPr>
              <w:t xml:space="preserve">Section 1 </w:t>
            </w:r>
            <w:r>
              <w:rPr>
                <w:rFonts w:asciiTheme="minorHAnsi" w:hAnsiTheme="minorHAnsi" w:cstheme="minorHAnsi"/>
                <w:b/>
              </w:rPr>
              <w:tab/>
            </w:r>
            <w:bookmarkStart w:id="6" w:name="_GoBack"/>
            <w:bookmarkEnd w:id="6"/>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 w:hRule="atLeast"/>
        </w:trPr>
        <w:tc>
          <w:tcPr>
            <w:tcW w:w="2251" w:type="dxa"/>
            <w:gridSpan w:val="2"/>
            <w:tcMar>
              <w:top w:w="85" w:type="dxa"/>
              <w:bottom w:w="85" w:type="dxa"/>
            </w:tcMar>
            <w:vAlign w:val="center"/>
          </w:tcPr>
          <w:p>
            <w:pPr>
              <w:rPr>
                <w:rFonts w:asciiTheme="minorHAnsi" w:hAnsiTheme="minorHAnsi" w:cstheme="minorHAnsi"/>
              </w:rPr>
            </w:pPr>
            <w:r>
              <w:rPr>
                <w:rFonts w:asciiTheme="minorHAnsi" w:hAnsiTheme="minorHAnsi" w:cstheme="minorHAnsi"/>
              </w:rPr>
              <w:t>Name of Student:</w:t>
            </w:r>
          </w:p>
        </w:tc>
        <w:tc>
          <w:tcPr>
            <w:tcW w:w="7223" w:type="dxa"/>
            <w:gridSpan w:val="6"/>
            <w:shd w:val="clear" w:color="auto" w:fill="F1F1F1" w:themeFill="background1" w:themeFillShade="F2"/>
            <w:tcMar>
              <w:top w:w="85" w:type="dxa"/>
              <w:bottom w:w="85" w:type="dxa"/>
            </w:tcMar>
            <w:vAlign w:val="center"/>
          </w:tcPr>
          <w:p>
            <w:pPr>
              <w:rPr>
                <w:rFonts w:hint="default" w:asciiTheme="minorHAnsi" w:hAnsiTheme="minorHAnsi" w:cstheme="minorHAnsi"/>
                <w:lang w:val="ro-RO"/>
              </w:rPr>
            </w:pPr>
            <w:r>
              <w:rPr>
                <w:rFonts w:hint="default" w:cstheme="minorHAnsi"/>
                <w:lang w:val="ro-RO"/>
              </w:rPr>
              <w:t>IOANA GABRIELA BODNAR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 w:hRule="atLeast"/>
        </w:trPr>
        <w:tc>
          <w:tcPr>
            <w:tcW w:w="2251" w:type="dxa"/>
            <w:gridSpan w:val="2"/>
            <w:tcMar>
              <w:top w:w="85" w:type="dxa"/>
              <w:bottom w:w="85" w:type="dxa"/>
            </w:tcMar>
            <w:vAlign w:val="center"/>
          </w:tcPr>
          <w:p>
            <w:pPr>
              <w:rPr>
                <w:rFonts w:asciiTheme="minorHAnsi" w:hAnsiTheme="minorHAnsi" w:cstheme="minorHAnsi"/>
              </w:rPr>
            </w:pPr>
            <w:r>
              <w:rPr>
                <w:rFonts w:asciiTheme="minorHAnsi" w:hAnsiTheme="minorHAnsi" w:cstheme="minorHAnsi"/>
              </w:rPr>
              <w:t>Student No:</w:t>
            </w:r>
          </w:p>
        </w:tc>
        <w:tc>
          <w:tcPr>
            <w:tcW w:w="7223" w:type="dxa"/>
            <w:gridSpan w:val="6"/>
            <w:shd w:val="clear" w:color="auto" w:fill="F1F1F1" w:themeFill="background1" w:themeFillShade="F2"/>
            <w:tcMar>
              <w:top w:w="85" w:type="dxa"/>
              <w:bottom w:w="85" w:type="dxa"/>
            </w:tcMar>
            <w:vAlign w:val="center"/>
          </w:tcPr>
          <w:p>
            <w:pPr>
              <w:rPr>
                <w:rFonts w:hint="default" w:asciiTheme="minorHAnsi" w:hAnsiTheme="minorHAnsi" w:cstheme="minorHAnsi"/>
                <w:lang w:val="ro-RO"/>
              </w:rPr>
            </w:pPr>
            <w:r>
              <w:rPr>
                <w:rFonts w:hint="default" w:cstheme="minorHAnsi"/>
                <w:lang w:val="ro-RO"/>
              </w:rPr>
              <w:t>1817471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 w:hRule="atLeast"/>
        </w:trPr>
        <w:tc>
          <w:tcPr>
            <w:tcW w:w="2251" w:type="dxa"/>
            <w:gridSpan w:val="2"/>
            <w:tcMar>
              <w:top w:w="85" w:type="dxa"/>
              <w:bottom w:w="85" w:type="dxa"/>
            </w:tcMar>
            <w:vAlign w:val="center"/>
          </w:tcPr>
          <w:p>
            <w:pPr>
              <w:rPr>
                <w:rFonts w:asciiTheme="minorHAnsi" w:hAnsiTheme="minorHAnsi" w:cstheme="minorHAnsi"/>
              </w:rPr>
            </w:pPr>
            <w:r>
              <w:rPr>
                <w:rFonts w:asciiTheme="minorHAnsi" w:hAnsiTheme="minorHAnsi" w:cstheme="minorHAnsi"/>
              </w:rPr>
              <w:t>Course:</w:t>
            </w:r>
          </w:p>
        </w:tc>
        <w:tc>
          <w:tcPr>
            <w:tcW w:w="7223" w:type="dxa"/>
            <w:gridSpan w:val="6"/>
            <w:shd w:val="clear" w:color="auto" w:fill="F1F1F1" w:themeFill="background1" w:themeFillShade="F2"/>
            <w:tcMar>
              <w:top w:w="85" w:type="dxa"/>
              <w:bottom w:w="85" w:type="dxa"/>
            </w:tcMar>
            <w:vAlign w:val="center"/>
          </w:tcPr>
          <w:p>
            <w:pPr>
              <w:rPr>
                <w:rFonts w:hint="default" w:asciiTheme="minorHAnsi" w:hAnsiTheme="minorHAnsi" w:cstheme="minorHAnsi"/>
                <w:lang w:val="ro-RO"/>
              </w:rPr>
            </w:pPr>
            <w:r>
              <w:rPr>
                <w:rFonts w:hint="default" w:cstheme="minorHAnsi"/>
                <w:lang w:val="ro-RO"/>
              </w:rPr>
              <w:t>BABM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 w:hRule="atLeast"/>
        </w:trPr>
        <w:tc>
          <w:tcPr>
            <w:tcW w:w="2251" w:type="dxa"/>
            <w:gridSpan w:val="2"/>
            <w:tcMar>
              <w:top w:w="85" w:type="dxa"/>
              <w:bottom w:w="85" w:type="dxa"/>
            </w:tcMar>
            <w:vAlign w:val="center"/>
          </w:tcPr>
          <w:p>
            <w:pPr>
              <w:rPr>
                <w:rFonts w:asciiTheme="minorHAnsi" w:hAnsiTheme="minorHAnsi" w:cstheme="minorHAnsi"/>
              </w:rPr>
            </w:pPr>
            <w:r>
              <w:rPr>
                <w:rFonts w:asciiTheme="minorHAnsi" w:hAnsiTheme="minorHAnsi" w:cstheme="minorHAnsi"/>
              </w:rPr>
              <w:t>Module:</w:t>
            </w:r>
          </w:p>
        </w:tc>
        <w:tc>
          <w:tcPr>
            <w:tcW w:w="7223" w:type="dxa"/>
            <w:gridSpan w:val="6"/>
            <w:shd w:val="clear" w:color="auto" w:fill="F1F1F1" w:themeFill="background1" w:themeFillShade="F2"/>
            <w:tcMar>
              <w:top w:w="85" w:type="dxa"/>
              <w:bottom w:w="85" w:type="dxa"/>
            </w:tcMar>
            <w:vAlign w:val="center"/>
          </w:tcPr>
          <w:p>
            <w:pPr>
              <w:rPr>
                <w:rFonts w:asciiTheme="minorHAnsi" w:hAnsiTheme="minorHAnsi" w:cstheme="minorHAnsi"/>
              </w:rPr>
            </w:pPr>
            <w:r>
              <w:rPr>
                <w:rFonts w:asciiTheme="minorHAnsi" w:hAnsiTheme="minorHAnsi" w:cstheme="minorHAnsi"/>
              </w:rPr>
              <w:t>Dissertation (</w:t>
            </w:r>
            <w:r>
              <w:rPr>
                <w:rFonts w:hint="default" w:cstheme="minorHAnsi"/>
                <w:lang w:val="ro-RO"/>
              </w:rPr>
              <w:t>Business Management</w:t>
            </w:r>
            <w:r>
              <w:rPr>
                <w:rFonts w:asciiTheme="minorHAnsi" w:hAnsiTheme="minorHAnsi" w:cstheme="minorHAnsi"/>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 w:hRule="atLeast"/>
        </w:trPr>
        <w:tc>
          <w:tcPr>
            <w:tcW w:w="2251" w:type="dxa"/>
            <w:gridSpan w:val="2"/>
            <w:tcMar>
              <w:top w:w="85" w:type="dxa"/>
              <w:bottom w:w="85" w:type="dxa"/>
            </w:tcMar>
            <w:vAlign w:val="center"/>
          </w:tcPr>
          <w:p>
            <w:pPr>
              <w:rPr>
                <w:rFonts w:asciiTheme="minorHAnsi" w:hAnsiTheme="minorHAnsi" w:cstheme="minorHAnsi"/>
              </w:rPr>
            </w:pPr>
            <w:r>
              <w:rPr>
                <w:rFonts w:asciiTheme="minorHAnsi" w:hAnsiTheme="minorHAnsi" w:cstheme="minorHAnsi"/>
              </w:rPr>
              <w:t xml:space="preserve">Project Title: </w:t>
            </w:r>
          </w:p>
        </w:tc>
        <w:tc>
          <w:tcPr>
            <w:tcW w:w="7223" w:type="dxa"/>
            <w:gridSpan w:val="6"/>
            <w:shd w:val="clear" w:color="auto" w:fill="F1F1F1" w:themeFill="background1" w:themeFillShade="F2"/>
            <w:tcMar>
              <w:top w:w="85" w:type="dxa"/>
              <w:bottom w:w="85" w:type="dxa"/>
            </w:tcMar>
            <w:vAlign w:val="center"/>
          </w:tcPr>
          <w:p>
            <w:pPr>
              <w:rPr>
                <w:rFonts w:hint="default" w:asciiTheme="minorHAnsi" w:hAnsiTheme="minorHAnsi" w:cstheme="minorHAnsi"/>
                <w:lang w:val="ro-RO"/>
              </w:rPr>
            </w:pPr>
            <w:r>
              <w:rPr>
                <w:rFonts w:hint="default" w:cstheme="minorHAnsi"/>
                <w:lang w:val="ro-RO"/>
              </w:rPr>
              <w:t>The importance of training and development for employee involvement and engagement: a case study of Barclays Bank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 w:hRule="atLeast"/>
        </w:trPr>
        <w:tc>
          <w:tcPr>
            <w:tcW w:w="9474" w:type="dxa"/>
            <w:gridSpan w:val="8"/>
            <w:tcMar>
              <w:top w:w="85" w:type="dxa"/>
              <w:bottom w:w="85" w:type="dxa"/>
            </w:tcMar>
            <w:vAlign w:val="center"/>
          </w:tcPr>
          <w:p>
            <w:pPr>
              <w:rPr>
                <w:rFonts w:asciiTheme="minorHAnsi" w:hAnsiTheme="minorHAnsi" w:cstheme="minorHAnsi"/>
              </w:rPr>
            </w:pPr>
            <w:r>
              <w:rPr>
                <w:rFonts w:asciiTheme="minorHAnsi" w:hAnsiTheme="minorHAnsi" w:cstheme="minorHAnsi"/>
              </w:rPr>
              <w:t xml:space="preserve">Summary of Proposed Project: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trPr>
        <w:tc>
          <w:tcPr>
            <w:tcW w:w="9474" w:type="dxa"/>
            <w:gridSpan w:val="8"/>
            <w:shd w:val="clear" w:color="auto" w:fill="F1F1F1" w:themeFill="background1" w:themeFillShade="F2"/>
            <w:tcMar>
              <w:top w:w="85" w:type="dxa"/>
              <w:bottom w:w="85" w:type="dxa"/>
            </w:tcMar>
          </w:tcPr>
          <w:p>
            <w:pPr>
              <w:rPr>
                <w:rFonts w:hint="default" w:asciiTheme="minorHAnsi" w:hAnsiTheme="minorHAnsi" w:cstheme="minorHAnsi"/>
                <w:lang w:val="ro-RO"/>
              </w:rPr>
            </w:pPr>
            <w:r>
              <w:rPr>
                <w:rFonts w:hint="default" w:cstheme="minorHAnsi"/>
                <w:lang w:val="ro-RO"/>
              </w:rPr>
              <w:t>Barclays Bank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 w:hRule="atLeast"/>
        </w:trPr>
        <w:tc>
          <w:tcPr>
            <w:tcW w:w="2251" w:type="dxa"/>
            <w:gridSpan w:val="2"/>
            <w:tcMar>
              <w:top w:w="85" w:type="dxa"/>
              <w:bottom w:w="85" w:type="dxa"/>
            </w:tcMar>
            <w:vAlign w:val="center"/>
          </w:tcPr>
          <w:p>
            <w:pPr>
              <w:rPr>
                <w:rFonts w:asciiTheme="minorHAnsi" w:hAnsiTheme="minorHAnsi" w:cstheme="minorHAnsi"/>
              </w:rPr>
            </w:pPr>
            <w:r>
              <w:rPr>
                <w:rFonts w:asciiTheme="minorHAnsi" w:hAnsiTheme="minorHAnsi" w:cstheme="minorHAnsi"/>
              </w:rPr>
              <w:t>Planned Start Date:</w:t>
            </w:r>
          </w:p>
        </w:tc>
        <w:tc>
          <w:tcPr>
            <w:tcW w:w="2564" w:type="dxa"/>
            <w:gridSpan w:val="2"/>
            <w:shd w:val="clear" w:color="auto" w:fill="F1F1F1" w:themeFill="background1" w:themeFillShade="F2"/>
            <w:tcMar>
              <w:top w:w="85" w:type="dxa"/>
              <w:bottom w:w="85" w:type="dxa"/>
            </w:tcMar>
            <w:vAlign w:val="center"/>
          </w:tcPr>
          <w:p>
            <w:pPr>
              <w:rPr>
                <w:rFonts w:asciiTheme="minorHAnsi" w:hAnsiTheme="minorHAnsi" w:cstheme="minorHAnsi"/>
              </w:rPr>
            </w:pPr>
          </w:p>
        </w:tc>
        <w:tc>
          <w:tcPr>
            <w:tcW w:w="2114" w:type="dxa"/>
            <w:tcMar>
              <w:top w:w="85" w:type="dxa"/>
              <w:bottom w:w="85" w:type="dxa"/>
            </w:tcMar>
            <w:vAlign w:val="center"/>
          </w:tcPr>
          <w:p>
            <w:pPr>
              <w:rPr>
                <w:rFonts w:asciiTheme="minorHAnsi" w:hAnsiTheme="minorHAnsi" w:cstheme="minorHAnsi"/>
              </w:rPr>
            </w:pPr>
            <w:r>
              <w:rPr>
                <w:rFonts w:asciiTheme="minorHAnsi" w:hAnsiTheme="minorHAnsi" w:cstheme="minorHAnsi"/>
              </w:rPr>
              <w:t>Planned End Date:</w:t>
            </w:r>
          </w:p>
        </w:tc>
        <w:tc>
          <w:tcPr>
            <w:tcW w:w="2545" w:type="dxa"/>
            <w:gridSpan w:val="3"/>
            <w:shd w:val="clear" w:color="auto" w:fill="F1F1F1" w:themeFill="background1" w:themeFillShade="F2"/>
            <w:tcMar>
              <w:top w:w="85" w:type="dxa"/>
              <w:bottom w:w="85" w:type="dxa"/>
            </w:tcMar>
            <w:vAlign w:val="center"/>
          </w:tcPr>
          <w:p>
            <w:pP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 w:hRule="atLeast"/>
        </w:trPr>
        <w:tc>
          <w:tcPr>
            <w:tcW w:w="9474" w:type="dxa"/>
            <w:gridSpan w:val="8"/>
            <w:tcMar>
              <w:top w:w="85" w:type="dxa"/>
              <w:bottom w:w="85" w:type="dxa"/>
            </w:tcMar>
            <w:vAlign w:val="center"/>
          </w:tcPr>
          <w:p>
            <w:pPr>
              <w:rPr>
                <w:rFonts w:asciiTheme="minorHAnsi" w:hAnsiTheme="minorHAnsi" w:cstheme="minorHAnsi"/>
                <w:b/>
              </w:rPr>
            </w:pPr>
            <w:r>
              <w:rPr>
                <w:rFonts w:asciiTheme="minorHAnsi" w:hAnsiTheme="minorHAnsi" w:cstheme="minorHAnsi"/>
                <w:b/>
              </w:rPr>
              <w:t>DECLARATION BY STUDENT:</w:t>
            </w:r>
          </w:p>
          <w:p>
            <w:pPr>
              <w:pStyle w:val="14"/>
              <w:numPr>
                <w:ilvl w:val="0"/>
                <w:numId w:val="1"/>
              </w:numPr>
              <w:spacing w:line="240" w:lineRule="auto"/>
              <w:ind w:left="284" w:hanging="284"/>
              <w:jc w:val="left"/>
              <w:rPr>
                <w:rFonts w:asciiTheme="minorHAnsi" w:hAnsiTheme="minorHAnsi" w:cstheme="minorHAnsi"/>
                <w:sz w:val="22"/>
              </w:rPr>
            </w:pPr>
            <w:r>
              <w:rPr>
                <w:rFonts w:asciiTheme="minorHAnsi" w:hAnsiTheme="minorHAnsi" w:cstheme="minorHAnsi"/>
                <w:sz w:val="22"/>
              </w:rPr>
              <w:t>I confirm that I have read and understood the Research Ethical Guidelines and agree to abide by them in conducting my project.</w:t>
            </w:r>
          </w:p>
          <w:p>
            <w:pPr>
              <w:pStyle w:val="14"/>
              <w:numPr>
                <w:ilvl w:val="0"/>
                <w:numId w:val="1"/>
              </w:numPr>
              <w:spacing w:line="240" w:lineRule="auto"/>
              <w:ind w:left="284" w:hanging="284"/>
              <w:jc w:val="left"/>
              <w:rPr>
                <w:rFonts w:asciiTheme="minorHAnsi" w:hAnsiTheme="minorHAnsi" w:cstheme="minorHAnsi"/>
                <w:sz w:val="22"/>
              </w:rPr>
            </w:pPr>
            <w:r>
              <w:rPr>
                <w:rFonts w:asciiTheme="minorHAnsi" w:hAnsiTheme="minorHAnsi" w:cstheme="minorHAnsi"/>
                <w:sz w:val="22"/>
              </w:rPr>
              <w:t>I confirm that I understand the importance of adhering to the Research Ethical Guidelines and I am aware of the penalties for breaching them.</w:t>
            </w:r>
          </w:p>
          <w:p>
            <w:pPr>
              <w:pStyle w:val="14"/>
              <w:numPr>
                <w:ilvl w:val="0"/>
                <w:numId w:val="1"/>
              </w:numPr>
              <w:spacing w:line="240" w:lineRule="auto"/>
              <w:ind w:left="284" w:hanging="284"/>
              <w:jc w:val="left"/>
              <w:rPr>
                <w:rFonts w:asciiTheme="minorHAnsi" w:hAnsiTheme="minorHAnsi" w:cstheme="minorHAnsi"/>
                <w:sz w:val="22"/>
              </w:rPr>
            </w:pPr>
            <w:r>
              <w:rPr>
                <w:rFonts w:asciiTheme="minorHAnsi" w:hAnsiTheme="minorHAnsi" w:cstheme="minorHAnsi"/>
                <w:sz w:val="22"/>
              </w:rPr>
              <w:t>I agree to notify my academic supervisor if there is a change to my project and/or further ethical approval is needed.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 w:hRule="atLeast"/>
        </w:trPr>
        <w:tc>
          <w:tcPr>
            <w:tcW w:w="9474" w:type="dxa"/>
            <w:gridSpan w:val="8"/>
            <w:tcMar>
              <w:top w:w="85" w:type="dxa"/>
              <w:bottom w:w="85" w:type="dxa"/>
            </w:tcMar>
            <w:vAlign w:val="center"/>
          </w:tcPr>
          <w:p>
            <w:pPr>
              <w:rPr>
                <w:rFonts w:asciiTheme="minorHAnsi" w:hAnsiTheme="minorHAnsi" w:cstheme="minorHAnsi"/>
                <w:b/>
              </w:rPr>
            </w:pPr>
            <w:r>
              <w:rPr>
                <w:rFonts w:asciiTheme="minorHAnsi" w:hAnsiTheme="minorHAnsi" w:cstheme="minorHAnsi"/>
                <w:b/>
              </w:rPr>
              <w:t>To the best of my knowledge, I confirm that:</w:t>
            </w:r>
          </w:p>
          <w:p>
            <w:pPr>
              <w:pStyle w:val="14"/>
              <w:numPr>
                <w:ilvl w:val="0"/>
                <w:numId w:val="2"/>
              </w:numPr>
              <w:spacing w:line="240" w:lineRule="auto"/>
              <w:ind w:left="284" w:hanging="284"/>
              <w:jc w:val="left"/>
              <w:rPr>
                <w:rFonts w:asciiTheme="minorHAnsi" w:hAnsiTheme="minorHAnsi" w:cstheme="minorHAnsi"/>
                <w:sz w:val="22"/>
              </w:rPr>
            </w:pPr>
            <w:r>
              <w:rPr>
                <w:rFonts w:asciiTheme="minorHAnsi" w:hAnsiTheme="minorHAnsi" w:cstheme="minorHAnsi"/>
                <w:sz w:val="22"/>
              </w:rPr>
              <w:t>There is no risk to any participants</w:t>
            </w:r>
          </w:p>
          <w:p>
            <w:pPr>
              <w:pStyle w:val="14"/>
              <w:numPr>
                <w:ilvl w:val="0"/>
                <w:numId w:val="2"/>
              </w:numPr>
              <w:spacing w:line="240" w:lineRule="auto"/>
              <w:ind w:left="284" w:hanging="284"/>
              <w:jc w:val="left"/>
              <w:rPr>
                <w:rFonts w:asciiTheme="minorHAnsi" w:hAnsiTheme="minorHAnsi" w:cstheme="minorHAnsi"/>
                <w:sz w:val="22"/>
              </w:rPr>
            </w:pPr>
            <w:r>
              <w:rPr>
                <w:rFonts w:asciiTheme="minorHAnsi" w:hAnsiTheme="minorHAnsi" w:cstheme="minorHAnsi"/>
                <w:sz w:val="22"/>
              </w:rPr>
              <w:t>There is no risk to me</w:t>
            </w:r>
          </w:p>
          <w:p>
            <w:pPr>
              <w:pStyle w:val="14"/>
              <w:numPr>
                <w:ilvl w:val="0"/>
                <w:numId w:val="2"/>
              </w:numPr>
              <w:spacing w:line="240" w:lineRule="auto"/>
              <w:ind w:left="284" w:hanging="284"/>
              <w:jc w:val="left"/>
              <w:rPr>
                <w:rFonts w:asciiTheme="minorHAnsi" w:hAnsiTheme="minorHAnsi" w:cstheme="minorHAnsi"/>
                <w:sz w:val="22"/>
              </w:rPr>
            </w:pPr>
            <w:r>
              <w:rPr>
                <w:rFonts w:asciiTheme="minorHAnsi" w:hAnsiTheme="minorHAnsi" w:cstheme="minorHAnsi"/>
                <w:sz w:val="22"/>
              </w:rPr>
              <w:t>There is no risk to the institution or QA in terms of liability or reputation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 w:hRule="atLeast"/>
        </w:trPr>
        <w:tc>
          <w:tcPr>
            <w:tcW w:w="977" w:type="dxa"/>
            <w:shd w:val="clear" w:color="auto" w:fill="F1F1F1" w:themeFill="background1" w:themeFillShade="F2"/>
            <w:tcMar>
              <w:top w:w="85" w:type="dxa"/>
              <w:bottom w:w="85" w:type="dxa"/>
            </w:tcMar>
            <w:vAlign w:val="center"/>
          </w:tcPr>
          <w:p>
            <w:pPr>
              <w:rPr>
                <w:rFonts w:asciiTheme="minorHAnsi" w:hAnsiTheme="minorHAnsi" w:cstheme="minorHAnsi"/>
              </w:rPr>
            </w:pPr>
          </w:p>
        </w:tc>
        <w:tc>
          <w:tcPr>
            <w:tcW w:w="8497" w:type="dxa"/>
            <w:gridSpan w:val="7"/>
            <w:tcMar>
              <w:top w:w="85" w:type="dxa"/>
              <w:bottom w:w="85" w:type="dxa"/>
            </w:tcMar>
            <w:vAlign w:val="center"/>
          </w:tcPr>
          <w:p>
            <w:pPr>
              <w:rPr>
                <w:rFonts w:asciiTheme="minorHAnsi" w:hAnsiTheme="minorHAnsi" w:cstheme="minorHAnsi"/>
              </w:rPr>
            </w:pPr>
            <w:r>
              <w:rPr>
                <w:rFonts w:asciiTheme="minorHAnsi" w:hAnsiTheme="minorHAnsi" w:cstheme="minorHAnsi"/>
              </w:rPr>
              <w:t>I undertake to report all data and findings in a responsible way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 w:hRule="atLeast"/>
        </w:trPr>
        <w:tc>
          <w:tcPr>
            <w:tcW w:w="977" w:type="dxa"/>
            <w:tcMar>
              <w:top w:w="85" w:type="dxa"/>
              <w:bottom w:w="85" w:type="dxa"/>
            </w:tcMar>
            <w:vAlign w:val="center"/>
          </w:tcPr>
          <w:p>
            <w:pPr>
              <w:rPr>
                <w:rFonts w:asciiTheme="minorHAnsi" w:hAnsiTheme="minorHAnsi" w:cstheme="minorHAnsi"/>
                <w:b/>
              </w:rPr>
            </w:pPr>
            <w:r>
              <w:rPr>
                <w:rFonts w:asciiTheme="minorHAnsi" w:hAnsiTheme="minorHAnsi" w:cstheme="minorHAnsi"/>
                <w:b/>
              </w:rPr>
              <w:t>Name:</w:t>
            </w:r>
          </w:p>
        </w:tc>
        <w:tc>
          <w:tcPr>
            <w:tcW w:w="2689" w:type="dxa"/>
            <w:gridSpan w:val="2"/>
            <w:shd w:val="clear" w:color="auto" w:fill="F1F1F1" w:themeFill="background1" w:themeFillShade="F2"/>
            <w:tcMar>
              <w:top w:w="85" w:type="dxa"/>
              <w:bottom w:w="85" w:type="dxa"/>
            </w:tcMar>
            <w:vAlign w:val="center"/>
          </w:tcPr>
          <w:p>
            <w:pPr>
              <w:rPr>
                <w:rFonts w:hint="default" w:asciiTheme="minorHAnsi" w:hAnsiTheme="minorHAnsi" w:cstheme="minorHAnsi"/>
                <w:lang w:val="ro-RO"/>
              </w:rPr>
            </w:pPr>
            <w:r>
              <w:rPr>
                <w:rFonts w:hint="default" w:cstheme="minorHAnsi"/>
                <w:lang w:val="ro-RO"/>
              </w:rPr>
              <w:t>Ioana Gabriela Bodnar</w:t>
            </w:r>
          </w:p>
        </w:tc>
        <w:tc>
          <w:tcPr>
            <w:tcW w:w="1149" w:type="dxa"/>
            <w:tcMar>
              <w:top w:w="85" w:type="dxa"/>
              <w:bottom w:w="85" w:type="dxa"/>
            </w:tcMar>
            <w:vAlign w:val="center"/>
          </w:tcPr>
          <w:p>
            <w:pPr>
              <w:rPr>
                <w:rFonts w:asciiTheme="minorHAnsi" w:hAnsiTheme="minorHAnsi" w:cstheme="minorHAnsi"/>
                <w:b/>
              </w:rPr>
            </w:pPr>
            <w:r>
              <w:rPr>
                <w:rFonts w:asciiTheme="minorHAnsi" w:hAnsiTheme="minorHAnsi" w:cstheme="minorHAnsi"/>
                <w:b/>
              </w:rPr>
              <w:t>Signature:</w:t>
            </w:r>
          </w:p>
        </w:tc>
        <w:tc>
          <w:tcPr>
            <w:tcW w:w="2684" w:type="dxa"/>
            <w:gridSpan w:val="2"/>
            <w:shd w:val="clear" w:color="auto" w:fill="F1F1F1" w:themeFill="background1" w:themeFillShade="F2"/>
            <w:tcMar>
              <w:top w:w="85" w:type="dxa"/>
              <w:bottom w:w="85" w:type="dxa"/>
            </w:tcMar>
            <w:vAlign w:val="center"/>
          </w:tcPr>
          <w:p>
            <w:pPr>
              <w:rPr>
                <w:rFonts w:hint="default" w:asciiTheme="minorHAnsi" w:hAnsiTheme="minorHAnsi" w:cstheme="minorHAnsi"/>
                <w:lang w:val="ro-RO"/>
              </w:rPr>
            </w:pPr>
            <w:r>
              <w:rPr>
                <w:rFonts w:hint="default" w:cstheme="minorHAnsi"/>
                <w:lang w:val="ro-RO"/>
              </w:rPr>
              <w:t>Ioana Gabriela Bodnar</w:t>
            </w:r>
          </w:p>
        </w:tc>
        <w:tc>
          <w:tcPr>
            <w:tcW w:w="711" w:type="dxa"/>
            <w:tcMar>
              <w:top w:w="85" w:type="dxa"/>
              <w:bottom w:w="85" w:type="dxa"/>
            </w:tcMar>
            <w:vAlign w:val="center"/>
          </w:tcPr>
          <w:p>
            <w:pPr>
              <w:rPr>
                <w:rFonts w:asciiTheme="minorHAnsi" w:hAnsiTheme="minorHAnsi" w:cstheme="minorHAnsi"/>
                <w:b/>
              </w:rPr>
            </w:pPr>
            <w:r>
              <w:rPr>
                <w:rFonts w:asciiTheme="minorHAnsi" w:hAnsiTheme="minorHAnsi" w:cstheme="minorHAnsi"/>
                <w:b/>
              </w:rPr>
              <w:t>Date:</w:t>
            </w:r>
          </w:p>
        </w:tc>
        <w:tc>
          <w:tcPr>
            <w:tcW w:w="1264" w:type="dxa"/>
            <w:shd w:val="clear" w:color="auto" w:fill="F1F1F1" w:themeFill="background1" w:themeFillShade="F2"/>
            <w:tcMar>
              <w:top w:w="85" w:type="dxa"/>
              <w:bottom w:w="85" w:type="dxa"/>
            </w:tcMar>
            <w:vAlign w:val="center"/>
          </w:tcPr>
          <w:p>
            <w:pPr>
              <w:rPr>
                <w:rFonts w:hint="default" w:asciiTheme="minorHAnsi" w:hAnsiTheme="minorHAnsi" w:cstheme="minorHAnsi"/>
                <w:lang w:val="ro-RO"/>
              </w:rPr>
            </w:pPr>
            <w:r>
              <w:rPr>
                <w:rFonts w:hint="default" w:cstheme="minorHAnsi"/>
                <w:lang w:val="ro-RO"/>
              </w:rPr>
              <w:t>1/05/2023</w:t>
            </w:r>
          </w:p>
        </w:tc>
      </w:tr>
    </w:tbl>
    <w:p>
      <w:pPr>
        <w:pStyle w:val="18"/>
        <w:spacing w:line="360" w:lineRule="auto"/>
        <w:rPr>
          <w:rFonts w:ascii="Times New Roman" w:hAnsi="Times New Roman" w:cs="Times New Roman"/>
        </w:rPr>
      </w:pPr>
    </w:p>
    <w:p>
      <w:pPr>
        <w:pStyle w:val="18"/>
        <w:spacing w:line="360" w:lineRule="auto"/>
        <w:rPr>
          <w:rFonts w:ascii="Times New Roman" w:hAnsi="Times New Roman" w:cs="Times New Roman"/>
        </w:rPr>
      </w:pPr>
    </w:p>
    <w:p>
      <w:pPr>
        <w:pStyle w:val="18"/>
        <w:spacing w:line="360" w:lineRule="auto"/>
        <w:ind w:left="815" w:leftChars="196" w:hanging="384" w:hangingChars="160"/>
        <w:rPr>
          <w:rFonts w:hint="default" w:ascii="Times New Roman" w:hAnsi="Times New Roman" w:cs="Times New Roman"/>
          <w:color w:val="auto"/>
          <w:sz w:val="24"/>
          <w:szCs w:val="24"/>
          <w:lang w:val="ro-RO"/>
        </w:rPr>
      </w:pPr>
      <w:r>
        <w:rPr>
          <w:rFonts w:hint="default" w:ascii="Times New Roman" w:hAnsi="Times New Roman" w:cs="Times New Roman"/>
          <w:color w:val="auto"/>
          <w:sz w:val="24"/>
          <w:szCs w:val="24"/>
          <w:lang w:val="ro-RO"/>
        </w:rPr>
        <w:t xml:space="preserve">   Abstract</w:t>
      </w:r>
    </w:p>
    <w:p>
      <w:pPr>
        <w:spacing w:line="360" w:lineRule="auto"/>
        <w:jc w:val="both"/>
        <w:rPr>
          <w:rFonts w:ascii="Times New Roman" w:hAnsi="Times New Roman" w:cs="Times New Roman"/>
          <w:b/>
          <w:sz w:val="24"/>
          <w:szCs w:val="24"/>
        </w:rPr>
      </w:pPr>
      <w:r>
        <w:rPr>
          <w:rFonts w:ascii="Times New Roman" w:hAnsi="Times New Roman" w:cs="Times New Roman"/>
          <w:sz w:val="24"/>
          <w:szCs w:val="24"/>
        </w:rPr>
        <w:t xml:space="preserve">          Employees play a crucial role in the organization as with their support of them, an organization can attain the mission and vision of the company and provides satisfaction to customers by providing excellent services. When employees remain engaged in the business then they are more dedicated to their work and that enhances the productivity of the business and employees. Engaged employees show up and are included as well as they invest their expressive, behavioura</w:t>
      </w:r>
      <w:r>
        <w:rPr>
          <w:rFonts w:hint="default" w:ascii="Times New Roman" w:hAnsi="Times New Roman" w:cs="Times New Roman"/>
          <w:sz w:val="24"/>
          <w:szCs w:val="24"/>
          <w:lang w:val="ro-RO"/>
        </w:rPr>
        <w:t>l</w:t>
      </w:r>
      <w:r>
        <w:rPr>
          <w:rFonts w:ascii="Times New Roman" w:hAnsi="Times New Roman" w:cs="Times New Roman"/>
          <w:sz w:val="24"/>
          <w:szCs w:val="24"/>
        </w:rPr>
        <w:t xml:space="preserve"> and cognitive energies toward optimistic business outputs. The prime aim of this research is to effectively assess the importance of training and development as an assertive element for employee engagement and retention at Barclays Bank. With Secondary data collection method, the proposed research identified that</w:t>
      </w:r>
      <w:r>
        <w:rPr>
          <w:rFonts w:ascii="Times New Roman" w:hAnsi="Times New Roman" w:cs="Times New Roman"/>
          <w:b/>
          <w:sz w:val="24"/>
          <w:szCs w:val="24"/>
        </w:rPr>
        <w:t xml:space="preserve"> </w:t>
      </w:r>
      <w:r>
        <w:rPr>
          <w:rFonts w:ascii="Times New Roman" w:hAnsi="Times New Roman" w:cs="Times New Roman"/>
          <w:sz w:val="24"/>
          <w:szCs w:val="24"/>
        </w:rPr>
        <w:t>Barclays Bank's commitment to training and development has helped the bank build a skilled and effective workforce. By providing employees with the tools and resources they need to learn and grow, Barclays Bank has improved job satisfaction, increased productivity and performance, and created a culture of continuous learning and improvement</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br w:type="page"/>
      </w:r>
    </w:p>
    <w:sdt>
      <w:sdtPr>
        <w:rPr>
          <w:rFonts w:ascii="Times New Roman" w:hAnsi="Times New Roman" w:cs="Times New Roman" w:eastAsiaTheme="minorHAnsi"/>
          <w:b w:val="0"/>
          <w:bCs w:val="0"/>
          <w:color w:val="auto"/>
          <w:sz w:val="24"/>
          <w:szCs w:val="24"/>
          <w:lang w:val="en-GB"/>
        </w:rPr>
        <w:id w:val="3355833"/>
        <w:docPartObj>
          <w:docPartGallery w:val="Table of Contents"/>
          <w:docPartUnique/>
        </w:docPartObj>
      </w:sdtPr>
      <w:sdtEndPr>
        <w:rPr>
          <w:rFonts w:ascii="Times New Roman" w:hAnsi="Times New Roman" w:cs="Times New Roman" w:eastAsiaTheme="minorHAnsi"/>
          <w:b w:val="0"/>
          <w:bCs w:val="0"/>
          <w:color w:val="auto"/>
          <w:sz w:val="24"/>
          <w:szCs w:val="24"/>
          <w:lang w:val="en-GB"/>
        </w:rPr>
      </w:sdtEndPr>
      <w:sdtContent>
        <w:p>
          <w:pPr>
            <w:pStyle w:val="16"/>
            <w:spacing w:line="360" w:lineRule="auto"/>
            <w:jc w:val="both"/>
            <w:rPr>
              <w:rFonts w:ascii="Times New Roman" w:hAnsi="Times New Roman" w:cs="Times New Roman"/>
              <w:color w:val="auto"/>
              <w:sz w:val="24"/>
              <w:szCs w:val="24"/>
            </w:rPr>
          </w:pPr>
          <w:r>
            <w:rPr>
              <w:rFonts w:ascii="Times New Roman" w:hAnsi="Times New Roman" w:cs="Times New Roman" w:eastAsiaTheme="minorHAnsi"/>
              <w:b w:val="0"/>
              <w:bCs w:val="0"/>
              <w:color w:val="auto"/>
              <w:sz w:val="24"/>
              <w:szCs w:val="24"/>
              <w:lang w:val="en-GB"/>
            </w:rPr>
            <w:t xml:space="preserve">        </w:t>
          </w:r>
          <w:r>
            <w:rPr>
              <w:rFonts w:ascii="Times New Roman" w:hAnsi="Times New Roman" w:cs="Times New Roman"/>
              <w:color w:val="auto"/>
              <w:sz w:val="24"/>
              <w:szCs w:val="24"/>
            </w:rPr>
            <w:t>Table of Contents</w:t>
          </w:r>
        </w:p>
        <w:p>
          <w:pPr>
            <w:pStyle w:val="11"/>
            <w:tabs>
              <w:tab w:val="right" w:leader="dot" w:pos="9350"/>
            </w:tabs>
            <w:spacing w:line="360" w:lineRule="auto"/>
            <w:jc w:val="both"/>
            <w:rPr>
              <w:rFonts w:ascii="Times New Roman" w:hAnsi="Times New Roman" w:cs="Times New Roman" w:eastAsiaTheme="minorEastAsia"/>
              <w:sz w:val="24"/>
              <w:szCs w:val="24"/>
              <w:lang w:val="en-US"/>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"_Toc130892382" </w:instrText>
          </w:r>
          <w:r>
            <w:fldChar w:fldCharType="separate"/>
          </w:r>
          <w:r>
            <w:rPr>
              <w:rStyle w:val="8"/>
              <w:rFonts w:ascii="Times New Roman" w:hAnsi="Times New Roman" w:cs="Times New Roman"/>
              <w:color w:val="auto"/>
              <w:sz w:val="24"/>
              <w:szCs w:val="24"/>
            </w:rPr>
            <w:t>Abstract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_Toc130892382 \h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1"/>
            <w:tabs>
              <w:tab w:val="right" w:leader="dot" w:pos="9350"/>
            </w:tabs>
            <w:spacing w:line="360" w:lineRule="auto"/>
            <w:jc w:val="both"/>
            <w:rPr>
              <w:rFonts w:ascii="Times New Roman" w:hAnsi="Times New Roman" w:cs="Times New Roman" w:eastAsiaTheme="minorEastAsia"/>
              <w:sz w:val="24"/>
              <w:szCs w:val="24"/>
              <w:lang w:val="en-US"/>
            </w:rPr>
          </w:pPr>
          <w:r>
            <w:fldChar w:fldCharType="begin"/>
          </w:r>
          <w:r>
            <w:instrText xml:space="preserve"> HYPERLINK \l "_Toc130892383" </w:instrText>
          </w:r>
          <w:r>
            <w:fldChar w:fldCharType="separate"/>
          </w:r>
          <w:r>
            <w:rPr>
              <w:rStyle w:val="8"/>
              <w:rFonts w:ascii="Times New Roman" w:hAnsi="Times New Roman" w:cs="Times New Roman"/>
              <w:color w:val="auto"/>
              <w:sz w:val="24"/>
              <w:szCs w:val="24"/>
            </w:rPr>
            <w:t>Chapter 1: 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_Toc130892383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1"/>
            <w:tabs>
              <w:tab w:val="right" w:leader="dot" w:pos="9350"/>
            </w:tabs>
            <w:spacing w:line="360" w:lineRule="auto"/>
            <w:jc w:val="both"/>
            <w:rPr>
              <w:rFonts w:ascii="Times New Roman" w:hAnsi="Times New Roman" w:cs="Times New Roman" w:eastAsiaTheme="minorEastAsia"/>
              <w:sz w:val="24"/>
              <w:szCs w:val="24"/>
              <w:lang w:val="en-US"/>
            </w:rPr>
          </w:pPr>
          <w:r>
            <w:fldChar w:fldCharType="begin"/>
          </w:r>
          <w:r>
            <w:instrText xml:space="preserve"> HYPERLINK \l "_Toc130892384" </w:instrText>
          </w:r>
          <w:r>
            <w:fldChar w:fldCharType="separate"/>
          </w:r>
          <w:r>
            <w:rPr>
              <w:rStyle w:val="8"/>
              <w:rFonts w:ascii="Times New Roman" w:hAnsi="Times New Roman" w:cs="Times New Roman"/>
              <w:color w:val="auto"/>
              <w:sz w:val="24"/>
              <w:szCs w:val="24"/>
            </w:rPr>
            <w:t>Chapter 2: Literature Review</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_Toc130892384 \h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1"/>
            <w:tabs>
              <w:tab w:val="right" w:leader="dot" w:pos="9350"/>
            </w:tabs>
            <w:spacing w:line="360" w:lineRule="auto"/>
            <w:jc w:val="both"/>
            <w:rPr>
              <w:rFonts w:ascii="Times New Roman" w:hAnsi="Times New Roman" w:cs="Times New Roman" w:eastAsiaTheme="minorEastAsia"/>
              <w:sz w:val="24"/>
              <w:szCs w:val="24"/>
              <w:lang w:val="en-US"/>
            </w:rPr>
          </w:pPr>
          <w:r>
            <w:fldChar w:fldCharType="begin"/>
          </w:r>
          <w:r>
            <w:instrText xml:space="preserve"> HYPERLINK \l "_Toc130892385" </w:instrText>
          </w:r>
          <w:r>
            <w:fldChar w:fldCharType="separate"/>
          </w:r>
          <w:r>
            <w:rPr>
              <w:rStyle w:val="8"/>
              <w:rFonts w:ascii="Times New Roman" w:hAnsi="Times New Roman" w:cs="Times New Roman"/>
              <w:color w:val="auto"/>
              <w:sz w:val="24"/>
              <w:szCs w:val="24"/>
            </w:rPr>
            <w:t>Chapter 3: Research Methodology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_Toc130892385 \h </w:instrText>
          </w:r>
          <w:r>
            <w:rPr>
              <w:rFonts w:ascii="Times New Roman" w:hAnsi="Times New Roman" w:cs="Times New Roman"/>
              <w:sz w:val="24"/>
              <w:szCs w:val="24"/>
            </w:rPr>
            <w:fldChar w:fldCharType="separate"/>
          </w:r>
          <w:r>
            <w:rPr>
              <w:rFonts w:ascii="Times New Roman" w:hAnsi="Times New Roman" w:cs="Times New Roman"/>
              <w:sz w:val="24"/>
              <w:szCs w:val="24"/>
            </w:rPr>
            <w:t>15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1"/>
            <w:tabs>
              <w:tab w:val="right" w:leader="dot" w:pos="9350"/>
            </w:tabs>
            <w:spacing w:line="360" w:lineRule="auto"/>
            <w:jc w:val="both"/>
            <w:rPr>
              <w:rFonts w:ascii="Times New Roman" w:hAnsi="Times New Roman" w:cs="Times New Roman" w:eastAsiaTheme="minorEastAsia"/>
              <w:sz w:val="24"/>
              <w:szCs w:val="24"/>
              <w:lang w:val="en-US"/>
            </w:rPr>
          </w:pPr>
          <w:r>
            <w:fldChar w:fldCharType="begin"/>
          </w:r>
          <w:r>
            <w:instrText xml:space="preserve"> HYPERLINK \l "_Toc130892386" </w:instrText>
          </w:r>
          <w:r>
            <w:fldChar w:fldCharType="separate"/>
          </w:r>
          <w:r>
            <w:rPr>
              <w:rStyle w:val="8"/>
              <w:rFonts w:ascii="Times New Roman" w:hAnsi="Times New Roman" w:cs="Times New Roman"/>
              <w:color w:val="auto"/>
              <w:sz w:val="24"/>
              <w:szCs w:val="24"/>
            </w:rPr>
            <w:t>Chapter 4: Data Analysis and Discussions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_Toc130892386 \h </w:instrText>
          </w:r>
          <w:r>
            <w:rPr>
              <w:rFonts w:ascii="Times New Roman" w:hAnsi="Times New Roman" w:cs="Times New Roman"/>
              <w:sz w:val="24"/>
              <w:szCs w:val="24"/>
            </w:rPr>
            <w:fldChar w:fldCharType="separate"/>
          </w:r>
          <w:r>
            <w:rPr>
              <w:rFonts w:ascii="Times New Roman" w:hAnsi="Times New Roman" w:cs="Times New Roman"/>
              <w:sz w:val="24"/>
              <w:szCs w:val="24"/>
            </w:rPr>
            <w:t>18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1"/>
            <w:tabs>
              <w:tab w:val="right" w:leader="dot" w:pos="9350"/>
            </w:tabs>
            <w:spacing w:line="360" w:lineRule="auto"/>
            <w:jc w:val="both"/>
            <w:rPr>
              <w:rFonts w:ascii="Times New Roman" w:hAnsi="Times New Roman" w:cs="Times New Roman" w:eastAsiaTheme="minorEastAsia"/>
              <w:sz w:val="24"/>
              <w:szCs w:val="24"/>
              <w:lang w:val="en-US"/>
            </w:rPr>
          </w:pPr>
          <w:r>
            <w:fldChar w:fldCharType="begin"/>
          </w:r>
          <w:r>
            <w:instrText xml:space="preserve"> HYPERLINK \l "_Toc130892387" </w:instrText>
          </w:r>
          <w:r>
            <w:fldChar w:fldCharType="separate"/>
          </w:r>
          <w:r>
            <w:rPr>
              <w:rStyle w:val="8"/>
              <w:rFonts w:ascii="Times New Roman" w:hAnsi="Times New Roman" w:cs="Times New Roman"/>
              <w:color w:val="auto"/>
              <w:sz w:val="24"/>
              <w:szCs w:val="24"/>
            </w:rPr>
            <w:t>Chapter 5: Conclusions and Recommendations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_Toc130892387 \h </w:instrText>
          </w:r>
          <w:r>
            <w:rPr>
              <w:rFonts w:ascii="Times New Roman" w:hAnsi="Times New Roman" w:cs="Times New Roman"/>
              <w:sz w:val="24"/>
              <w:szCs w:val="24"/>
            </w:rPr>
            <w:fldChar w:fldCharType="separate"/>
          </w:r>
          <w:r>
            <w:rPr>
              <w:rFonts w:ascii="Times New Roman" w:hAnsi="Times New Roman" w:cs="Times New Roman"/>
              <w:sz w:val="24"/>
              <w:szCs w:val="24"/>
            </w:rPr>
            <w:t>21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1"/>
            <w:tabs>
              <w:tab w:val="right" w:leader="dot" w:pos="9350"/>
            </w:tabs>
            <w:spacing w:line="360" w:lineRule="auto"/>
            <w:jc w:val="both"/>
            <w:rPr>
              <w:rFonts w:ascii="Times New Roman" w:hAnsi="Times New Roman" w:cs="Times New Roman" w:eastAsiaTheme="minorEastAsia"/>
              <w:sz w:val="24"/>
              <w:szCs w:val="24"/>
              <w:lang w:val="en-US"/>
            </w:rPr>
          </w:pPr>
          <w:r>
            <w:fldChar w:fldCharType="begin"/>
          </w:r>
          <w:r>
            <w:instrText xml:space="preserve"> HYPERLINK \l "_Toc130892388" </w:instrText>
          </w:r>
          <w:r>
            <w:fldChar w:fldCharType="separate"/>
          </w:r>
          <w:r>
            <w:rPr>
              <w:rStyle w:val="8"/>
              <w:rFonts w:ascii="Times New Roman" w:hAnsi="Times New Roman" w:cs="Times New Roman"/>
              <w:color w:val="auto"/>
              <w:sz w:val="24"/>
              <w:szCs w:val="24"/>
            </w:rPr>
            <w:t>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_Toc130892388 \h </w:instrText>
          </w:r>
          <w:r>
            <w:rPr>
              <w:rFonts w:ascii="Times New Roman" w:hAnsi="Times New Roman" w:cs="Times New Roman"/>
              <w:sz w:val="24"/>
              <w:szCs w:val="24"/>
            </w:rPr>
            <w:fldChar w:fldCharType="separate"/>
          </w:r>
          <w:r>
            <w:rPr>
              <w:rFonts w:ascii="Times New Roman" w:hAnsi="Times New Roman" w:cs="Times New Roman"/>
              <w:sz w:val="24"/>
              <w:szCs w:val="24"/>
            </w:rPr>
            <w:t>23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spacing w:line="360" w:lineRule="auto"/>
            <w:jc w:val="both"/>
            <w:rPr>
              <w:rFonts w:ascii="Times New Roman" w:hAnsi="Times New Roman" w:cs="Times New Roman"/>
              <w:sz w:val="24"/>
              <w:szCs w:val="24"/>
            </w:rPr>
          </w:pPr>
          <w:r>
            <w:rPr>
              <w:rFonts w:ascii="Times New Roman" w:hAnsi="Times New Roman" w:cs="Times New Roman"/>
              <w:sz w:val="24"/>
              <w:szCs w:val="24"/>
            </w:rPr>
            <w:fldChar w:fldCharType="end"/>
          </w:r>
        </w:p>
      </w:sdtContent>
    </w:sdt>
    <w:p>
      <w:pPr>
        <w:spacing w:line="360" w:lineRule="auto"/>
        <w:jc w:val="both"/>
        <w:rPr>
          <w:rFonts w:ascii="Times New Roman" w:hAnsi="Times New Roman" w:cs="Times New Roman" w:eastAsiaTheme="majorEastAsia"/>
          <w:b/>
          <w:bCs/>
          <w:sz w:val="24"/>
          <w:szCs w:val="24"/>
        </w:rPr>
      </w:pPr>
      <w:r>
        <w:rPr>
          <w:rFonts w:ascii="Times New Roman" w:hAnsi="Times New Roman" w:cs="Times New Roman"/>
          <w:sz w:val="24"/>
          <w:szCs w:val="24"/>
        </w:rPr>
        <w:br w:type="page"/>
      </w:r>
    </w:p>
    <w:p>
      <w:pPr>
        <w:pStyle w:val="2"/>
        <w:spacing w:line="360" w:lineRule="auto"/>
        <w:jc w:val="both"/>
        <w:rPr>
          <w:rFonts w:ascii="Times New Roman" w:hAnsi="Times New Roman" w:cs="Times New Roman"/>
          <w:color w:val="auto"/>
          <w:sz w:val="24"/>
          <w:szCs w:val="24"/>
        </w:rPr>
      </w:pPr>
      <w:bookmarkStart w:id="0" w:name="_Toc130892383"/>
      <w:r>
        <w:rPr>
          <w:rFonts w:ascii="Times New Roman" w:hAnsi="Times New Roman" w:cs="Times New Roman"/>
          <w:color w:val="auto"/>
          <w:sz w:val="24"/>
          <w:szCs w:val="24"/>
        </w:rPr>
        <w:t xml:space="preserve">          Chapter 1: Introduction</w:t>
      </w:r>
      <w:bookmarkEnd w:id="0"/>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Background</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Employees play a crucial role in the organization as with their support of them, an organization can attain the mission and vision of the company and provides satisfaction to customers by providing excellent services (Aburumman et al., 2020). When employees remain engaged in the business then they are more dedicated to their work and that enhances the productivity of the business and employees. Engaged employees show up and are included as well as they invest their expressive, behavioural, and cognitive energies toward optimistic business outputs. Skilled and talented employees aid the company to tackle the challenges of the company and they can attain organizational success. The leaders of the company recognize the importance of training and development in staff members’ assessment and performance. In the international market, improved skills and learning provide competitive advantages to the business and numerous studies have been done in the region of development and training in business member performance (Vakhrusheva et al., 2021).</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Employees feel more connected, integration has been associated with productivity and positivity as well as employees who incorporate creates a better feeling of how their input and roles are vital factors in the organizational framework. The engagement of employees has relied on trust, integrity, communication, and so on between a business and its staff (Singh, 2019). It mainly enhances the chances of business success and it can be understandable by leading businesses in the 21st century, employee retention and engagement is significant. It enhances the loyalty of employees towards the business and being a great advocate of the business to their customers motivated employees utilize their skills, knowledge, and idea to enhance the business services and be innovative. If employees are engaged then it mainly results in low employee turnover, fewer conflicts, and deeper commitment and it is beneficial for the organization (Sileyew, 2019).</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Organizational background</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Barclays is a British multinational universal bank and it’s headquarter is in London, England. They acquire two branches i.e. Barclays UK and Barclay’s international assisted by a service company, Barclays Execution services. It provides banking financial services to customers it was established in 1690 and the key people are Nigel Higgins and C.S. Venkatkrishnan (Ruggiano and Perry, 2019). They acquire services like retail &amp; commercial banking, wholesale banking, investment banking, and so on. In 2023, they acquire almost 81000 employees and in 2022, they have a net income of 5.973 billion Euros. Due to the total assets of 1.514 trillion, they are the fifth biggest bank in Europe in 2022 (Prasetyo et al., 2021).</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Significance of the study</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Numerous studies are available that are related to employee engagement in the business, however, Barclays Bank is not aware of this as they are unaware of the elements that affect the functioning of the employees and satisfaction at the business from senior-level management perspectives. With the help of several articles that are linked to the problem, the scholar has recognized that Barclays Bank is already suffering from this barrier. The company must recognize the hindrance that creates dissatisfaction among employees from the perspective of top management (Pareek et al., 2019). The HRM department of any business is responsible for ensuring the engagement and retention of employees and they have to address the entire challenges that are related to the employee’s engagement. They have relevant reasons for each issue and they should recognize what are the causes answerable for this dilemma and also assess approaches to tackle the problems. This research is useful for the manager of Barclays Bank as this research aids them to address the barriers and also how to deal with different age groups as well as fulfilling their requirements to encourage them to accomplish their task in the provided time (Pandey and Pandey, 2021). </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ind w:firstLine="480" w:firstLineChars="200"/>
        <w:jc w:val="both"/>
        <w:rPr>
          <w:rFonts w:ascii="Times New Roman" w:hAnsi="Times New Roman" w:cs="Times New Roman"/>
          <w:b/>
          <w:sz w:val="24"/>
          <w:szCs w:val="24"/>
        </w:rPr>
      </w:pPr>
      <w:r>
        <w:rPr>
          <w:rFonts w:ascii="Times New Roman" w:hAnsi="Times New Roman" w:cs="Times New Roman"/>
          <w:b/>
          <w:sz w:val="24"/>
          <w:szCs w:val="24"/>
        </w:rPr>
        <w:t xml:space="preserve"> Scope of the research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Based on the views of HR supervisors and the factors that significantly affect employees at work, primarily banking, and consumption, the study was effectively completed. The researcher will learn how differences in workplace performance have improved warfare, what the responsible aspect of including them in employee satisfaction methods is, what people management techniques are crucial for including in the methodology for fostering employee satisfaction, and where employment conventions are an important resource for the business (Ojuolape et al., 2022).</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Research aim</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The prime aim of this research is to effectively assess the importance of training and development as an assertive element for employee engagement and retention at Barclays Bank.</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Research objectives</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According to Athira, 2022, the research purpose helped to focus it and make it practical for achieving its goals. The following are the research's objectives: </w:t>
      </w:r>
    </w:p>
    <w:p>
      <w:pPr>
        <w:pStyle w:val="14"/>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thoroughly investigate how staff development affects employees' performance at Barclays Bank </w:t>
      </w:r>
    </w:p>
    <w:p>
      <w:pPr>
        <w:pStyle w:val="14"/>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To determine the impact of development and training practices within Barclays Bank on staff development</w:t>
      </w:r>
    </w:p>
    <w:p>
      <w:pPr>
        <w:pStyle w:val="14"/>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effectively analyze how staff development affects performance and importance at Barclays Bank </w:t>
      </w:r>
    </w:p>
    <w:p>
      <w:pPr>
        <w:pStyle w:val="14"/>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To effectively evaluate the impact of employee development at Barclays Bank</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Research questions</w:t>
      </w:r>
    </w:p>
    <w:p>
      <w:pPr>
        <w:pStyle w:val="14"/>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What are the main features of employees that make an impact on employee performance?</w:t>
      </w:r>
    </w:p>
    <w:p>
      <w:pPr>
        <w:pStyle w:val="14"/>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What is the importance of employee enhancement in enhancing the performance at Barclays Bank?</w:t>
      </w:r>
    </w:p>
    <w:p>
      <w:pPr>
        <w:pStyle w:val="14"/>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What factors majorly affect employee engagement?</w:t>
      </w:r>
    </w:p>
    <w:p>
      <w:pPr>
        <w:pStyle w:val="14"/>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What are the key elements that aid in encouraging the employees to accomplish their tasks at Barclays bank?</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Problem Statement</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In the 21st century, talent management techniques play a crucial role in numerous businesses as it aids them to provide several benefits to the worksite of employees and satisfy them. Development and training of employees results in enhanced business performance, as well as productivity of employees, is also increased (Newman and Gough, 2020). Numerous businesses like the banking industry in the UK suffer from high employee turnover rates and a lack of employee encouragement level. If they provide training and development to employees as well as the opportunity for career development then it enhances the engagement and retention of the employees. Organizations face several problems due to a shortage of employees like poor communication, high employee turnover rate, less productivity, toxic working culture, and so on. It mainly creates conflicts and differences in the company and the HRM department is responsible for employee engagement as they have to motivate employees to remain consistent and dedicated towards business goals and objectives (Mishra and Alok, 2022).</w:t>
      </w: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pStyle w:val="2"/>
        <w:spacing w:line="360" w:lineRule="auto"/>
        <w:jc w:val="both"/>
        <w:rPr>
          <w:rFonts w:ascii="Times New Roman" w:hAnsi="Times New Roman" w:cs="Times New Roman"/>
          <w:color w:val="auto"/>
          <w:sz w:val="24"/>
          <w:szCs w:val="24"/>
        </w:rPr>
      </w:pPr>
      <w:bookmarkStart w:id="1" w:name="_Toc130892384"/>
    </w:p>
    <w:p>
      <w:pPr>
        <w:pStyle w:val="2"/>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          Chapter 2: Literature Review</w:t>
      </w:r>
      <w:bookmarkEnd w:id="1"/>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Employee engagement and retention</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In order to enhance organizational productivity and performance, employee engagement and retention are significant factors, and the development and training of employees provide advantages to the company like it enhances the learning process, sentimental perceptions, and the person’s worth. The remuneration of employees also acquired a major role as it is the centre of the employment relationship between the employer and staff. Maity, (2019 ) observed that the necessary adjustments in the organizational framework also lessen job security as it mainly changes the psychological contract between the owners and employees.  The HRM department is considered as the management philosophy that addresses the problems of business and an individual career plan initiated to acquire numerous qualities, businesses also focus on this to provide the opportunity for employees to learn new skills so that they can be beneficial to the company in the future. It mainly aids the business to attain business success and enhances organizational productivity (Kwon and Park, 2019). Employee performance can be increased by several factors i.e.  Job satisfaction, training and development of employees and engaged staff is effective in gaining significant knowledge, abilities, and specialties. It is crucial for a company that desires to attain the maximum degree of business development (Kurdi and Alshurideh, 2020).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In the present challenges and cutthroat business surrounding enhancement and training can never be important as the ways to keep staff involved and also regulate the competitive advantages. The relevant training and development programs can be useful for businesses and their employees as they can positively affect the business as well as increase its performance of the business. In this program, the talent and skills of each staff get nurtured and aid them to learn new skills and enhance their existing skills (Kim et al., 2020). In workplaces, employees' demand for recognition as well as their opinion should be valued by the organization so that they can accomplish their tasks timely. If it doesn’t take place, then employees are not interested in their work, have conflicts, etc can be seen and it negatively affects the business performance. Employees want growth in their roles and responsibility as well as in monetary terms also. That’s why training and development programs are arranged so that business can know about the person’s requirement and enhances employee engagement by motivating them. If organizations pay attention to employee satisfaction and their requirements then those businesses consider as the more preferable business by employees (Kamalaveni et al., 2019).</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If a business wants to create positivity in the business then it can organize training and development programs that aid the organization in establishing a good bond with the employees this program mainly alleviates the differences between the employees and the business. For new employees, training is crucial and it can be carried out by professionals in the business and guide them to learn about the procedure of the business and identifies any skill they lack and develops it. Good training and development programs can only way to enhance the performance of the business and they can also enhance the skills and strength of the employees (Diah et al., 2020). It is crucial for the business to segment the training and development requirements to focus on associated individuals. Effective techniques aid in getting development engagement and retention, and companies establish a base for development and attainment. Employee engagement is more important as it ensures the employees of the business are satisfied and happy and it is the relevant element in employee engagement to ameliorate fully involves employee factors like integration, communication, and so on. If these needs of employees are fulfilled then it aids in attaining organizational success as well as techniques of employee engagement can work swiftly to ensure employee retention (Chanana, 2021).</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Employee retention practices are required to be taken by the companies so that they can attain their objectives and make the worksite surrounding safer as old staff feels invested and also desire to work for the company for the long-term. The retention of staff is linked to the hiring and the time and various attempts to aid in training the new employees effectively (Athira, 2022).</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Significance of training and development</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According to Ahmad et al., (2020), every company has to ameliorate, train, and provide knowledge to their employees regularly and ensure that every employee can perform the allotted tasks more effectively. Training mainly describes the process to create and enhance employees’ behaviour and skills so that they can do specific tasks. The major motive of the company is to develop and train the employees for other roles also so that they can manage any type of tasks related to their skills. On the contrary, education and learning are the steps of effectual knowledge and employee identification as they create the underlying principle and a consistent mind that support the employees in effectively getting the knowledge of fundamental experiences and principles to combine and evaluate the details (Athira, 2022).  Development and training programs aid in alleviating the lack of employees as a consequence of maximum pliability, steadiness, and skill for company development.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The company can take certain measures to prevent accidents and damages to machinery, scraps, etc so that they can provide an efficient origin for hiring an asset in the HRM department with the best promises of good yield in the future. It mainly results in lessening absenteeism, employee turnover rate, job dissatisfaction, and differences among employees (Kim Milliman et al., 2020). In the entire management plan, it acquires a vital place and it makes the employees more effective and productive and it is associated with the entire managerial and employee activities. These activities are a crucial part of the entire management plan with their practices functionally associated with each other. It also aids in enhancing the business reputation and values as well as enables the employee to tackle their problems that are caused by parochialism (Kurdi and Alshurideh, 2020).</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Impact of training and development programs on employee retention</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According to the Kwon and Park, (2019), the HRM department acquires the main responsibility related to employee engagement as they organize programs for employees to enhance employee’s behaviour and skills effectively so that they can remain engaged in the business and also can aid in attaining the company mission and vision and ensure organizational success. In simple words, it can be said that employees are a vital component of the business as they develop the company as well as enhances its performance and productivity. With the help of quantitative research it can be seen that by using the closed-ended questionnaire method, the company can get to know about the problems of the employees and provide training to employees to comprehend their roles and responsibility in the company (Kim et al., 2020). In order to effectively assess the job knowledge and development program on the job satisfaction degree of employee and their focus to effectively remain with the company. Training and development program enhances the performance of the employees and businesses serve numerous kinds of training to their employee like offline and virtual training and enhancement avenues for employees. Stress management training programs aid employees to lessen their anxiety and stress and enhance their effectiveness. Stress can negatively affect the organization's productivity and it also addresses the challenges of the business. An effective stress management program enables the staff to recognize and tackle the signs of stress and it aids in managing the levels of stress. Stress mainly creates health issues in employees and it is the main cause of maximum absenteeism (Kurdi and Alshurideh, 2020).</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According to the study of Singh, (2019), handling stress is important and the information technology sector mainly uses error management training as efficient planned training makes sturdy and efficient service inappropriateness. It eventually guides service functioning and employee engagement and EMT illustrates a significant connection with the internal motivation of the employee. An effective employee can efficiently handle errors that incur due to employees and it lessens the productivity of the business. The expenditures of EMTs can be reasonable to lessen the wastage that is incurred due to errors. Following the study of Sileyew, (2019), a variety of training approaches and programs are adopted by businesses to efficiently enlarge the utilization of technology related to hard and soft skills. Numerous methodologies for efficient methods have been used in IT training as organizations provide the training to employees with the help of experienced instructors. Training rooms provided by the company to train the new employees as well as computer-based training, stand-alone terminals with remote instructions, and hypermedia apprenticeship has given to employees. New modern technologies mainly aid in enhancing the performance of the business as well as ensure low experiential or innovative analysis (Singh, 2019).</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Experienced staff can provide relevant training to the employees and it enhances the learning and training of the employees as well as if instructors cannot recognize the unresponsive software related to the plan then it is an emergency. IT businesses mainly concentrate on the culture of the business as secluded work and epidemic circumstances stripped the Window dressing from a business culture as concerned with what is important to the company (Aburumman et al., 2020). Contrarily, numerous employees have reassessed whether their learning and opinions related to their tasks are suitable for them or not as well as developing a business culture while the employees feel they are connected to the business as well as their opinions get valued. It aids in employee retention and hiring new employees. In the UK, 56% of the labour force observed that their employers need to learn how to manage their staff and there are no properly trained managers available in the business who can manage the problems of the employees related to work. The pandemic makes a vigorous impact on businesses and creates challenges for employees as employees are not properly trained to do their jobs remotely. Due to the staff development plans, the employee can able to establish maximum visibility so that they can concentrate on enhancing the business performance, employee loyalty, and development program. New software can be used to accomplish the task timely and incentives can be given to employees for using the new software. It results in high performance of each employee that positively affects the business (Pandey and Pandey, 2021).</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Staff Development as HR strategy at Barclays Bank</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Staff development is an essential component of Barclays Bank's human resources strategy. The bank understands that investing in the development of its employees can have a positive impact on employee performance, which in turn can lead to improved business results.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Staff development can lead to improved job satisfaction among employees, which can have a positive impact on their performance. When employees feel that they are being invested in and given the opportunity to learn and grow, they are more likely to feel satisfied with their jobs. This can lead to increased motivation and engagement, which can in turn lead to higher levels of performance. Staff development can also lead to increased productivity among employees. When employees have the skills and knowledge needed to perform their roles effectively, they are more likely to work efficiently and produce high-quality work. This can lead to improved business results and a competitive advantage for the bank.</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Staff development can also improve customer service at Barclays Bank. When employees have the skills and knowledge needed to provide excellent customer service, they are more likely to meet the needs of customers and provide them with a positive experience. This can lead to increased customer loyalty and retention, which can in turn lead to improved business results. Staff development can also help improve employee retention rates at Barclays Bank. When employees feel that they are being invested in and given the opportunity to learn and grow, they are more likely to stay with the organization. This can help reduce turnover and the costs associated with recruiting and training new employees.</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The importance of staff development at Barclays Bank cannot be overstated. By investing in the development of its employees, the bank can improve job satisfaction, increase productivity and performance, enhance customer service, and improve employee retention rates. These benefits can lead to improved business results and a competitive advantage for the bank. Through a variety of training and development programs, Barclays Bank has ensured that its employees have the skills and knowledge needed to succeed in their roles and contribute to the long-term success of the organization.</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Maslow’s Hierarchy of needs for employee motivation at the worksite</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Abraham Maslow is the founder of this theory and it is a motivational theory of the hierarchy of needs. This theory is applicable in the workplace also to determine employee behaviour in various aspects like encouragement or involvement of employees at the worksite (Singh, 2019). The current requirement of the employee should be accomplished by the business and it can be seen that unhappy employees are not encouraged enough to accomplish their tasks with their full capability (Vakhrusheva et al., 2021). It mainly represents the entire types of persons who prevail in the hierarchy of 5 levels which named is explained below:</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1</w:t>
      </w:r>
      <w:r>
        <w:rPr>
          <w:rFonts w:ascii="Times New Roman" w:hAnsi="Times New Roman" w:cs="Times New Roman"/>
          <w:b/>
          <w:sz w:val="24"/>
          <w:szCs w:val="24"/>
        </w:rPr>
        <w:t>. Physiological requirements</w:t>
      </w:r>
      <w:r>
        <w:rPr>
          <w:rFonts w:ascii="Times New Roman" w:hAnsi="Times New Roman" w:cs="Times New Roman"/>
          <w:sz w:val="24"/>
          <w:szCs w:val="24"/>
        </w:rPr>
        <w:t>: It is the fundamental requirement of employees that they expect from business and it starts from giving a job as per their capabilities. The organization has to provide a hygienic environment to employees like clean air, water, meal, moderate room temperature, and so on. Employees get fairly paid and timely so that they can meet the requirements of their families (Ruggiano and Perry, 2019).</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2. </w:t>
      </w:r>
      <w:r>
        <w:rPr>
          <w:rFonts w:ascii="Times New Roman" w:hAnsi="Times New Roman" w:cs="Times New Roman"/>
          <w:b/>
          <w:sz w:val="24"/>
          <w:szCs w:val="24"/>
        </w:rPr>
        <w:t>Safety requirements</w:t>
      </w:r>
      <w:r>
        <w:rPr>
          <w:rFonts w:ascii="Times New Roman" w:hAnsi="Times New Roman" w:cs="Times New Roman"/>
          <w:sz w:val="24"/>
          <w:szCs w:val="24"/>
        </w:rPr>
        <w:t>: It entails a healthy workplace, job security, satisfaction, and making sure safety via sound OH&amp;S administration systems in location, serving the safety of the employee and sufficient via cautious security systems and lessening the risk of physical and emotional injuries and not damaging the office types of equipment (Singh, 2019).</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3. </w:t>
      </w:r>
      <w:r>
        <w:rPr>
          <w:rFonts w:ascii="Times New Roman" w:hAnsi="Times New Roman" w:cs="Times New Roman"/>
          <w:b/>
          <w:sz w:val="24"/>
          <w:szCs w:val="24"/>
        </w:rPr>
        <w:t>Belongingness and love requirements</w:t>
      </w:r>
      <w:r>
        <w:rPr>
          <w:rFonts w:ascii="Times New Roman" w:hAnsi="Times New Roman" w:cs="Times New Roman"/>
          <w:sz w:val="24"/>
          <w:szCs w:val="24"/>
        </w:rPr>
        <w:t>: The organization has to treat each employee fairly and also develop amicable surrounding for the employees as well as establish a good relationship with staff with good communication. Employees should feel that they are valuable to the company and get appreciated for their work and responsibility. Motivated employees can take the risk to perform challenging practices by amalgamating with employees (Pandey and Pandey, 2021).</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4. </w:t>
      </w:r>
      <w:r>
        <w:rPr>
          <w:rFonts w:ascii="Times New Roman" w:hAnsi="Times New Roman" w:cs="Times New Roman"/>
          <w:b/>
          <w:sz w:val="24"/>
          <w:szCs w:val="24"/>
        </w:rPr>
        <w:t>Self-esteem requirements</w:t>
      </w:r>
      <w:r>
        <w:rPr>
          <w:rFonts w:ascii="Times New Roman" w:hAnsi="Times New Roman" w:cs="Times New Roman"/>
          <w:sz w:val="24"/>
          <w:szCs w:val="24"/>
        </w:rPr>
        <w:t>: The business has to offer several opportunities to employees for developing, enhancing themselves, acquiring results, and recognizing the gaps. Self-esteem relied on the feeling of employees and their feelings get valued by top-management and everyone in the business (Sileyew, 2019).</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5. </w:t>
      </w:r>
      <w:r>
        <w:rPr>
          <w:rFonts w:ascii="Times New Roman" w:hAnsi="Times New Roman" w:cs="Times New Roman"/>
          <w:b/>
          <w:sz w:val="24"/>
          <w:szCs w:val="24"/>
        </w:rPr>
        <w:t xml:space="preserve">Self-actualization requirements: </w:t>
      </w:r>
      <w:r>
        <w:rPr>
          <w:rFonts w:ascii="Times New Roman" w:hAnsi="Times New Roman" w:cs="Times New Roman"/>
          <w:sz w:val="24"/>
          <w:szCs w:val="24"/>
        </w:rPr>
        <w:t>An employee desires to feel they are performing the best they can in their work, which aids them to feel encouraged to continue in their career direction and flourish. A self-actualized employee feels empowered and authorized which enhances the development and involvement of employees (Vakhrusheva et al., 2021).</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pPr>
        <w:pStyle w:val="2"/>
        <w:spacing w:line="360" w:lineRule="auto"/>
        <w:jc w:val="both"/>
        <w:rPr>
          <w:rFonts w:ascii="Times New Roman" w:hAnsi="Times New Roman" w:cs="Times New Roman"/>
          <w:color w:val="auto"/>
          <w:sz w:val="24"/>
          <w:szCs w:val="24"/>
        </w:rPr>
      </w:pPr>
      <w:bookmarkStart w:id="2" w:name="_Toc130892385"/>
      <w:r>
        <w:rPr>
          <w:rFonts w:ascii="Times New Roman" w:hAnsi="Times New Roman" w:cs="Times New Roman"/>
          <w:color w:val="auto"/>
          <w:sz w:val="24"/>
          <w:szCs w:val="24"/>
        </w:rPr>
        <w:t xml:space="preserve">          Chapter 3: Research Methodology</w:t>
      </w:r>
      <w:bookmarkEnd w:id="2"/>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Research methodology mainly explains the means of discovering how a scholar aims to carry out the research and it is logical as well as methodical planning to tackle the research problems. It is a method adopted by the scholar to the research to ensure suitable and consistent consequences attain the research aims and objectives. This chapter will discuss several approaches to gathering data related to the research study. The dissertation readers can effectively determine the authenticity and consistency of the research topic (Pareek et al., 2019).</w:t>
      </w:r>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     Research philosophy: </w:t>
      </w:r>
      <w:r>
        <w:rPr>
          <w:rFonts w:ascii="Times New Roman" w:hAnsi="Times New Roman" w:cs="Times New Roman"/>
          <w:sz w:val="24"/>
          <w:szCs w:val="24"/>
        </w:rPr>
        <w:t xml:space="preserve"> It is the structure that instructs the scholars to carry out the research study related to the nature and reality of knowledge. Scholars need to comprehend the research philosophies and three kinds of research philosophies are available to utilize to carry out the research i.e. realism, positivism, and interpretivism. In order to conduct this study, the scholar has utilized the interpretivism research philosophy as they mainly focus on the responses of the respondents and values to effectively explain the research aims and questions. This approach mainly aids scholars to focus on real aspects and data evaluation of the notion of the business surrounding employee behaviour and beliefs (Prasetyo et al., 2021).</w:t>
      </w:r>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     Research Approach: </w:t>
      </w:r>
      <w:r>
        <w:rPr>
          <w:rFonts w:ascii="Times New Roman" w:hAnsi="Times New Roman" w:cs="Times New Roman"/>
          <w:sz w:val="24"/>
          <w:szCs w:val="24"/>
        </w:rPr>
        <w:t>It is the most important factor for accomplishing the research study and it is also necessary to choose the appropriate research approach for conducting the research. Two kinds of research approaches are present i.e. deductive and inductive approaches.  Both approaches acquired another name also i.e. top-down and bottom-up approaches (Pareek et al., 2019). The inductive research approach enables flexibility, attends closely to context, and assists the production of fresh information as well as depends on observations whereas the deductive approach entails the starting of a theory, making hypotheses, and then gathering and evaluating the information to check the hypotheses. It mainly entails reading old journals, theories, articles, and studies. The deductive approach has been selected by the scholar as it provides valid conclusions and is more linked to scientific research (Singh, 2019).</w:t>
      </w:r>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     Research Strategy: </w:t>
      </w:r>
      <w:r>
        <w:rPr>
          <w:rFonts w:ascii="Times New Roman" w:hAnsi="Times New Roman" w:cs="Times New Roman"/>
          <w:sz w:val="24"/>
          <w:szCs w:val="24"/>
        </w:rPr>
        <w:t>It is an alternative to information that effectively depends on gathering methods and it includes qualitative and quantitative research. It can be gathered via case studies, observation, questionnaires, and interviews (Vakhrusheva et al., 2021). The survey research tactic has been chosen by the investigator and it aids them to gather detail regarding the importance of training and development in employee engagement via various journals. The researcher gathered the articles that are related to the “The importance of training and development for employee involvement and engagement. A case study of Barclays Bank” to conduct the research study as well as 10 articles are selected by the scholar. Some of the articles are not meeting the requirements of the research study that’s why only 5 articles are in use to perform the data analysis (Vakhrusheva et al., 2021).</w:t>
      </w:r>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     Research design: </w:t>
      </w:r>
      <w:r>
        <w:rPr>
          <w:rFonts w:ascii="Times New Roman" w:hAnsi="Times New Roman" w:cs="Times New Roman"/>
          <w:sz w:val="24"/>
          <w:szCs w:val="24"/>
        </w:rPr>
        <w:t>Generally, it illustrates the plan of the dissertation so that the researcher can discover the answers to the research questions. A good research design ensures that the data researchers will find out the answers to the questions and it has numerous types of research design i.e. “Descriptive research design, experimental research design, correlations research design, explanatory research design, and diagnostic research design”. However, for this research study, the scholar has chosen the descriptive research design and it allows the researcher to provide insights into the how and why to conduct the research study. This research design mainly aids in a more acceptable interpretation of the research requirements (Aburumman et al., 2020).</w:t>
      </w:r>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     Sampling methods: </w:t>
      </w:r>
      <w:r>
        <w:rPr>
          <w:rFonts w:ascii="Times New Roman" w:hAnsi="Times New Roman" w:cs="Times New Roman"/>
          <w:sz w:val="24"/>
          <w:szCs w:val="24"/>
        </w:rPr>
        <w:t>Sampling is the way of selecting a group of people to collect information related to the research study. It acquires two methods i.e. probability and non-probability techniques. The scholar will gather data in any research perspective influence the conclusion of the research topic and conduct the study on this topic. The scholar effectively chooses few samples as it is challenging to research the entire due to time and economical restraints. The researcher has selected the random sampling technique to gather articles (Pandey and Pandey, 2021).</w:t>
      </w:r>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     Data collection methods/tools: </w:t>
      </w:r>
      <w:r>
        <w:rPr>
          <w:rFonts w:ascii="Times New Roman" w:hAnsi="Times New Roman" w:cs="Times New Roman"/>
          <w:sz w:val="24"/>
          <w:szCs w:val="24"/>
        </w:rPr>
        <w:t xml:space="preserve"> It is a methodical technique to obtain accurate data from a few resources to provide answers and insights and assess results or verify the hypothesis. Generally, it is the process of accumulating information for use to respond to research questions. There are two types of data collection i.e. primary and secondary data (Sileyew, 2019). The secondary method of data collection has been used by scholars and the data is already available as it is researched by someone else previously. The researcher gathers data from various resources like published or unpublished sources, case studies, articles, and so on. It is also crucial for scholars to choose consistent and suitable tools for gathering information and it depends to a huge extent on the accuracy of the tools.  It entails survey plans, rating scales, and so on. In order to accomplish this dissertation, the scholar has used various data collection methods to gather insights and information (Singh, 2019). </w:t>
      </w:r>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     Reliability and validity: </w:t>
      </w:r>
      <w:r>
        <w:rPr>
          <w:rFonts w:ascii="Times New Roman" w:hAnsi="Times New Roman" w:cs="Times New Roman"/>
          <w:sz w:val="24"/>
          <w:szCs w:val="24"/>
        </w:rPr>
        <w:t xml:space="preserve">The researcher has to maintain the reliability and validity of the dissertation and also ensure the information is accurate and concise. The researcher also ensures that there are no gaps in the outcomes of the research. These two aspects are used to assess and evaluate the quality of research and suitable research approaches are chosen by the researchers to gather data which enhances the authenticity and consistency of the research study (Pareek et al., 2019). </w:t>
      </w:r>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     Ethical consideration: </w:t>
      </w:r>
      <w:r>
        <w:rPr>
          <w:rFonts w:ascii="Times New Roman" w:hAnsi="Times New Roman" w:cs="Times New Roman"/>
          <w:sz w:val="24"/>
          <w:szCs w:val="24"/>
        </w:rPr>
        <w:t xml:space="preserve"> This is the crucial element for each scholar as well as they have to maintain the ethics of this dissertation. The scholar acquires the responsibility not to share personal information with anyone and safeguard the personal information of the respondents (Vakhrusheva et al., 2021). In order to carry out this research, the scholar had not performed any activity that is infringing the privacy of respondents’ information as well as the researcher has followed the entire principles of the data protection act. They also utilize the in-text citations in the research study as well as giving a reference list so that they can prevent the situation of copyright (Ruggiano and Perry, 2019).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pPr>
        <w:pStyle w:val="2"/>
        <w:spacing w:line="360" w:lineRule="auto"/>
        <w:jc w:val="both"/>
        <w:rPr>
          <w:rFonts w:ascii="Times New Roman" w:hAnsi="Times New Roman" w:cs="Times New Roman"/>
          <w:color w:val="auto"/>
          <w:sz w:val="24"/>
          <w:szCs w:val="24"/>
        </w:rPr>
      </w:pPr>
      <w:bookmarkStart w:id="3" w:name="_Toc130892386"/>
      <w:r>
        <w:rPr>
          <w:rFonts w:ascii="Times New Roman" w:hAnsi="Times New Roman" w:cs="Times New Roman"/>
          <w:color w:val="auto"/>
          <w:sz w:val="24"/>
          <w:szCs w:val="24"/>
        </w:rPr>
        <w:t xml:space="preserve">          Chapter 4: Data Analysis and Discussions</w:t>
      </w:r>
      <w:bookmarkEnd w:id="3"/>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Analysis</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Barclays Bank is committed to providing training and development programs to its employees to help them acquire new skills, improve their performance, and achieve their career goals. Here are some of the training and development programs offered by Barclays Bank:</w:t>
      </w:r>
    </w:p>
    <w:p>
      <w:pPr>
        <w:pStyle w:val="14"/>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Barclays Learning and Development Academy: The Barclays Learning and Development Academy is an internal training program designed to help employees build the skills and knowledge needed to succeed in their roles. The academy offers a wide range of courses and programs, including leadership development, technical training, and soft skills development (Muthoki, 2019).</w:t>
      </w:r>
    </w:p>
    <w:p>
      <w:pPr>
        <w:pStyle w:val="14"/>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Graduate Development Program: The Graduate Development Program is designed to help recent graduates develop the skills and knowledge needed to succeed in the banking industry. The program includes classroom training, on-the-job learning, and mentoring.</w:t>
      </w:r>
    </w:p>
    <w:p>
      <w:pPr>
        <w:pStyle w:val="14"/>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Professional Development Program: The Professional Development Program is designed to help employees at all levels develop their skills and achieve their career goals (Sumangala and Raveendran, 2020). The program includes a range of courses and workshops, as well as mentoring and coaching.</w:t>
      </w:r>
    </w:p>
    <w:p>
      <w:pPr>
        <w:pStyle w:val="14"/>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Leadership Development Program: The Leadership Development Program is designed to help managers and leaders at Barclays Bank develop the skills and knowledge needed to lead effectively. The program includes workshops, coaching, and mentoring (Washington et al., 2020).</w:t>
      </w:r>
    </w:p>
    <w:p>
      <w:pPr>
        <w:pStyle w:val="14"/>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Online Learning: Barclays Bank also offers a range of online learning resources, including e-learning courses, webinars, and videos. These resources allow employees to learn at their own pace and on their own schedule (Athira, 2022).</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b/>
          <w:sz w:val="24"/>
          <w:szCs w:val="24"/>
        </w:rPr>
      </w:pPr>
      <w:r>
        <w:rPr>
          <w:rFonts w:ascii="Times New Roman" w:hAnsi="Times New Roman" w:cs="Times New Roman"/>
          <w:sz w:val="24"/>
          <w:szCs w:val="24"/>
        </w:rPr>
        <w:t xml:space="preserve">     Barclays Bank's commitment to training and development has helped the bank build a skilled and effective workforce. By providing employees with the tools and resources they need to learn and grow, Barclays Bank has improved job satisfaction, increased productivity and performance, and created a culture of continuous learning and improvement (Thrasher et al., 2021). Through a variety of training and development programs, Barclays Bank has ensured that its employees have the skills and knowledge needed to succeed in their roles and contribute to the long-term success of the organization (Thrasher et al., 2021).</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Discussion</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Training and development are essential for building a skilled and effective workforce. By providing employees with the tools and resources they need to learn and grow, organizations can improve job satisfaction, increase productivity and performance, and create a culture of continuous learning and improvement. One of the main benefits of training and development is that it can help employees acquire new skills and knowledge (Muthoki, 2019). As technology and the business environment continue to evolve, it is essential for employees to stay up-to-date with the latest trends and best practices in their field. By providing training and development opportunities, organizations can ensure that their employees have the skills and knowledge needed to succeed in their roles. Another benefit of training and development is that it can improve job satisfaction. When employees feel that they are being invested in and given the opportunity to learn and grow, they are more likely to feel satisfied with their jobs. This can lead to increased motivation and engagement, which can in turn lead to higher levels of productivity and performance (Sumangala and Raveendran, 2020).</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Training and development can also play a critical role in creating a culture of continuous learning and improvement within the organization. When employees are encouraged to learn and grow, they are more likely to seek out new challenges and opportunities, and to take ownership of their own development (Sumangala and Raveendran, 2020). This can lead to a more engaged and committed workforce, which is essential for the long-term success of the organization. Furthermore, training and development can help organizations improve employee retention rates. When employees feel that they are being invested in and given the opportunity to learn and grow, they are more likely to stay with the organization. This can help reduce turnover and the costs associated with recruiting and training new employees (Washington et al., 2020).</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several different types of training and development programs that organizations can implement to improve the skills and abilities of their workforce. One common type of training is on-the-job training, which involves learning by doing. This can include job shadowing, coaching, and mentoring. Another type of training is classroom training, which involves formal instruction in a classroom setting. This can include lectures, workshops, and seminars. Online training is also becoming increasingly popular, as it allows employees to learn at their own pace and on their own schedule (Ifeoma et al., 2019).</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To ensure the effectiveness of training and development programs, it is important for organizations to evaluate their programs on a regular basis. This can involve measuring the impact of the training on employee performance, job satisfaction, and retention rates. By evaluating training programs, organizations can identify areas for improvement and make adjustments to their programs as needed. In summary, training and development are critical for building a skilled and effective workforce (Mulee, 2021). By investing in the development of employees, organizations can improve job satisfaction, increase productivity and performance, and create a culture of continuous learning and improvement. Through a variety of training and development programs, organizations can ensure that their employees have the skills and knowledge needed to succeed in their roles and contribute to the long-term success of the organization (Athira, 2022).</w:t>
      </w: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r>
        <w:rPr>
          <w:rFonts w:ascii="Times New Roman" w:hAnsi="Times New Roman" w:cs="Times New Roman"/>
          <w:b/>
          <w:sz w:val="24"/>
          <w:szCs w:val="24"/>
        </w:rPr>
        <w:br w:type="page"/>
      </w:r>
    </w:p>
    <w:p>
      <w:pPr>
        <w:pStyle w:val="2"/>
        <w:spacing w:line="360" w:lineRule="auto"/>
        <w:jc w:val="both"/>
        <w:rPr>
          <w:rFonts w:ascii="Times New Roman" w:hAnsi="Times New Roman" w:cs="Times New Roman"/>
          <w:color w:val="auto"/>
          <w:sz w:val="24"/>
          <w:szCs w:val="24"/>
        </w:rPr>
      </w:pPr>
      <w:bookmarkStart w:id="4" w:name="_Toc130892387"/>
      <w:r>
        <w:rPr>
          <w:rFonts w:ascii="Times New Roman" w:hAnsi="Times New Roman" w:cs="Times New Roman"/>
          <w:color w:val="auto"/>
          <w:sz w:val="24"/>
          <w:szCs w:val="24"/>
        </w:rPr>
        <w:t xml:space="preserve">          Chapter 5: Conclusions and Recommendations</w:t>
      </w:r>
      <w:bookmarkEnd w:id="4"/>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The above discussion showed that there are several key aspects that can influence staff empowerment within an organization. For example, the leadership style of the organization can have a major impact on staff empowerment. Leaders who are supportive, encouraging, and provide opportunities for growth and development can empower their staff to take on more responsibility and make decisions. The culture of the organization can also impact staff empowerment. A culture that values innovation, risk-taking, and collaboration can encourage staff to feel empowered to take on new challenges and make decisions. Training and development is also import for employee’s engagement. Providing staff with the necessary training and development opportunities can help them feel more confident in their abilities and be better equipped to take on new responsibilities.</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Effective communication is crucial for staff empowerment. When staff is kept informed about the organization's goals, priorities, and decisions, they are more likely to feel empowered to make decisions and take action. It is also identified that recognizing and rewarding staff for their contributions can also play a role in staff empowerment. When staff feel valued and appreciated, they are more likely to feel empowered to take on new challenges and make decisions.</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article Washington et al., 2020 and Muthoki, 2019 showed that providing staff with the necessary resources and support they need to do their jobs can also impact staff empowerment. When staff have the tools and support they need to succeed, they are more likely to feel empowered to take on new challenges and make decisions.</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Recommendations</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There are several strategies that Barclays Bank can implement to improve employee motivation and engagement:</w:t>
      </w:r>
    </w:p>
    <w:p>
      <w:pPr>
        <w:pStyle w:val="14"/>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Provide meaningful work: Employees are more motivated and engaged when they feel that their work is meaningful and contributes to a larger purpose. Provide opportunities for employees to see the impact of their work on the organization, customers, and society.</w:t>
      </w:r>
    </w:p>
    <w:p>
      <w:pPr>
        <w:pStyle w:val="14"/>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Set clear expectations: Communicate clear goals and expectations for employees, and provide regular feedback and recognition for their achievements.</w:t>
      </w:r>
    </w:p>
    <w:p>
      <w:pPr>
        <w:pStyle w:val="14"/>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Offer training and development: Provide employees with opportunities to learn new skills and grow in their careers. This can help employees feel invested in their work and increase their motivation and engagement.</w:t>
      </w:r>
    </w:p>
    <w:p>
      <w:pPr>
        <w:pStyle w:val="14"/>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Foster positive relationships: Encourage teamwork and collaboration among employees, and foster positive relationships between employees and their supervisors.</w:t>
      </w:r>
    </w:p>
    <w:p>
      <w:pPr>
        <w:pStyle w:val="14"/>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Offer incentives and rewards: Provide incentives and rewards for employees who meet or exceed expectations, such as bonuses, promotions, or additional time off.</w:t>
      </w:r>
    </w:p>
    <w:p>
      <w:pPr>
        <w:pStyle w:val="14"/>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Provide a positive work environment: Ensure that the work environment is safe, comfortable, and conducive to productivity. Provide resources and support for employees to manage stress and maintain work-life balance.</w:t>
      </w:r>
    </w:p>
    <w:p>
      <w:pPr>
        <w:pStyle w:val="14"/>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Listen to employee feedback: Encourage employees to share their thoughts and feedback on the organization, and take action on their suggestions to improve the workplace culture and environment.</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By implementing these strategies, organizations can create a workplace that is motivating, engaging, and supportive for their employees.</w:t>
      </w: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br w:type="page"/>
      </w:r>
    </w:p>
    <w:p>
      <w:pPr>
        <w:pStyle w:val="2"/>
        <w:spacing w:line="360" w:lineRule="auto"/>
        <w:jc w:val="both"/>
        <w:rPr>
          <w:rFonts w:ascii="Times New Roman" w:hAnsi="Times New Roman" w:cs="Times New Roman"/>
          <w:color w:val="auto"/>
          <w:sz w:val="24"/>
          <w:szCs w:val="24"/>
        </w:rPr>
      </w:pPr>
      <w:bookmarkStart w:id="5" w:name="_Toc130892388"/>
      <w:r>
        <w:rPr>
          <w:rFonts w:ascii="Times New Roman" w:hAnsi="Times New Roman" w:cs="Times New Roman"/>
          <w:color w:val="auto"/>
          <w:sz w:val="24"/>
          <w:szCs w:val="24"/>
        </w:rPr>
        <w:t xml:space="preserve">          References</w:t>
      </w:r>
      <w:bookmarkEnd w:id="5"/>
    </w:p>
    <w:p>
      <w:pPr>
        <w:spacing w:line="360" w:lineRule="auto"/>
        <w:jc w:val="both"/>
        <w:rPr>
          <w:rFonts w:ascii="Times New Roman" w:hAnsi="Times New Roman" w:cs="Times New Roman"/>
          <w:sz w:val="24"/>
          <w:szCs w:val="24"/>
        </w:rPr>
      </w:pPr>
      <w:r>
        <w:rPr>
          <w:rFonts w:ascii="Times New Roman" w:hAnsi="Times New Roman" w:cs="Times New Roman"/>
          <w:sz w:val="24"/>
          <w:szCs w:val="24"/>
        </w:rPr>
        <w:t>Aburumman, O., Salleh, A., Omar, K. and Abadi, M., 2020. The impact of human resource management practices and career satisfaction on employee’s turnover intention. Management Science Letters, 10(3), pp.641-652.</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Ahmed, T., Khan, M.S., Thitivesa, D., Siraphatthada, Y. and Phumdara, T., 2020. Impact of employees engagement and knowledge sharing on organizational performance: Study of HR challenges in COVID-19 pandemic. Human Systems Management, 39(4), pp.589-601.</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Athira, M.K., 2022. TALENT MANAGEMENT PRACTICES, EMPLOYEE ENGAGEMENT AND EMPLOYEE RETENTION: A SYSTEMATIC LITERATURE REVIEW. Organising Secretary, p.63.</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Chanana, N., 2021. Employee engagement practices during COVID</w:t>
      </w:r>
      <w:r>
        <w:rPr>
          <w:rFonts w:ascii="Cambria Math" w:hAnsi="Cambria Math" w:cs="Times New Roman"/>
          <w:sz w:val="24"/>
          <w:szCs w:val="24"/>
        </w:rPr>
        <w:t>‐</w:t>
      </w:r>
      <w:r>
        <w:rPr>
          <w:rFonts w:ascii="Times New Roman" w:hAnsi="Times New Roman" w:cs="Times New Roman"/>
          <w:sz w:val="24"/>
          <w:szCs w:val="24"/>
        </w:rPr>
        <w:t>19 lockdown. Journal of public affairs, 21(4), p.e2508.</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Diah, A.M., Hasiara, R.L.O. and Irwan, M., 2020. Employee retention of pharmaceutical firms in Indonesia: Taking investment in employee development and social and economic exchange as predictors. Systematic Reviews in Pharmacy, 11(1), pp.564-572.</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Ifeoma, A.R., Mukhtaruddin, M. and Prihanto, J.N., 2019. Effects of downsizing on employee performance of selected manufacturing firms in Anambra State, Nigeria. Res World Econ, 10(3), pp.391-407.</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Kamalaveni, M., Ramesh, S. and Vetrivel, T., 2019. A review of literature on employee retention. International Journal of Innovative Research in Management Studies (IJIRMS), 4(4), pp.1-10.</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Kim, J., Milliman, J. and Lucas, A., 2020. Effects of CSR on employee retention via identification and quality-of-work-life. International Journal of Contemporary Hospitality Management, 32(3), pp.1163-1179.</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Kurdi, B. and Alshurideh, M., 2020. Employee retention and organizational performance: Evidence from banking industry. Management Science Letters, 10(16), pp.3981-3990.</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Kwon, K. and Park, J., 2019. The life cycle of employee engagement theory in HRD research. Advances in Developing Human Resources, 21(3), pp.352-370.</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Maity, S., 2019. Identifying opportunities for artificial intelligence in the evolution of training and development practices. Journal of Management Development.</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Minty, S., 2019. Training on and Exploring Cultural Approaches to Disability. Global Diversity Management: A Fusion of Ideas, Stories and Practice, pp.103-109.</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Mishra, S.B. and Alok, S., 2022. Handbook of research methodology.</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Mulee, E.L., 2021. Determinants of Employee Turnover Intentions Among Teaching Staff at the University of Nairobi (Doctoral dissertation, University of Nairobi).</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Muthoki, L., 2019. Effect of Employee Training and Development on Strategic Performance in Commercial Banks in Kenya: A Case of Barclays Bank of Kenya Limited (Doctoral dissertation, Daystar University School of Business and Economics).</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Newman, M. and Gough, D., 2020. Systematic reviews in educational research: Methodology, perspectives and application. Systematic reviews in educational research: Methodology, perspectives and application, pp.3-22.</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Ojuolape, S.A., Egwakhe, A.J., Akinlabi, B.H., Magaji, N. and Akande, F.I., 2022. EFFECT OF SUCCESSION PLANNING STRATEGIES ON EMPLOYEE RETENTION IN SELECTED DEPOSIT MONEY BANKS IN LAGOS STATE, NIGERIA. European Journal of Research and Reflection in Management Sciences, 10(1).</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Pandey, P. and Pandey, M.M., 2021. Research methodology tools and techniques. Bridge Center.</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Pareek, A., Mohanty, S.S. and Mangaraj, S., 2019. Systematic review on employee engagement and its impact on employee retention.</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Prasetyo, I., Aliyyah, N., Rusdiyanto, R., Utari, W., Suprapti, S., Winarko, R., Chamariyah, C., Muninghar, M., Halimah, N., Aminatuzzuhro, A. and Indrawati, M., 2021. Effects of organizational communication climate and employee retention toward employee performance. Journal of Legal, Ethical and Regulatory Issues, 24(1), pp.1-11.</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Ruggiano, N. and Perry, T.E., 2019. Conducting secondary analysis of qualitative data: Should we, can we, and how?. Qualitative Social Work, 18(1), pp.81-97.</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Sileyew, K.J., 2019. Research design and methodology (pp. 1-12). Rijeka: IntechOpen.</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Singh, D., 2019. A literature review on employee retention with focus on recent trends. International Journal of Scientific Research in Science and Technology, 6(1), pp.425-431.</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Sumangala, P. and Raveendran, T., 2020. Training and development and employees’ performance: A study based on state banks in Jaffna.</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Thrasher, G.R., Markel, K.S. and Barclay, L.A., 2021. Older workers with disabilities: A person-centered approach to understanding the effect of comorbidity on work outcomes. Work, Aging and Retirement, 7(3), pp.229-239.</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Vakhrusheva, M.Y., Khaliev, M.S. and Pokhomchikova, E.O., 2021, October. Barclays’ application of information system in manufacturing process. In Journal of Physics: Conference Series (Vol. 2032, No. 1, p. 012129). IOP Publishing.</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Washington, S., Karlaftis, M.G., Mannering, F. and Anastasopoulos, P., 2020. Statistical and econometric methods for transportation data analysis. CRC press.</w:t>
      </w:r>
    </w:p>
    <w:sectPr>
      <w:foot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Tahoma">
    <w:panose1 w:val="020B0604030504040204"/>
    <w:charset w:val="00"/>
    <w:family w:val="swiss"/>
    <w:pitch w:val="default"/>
    <w:sig w:usb0="E1002EFF" w:usb1="C000605B" w:usb2="00000029" w:usb3="00000000" w:csb0="200101FF" w:csb1="20280000"/>
  </w:font>
  <w:font w:name="Symbol">
    <w:panose1 w:val="05050102010706020507"/>
    <w:charset w:val="02"/>
    <w:family w:val="decorative"/>
    <w:pitch w:val="default"/>
    <w:sig w:usb0="00000000" w:usb1="00000000" w:usb2="00000000" w:usb3="00000000" w:csb0="80000000" w:csb1="00000000"/>
  </w:font>
  <w:font w:name="Cambria Math">
    <w:panose1 w:val="02040503050406030204"/>
    <w:charset w:val="00"/>
    <w:family w:val="roman"/>
    <w:pitch w:val="default"/>
    <w:sig w:usb0="E00006FF" w:usb1="420024FF" w:usb2="02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395323"/>
      <w:docPartObj>
        <w:docPartGallery w:val="autotext"/>
      </w:docPartObj>
    </w:sdtPr>
    <w:sdtContent>
      <w:p>
        <w:pPr>
          <w:pStyle w:val="6"/>
          <w:jc w:val="right"/>
        </w:pPr>
        <w:r>
          <w:fldChar w:fldCharType="begin"/>
        </w:r>
        <w:r>
          <w:instrText xml:space="preserve"> PAGE   \* MERGEFORMAT </w:instrText>
        </w:r>
        <w:r>
          <w:fldChar w:fldCharType="separate"/>
        </w:r>
        <w:r>
          <w:t>4</w:t>
        </w:r>
        <w:r>
          <w:fldChar w:fldCharType="end"/>
        </w:r>
      </w:p>
    </w:sdtContent>
  </w:sdt>
  <w:p>
    <w:pPr>
      <w:pStyle w:val="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D575035"/>
    <w:multiLevelType w:val="multilevel"/>
    <w:tmpl w:val="1D575035"/>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24E40958"/>
    <w:multiLevelType w:val="multilevel"/>
    <w:tmpl w:val="24E40958"/>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43C6444D"/>
    <w:multiLevelType w:val="multilevel"/>
    <w:tmpl w:val="43C6444D"/>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6C9C6664"/>
    <w:multiLevelType w:val="multilevel"/>
    <w:tmpl w:val="6C9C666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7BDB41A3"/>
    <w:multiLevelType w:val="multilevel"/>
    <w:tmpl w:val="7BDB41A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5">
    <w:nsid w:val="7FAD750C"/>
    <w:multiLevelType w:val="multilevel"/>
    <w:tmpl w:val="7FAD750C"/>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3"/>
  </w:num>
  <w:num w:numId="2">
    <w:abstractNumId w:val="4"/>
  </w:num>
  <w:num w:numId="3">
    <w:abstractNumId w:val="0"/>
  </w:num>
  <w:num w:numId="4">
    <w:abstractNumId w:val="5"/>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4B81"/>
    <w:rsid w:val="00000D8B"/>
    <w:rsid w:val="00001636"/>
    <w:rsid w:val="0000394B"/>
    <w:rsid w:val="00004B0B"/>
    <w:rsid w:val="000058F6"/>
    <w:rsid w:val="000105AA"/>
    <w:rsid w:val="00013C3D"/>
    <w:rsid w:val="00021C91"/>
    <w:rsid w:val="00023831"/>
    <w:rsid w:val="00024485"/>
    <w:rsid w:val="000253DF"/>
    <w:rsid w:val="000277EF"/>
    <w:rsid w:val="000307DD"/>
    <w:rsid w:val="00031B96"/>
    <w:rsid w:val="00032454"/>
    <w:rsid w:val="000338A1"/>
    <w:rsid w:val="00045502"/>
    <w:rsid w:val="00045B6A"/>
    <w:rsid w:val="00050717"/>
    <w:rsid w:val="00052EC8"/>
    <w:rsid w:val="00054AF9"/>
    <w:rsid w:val="0006086A"/>
    <w:rsid w:val="0006271E"/>
    <w:rsid w:val="00064C31"/>
    <w:rsid w:val="0006688B"/>
    <w:rsid w:val="00066AE2"/>
    <w:rsid w:val="00066DE2"/>
    <w:rsid w:val="00072870"/>
    <w:rsid w:val="00073390"/>
    <w:rsid w:val="0007656C"/>
    <w:rsid w:val="000840B7"/>
    <w:rsid w:val="00086CBB"/>
    <w:rsid w:val="00087F94"/>
    <w:rsid w:val="00094BDD"/>
    <w:rsid w:val="0009786D"/>
    <w:rsid w:val="000A1189"/>
    <w:rsid w:val="000A2B2E"/>
    <w:rsid w:val="000B47C7"/>
    <w:rsid w:val="000B5396"/>
    <w:rsid w:val="000C4616"/>
    <w:rsid w:val="000C55BC"/>
    <w:rsid w:val="000C7DE5"/>
    <w:rsid w:val="000D0CA0"/>
    <w:rsid w:val="000D2BE1"/>
    <w:rsid w:val="000D68FE"/>
    <w:rsid w:val="000F1443"/>
    <w:rsid w:val="000F4714"/>
    <w:rsid w:val="00100409"/>
    <w:rsid w:val="00101E52"/>
    <w:rsid w:val="0010616E"/>
    <w:rsid w:val="001076A0"/>
    <w:rsid w:val="00113E99"/>
    <w:rsid w:val="001163B6"/>
    <w:rsid w:val="00117316"/>
    <w:rsid w:val="00120051"/>
    <w:rsid w:val="00122855"/>
    <w:rsid w:val="00131AD1"/>
    <w:rsid w:val="00141111"/>
    <w:rsid w:val="00142750"/>
    <w:rsid w:val="00144151"/>
    <w:rsid w:val="00152CCA"/>
    <w:rsid w:val="00152FAE"/>
    <w:rsid w:val="00155654"/>
    <w:rsid w:val="00155A86"/>
    <w:rsid w:val="0015615E"/>
    <w:rsid w:val="001610C1"/>
    <w:rsid w:val="00161530"/>
    <w:rsid w:val="001625BB"/>
    <w:rsid w:val="00170669"/>
    <w:rsid w:val="001727B3"/>
    <w:rsid w:val="001762E9"/>
    <w:rsid w:val="00180112"/>
    <w:rsid w:val="00181069"/>
    <w:rsid w:val="00181B9E"/>
    <w:rsid w:val="00185113"/>
    <w:rsid w:val="001856FE"/>
    <w:rsid w:val="00185B0B"/>
    <w:rsid w:val="0018603C"/>
    <w:rsid w:val="00186929"/>
    <w:rsid w:val="00186F81"/>
    <w:rsid w:val="00193EB1"/>
    <w:rsid w:val="00194785"/>
    <w:rsid w:val="00196A66"/>
    <w:rsid w:val="001A2AAA"/>
    <w:rsid w:val="001B183F"/>
    <w:rsid w:val="001B1C7C"/>
    <w:rsid w:val="001B67A7"/>
    <w:rsid w:val="001B6B79"/>
    <w:rsid w:val="001B7B8D"/>
    <w:rsid w:val="001C1444"/>
    <w:rsid w:val="001C1CA0"/>
    <w:rsid w:val="001C73F6"/>
    <w:rsid w:val="001C7B58"/>
    <w:rsid w:val="001D37AE"/>
    <w:rsid w:val="001D4417"/>
    <w:rsid w:val="001D4A8E"/>
    <w:rsid w:val="001D4F0C"/>
    <w:rsid w:val="001E070A"/>
    <w:rsid w:val="001F400D"/>
    <w:rsid w:val="001F5773"/>
    <w:rsid w:val="001F5BBC"/>
    <w:rsid w:val="001F6A84"/>
    <w:rsid w:val="00202B85"/>
    <w:rsid w:val="00202CA1"/>
    <w:rsid w:val="00202CF2"/>
    <w:rsid w:val="002043DF"/>
    <w:rsid w:val="00210D22"/>
    <w:rsid w:val="00213530"/>
    <w:rsid w:val="00214109"/>
    <w:rsid w:val="002164D0"/>
    <w:rsid w:val="002212DB"/>
    <w:rsid w:val="0022156C"/>
    <w:rsid w:val="002219BC"/>
    <w:rsid w:val="00221FD9"/>
    <w:rsid w:val="0022494A"/>
    <w:rsid w:val="0023162D"/>
    <w:rsid w:val="00235494"/>
    <w:rsid w:val="002365A9"/>
    <w:rsid w:val="00241817"/>
    <w:rsid w:val="0024296D"/>
    <w:rsid w:val="00251446"/>
    <w:rsid w:val="00253B18"/>
    <w:rsid w:val="002553F2"/>
    <w:rsid w:val="0025557A"/>
    <w:rsid w:val="00260A31"/>
    <w:rsid w:val="0026649C"/>
    <w:rsid w:val="0027133E"/>
    <w:rsid w:val="00273441"/>
    <w:rsid w:val="00276169"/>
    <w:rsid w:val="002826F7"/>
    <w:rsid w:val="00282A91"/>
    <w:rsid w:val="00283B5A"/>
    <w:rsid w:val="002908F2"/>
    <w:rsid w:val="002925A2"/>
    <w:rsid w:val="002929B7"/>
    <w:rsid w:val="00292E03"/>
    <w:rsid w:val="002A0D85"/>
    <w:rsid w:val="002A508B"/>
    <w:rsid w:val="002A568D"/>
    <w:rsid w:val="002B101C"/>
    <w:rsid w:val="002B31C8"/>
    <w:rsid w:val="002B7A92"/>
    <w:rsid w:val="002C139A"/>
    <w:rsid w:val="002C2E0E"/>
    <w:rsid w:val="002C488B"/>
    <w:rsid w:val="002C4CCE"/>
    <w:rsid w:val="002D3294"/>
    <w:rsid w:val="002D6D5A"/>
    <w:rsid w:val="002E0EF0"/>
    <w:rsid w:val="002E6E51"/>
    <w:rsid w:val="002F0D8A"/>
    <w:rsid w:val="002F25B8"/>
    <w:rsid w:val="002F2FAD"/>
    <w:rsid w:val="002F3C0A"/>
    <w:rsid w:val="002F59F4"/>
    <w:rsid w:val="00302346"/>
    <w:rsid w:val="003024A7"/>
    <w:rsid w:val="00305842"/>
    <w:rsid w:val="00320565"/>
    <w:rsid w:val="003205D9"/>
    <w:rsid w:val="00320851"/>
    <w:rsid w:val="003232E7"/>
    <w:rsid w:val="00324B35"/>
    <w:rsid w:val="00331397"/>
    <w:rsid w:val="0033375B"/>
    <w:rsid w:val="00336D93"/>
    <w:rsid w:val="003423AE"/>
    <w:rsid w:val="00346147"/>
    <w:rsid w:val="00351DD6"/>
    <w:rsid w:val="00354562"/>
    <w:rsid w:val="00360911"/>
    <w:rsid w:val="00360A32"/>
    <w:rsid w:val="00362A74"/>
    <w:rsid w:val="00367854"/>
    <w:rsid w:val="003700F5"/>
    <w:rsid w:val="003703CA"/>
    <w:rsid w:val="003704D2"/>
    <w:rsid w:val="00373426"/>
    <w:rsid w:val="00374BF1"/>
    <w:rsid w:val="00374CFB"/>
    <w:rsid w:val="0037573D"/>
    <w:rsid w:val="003764E0"/>
    <w:rsid w:val="00377787"/>
    <w:rsid w:val="003816DD"/>
    <w:rsid w:val="00392958"/>
    <w:rsid w:val="003945D0"/>
    <w:rsid w:val="003951A7"/>
    <w:rsid w:val="00396E8D"/>
    <w:rsid w:val="00397922"/>
    <w:rsid w:val="003A02F6"/>
    <w:rsid w:val="003A1E2D"/>
    <w:rsid w:val="003A4C89"/>
    <w:rsid w:val="003B7C71"/>
    <w:rsid w:val="003C0CA9"/>
    <w:rsid w:val="003C12C2"/>
    <w:rsid w:val="003C1D1D"/>
    <w:rsid w:val="003C72B7"/>
    <w:rsid w:val="003D2CE4"/>
    <w:rsid w:val="003D59AB"/>
    <w:rsid w:val="003E03C5"/>
    <w:rsid w:val="003E04C2"/>
    <w:rsid w:val="003E0B83"/>
    <w:rsid w:val="003E232F"/>
    <w:rsid w:val="003E2F06"/>
    <w:rsid w:val="003E3842"/>
    <w:rsid w:val="003E7BE9"/>
    <w:rsid w:val="003F280D"/>
    <w:rsid w:val="003F3458"/>
    <w:rsid w:val="0041127B"/>
    <w:rsid w:val="004159D9"/>
    <w:rsid w:val="00415A28"/>
    <w:rsid w:val="00416B92"/>
    <w:rsid w:val="00417CD5"/>
    <w:rsid w:val="004205B1"/>
    <w:rsid w:val="0042075A"/>
    <w:rsid w:val="004263E8"/>
    <w:rsid w:val="00432B1F"/>
    <w:rsid w:val="004343B2"/>
    <w:rsid w:val="004345AC"/>
    <w:rsid w:val="004345BF"/>
    <w:rsid w:val="00434E8C"/>
    <w:rsid w:val="00435C47"/>
    <w:rsid w:val="00437D87"/>
    <w:rsid w:val="00445BFE"/>
    <w:rsid w:val="0045575A"/>
    <w:rsid w:val="004564CA"/>
    <w:rsid w:val="004604F2"/>
    <w:rsid w:val="00461661"/>
    <w:rsid w:val="00466755"/>
    <w:rsid w:val="0046687A"/>
    <w:rsid w:val="0046788C"/>
    <w:rsid w:val="00472E4D"/>
    <w:rsid w:val="00476D60"/>
    <w:rsid w:val="00477CBC"/>
    <w:rsid w:val="004859F7"/>
    <w:rsid w:val="0048737D"/>
    <w:rsid w:val="004920C9"/>
    <w:rsid w:val="0049427A"/>
    <w:rsid w:val="004A2B15"/>
    <w:rsid w:val="004A35E3"/>
    <w:rsid w:val="004A5127"/>
    <w:rsid w:val="004A6FDD"/>
    <w:rsid w:val="004B2A87"/>
    <w:rsid w:val="004B6957"/>
    <w:rsid w:val="004B7532"/>
    <w:rsid w:val="004C5811"/>
    <w:rsid w:val="004C5A71"/>
    <w:rsid w:val="004D0D69"/>
    <w:rsid w:val="004D4AB5"/>
    <w:rsid w:val="004D4DF9"/>
    <w:rsid w:val="004D5B86"/>
    <w:rsid w:val="004D7145"/>
    <w:rsid w:val="004E41F3"/>
    <w:rsid w:val="004E4591"/>
    <w:rsid w:val="004E4610"/>
    <w:rsid w:val="004E4ED0"/>
    <w:rsid w:val="004E5967"/>
    <w:rsid w:val="004F219D"/>
    <w:rsid w:val="004F59D8"/>
    <w:rsid w:val="004F6828"/>
    <w:rsid w:val="004F685B"/>
    <w:rsid w:val="00501D51"/>
    <w:rsid w:val="005044C8"/>
    <w:rsid w:val="005055B9"/>
    <w:rsid w:val="005056C9"/>
    <w:rsid w:val="005078C9"/>
    <w:rsid w:val="0051203C"/>
    <w:rsid w:val="00513C38"/>
    <w:rsid w:val="005151F7"/>
    <w:rsid w:val="005152CB"/>
    <w:rsid w:val="00520BC6"/>
    <w:rsid w:val="00523C70"/>
    <w:rsid w:val="00530B85"/>
    <w:rsid w:val="00531B2B"/>
    <w:rsid w:val="0053424C"/>
    <w:rsid w:val="0053431D"/>
    <w:rsid w:val="00536579"/>
    <w:rsid w:val="005379F0"/>
    <w:rsid w:val="005400D3"/>
    <w:rsid w:val="005431A8"/>
    <w:rsid w:val="00545D30"/>
    <w:rsid w:val="00546537"/>
    <w:rsid w:val="00553716"/>
    <w:rsid w:val="00556E20"/>
    <w:rsid w:val="00561EBD"/>
    <w:rsid w:val="00570318"/>
    <w:rsid w:val="00574B75"/>
    <w:rsid w:val="005772AC"/>
    <w:rsid w:val="0058076C"/>
    <w:rsid w:val="005811DC"/>
    <w:rsid w:val="005817E7"/>
    <w:rsid w:val="005825CD"/>
    <w:rsid w:val="0058407F"/>
    <w:rsid w:val="005844BF"/>
    <w:rsid w:val="005860C8"/>
    <w:rsid w:val="005865C1"/>
    <w:rsid w:val="00587D8A"/>
    <w:rsid w:val="0059014D"/>
    <w:rsid w:val="00591E7C"/>
    <w:rsid w:val="00595AEC"/>
    <w:rsid w:val="005A19FE"/>
    <w:rsid w:val="005A67BD"/>
    <w:rsid w:val="005B1F8C"/>
    <w:rsid w:val="005B2B51"/>
    <w:rsid w:val="005B376C"/>
    <w:rsid w:val="005B37A7"/>
    <w:rsid w:val="005C2375"/>
    <w:rsid w:val="005C3DC4"/>
    <w:rsid w:val="005C6ABF"/>
    <w:rsid w:val="005C715F"/>
    <w:rsid w:val="005D3BD2"/>
    <w:rsid w:val="005D442C"/>
    <w:rsid w:val="005E06C0"/>
    <w:rsid w:val="005E1F4D"/>
    <w:rsid w:val="005E2141"/>
    <w:rsid w:val="005E41F2"/>
    <w:rsid w:val="005E5608"/>
    <w:rsid w:val="005E6113"/>
    <w:rsid w:val="005F0767"/>
    <w:rsid w:val="005F596A"/>
    <w:rsid w:val="005F7E5F"/>
    <w:rsid w:val="00600E5F"/>
    <w:rsid w:val="0060117B"/>
    <w:rsid w:val="00606753"/>
    <w:rsid w:val="00610549"/>
    <w:rsid w:val="006149A8"/>
    <w:rsid w:val="00614CF0"/>
    <w:rsid w:val="00614DC2"/>
    <w:rsid w:val="00617BAA"/>
    <w:rsid w:val="0062437E"/>
    <w:rsid w:val="006274E0"/>
    <w:rsid w:val="00633769"/>
    <w:rsid w:val="00634204"/>
    <w:rsid w:val="00634476"/>
    <w:rsid w:val="006374BD"/>
    <w:rsid w:val="006378F0"/>
    <w:rsid w:val="00640FCF"/>
    <w:rsid w:val="0064196E"/>
    <w:rsid w:val="00644370"/>
    <w:rsid w:val="00653277"/>
    <w:rsid w:val="006548FE"/>
    <w:rsid w:val="0065543E"/>
    <w:rsid w:val="006572F7"/>
    <w:rsid w:val="00661251"/>
    <w:rsid w:val="00662311"/>
    <w:rsid w:val="00677EE2"/>
    <w:rsid w:val="006808E6"/>
    <w:rsid w:val="00680C95"/>
    <w:rsid w:val="00684542"/>
    <w:rsid w:val="0069190B"/>
    <w:rsid w:val="00696381"/>
    <w:rsid w:val="006A04B4"/>
    <w:rsid w:val="006A2E79"/>
    <w:rsid w:val="006A607C"/>
    <w:rsid w:val="006A651E"/>
    <w:rsid w:val="006B15D5"/>
    <w:rsid w:val="006B60BC"/>
    <w:rsid w:val="006B6CB7"/>
    <w:rsid w:val="006C003C"/>
    <w:rsid w:val="006C05C6"/>
    <w:rsid w:val="006C0F20"/>
    <w:rsid w:val="006C12E8"/>
    <w:rsid w:val="006C22E4"/>
    <w:rsid w:val="006C2F99"/>
    <w:rsid w:val="006C3C73"/>
    <w:rsid w:val="006C4303"/>
    <w:rsid w:val="006C49E3"/>
    <w:rsid w:val="006C7640"/>
    <w:rsid w:val="006C7FF3"/>
    <w:rsid w:val="006D18D9"/>
    <w:rsid w:val="006E09A5"/>
    <w:rsid w:val="006E1A2E"/>
    <w:rsid w:val="006E33A1"/>
    <w:rsid w:val="006E3C5D"/>
    <w:rsid w:val="006E7E5D"/>
    <w:rsid w:val="006F195C"/>
    <w:rsid w:val="006F5C0C"/>
    <w:rsid w:val="00701942"/>
    <w:rsid w:val="00701D0C"/>
    <w:rsid w:val="007030D3"/>
    <w:rsid w:val="007041BB"/>
    <w:rsid w:val="00705608"/>
    <w:rsid w:val="0070580E"/>
    <w:rsid w:val="0070657C"/>
    <w:rsid w:val="007075E9"/>
    <w:rsid w:val="00712D56"/>
    <w:rsid w:val="007147EB"/>
    <w:rsid w:val="00715FD4"/>
    <w:rsid w:val="0071665E"/>
    <w:rsid w:val="00720ADD"/>
    <w:rsid w:val="00720DCD"/>
    <w:rsid w:val="00722048"/>
    <w:rsid w:val="00722058"/>
    <w:rsid w:val="0072332F"/>
    <w:rsid w:val="007236FF"/>
    <w:rsid w:val="0072668C"/>
    <w:rsid w:val="007267A2"/>
    <w:rsid w:val="00730BB2"/>
    <w:rsid w:val="0073107F"/>
    <w:rsid w:val="0075053F"/>
    <w:rsid w:val="00751576"/>
    <w:rsid w:val="00754896"/>
    <w:rsid w:val="0075604E"/>
    <w:rsid w:val="00756636"/>
    <w:rsid w:val="0075664E"/>
    <w:rsid w:val="00756A67"/>
    <w:rsid w:val="00760383"/>
    <w:rsid w:val="00763415"/>
    <w:rsid w:val="007668EE"/>
    <w:rsid w:val="007676EA"/>
    <w:rsid w:val="00770503"/>
    <w:rsid w:val="00771AB4"/>
    <w:rsid w:val="0077251D"/>
    <w:rsid w:val="00774C58"/>
    <w:rsid w:val="00775BA2"/>
    <w:rsid w:val="0077707E"/>
    <w:rsid w:val="0078476C"/>
    <w:rsid w:val="00786B08"/>
    <w:rsid w:val="00787350"/>
    <w:rsid w:val="0078799C"/>
    <w:rsid w:val="00787B68"/>
    <w:rsid w:val="007914AE"/>
    <w:rsid w:val="00797126"/>
    <w:rsid w:val="007A02F6"/>
    <w:rsid w:val="007A5015"/>
    <w:rsid w:val="007B4225"/>
    <w:rsid w:val="007B69A7"/>
    <w:rsid w:val="007C01F6"/>
    <w:rsid w:val="007C0CBC"/>
    <w:rsid w:val="007C2833"/>
    <w:rsid w:val="007C2B61"/>
    <w:rsid w:val="007D0F9C"/>
    <w:rsid w:val="007D1C5F"/>
    <w:rsid w:val="007D2B3C"/>
    <w:rsid w:val="007D4C1A"/>
    <w:rsid w:val="007D7B2D"/>
    <w:rsid w:val="007E4418"/>
    <w:rsid w:val="007E4A9E"/>
    <w:rsid w:val="007E59BC"/>
    <w:rsid w:val="007E5A7F"/>
    <w:rsid w:val="007F4F96"/>
    <w:rsid w:val="007F505A"/>
    <w:rsid w:val="00801C07"/>
    <w:rsid w:val="00805728"/>
    <w:rsid w:val="008075BC"/>
    <w:rsid w:val="00811F23"/>
    <w:rsid w:val="00813157"/>
    <w:rsid w:val="0081593E"/>
    <w:rsid w:val="00815988"/>
    <w:rsid w:val="00825423"/>
    <w:rsid w:val="008254A6"/>
    <w:rsid w:val="00826AE1"/>
    <w:rsid w:val="00827005"/>
    <w:rsid w:val="00833D42"/>
    <w:rsid w:val="0083481F"/>
    <w:rsid w:val="00835B20"/>
    <w:rsid w:val="00836DF7"/>
    <w:rsid w:val="00840AEC"/>
    <w:rsid w:val="00851144"/>
    <w:rsid w:val="008538DE"/>
    <w:rsid w:val="00863354"/>
    <w:rsid w:val="00863E23"/>
    <w:rsid w:val="00864B81"/>
    <w:rsid w:val="0086536E"/>
    <w:rsid w:val="0087019E"/>
    <w:rsid w:val="00870B9E"/>
    <w:rsid w:val="00872449"/>
    <w:rsid w:val="008724BE"/>
    <w:rsid w:val="00873F72"/>
    <w:rsid w:val="00877435"/>
    <w:rsid w:val="00893B2F"/>
    <w:rsid w:val="008A0ACB"/>
    <w:rsid w:val="008A5F9F"/>
    <w:rsid w:val="008B2476"/>
    <w:rsid w:val="008B3B3E"/>
    <w:rsid w:val="008B4ED3"/>
    <w:rsid w:val="008B4F6C"/>
    <w:rsid w:val="008B6E8E"/>
    <w:rsid w:val="008C2E12"/>
    <w:rsid w:val="008C4502"/>
    <w:rsid w:val="008D0A71"/>
    <w:rsid w:val="008D0D94"/>
    <w:rsid w:val="008D5F37"/>
    <w:rsid w:val="008D5FB6"/>
    <w:rsid w:val="008D6D4C"/>
    <w:rsid w:val="008E17A3"/>
    <w:rsid w:val="008E18AB"/>
    <w:rsid w:val="008E228A"/>
    <w:rsid w:val="008F5148"/>
    <w:rsid w:val="008F5B87"/>
    <w:rsid w:val="008F6F18"/>
    <w:rsid w:val="00900B56"/>
    <w:rsid w:val="00901B4A"/>
    <w:rsid w:val="00902183"/>
    <w:rsid w:val="00903F80"/>
    <w:rsid w:val="00911ED6"/>
    <w:rsid w:val="009125A9"/>
    <w:rsid w:val="0091790D"/>
    <w:rsid w:val="0092371D"/>
    <w:rsid w:val="00926123"/>
    <w:rsid w:val="0092690A"/>
    <w:rsid w:val="00927C4C"/>
    <w:rsid w:val="00932B73"/>
    <w:rsid w:val="00935C5D"/>
    <w:rsid w:val="00937D96"/>
    <w:rsid w:val="0094415B"/>
    <w:rsid w:val="00954127"/>
    <w:rsid w:val="009553BC"/>
    <w:rsid w:val="009564FE"/>
    <w:rsid w:val="0095687D"/>
    <w:rsid w:val="0095779F"/>
    <w:rsid w:val="00960973"/>
    <w:rsid w:val="00962B2F"/>
    <w:rsid w:val="0096322F"/>
    <w:rsid w:val="00963906"/>
    <w:rsid w:val="00966DF3"/>
    <w:rsid w:val="00971BEA"/>
    <w:rsid w:val="00974704"/>
    <w:rsid w:val="00982D6D"/>
    <w:rsid w:val="0098582F"/>
    <w:rsid w:val="009875B7"/>
    <w:rsid w:val="009966DF"/>
    <w:rsid w:val="00997DFF"/>
    <w:rsid w:val="009A31A6"/>
    <w:rsid w:val="009A77E6"/>
    <w:rsid w:val="009B0E7E"/>
    <w:rsid w:val="009B25FB"/>
    <w:rsid w:val="009B2CB4"/>
    <w:rsid w:val="009B467F"/>
    <w:rsid w:val="009C5329"/>
    <w:rsid w:val="009D4085"/>
    <w:rsid w:val="009E16BB"/>
    <w:rsid w:val="009E1F41"/>
    <w:rsid w:val="009E21BC"/>
    <w:rsid w:val="009E22CF"/>
    <w:rsid w:val="009E2FFA"/>
    <w:rsid w:val="009E359E"/>
    <w:rsid w:val="009E6B00"/>
    <w:rsid w:val="009E72B7"/>
    <w:rsid w:val="009E7884"/>
    <w:rsid w:val="009F58BE"/>
    <w:rsid w:val="009F619B"/>
    <w:rsid w:val="00A00911"/>
    <w:rsid w:val="00A020A2"/>
    <w:rsid w:val="00A0246E"/>
    <w:rsid w:val="00A029DE"/>
    <w:rsid w:val="00A134B1"/>
    <w:rsid w:val="00A14ADA"/>
    <w:rsid w:val="00A17562"/>
    <w:rsid w:val="00A22F10"/>
    <w:rsid w:val="00A231B6"/>
    <w:rsid w:val="00A24DB9"/>
    <w:rsid w:val="00A274EE"/>
    <w:rsid w:val="00A3355F"/>
    <w:rsid w:val="00A3687B"/>
    <w:rsid w:val="00A375DA"/>
    <w:rsid w:val="00A37A49"/>
    <w:rsid w:val="00A402BF"/>
    <w:rsid w:val="00A4073B"/>
    <w:rsid w:val="00A43AE0"/>
    <w:rsid w:val="00A511E8"/>
    <w:rsid w:val="00A53959"/>
    <w:rsid w:val="00A55549"/>
    <w:rsid w:val="00A55F95"/>
    <w:rsid w:val="00A569A8"/>
    <w:rsid w:val="00A57AA2"/>
    <w:rsid w:val="00A614F0"/>
    <w:rsid w:val="00A62042"/>
    <w:rsid w:val="00A62250"/>
    <w:rsid w:val="00A65201"/>
    <w:rsid w:val="00A73251"/>
    <w:rsid w:val="00A746FC"/>
    <w:rsid w:val="00A75772"/>
    <w:rsid w:val="00A7652E"/>
    <w:rsid w:val="00A7724B"/>
    <w:rsid w:val="00A81501"/>
    <w:rsid w:val="00A81EC5"/>
    <w:rsid w:val="00A82025"/>
    <w:rsid w:val="00A8419E"/>
    <w:rsid w:val="00A870A4"/>
    <w:rsid w:val="00A9084D"/>
    <w:rsid w:val="00A91F9F"/>
    <w:rsid w:val="00A95124"/>
    <w:rsid w:val="00A9609A"/>
    <w:rsid w:val="00A96A2E"/>
    <w:rsid w:val="00AA16DF"/>
    <w:rsid w:val="00AA28FC"/>
    <w:rsid w:val="00AA40F1"/>
    <w:rsid w:val="00AA587D"/>
    <w:rsid w:val="00AA7493"/>
    <w:rsid w:val="00AB1E92"/>
    <w:rsid w:val="00AB51D4"/>
    <w:rsid w:val="00AB726E"/>
    <w:rsid w:val="00AC6033"/>
    <w:rsid w:val="00AC6C46"/>
    <w:rsid w:val="00AD4118"/>
    <w:rsid w:val="00AD540E"/>
    <w:rsid w:val="00AD6880"/>
    <w:rsid w:val="00AD76C9"/>
    <w:rsid w:val="00AD7C3B"/>
    <w:rsid w:val="00AE19E9"/>
    <w:rsid w:val="00AE3DAB"/>
    <w:rsid w:val="00AE65B3"/>
    <w:rsid w:val="00AE65B9"/>
    <w:rsid w:val="00AF4167"/>
    <w:rsid w:val="00AF431A"/>
    <w:rsid w:val="00AF684B"/>
    <w:rsid w:val="00AF7255"/>
    <w:rsid w:val="00AF7346"/>
    <w:rsid w:val="00B002FE"/>
    <w:rsid w:val="00B008F2"/>
    <w:rsid w:val="00B020B9"/>
    <w:rsid w:val="00B032D7"/>
    <w:rsid w:val="00B06107"/>
    <w:rsid w:val="00B17091"/>
    <w:rsid w:val="00B214A7"/>
    <w:rsid w:val="00B26152"/>
    <w:rsid w:val="00B272C7"/>
    <w:rsid w:val="00B27B77"/>
    <w:rsid w:val="00B27BF2"/>
    <w:rsid w:val="00B33B26"/>
    <w:rsid w:val="00B354FE"/>
    <w:rsid w:val="00B3601F"/>
    <w:rsid w:val="00B414C6"/>
    <w:rsid w:val="00B42B27"/>
    <w:rsid w:val="00B43191"/>
    <w:rsid w:val="00B47D1D"/>
    <w:rsid w:val="00B50186"/>
    <w:rsid w:val="00B5133C"/>
    <w:rsid w:val="00B51C0D"/>
    <w:rsid w:val="00B5330A"/>
    <w:rsid w:val="00B5580B"/>
    <w:rsid w:val="00B63CB5"/>
    <w:rsid w:val="00B65026"/>
    <w:rsid w:val="00B70A4A"/>
    <w:rsid w:val="00B70B67"/>
    <w:rsid w:val="00B72C0A"/>
    <w:rsid w:val="00B74161"/>
    <w:rsid w:val="00B804C2"/>
    <w:rsid w:val="00B835FC"/>
    <w:rsid w:val="00B836DD"/>
    <w:rsid w:val="00B86B9B"/>
    <w:rsid w:val="00B9004B"/>
    <w:rsid w:val="00B96241"/>
    <w:rsid w:val="00BA328D"/>
    <w:rsid w:val="00BA6345"/>
    <w:rsid w:val="00BA6778"/>
    <w:rsid w:val="00BB191A"/>
    <w:rsid w:val="00BB3023"/>
    <w:rsid w:val="00BB68B5"/>
    <w:rsid w:val="00BC1BF6"/>
    <w:rsid w:val="00BC1DCB"/>
    <w:rsid w:val="00BC554F"/>
    <w:rsid w:val="00BD0451"/>
    <w:rsid w:val="00BD157F"/>
    <w:rsid w:val="00BD1B66"/>
    <w:rsid w:val="00BD4DD5"/>
    <w:rsid w:val="00BD5EE7"/>
    <w:rsid w:val="00BE0B2B"/>
    <w:rsid w:val="00BE162F"/>
    <w:rsid w:val="00BE2CAB"/>
    <w:rsid w:val="00BE406D"/>
    <w:rsid w:val="00BE41F4"/>
    <w:rsid w:val="00BE5987"/>
    <w:rsid w:val="00BE660A"/>
    <w:rsid w:val="00BE6692"/>
    <w:rsid w:val="00BF0DC5"/>
    <w:rsid w:val="00BF563A"/>
    <w:rsid w:val="00C03440"/>
    <w:rsid w:val="00C12679"/>
    <w:rsid w:val="00C16574"/>
    <w:rsid w:val="00C21102"/>
    <w:rsid w:val="00C24510"/>
    <w:rsid w:val="00C2546E"/>
    <w:rsid w:val="00C26EBA"/>
    <w:rsid w:val="00C277D2"/>
    <w:rsid w:val="00C34155"/>
    <w:rsid w:val="00C37DCB"/>
    <w:rsid w:val="00C41849"/>
    <w:rsid w:val="00C41974"/>
    <w:rsid w:val="00C44A5E"/>
    <w:rsid w:val="00C4643F"/>
    <w:rsid w:val="00C47F9B"/>
    <w:rsid w:val="00C537E8"/>
    <w:rsid w:val="00C5435E"/>
    <w:rsid w:val="00C5613C"/>
    <w:rsid w:val="00C569BD"/>
    <w:rsid w:val="00C614F2"/>
    <w:rsid w:val="00C6456E"/>
    <w:rsid w:val="00C714CC"/>
    <w:rsid w:val="00C71E4F"/>
    <w:rsid w:val="00C7255B"/>
    <w:rsid w:val="00C74B99"/>
    <w:rsid w:val="00C75113"/>
    <w:rsid w:val="00C77FBF"/>
    <w:rsid w:val="00C81360"/>
    <w:rsid w:val="00C81F39"/>
    <w:rsid w:val="00C9000A"/>
    <w:rsid w:val="00C90F75"/>
    <w:rsid w:val="00C95D95"/>
    <w:rsid w:val="00CA11EB"/>
    <w:rsid w:val="00CA2712"/>
    <w:rsid w:val="00CA65FF"/>
    <w:rsid w:val="00CB1BE4"/>
    <w:rsid w:val="00CB36C6"/>
    <w:rsid w:val="00CC05C2"/>
    <w:rsid w:val="00CC1D37"/>
    <w:rsid w:val="00CC70FD"/>
    <w:rsid w:val="00CC764D"/>
    <w:rsid w:val="00CD64BB"/>
    <w:rsid w:val="00CD6A17"/>
    <w:rsid w:val="00CE0B7D"/>
    <w:rsid w:val="00CF1094"/>
    <w:rsid w:val="00CF1ED9"/>
    <w:rsid w:val="00D01CBE"/>
    <w:rsid w:val="00D027B0"/>
    <w:rsid w:val="00D03831"/>
    <w:rsid w:val="00D046F0"/>
    <w:rsid w:val="00D11B1E"/>
    <w:rsid w:val="00D122AE"/>
    <w:rsid w:val="00D1518E"/>
    <w:rsid w:val="00D15362"/>
    <w:rsid w:val="00D16EAE"/>
    <w:rsid w:val="00D200BC"/>
    <w:rsid w:val="00D26095"/>
    <w:rsid w:val="00D30262"/>
    <w:rsid w:val="00D31332"/>
    <w:rsid w:val="00D313A1"/>
    <w:rsid w:val="00D313EB"/>
    <w:rsid w:val="00D34B7B"/>
    <w:rsid w:val="00D36D19"/>
    <w:rsid w:val="00D42347"/>
    <w:rsid w:val="00D432EA"/>
    <w:rsid w:val="00D45516"/>
    <w:rsid w:val="00D46623"/>
    <w:rsid w:val="00D519D5"/>
    <w:rsid w:val="00D55E96"/>
    <w:rsid w:val="00D5691D"/>
    <w:rsid w:val="00D60E63"/>
    <w:rsid w:val="00D61AA5"/>
    <w:rsid w:val="00D62118"/>
    <w:rsid w:val="00D62161"/>
    <w:rsid w:val="00D64D46"/>
    <w:rsid w:val="00D652FE"/>
    <w:rsid w:val="00D67822"/>
    <w:rsid w:val="00D72730"/>
    <w:rsid w:val="00D76269"/>
    <w:rsid w:val="00D84E04"/>
    <w:rsid w:val="00D8751A"/>
    <w:rsid w:val="00D8799B"/>
    <w:rsid w:val="00D92C11"/>
    <w:rsid w:val="00D92EA2"/>
    <w:rsid w:val="00DA0E59"/>
    <w:rsid w:val="00DA1990"/>
    <w:rsid w:val="00DA1A3E"/>
    <w:rsid w:val="00DA3DA2"/>
    <w:rsid w:val="00DA47B8"/>
    <w:rsid w:val="00DA5860"/>
    <w:rsid w:val="00DB0F88"/>
    <w:rsid w:val="00DB545F"/>
    <w:rsid w:val="00DB5BAA"/>
    <w:rsid w:val="00DC3EBE"/>
    <w:rsid w:val="00DC5960"/>
    <w:rsid w:val="00DC5D91"/>
    <w:rsid w:val="00DD1EEB"/>
    <w:rsid w:val="00DD7ED1"/>
    <w:rsid w:val="00DE656F"/>
    <w:rsid w:val="00DF08DF"/>
    <w:rsid w:val="00DF16E8"/>
    <w:rsid w:val="00DF304D"/>
    <w:rsid w:val="00DF4189"/>
    <w:rsid w:val="00E01860"/>
    <w:rsid w:val="00E01B1D"/>
    <w:rsid w:val="00E0323A"/>
    <w:rsid w:val="00E05240"/>
    <w:rsid w:val="00E055FB"/>
    <w:rsid w:val="00E068E1"/>
    <w:rsid w:val="00E07A2D"/>
    <w:rsid w:val="00E119A4"/>
    <w:rsid w:val="00E23B01"/>
    <w:rsid w:val="00E259A3"/>
    <w:rsid w:val="00E25A72"/>
    <w:rsid w:val="00E27566"/>
    <w:rsid w:val="00E275D6"/>
    <w:rsid w:val="00E3240C"/>
    <w:rsid w:val="00E3295E"/>
    <w:rsid w:val="00E3631A"/>
    <w:rsid w:val="00E36888"/>
    <w:rsid w:val="00E4082E"/>
    <w:rsid w:val="00E4112C"/>
    <w:rsid w:val="00E417B2"/>
    <w:rsid w:val="00E512D0"/>
    <w:rsid w:val="00E545AF"/>
    <w:rsid w:val="00E57460"/>
    <w:rsid w:val="00E57B8E"/>
    <w:rsid w:val="00E61292"/>
    <w:rsid w:val="00E64A9F"/>
    <w:rsid w:val="00E70F5D"/>
    <w:rsid w:val="00E71DCD"/>
    <w:rsid w:val="00E72E08"/>
    <w:rsid w:val="00E749FF"/>
    <w:rsid w:val="00E76AB9"/>
    <w:rsid w:val="00E81BD2"/>
    <w:rsid w:val="00E87D30"/>
    <w:rsid w:val="00E91E49"/>
    <w:rsid w:val="00E92507"/>
    <w:rsid w:val="00EA236F"/>
    <w:rsid w:val="00EA3993"/>
    <w:rsid w:val="00EA486F"/>
    <w:rsid w:val="00EA5A0D"/>
    <w:rsid w:val="00EB39AB"/>
    <w:rsid w:val="00EB3BBA"/>
    <w:rsid w:val="00EC1530"/>
    <w:rsid w:val="00ED3618"/>
    <w:rsid w:val="00ED74F6"/>
    <w:rsid w:val="00EE3983"/>
    <w:rsid w:val="00EE5BE1"/>
    <w:rsid w:val="00EE60C8"/>
    <w:rsid w:val="00EF4E59"/>
    <w:rsid w:val="00EF67F0"/>
    <w:rsid w:val="00F016AC"/>
    <w:rsid w:val="00F02173"/>
    <w:rsid w:val="00F0450B"/>
    <w:rsid w:val="00F058D2"/>
    <w:rsid w:val="00F05E11"/>
    <w:rsid w:val="00F05EA8"/>
    <w:rsid w:val="00F1077D"/>
    <w:rsid w:val="00F16C18"/>
    <w:rsid w:val="00F201B5"/>
    <w:rsid w:val="00F24EA3"/>
    <w:rsid w:val="00F25E56"/>
    <w:rsid w:val="00F31D07"/>
    <w:rsid w:val="00F32D6A"/>
    <w:rsid w:val="00F32F9E"/>
    <w:rsid w:val="00F34795"/>
    <w:rsid w:val="00F367C0"/>
    <w:rsid w:val="00F41988"/>
    <w:rsid w:val="00F42965"/>
    <w:rsid w:val="00F50131"/>
    <w:rsid w:val="00F51EFB"/>
    <w:rsid w:val="00F54847"/>
    <w:rsid w:val="00F5644C"/>
    <w:rsid w:val="00F565CE"/>
    <w:rsid w:val="00F56E43"/>
    <w:rsid w:val="00F5713E"/>
    <w:rsid w:val="00F6374C"/>
    <w:rsid w:val="00F63811"/>
    <w:rsid w:val="00F63A36"/>
    <w:rsid w:val="00F63CB6"/>
    <w:rsid w:val="00F64F93"/>
    <w:rsid w:val="00F67F03"/>
    <w:rsid w:val="00F71467"/>
    <w:rsid w:val="00F7223F"/>
    <w:rsid w:val="00F75924"/>
    <w:rsid w:val="00F75C51"/>
    <w:rsid w:val="00F83057"/>
    <w:rsid w:val="00F83A3A"/>
    <w:rsid w:val="00F83CA4"/>
    <w:rsid w:val="00F85890"/>
    <w:rsid w:val="00F9142E"/>
    <w:rsid w:val="00F91B09"/>
    <w:rsid w:val="00F92825"/>
    <w:rsid w:val="00F93811"/>
    <w:rsid w:val="00F95B3C"/>
    <w:rsid w:val="00F97139"/>
    <w:rsid w:val="00FA1322"/>
    <w:rsid w:val="00FA3DFC"/>
    <w:rsid w:val="00FA4DC5"/>
    <w:rsid w:val="00FA73EC"/>
    <w:rsid w:val="00FB0C16"/>
    <w:rsid w:val="00FB2D2A"/>
    <w:rsid w:val="00FB51AD"/>
    <w:rsid w:val="00FC3CDB"/>
    <w:rsid w:val="00FC4301"/>
    <w:rsid w:val="00FC56A0"/>
    <w:rsid w:val="00FC633F"/>
    <w:rsid w:val="00FD00AE"/>
    <w:rsid w:val="00FD2200"/>
    <w:rsid w:val="00FD2A58"/>
    <w:rsid w:val="00FD2E33"/>
    <w:rsid w:val="00FD7855"/>
    <w:rsid w:val="00FE455B"/>
    <w:rsid w:val="00FE597D"/>
    <w:rsid w:val="00FE6165"/>
    <w:rsid w:val="00FF43EC"/>
    <w:rsid w:val="0F994FF8"/>
    <w:rsid w:val="3D501BB8"/>
    <w:rsid w:val="48E821BD"/>
    <w:rsid w:val="54122912"/>
    <w:rsid w:val="75E11EF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qFormat="1"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5"/>
    <w:qFormat/>
    <w:uiPriority w:val="9"/>
    <w:pPr>
      <w:keepNext/>
      <w:keepLines/>
      <w:spacing w:before="480" w:after="0"/>
      <w:outlineLvl w:val="0"/>
    </w:pPr>
    <w:rPr>
      <w:rFonts w:asciiTheme="majorHAnsi" w:hAnsiTheme="majorHAnsi" w:eastAsiaTheme="majorEastAsia" w:cstheme="majorBidi"/>
      <w:b/>
      <w:bCs/>
      <w:color w:val="376092" w:themeColor="accent1" w:themeShade="BF"/>
      <w:sz w:val="28"/>
      <w:szCs w:val="28"/>
    </w:rPr>
  </w:style>
  <w:style w:type="character" w:default="1" w:styleId="3">
    <w:name w:val="Default Paragraph Font"/>
    <w:semiHidden/>
    <w:unhideWhenUsed/>
    <w:uiPriority w:val="1"/>
  </w:style>
  <w:style w:type="table" w:default="1" w:styleId="4">
    <w:name w:val="Normal Table"/>
    <w:semiHidden/>
    <w:unhideWhenUsed/>
    <w:qFormat/>
    <w:uiPriority w:val="99"/>
    <w:tblPr>
      <w:tblCellMar>
        <w:top w:w="0" w:type="dxa"/>
        <w:left w:w="108" w:type="dxa"/>
        <w:bottom w:w="0" w:type="dxa"/>
        <w:right w:w="108" w:type="dxa"/>
      </w:tblCellMar>
    </w:tblPr>
  </w:style>
  <w:style w:type="paragraph" w:styleId="5">
    <w:name w:val="Balloon Text"/>
    <w:basedOn w:val="1"/>
    <w:link w:val="17"/>
    <w:semiHidden/>
    <w:unhideWhenUsed/>
    <w:qFormat/>
    <w:uiPriority w:val="99"/>
    <w:pPr>
      <w:spacing w:after="0" w:line="240" w:lineRule="auto"/>
    </w:pPr>
    <w:rPr>
      <w:rFonts w:ascii="Tahoma" w:hAnsi="Tahoma" w:cs="Tahoma"/>
      <w:sz w:val="16"/>
      <w:szCs w:val="16"/>
    </w:rPr>
  </w:style>
  <w:style w:type="paragraph" w:styleId="6">
    <w:name w:val="footer"/>
    <w:basedOn w:val="1"/>
    <w:link w:val="13"/>
    <w:unhideWhenUsed/>
    <w:qFormat/>
    <w:uiPriority w:val="99"/>
    <w:pPr>
      <w:tabs>
        <w:tab w:val="center" w:pos="4680"/>
        <w:tab w:val="right" w:pos="9360"/>
      </w:tabs>
      <w:spacing w:after="0" w:line="240" w:lineRule="auto"/>
    </w:pPr>
  </w:style>
  <w:style w:type="paragraph" w:styleId="7">
    <w:name w:val="header"/>
    <w:basedOn w:val="1"/>
    <w:link w:val="12"/>
    <w:semiHidden/>
    <w:unhideWhenUsed/>
    <w:qFormat/>
    <w:uiPriority w:val="99"/>
    <w:pPr>
      <w:tabs>
        <w:tab w:val="center" w:pos="4680"/>
        <w:tab w:val="right" w:pos="9360"/>
      </w:tabs>
      <w:spacing w:after="0" w:line="240" w:lineRule="auto"/>
    </w:pPr>
  </w:style>
  <w:style w:type="character" w:styleId="8">
    <w:name w:val="Hyperlink"/>
    <w:basedOn w:val="3"/>
    <w:unhideWhenUsed/>
    <w:uiPriority w:val="99"/>
    <w:rPr>
      <w:color w:val="0000FF" w:themeColor="hyperlink"/>
      <w:u w:val="single"/>
      <w14:textFill>
        <w14:solidFill>
          <w14:schemeClr w14:val="hlink"/>
        </w14:solidFill>
      </w14:textFill>
    </w:rPr>
  </w:style>
  <w:style w:type="character" w:styleId="9">
    <w:name w:val="page number"/>
    <w:basedOn w:val="3"/>
    <w:semiHidden/>
    <w:unhideWhenUsed/>
    <w:qFormat/>
    <w:uiPriority w:val="99"/>
  </w:style>
  <w:style w:type="table" w:styleId="10">
    <w:name w:val="Table Grid"/>
    <w:basedOn w:val="4"/>
    <w:qFormat/>
    <w:uiPriority w:val="39"/>
    <w:rPr>
      <w:sz w:val="22"/>
      <w:szCs w:val="22"/>
      <w:lang w:val="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1">
    <w:name w:val="toc 1"/>
    <w:basedOn w:val="1"/>
    <w:next w:val="1"/>
    <w:unhideWhenUsed/>
    <w:qFormat/>
    <w:uiPriority w:val="39"/>
    <w:pPr>
      <w:spacing w:after="100"/>
    </w:pPr>
  </w:style>
  <w:style w:type="character" w:customStyle="1" w:styleId="12">
    <w:name w:val="Header Char"/>
    <w:basedOn w:val="3"/>
    <w:link w:val="7"/>
    <w:semiHidden/>
    <w:qFormat/>
    <w:uiPriority w:val="99"/>
    <w:rPr>
      <w:lang w:val="en-GB"/>
    </w:rPr>
  </w:style>
  <w:style w:type="character" w:customStyle="1" w:styleId="13">
    <w:name w:val="Footer Char"/>
    <w:basedOn w:val="3"/>
    <w:link w:val="6"/>
    <w:qFormat/>
    <w:uiPriority w:val="99"/>
    <w:rPr>
      <w:lang w:val="en-GB"/>
    </w:rPr>
  </w:style>
  <w:style w:type="paragraph" w:styleId="14">
    <w:name w:val="List Paragraph"/>
    <w:basedOn w:val="1"/>
    <w:qFormat/>
    <w:uiPriority w:val="34"/>
    <w:pPr>
      <w:ind w:left="720"/>
      <w:contextualSpacing/>
    </w:pPr>
  </w:style>
  <w:style w:type="character" w:customStyle="1" w:styleId="15">
    <w:name w:val="Heading 1 Char"/>
    <w:basedOn w:val="3"/>
    <w:link w:val="2"/>
    <w:qFormat/>
    <w:uiPriority w:val="9"/>
    <w:rPr>
      <w:rFonts w:asciiTheme="majorHAnsi" w:hAnsiTheme="majorHAnsi" w:eastAsiaTheme="majorEastAsia" w:cstheme="majorBidi"/>
      <w:b/>
      <w:bCs/>
      <w:color w:val="376092" w:themeColor="accent1" w:themeShade="BF"/>
      <w:sz w:val="28"/>
      <w:szCs w:val="28"/>
      <w:lang w:val="en-GB"/>
    </w:rPr>
  </w:style>
  <w:style w:type="paragraph" w:customStyle="1" w:styleId="16">
    <w:name w:val="TOC Heading"/>
    <w:basedOn w:val="2"/>
    <w:next w:val="1"/>
    <w:semiHidden/>
    <w:unhideWhenUsed/>
    <w:qFormat/>
    <w:uiPriority w:val="39"/>
    <w:pPr>
      <w:outlineLvl w:val="9"/>
    </w:pPr>
    <w:rPr>
      <w:lang w:val="en-US"/>
    </w:rPr>
  </w:style>
  <w:style w:type="character" w:customStyle="1" w:styleId="17">
    <w:name w:val="Balloon Text Char"/>
    <w:basedOn w:val="3"/>
    <w:link w:val="5"/>
    <w:semiHidden/>
    <w:qFormat/>
    <w:uiPriority w:val="99"/>
    <w:rPr>
      <w:rFonts w:ascii="Tahoma" w:hAnsi="Tahoma" w:cs="Tahoma"/>
      <w:sz w:val="16"/>
      <w:szCs w:val="16"/>
      <w:lang w:val="en-GB"/>
    </w:rPr>
  </w:style>
  <w:style w:type="paragraph" w:customStyle="1" w:styleId="18">
    <w:name w:val="References"/>
    <w:basedOn w:val="1"/>
    <w:qFormat/>
    <w:uiPriority w:val="0"/>
    <w:pPr>
      <w:spacing w:after="160" w:line="259" w:lineRule="auto"/>
      <w:ind w:left="576" w:hanging="576"/>
    </w:pPr>
    <w:rPr>
      <w:rFonts w:asciiTheme="minorHAnsi" w:hAnsiTheme="minorHAnsi" w:eastAsiaTheme="minorHAnsi" w:cstheme="minorBidi"/>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file>

<file path=customXml/itemProps1.xml><?xml version="1.0" encoding="utf-8"?>
<ds:datastoreItem xmlns:ds="http://schemas.openxmlformats.org/officeDocument/2006/customXml" ds:itemID="{1F7F8D81-F76F-49EB-BAB1-87E3CF4A436A}">
  <ds:schemaRefs/>
</ds:datastoreItem>
</file>

<file path=docProps/app.xml><?xml version="1.0" encoding="utf-8"?>
<Properties xmlns="http://schemas.openxmlformats.org/officeDocument/2006/extended-properties" xmlns:vt="http://schemas.openxmlformats.org/officeDocument/2006/docPropsVTypes">
  <Template>Normal</Template>
  <Pages>26</Pages>
  <Words>6944</Words>
  <Characters>39581</Characters>
  <Lines>329</Lines>
  <Paragraphs>92</Paragraphs>
  <TotalTime>31</TotalTime>
  <ScaleCrop>false</ScaleCrop>
  <LinksUpToDate>false</LinksUpToDate>
  <CharactersWithSpaces>46433</CharactersWithSpaces>
  <Application>WPS Office_11.2.0.11486_F1E327BC-269C-435d-A152-05C5408002CA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2023-03-29T11:20:00Z</dcterms:created>
  <dc:creator>user</dc:creator>
  <cp:lastModifiedBy>hauca</cp:lastModifiedBy>
  <dcterms:modified xsi:type="dcterms:W3CDTF">2023-05-02T13:48:41Z</dcterms:modified>
  <cp:revision>35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1033-11.2.0.11486</vt:lpwstr>
  </property>
  <property fmtid="{D5CDD505-2E9C-101B-9397-08002B2CF9AE}" pid="3" name="ICV">
    <vt:lpwstr>5EB6692799474143A74A58714908143E</vt:lpwstr>
  </property>
</Properties>
</file>