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footer1.xml" ContentType="application/vnd.openxmlformats-officedocument.wordprocessingml.foot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jc w:val="center"/>
        <w:rPr>
          <w:sz w:val="36"/>
          <w:szCs w:val="36"/>
        </w:rPr>
      </w:pPr>
      <w:r>
        <w:rPr>
          <w:noProof/>
          <w:sz w:val="36"/>
          <w:szCs w:val="36"/>
        </w:rPr>
        <w:drawing>
          <wp:inline distL="0" distT="0" distB="0" distR="0">
            <wp:extent cx="2610214" cy="1181265"/>
            <wp:effectExtent l="0" t="0" r="0" b="0"/>
            <wp:docPr id="1026"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2" cstate="print"/>
                    <a:srcRect l="0" t="0" r="0" b="0"/>
                    <a:stretch/>
                  </pic:blipFill>
                  <pic:spPr>
                    <a:xfrm rot="0">
                      <a:off x="0" y="0"/>
                      <a:ext cx="2610214" cy="1181265"/>
                    </a:xfrm>
                    <a:prstGeom prst="rect"/>
                  </pic:spPr>
                </pic:pic>
              </a:graphicData>
            </a:graphic>
          </wp:inline>
        </w:drawing>
      </w:r>
    </w:p>
    <w:p>
      <w:pPr>
        <w:pStyle w:val="style0"/>
        <w:jc w:val="center"/>
        <w:rPr>
          <w:sz w:val="36"/>
          <w:szCs w:val="36"/>
        </w:rPr>
      </w:pPr>
    </w:p>
    <w:p>
      <w:pPr>
        <w:pStyle w:val="style0"/>
        <w:jc w:val="center"/>
        <w:rPr>
          <w:sz w:val="36"/>
          <w:szCs w:val="36"/>
        </w:rPr>
      </w:pPr>
      <w:r>
        <w:rPr>
          <w:sz w:val="36"/>
          <w:szCs w:val="36"/>
        </w:rPr>
        <w:t>Module: Financial Management</w:t>
      </w:r>
    </w:p>
    <w:p>
      <w:pPr>
        <w:pStyle w:val="style0"/>
        <w:jc w:val="center"/>
        <w:rPr>
          <w:sz w:val="36"/>
          <w:szCs w:val="36"/>
        </w:rPr>
      </w:pPr>
      <w:r>
        <w:rPr>
          <w:sz w:val="36"/>
          <w:szCs w:val="36"/>
        </w:rPr>
        <w:t>Module code: LCMB7002</w:t>
      </w:r>
    </w:p>
    <w:p>
      <w:pPr>
        <w:pStyle w:val="style0"/>
        <w:jc w:val="center"/>
        <w:rPr>
          <w:sz w:val="36"/>
          <w:szCs w:val="36"/>
        </w:rPr>
      </w:pPr>
      <w:r>
        <w:rPr>
          <w:sz w:val="36"/>
          <w:szCs w:val="36"/>
        </w:rPr>
        <w:t>Assignment Title: Assessment component: Financial performance and management</w:t>
      </w:r>
    </w:p>
    <w:p>
      <w:pPr>
        <w:pStyle w:val="style0"/>
        <w:jc w:val="center"/>
        <w:rPr>
          <w:sz w:val="36"/>
          <w:szCs w:val="36"/>
        </w:rPr>
      </w:pPr>
    </w:p>
    <w:p>
      <w:pPr>
        <w:pStyle w:val="style0"/>
        <w:jc w:val="center"/>
        <w:rPr>
          <w:sz w:val="36"/>
          <w:szCs w:val="36"/>
        </w:rPr>
      </w:pPr>
    </w:p>
    <w:p>
      <w:pPr>
        <w:pStyle w:val="style0"/>
        <w:jc w:val="center"/>
        <w:rPr>
          <w:sz w:val="36"/>
          <w:szCs w:val="36"/>
        </w:rPr>
      </w:pPr>
    </w:p>
    <w:p>
      <w:pPr>
        <w:pStyle w:val="style0"/>
        <w:rPr>
          <w:sz w:val="36"/>
          <w:szCs w:val="36"/>
        </w:rPr>
      </w:pPr>
      <w:r>
        <w:rPr>
          <w:sz w:val="36"/>
          <w:szCs w:val="36"/>
        </w:rPr>
        <w:t>Student Name:</w:t>
      </w:r>
      <w:r>
        <w:rPr>
          <w:sz w:val="36"/>
          <w:szCs w:val="36"/>
          <w:lang w:val="en-US"/>
        </w:rPr>
        <w:t xml:space="preserve"> Sadrakar Om Prakashbhai </w:t>
      </w:r>
    </w:p>
    <w:p>
      <w:pPr>
        <w:pStyle w:val="style0"/>
        <w:rPr>
          <w:sz w:val="36"/>
          <w:szCs w:val="36"/>
        </w:rPr>
      </w:pPr>
      <w:r>
        <w:rPr>
          <w:sz w:val="36"/>
          <w:szCs w:val="36"/>
        </w:rPr>
        <w:t>Student ID:</w:t>
      </w:r>
      <w:r>
        <w:rPr>
          <w:sz w:val="36"/>
          <w:szCs w:val="36"/>
          <w:lang w:val="en-US"/>
        </w:rPr>
        <w:t>2526083</w:t>
      </w:r>
    </w:p>
    <w:p>
      <w:pPr>
        <w:pStyle w:val="style0"/>
        <w:spacing w:before="0" w:after="160" w:lineRule="auto" w:line="278"/>
        <w:jc w:val="left"/>
        <w:rPr>
          <w:sz w:val="36"/>
          <w:szCs w:val="36"/>
        </w:rPr>
      </w:pPr>
      <w:r>
        <w:rPr>
          <w:sz w:val="36"/>
          <w:szCs w:val="36"/>
        </w:rPr>
        <w:br w:type="page"/>
      </w:r>
    </w:p>
    <w:p>
      <w:pPr>
        <w:pStyle w:val="style266"/>
        <w:spacing w:lineRule="auto" w:line="360"/>
        <w:jc w:val="both"/>
        <w:rPr>
          <w:rFonts w:ascii="Arial" w:cs="Arial" w:hAnsi="Arial"/>
          <w:b/>
          <w:bCs/>
          <w:color w:val="auto"/>
          <w:sz w:val="24"/>
          <w:szCs w:val="24"/>
        </w:rPr>
      </w:pPr>
      <w:r>
        <w:rPr>
          <w:rFonts w:ascii="Arial" w:cs="Arial" w:hAnsi="Arial"/>
          <w:b/>
          <w:bCs/>
          <w:color w:val="auto"/>
          <w:sz w:val="24"/>
          <w:szCs w:val="24"/>
          <w:lang w:val="en-GB"/>
        </w:rPr>
        <w:t>Table of Contents</w:t>
      </w:r>
    </w:p>
    <w:p>
      <w:pPr>
        <w:pStyle w:val="style19"/>
        <w:tabs>
          <w:tab w:val="right" w:leader="dot" w:pos="9016"/>
        </w:tabs>
        <w:rPr>
          <w:rFonts w:ascii="Calibri" w:eastAsia="宋体" w:hAnsi="Calibri"/>
          <w:noProof/>
          <w:lang w:val="en-IN" w:eastAsia="en-IN"/>
        </w:rPr>
      </w:pPr>
      <w:r>
        <w:rPr>
          <w:rFonts w:cs="Arial"/>
        </w:rPr>
        <w:fldChar w:fldCharType="begin"/>
      </w:r>
      <w:r>
        <w:rPr>
          <w:rFonts w:cs="Arial"/>
        </w:rPr>
        <w:instrText xml:space="preserve"> TOC \o "1-3" \h \z \u </w:instrText>
      </w:r>
      <w:r>
        <w:rPr>
          <w:rFonts w:cs="Arial"/>
        </w:rPr>
        <w:fldChar w:fldCharType="separate"/>
      </w:r>
      <w:r>
        <w:rPr/>
        <w:fldChar w:fldCharType="begin"/>
      </w:r>
      <w:r>
        <w:instrText xml:space="preserve"> HYPERLINK \l "_Toc226453689"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_Toc226453689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"_Toc226453690" </w:instrText>
      </w:r>
      <w:r>
        <w:rPr/>
        <w:fldChar w:fldCharType="separate"/>
      </w:r>
      <w:r>
        <w:rPr>
          <w:rStyle w:val="style85"/>
          <w:noProof/>
          <w:lang w:val="en-IN"/>
        </w:rPr>
        <w:t>1. Financial Health Check</w:t>
      </w:r>
      <w:r>
        <w:rPr>
          <w:noProof/>
          <w:webHidden/>
        </w:rPr>
        <w:tab/>
      </w:r>
      <w:r>
        <w:rPr>
          <w:noProof/>
          <w:webHidden/>
        </w:rPr>
        <w:fldChar w:fldCharType="begin"/>
      </w:r>
      <w:r>
        <w:rPr>
          <w:noProof/>
          <w:webHidden/>
        </w:rPr>
        <w:instrText xml:space="preserve"> PAGEREF _Toc226453690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"_Toc226453691" </w:instrText>
      </w:r>
      <w:r>
        <w:rPr/>
        <w:fldChar w:fldCharType="separate"/>
      </w:r>
      <w:r>
        <w:rPr>
          <w:rStyle w:val="style85"/>
          <w:noProof/>
          <w:lang w:val="en-IN"/>
        </w:rPr>
        <w:t>1.1 Analysis of Tesla’s Five-Year Financial Performance (2020–2024)</w:t>
      </w:r>
      <w:r>
        <w:rPr>
          <w:noProof/>
          <w:webHidden/>
        </w:rPr>
        <w:tab/>
      </w:r>
      <w:r>
        <w:rPr>
          <w:noProof/>
          <w:webHidden/>
        </w:rPr>
        <w:fldChar w:fldCharType="begin"/>
      </w:r>
      <w:r>
        <w:rPr>
          <w:noProof/>
          <w:webHidden/>
        </w:rPr>
        <w:instrText xml:space="preserve"> PAGEREF _Toc226453691 \h </w:instrText>
      </w:r>
      <w:r>
        <w:rPr>
          <w:noProof/>
          <w:webHidden/>
        </w:rPr>
        <w:fldChar w:fldCharType="separate"/>
      </w:r>
      <w:r>
        <w:rPr>
          <w:noProof/>
          <w:webHidden/>
        </w:rPr>
        <w:t>4</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"_Toc226453692" </w:instrText>
      </w:r>
      <w:r>
        <w:rPr/>
        <w:fldChar w:fldCharType="separate"/>
      </w:r>
      <w:r>
        <w:rPr>
          <w:rStyle w:val="style85"/>
          <w:noProof/>
          <w:lang w:val="en-IN"/>
        </w:rPr>
        <w:t>1.2 Ratio Analysis</w:t>
      </w:r>
      <w:r>
        <w:rPr>
          <w:noProof/>
          <w:webHidden/>
        </w:rPr>
        <w:tab/>
      </w:r>
      <w:r>
        <w:rPr>
          <w:noProof/>
          <w:webHidden/>
        </w:rPr>
        <w:fldChar w:fldCharType="begin"/>
      </w:r>
      <w:r>
        <w:rPr>
          <w:noProof/>
          <w:webHidden/>
        </w:rPr>
        <w:instrText xml:space="preserve"> PAGEREF _Toc226453692 \h </w:instrText>
      </w:r>
      <w:r>
        <w:rPr>
          <w:noProof/>
          <w:webHidden/>
        </w:rPr>
        <w:fldChar w:fldCharType="separate"/>
      </w:r>
      <w:r>
        <w:rPr>
          <w:noProof/>
          <w:webHidden/>
        </w:rPr>
        <w:t>6</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"_Toc226453693" </w:instrText>
      </w:r>
      <w:r>
        <w:rPr/>
        <w:fldChar w:fldCharType="separate"/>
      </w:r>
      <w:r>
        <w:rPr>
          <w:rStyle w:val="style85"/>
          <w:noProof/>
          <w:lang w:val="en-IN"/>
        </w:rPr>
        <w:t>1.3 Key Financial Trends, Strengths, and Threats</w:t>
      </w:r>
      <w:r>
        <w:rPr>
          <w:noProof/>
          <w:webHidden/>
        </w:rPr>
        <w:tab/>
      </w:r>
      <w:r>
        <w:rPr>
          <w:noProof/>
          <w:webHidden/>
        </w:rPr>
        <w:fldChar w:fldCharType="begin"/>
      </w:r>
      <w:r>
        <w:rPr>
          <w:noProof/>
          <w:webHidden/>
        </w:rPr>
        <w:instrText xml:space="preserve"> PAGEREF _Toc226453693 \h </w:instrText>
      </w:r>
      <w:r>
        <w:rPr>
          <w:noProof/>
          <w:webHidden/>
        </w:rPr>
        <w:fldChar w:fldCharType="separate"/>
      </w:r>
      <w:r>
        <w:rPr>
          <w:noProof/>
          <w:webHidden/>
        </w:rPr>
        <w:t>9</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"_Toc226453694" </w:instrText>
      </w:r>
      <w:r>
        <w:rPr/>
        <w:fldChar w:fldCharType="separate"/>
      </w:r>
      <w:r>
        <w:rPr>
          <w:rStyle w:val="style85"/>
          <w:noProof/>
          <w:lang w:val="en-IN"/>
        </w:rPr>
        <w:t>2. Working Capital Management Analysis</w:t>
      </w:r>
      <w:r>
        <w:rPr>
          <w:noProof/>
          <w:webHidden/>
        </w:rPr>
        <w:tab/>
      </w:r>
      <w:r>
        <w:rPr>
          <w:noProof/>
          <w:webHidden/>
        </w:rPr>
        <w:fldChar w:fldCharType="begin"/>
      </w:r>
      <w:r>
        <w:rPr>
          <w:noProof/>
          <w:webHidden/>
        </w:rPr>
        <w:instrText xml:space="preserve"> PAGEREF _Toc226453694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"_Toc226453695" </w:instrText>
      </w:r>
      <w:r>
        <w:rPr/>
        <w:fldChar w:fldCharType="separate"/>
      </w:r>
      <w:r>
        <w:rPr>
          <w:rStyle w:val="style85"/>
          <w:noProof/>
          <w:lang w:val="en-IN"/>
        </w:rPr>
        <w:t>2.1 Assessment of the Cash Operating Cycle</w:t>
      </w:r>
      <w:r>
        <w:rPr>
          <w:noProof/>
          <w:webHidden/>
        </w:rPr>
        <w:tab/>
      </w:r>
      <w:r>
        <w:rPr>
          <w:noProof/>
          <w:webHidden/>
        </w:rPr>
        <w:fldChar w:fldCharType="begin"/>
      </w:r>
      <w:r>
        <w:rPr>
          <w:noProof/>
          <w:webHidden/>
        </w:rPr>
        <w:instrText xml:space="preserve"> PAGEREF _Toc226453695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"_Toc226453696" </w:instrText>
      </w:r>
      <w:r>
        <w:rPr/>
        <w:fldChar w:fldCharType="separate"/>
      </w:r>
      <w:r>
        <w:rPr>
          <w:rStyle w:val="style85"/>
          <w:rFonts w:cs="Arial"/>
          <w:noProof/>
          <w:lang w:val="en-IN"/>
        </w:rPr>
        <w:t>2.2 working capital reforms to help enhance liquidity</w:t>
      </w:r>
      <w:r>
        <w:rPr>
          <w:noProof/>
          <w:webHidden/>
        </w:rPr>
        <w:tab/>
      </w:r>
      <w:r>
        <w:rPr>
          <w:noProof/>
          <w:webHidden/>
        </w:rPr>
        <w:fldChar w:fldCharType="begin"/>
      </w:r>
      <w:r>
        <w:rPr>
          <w:noProof/>
          <w:webHidden/>
        </w:rPr>
        <w:instrText xml:space="preserve"> PAGEREF _Toc226453696 \h </w:instrText>
      </w:r>
      <w:r>
        <w:rPr>
          <w:noProof/>
          <w:webHidden/>
        </w:rPr>
        <w:fldChar w:fldCharType="separate"/>
      </w:r>
      <w:r>
        <w:rPr>
          <w:noProof/>
          <w:webHidden/>
        </w:rPr>
        <w:t>11</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"_Toc226453697" </w:instrText>
      </w:r>
      <w:r>
        <w:rPr/>
        <w:fldChar w:fldCharType="separate"/>
      </w:r>
      <w:r>
        <w:rPr>
          <w:rStyle w:val="style85"/>
          <w:noProof/>
          <w:lang w:val="en-IN"/>
        </w:rPr>
        <w:t>2.3 Short- and Long-term Financing Options Comparison</w:t>
      </w:r>
      <w:r>
        <w:rPr>
          <w:noProof/>
          <w:webHidden/>
        </w:rPr>
        <w:tab/>
      </w:r>
      <w:r>
        <w:rPr>
          <w:noProof/>
          <w:webHidden/>
        </w:rPr>
        <w:fldChar w:fldCharType="begin"/>
      </w:r>
      <w:r>
        <w:rPr>
          <w:noProof/>
          <w:webHidden/>
        </w:rPr>
        <w:instrText xml:space="preserve"> PAGEREF _Toc226453697 \h </w:instrText>
      </w:r>
      <w:r>
        <w:rPr>
          <w:noProof/>
          <w:webHidden/>
        </w:rPr>
        <w:fldChar w:fldCharType="separate"/>
      </w:r>
      <w:r>
        <w:rPr>
          <w:noProof/>
          <w:webHidden/>
        </w:rPr>
        <w:t>12</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"_Toc226453698" </w:instrText>
      </w:r>
      <w:r>
        <w:rPr/>
        <w:fldChar w:fldCharType="separate"/>
      </w:r>
      <w:r>
        <w:rPr>
          <w:rStyle w:val="style85"/>
          <w:noProof/>
          <w:lang w:val="en-IN"/>
        </w:rPr>
        <w:t>3. Strategic Financial Restructuring Plan</w:t>
      </w:r>
      <w:r>
        <w:rPr>
          <w:noProof/>
          <w:webHidden/>
        </w:rPr>
        <w:tab/>
      </w:r>
      <w:r>
        <w:rPr>
          <w:noProof/>
          <w:webHidden/>
        </w:rPr>
        <w:fldChar w:fldCharType="begin"/>
      </w:r>
      <w:r>
        <w:rPr>
          <w:noProof/>
          <w:webHidden/>
        </w:rPr>
        <w:instrText xml:space="preserve"> PAGEREF _Toc226453698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"_Toc226453699" </w:instrText>
      </w:r>
      <w:r>
        <w:rPr/>
        <w:fldChar w:fldCharType="separate"/>
      </w:r>
      <w:r>
        <w:rPr>
          <w:rStyle w:val="style85"/>
          <w:noProof/>
          <w:lang w:val="en-IN"/>
        </w:rPr>
        <w:t>3.1 Recommended Financial Restructuring Options</w:t>
      </w:r>
      <w:r>
        <w:rPr>
          <w:noProof/>
          <w:webHidden/>
        </w:rPr>
        <w:tab/>
      </w:r>
      <w:r>
        <w:rPr>
          <w:noProof/>
          <w:webHidden/>
        </w:rPr>
        <w:fldChar w:fldCharType="begin"/>
      </w:r>
      <w:r>
        <w:rPr>
          <w:noProof/>
          <w:webHidden/>
        </w:rPr>
        <w:instrText xml:space="preserve"> PAGEREF _Toc226453699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"_Toc226453700" </w:instrText>
      </w:r>
      <w:r>
        <w:rPr/>
        <w:fldChar w:fldCharType="separate"/>
      </w:r>
      <w:r>
        <w:rPr>
          <w:rStyle w:val="style85"/>
          <w:noProof/>
        </w:rPr>
        <w:t>3.2 Impact on Shareholder Value, Debt Structure, and Operational Flexibility</w:t>
      </w:r>
      <w:r>
        <w:rPr>
          <w:noProof/>
          <w:webHidden/>
        </w:rPr>
        <w:tab/>
      </w:r>
      <w:r>
        <w:rPr>
          <w:noProof/>
          <w:webHidden/>
        </w:rPr>
        <w:fldChar w:fldCharType="begin"/>
      </w:r>
      <w:r>
        <w:rPr>
          <w:noProof/>
          <w:webHidden/>
        </w:rPr>
        <w:instrText xml:space="preserve"> PAGEREF _Toc226453700 \h </w:instrText>
      </w:r>
      <w:r>
        <w:rPr>
          <w:noProof/>
          <w:webHidden/>
        </w:rPr>
        <w:fldChar w:fldCharType="separate"/>
      </w:r>
      <w:r>
        <w:rPr>
          <w:noProof/>
          <w:webHidden/>
        </w:rPr>
        <w:t>15</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"_Toc226453701" </w:instrText>
      </w:r>
      <w:r>
        <w:rPr/>
        <w:fldChar w:fldCharType="separate"/>
      </w:r>
      <w:r>
        <w:rPr>
          <w:rStyle w:val="style85"/>
          <w:noProof/>
        </w:rPr>
        <w:t>3.3 International and Ethical Considerations (Taxation, Currency Risk, Inflation, CSR)</w:t>
      </w:r>
      <w:r>
        <w:rPr>
          <w:noProof/>
          <w:webHidden/>
        </w:rPr>
        <w:tab/>
      </w:r>
      <w:r>
        <w:rPr>
          <w:noProof/>
          <w:webHidden/>
        </w:rPr>
        <w:fldChar w:fldCharType="begin"/>
      </w:r>
      <w:r>
        <w:rPr>
          <w:noProof/>
          <w:webHidden/>
        </w:rPr>
        <w:instrText xml:space="preserve"> PAGEREF _Toc226453701 \h </w:instrText>
      </w:r>
      <w:r>
        <w:rPr>
          <w:noProof/>
          <w:webHidden/>
        </w:rPr>
        <w:fldChar w:fldCharType="separate"/>
      </w:r>
      <w:r>
        <w:rPr>
          <w:noProof/>
          <w:webHidden/>
        </w:rPr>
        <w:t>16</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"_Toc226453702" </w:instrText>
      </w:r>
      <w:r>
        <w:rPr/>
        <w:fldChar w:fldCharType="separate"/>
      </w:r>
      <w:r>
        <w:rPr>
          <w:rStyle w:val="style85"/>
          <w:noProof/>
          <w:lang w:val="en-IN"/>
        </w:rPr>
        <w:t>4. Investment Appraisal and Capital Budgeting</w:t>
      </w:r>
      <w:r>
        <w:rPr>
          <w:noProof/>
          <w:webHidden/>
        </w:rPr>
        <w:tab/>
      </w:r>
      <w:r>
        <w:rPr>
          <w:noProof/>
          <w:webHidden/>
        </w:rPr>
        <w:fldChar w:fldCharType="begin"/>
      </w:r>
      <w:r>
        <w:rPr>
          <w:noProof/>
          <w:webHidden/>
        </w:rPr>
        <w:instrText xml:space="preserve"> PAGEREF _Toc226453702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"_Toc226453703" </w:instrText>
      </w:r>
      <w:r>
        <w:rPr/>
        <w:fldChar w:fldCharType="separate"/>
      </w:r>
      <w:r>
        <w:rPr>
          <w:rStyle w:val="style85"/>
          <w:noProof/>
          <w:lang w:val="en-IN"/>
        </w:rPr>
        <w:t>4.1 Evaluation of Investment Projects Using Capital Budgeting Techniques</w:t>
      </w:r>
      <w:r>
        <w:rPr>
          <w:noProof/>
          <w:webHidden/>
        </w:rPr>
        <w:tab/>
      </w:r>
      <w:r>
        <w:rPr>
          <w:noProof/>
          <w:webHidden/>
        </w:rPr>
        <w:fldChar w:fldCharType="begin"/>
      </w:r>
      <w:r>
        <w:rPr>
          <w:noProof/>
          <w:webHidden/>
        </w:rPr>
        <w:instrText xml:space="preserve"> PAGEREF _Toc226453703 \h </w:instrText>
      </w:r>
      <w:r>
        <w:rPr>
          <w:noProof/>
          <w:webHidden/>
        </w:rPr>
        <w:fldChar w:fldCharType="separate"/>
      </w:r>
      <w:r>
        <w:rPr>
          <w:noProof/>
          <w:webHidden/>
        </w:rPr>
        <w:t>18</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"_Toc226453704" </w:instrText>
      </w:r>
      <w:r>
        <w:rPr/>
        <w:fldChar w:fldCharType="separate"/>
      </w:r>
      <w:r>
        <w:rPr>
          <w:rStyle w:val="style85"/>
          <w:noProof/>
          <w:lang w:val="en-IN"/>
        </w:rPr>
        <w:t>4.2 Project Recommendation on Financial and Non-Financial Considerations</w:t>
      </w:r>
      <w:r>
        <w:rPr>
          <w:noProof/>
          <w:webHidden/>
        </w:rPr>
        <w:tab/>
      </w:r>
      <w:r>
        <w:rPr>
          <w:noProof/>
          <w:webHidden/>
        </w:rPr>
        <w:fldChar w:fldCharType="begin"/>
      </w:r>
      <w:r>
        <w:rPr>
          <w:noProof/>
          <w:webHidden/>
        </w:rPr>
        <w:instrText xml:space="preserve"> PAGEREF _Toc226453704 \h </w:instrText>
      </w:r>
      <w:r>
        <w:rPr>
          <w:noProof/>
          <w:webHidden/>
        </w:rPr>
        <w:fldChar w:fldCharType="separate"/>
      </w:r>
      <w:r>
        <w:rPr>
          <w:noProof/>
          <w:webHidden/>
        </w:rPr>
        <w:t>19</w:t>
      </w:r>
      <w:r>
        <w:rPr>
          <w:noProof/>
          <w:webHidden/>
        </w:rPr>
        <w:fldChar w:fldCharType="end"/>
      </w:r>
      <w:r>
        <w:rPr/>
        <w:fldChar w:fldCharType="end"/>
      </w:r>
    </w:p>
    <w:p>
      <w:pPr>
        <w:pStyle w:val="style20"/>
        <w:tabs>
          <w:tab w:val="right" w:leader="dot" w:pos="9016"/>
        </w:tabs>
        <w:rPr>
          <w:rFonts w:ascii="Calibri" w:eastAsia="宋体" w:hAnsi="Calibri"/>
          <w:noProof/>
          <w:lang w:val="en-IN" w:eastAsia="en-IN"/>
        </w:rPr>
      </w:pPr>
      <w:r>
        <w:rPr/>
        <w:fldChar w:fldCharType="begin"/>
      </w:r>
      <w:r>
        <w:instrText xml:space="preserve"> HYPERLINK \l "_Toc226453705" </w:instrText>
      </w:r>
      <w:r>
        <w:rPr/>
        <w:fldChar w:fldCharType="separate"/>
      </w:r>
      <w:r>
        <w:rPr>
          <w:rStyle w:val="style85"/>
          <w:noProof/>
          <w:lang w:val="en-IN"/>
        </w:rPr>
        <w:t>4.3 Capital Rationing and Best Project Choice</w:t>
      </w:r>
      <w:r>
        <w:rPr>
          <w:noProof/>
          <w:webHidden/>
        </w:rPr>
        <w:tab/>
      </w:r>
      <w:r>
        <w:rPr>
          <w:noProof/>
          <w:webHidden/>
        </w:rPr>
        <w:fldChar w:fldCharType="begin"/>
      </w:r>
      <w:r>
        <w:rPr>
          <w:noProof/>
          <w:webHidden/>
        </w:rPr>
        <w:instrText xml:space="preserve"> PAGEREF _Toc226453705 \h </w:instrText>
      </w:r>
      <w:r>
        <w:rPr>
          <w:noProof/>
          <w:webHidden/>
        </w:rPr>
        <w:fldChar w:fldCharType="separate"/>
      </w:r>
      <w:r>
        <w:rPr>
          <w:noProof/>
          <w:webHidden/>
        </w:rPr>
        <w:t>21</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"_Toc226453706" </w:instrText>
      </w:r>
      <w:r>
        <w:rPr/>
        <w:fldChar w:fldCharType="separate"/>
      </w:r>
      <w:r>
        <w:rPr>
          <w:rStyle w:val="style85"/>
          <w:noProof/>
        </w:rPr>
        <w:t>Conclusion</w:t>
      </w:r>
      <w:r>
        <w:rPr>
          <w:noProof/>
          <w:webHidden/>
        </w:rPr>
        <w:tab/>
      </w:r>
      <w:r>
        <w:rPr>
          <w:noProof/>
          <w:webHidden/>
        </w:rPr>
        <w:fldChar w:fldCharType="begin"/>
      </w:r>
      <w:r>
        <w:rPr>
          <w:noProof/>
          <w:webHidden/>
        </w:rPr>
        <w:instrText xml:space="preserve"> PAGEREF _Toc226453706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"_Toc226453707" </w:instrText>
      </w:r>
      <w:r>
        <w:rPr/>
        <w:fldChar w:fldCharType="separate"/>
      </w:r>
      <w:r>
        <w:rPr>
          <w:rStyle w:val="style85"/>
          <w:noProof/>
          <w:lang w:val="en-IN"/>
        </w:rPr>
        <w:t>References</w:t>
      </w:r>
      <w:r>
        <w:rPr>
          <w:noProof/>
          <w:webHidden/>
        </w:rPr>
        <w:tab/>
      </w:r>
      <w:r>
        <w:rPr>
          <w:noProof/>
          <w:webHidden/>
        </w:rPr>
        <w:fldChar w:fldCharType="begin"/>
      </w:r>
      <w:r>
        <w:rPr>
          <w:noProof/>
          <w:webHidden/>
        </w:rPr>
        <w:instrText xml:space="preserve"> PAGEREF _Toc226453707 \h </w:instrText>
      </w:r>
      <w:r>
        <w:rPr>
          <w:noProof/>
          <w:webHidden/>
        </w:rPr>
        <w:fldChar w:fldCharType="separate"/>
      </w:r>
      <w:r>
        <w:rPr>
          <w:noProof/>
          <w:webHidden/>
        </w:rPr>
        <w:t>24</w:t>
      </w:r>
      <w:r>
        <w:rPr>
          <w:noProof/>
          <w:webHidden/>
        </w:rPr>
        <w:fldChar w:fldCharType="end"/>
      </w:r>
      <w:r>
        <w:rPr/>
        <w:fldChar w:fldCharType="end"/>
      </w:r>
    </w:p>
    <w:p>
      <w:pPr>
        <w:pStyle w:val="style19"/>
        <w:tabs>
          <w:tab w:val="right" w:leader="dot" w:pos="9016"/>
        </w:tabs>
        <w:rPr>
          <w:rFonts w:ascii="Calibri" w:eastAsia="宋体" w:hAnsi="Calibri"/>
          <w:noProof/>
          <w:lang w:val="en-IN" w:eastAsia="en-IN"/>
        </w:rPr>
      </w:pPr>
      <w:r>
        <w:rPr/>
        <w:fldChar w:fldCharType="begin"/>
      </w:r>
      <w:r>
        <w:instrText xml:space="preserve"> HYPERLINK \l "_Toc226453708" </w:instrText>
      </w:r>
      <w:r>
        <w:rPr/>
        <w:fldChar w:fldCharType="separate"/>
      </w:r>
      <w:r>
        <w:rPr>
          <w:rStyle w:val="style85"/>
          <w:noProof/>
          <w:lang w:val="en-IN"/>
        </w:rPr>
        <w:t>Appendix</w:t>
      </w:r>
      <w:r>
        <w:rPr>
          <w:noProof/>
          <w:webHidden/>
        </w:rPr>
        <w:tab/>
      </w:r>
      <w:r>
        <w:rPr>
          <w:noProof/>
          <w:webHidden/>
        </w:rPr>
        <w:fldChar w:fldCharType="begin"/>
      </w:r>
      <w:r>
        <w:rPr>
          <w:noProof/>
          <w:webHidden/>
        </w:rPr>
        <w:instrText xml:space="preserve"> PAGEREF _Toc226453708 \h </w:instrText>
      </w:r>
      <w:r>
        <w:rPr>
          <w:noProof/>
          <w:webHidden/>
        </w:rPr>
        <w:fldChar w:fldCharType="separate"/>
      </w:r>
      <w:r>
        <w:rPr>
          <w:noProof/>
          <w:webHidden/>
        </w:rPr>
        <w:t>26</w:t>
      </w:r>
      <w:r>
        <w:rPr>
          <w:noProof/>
          <w:webHidden/>
        </w:rPr>
        <w:fldChar w:fldCharType="end"/>
      </w:r>
      <w:r>
        <w:rPr/>
        <w:fldChar w:fldCharType="end"/>
      </w:r>
    </w:p>
    <w:p>
      <w:pPr>
        <w:pStyle w:val="style0"/>
        <w:rPr/>
      </w:pPr>
      <w:r>
        <w:rPr>
          <w:rFonts w:cs="Arial"/>
          <w:b/>
          <w:bCs/>
        </w:rPr>
        <w:fldChar w:fldCharType="end"/>
      </w:r>
    </w:p>
    <w:bookmarkStart w:id="0" w:name="_Toc226453689"/>
    <w:p>
      <w:pPr>
        <w:pStyle w:val="style1"/>
        <w:rPr/>
      </w:pPr>
      <w:r>
        <w:rPr>
          <w:noProof/>
        </w:rPr>
        <w:drawing>
          <wp:anchor distT="0" distB="0" distL="114300" distR="114300" simplePos="false" relativeHeight="2" behindDoc="false" locked="false" layoutInCell="true" allowOverlap="true">
            <wp:simplePos x="0" y="0"/>
            <wp:positionH relativeFrom="margin">
              <wp:align>left</wp:align>
            </wp:positionH>
            <wp:positionV relativeFrom="paragraph">
              <wp:posOffset>457200</wp:posOffset>
            </wp:positionV>
            <wp:extent cx="749935" cy="803275"/>
            <wp:effectExtent l="0" t="0" r="0" b="0"/>
            <wp:wrapSquare wrapText="bothSides"/>
            <wp:docPr id="1027"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3" cstate="print"/>
                    <a:srcRect l="0" t="0" r="0" b="0"/>
                    <a:stretch/>
                  </pic:blipFill>
                  <pic:spPr>
                    <a:xfrm rot="0">
                      <a:off x="0" y="0"/>
                      <a:ext cx="749935" cy="803275"/>
                    </a:xfrm>
                    <a:prstGeom prst="rect"/>
                  </pic:spPr>
                </pic:pic>
              </a:graphicData>
            </a:graphic>
            <wp14:sizeRelH relativeFrom="margin">
              <wp14:pctWidth>0</wp14:pctWidth>
            </wp14:sizeRelH>
            <wp14:sizeRelV relativeFrom="margin">
              <wp14:pctHeight>0</wp14:pctHeight>
            </wp14:sizeRelV>
          </wp:anchor>
        </w:drawing>
      </w:r>
      <w:r>
        <w:t>Introduction</w:t>
      </w:r>
      <w:bookmarkEnd w:id="0"/>
    </w:p>
    <w:p>
      <w:pPr>
        <w:pStyle w:val="style0"/>
        <w:rPr/>
      </w:pPr>
      <w:r>
        <w:t xml:space="preserve">Tesla, Inc. is a reputable electric vehicle and clean energy enterprise with its headquarters situated all over the globe, and it </w:t>
      </w:r>
      <w:r>
        <w:t>focuses</w:t>
      </w:r>
      <w:r>
        <w:t xml:space="preserve"> on sustainable transportation, battery, and renewable energy. Tesla was founded in 2003 and is based in Texas, in Austin, and the company has revolutionized the automotive industry in its unique way due to innovation, mass production, and an interest in environmental sustainability</w:t>
      </w:r>
      <w:r>
        <w:t xml:space="preserve"> (</w:t>
      </w:r>
      <w:r>
        <w:rPr>
          <w:lang w:val="en-IN"/>
        </w:rPr>
        <w:t>Tesla, 2026</w:t>
      </w:r>
      <w:r>
        <w:t>)</w:t>
      </w:r>
      <w:r>
        <w:t>.</w:t>
      </w:r>
    </w:p>
    <w:p>
      <w:pPr>
        <w:pStyle w:val="style0"/>
        <w:rPr/>
      </w:pPr>
      <w:r>
        <w:t xml:space="preserve">The </w:t>
      </w:r>
      <w:r>
        <w:t>purpose</w:t>
      </w:r>
      <w:r>
        <w:t xml:space="preserve"> of the report is to study the financial performance and strategic financial position of Tesla with the view to informing financial decision-making and future investment planning.</w:t>
      </w:r>
      <w:r>
        <w:t xml:space="preserve"> </w:t>
      </w:r>
      <w:r>
        <w:t>This report analy</w:t>
      </w:r>
      <w:r>
        <w:t>s</w:t>
      </w:r>
      <w:r>
        <w:t>es the financial health of Tesla using key financial statements and ratio analysis, working capital management and liquidity efficiency, strategic financial restructuring options, and critically analy</w:t>
      </w:r>
      <w:r>
        <w:t>s</w:t>
      </w:r>
      <w:r>
        <w:t xml:space="preserve">es other projects that can be invested in with </w:t>
      </w:r>
      <w:r>
        <w:t xml:space="preserve">the </w:t>
      </w:r>
      <w:r>
        <w:t>use of capital budgeting methods like NPV, IRR, ARR, PI</w:t>
      </w:r>
      <w:r>
        <w:t>,</w:t>
      </w:r>
      <w:r>
        <w:t xml:space="preserve"> and Payback Period.</w:t>
      </w:r>
    </w:p>
    <w:p>
      <w:pPr>
        <w:pStyle w:val="style0"/>
        <w:spacing w:before="0" w:after="160" w:lineRule="auto" w:line="278"/>
        <w:jc w:val="left"/>
        <w:rPr>
          <w:rFonts w:cs="宋体" w:eastAsia="宋体"/>
          <w:b/>
          <w:color w:val="000000"/>
          <w:sz w:val="28"/>
          <w:szCs w:val="40"/>
          <w:lang w:val="en-IN"/>
        </w:rPr>
      </w:pPr>
      <w:r>
        <w:rPr>
          <w:lang w:val="en-IN"/>
        </w:rPr>
        <w:br w:type="page"/>
      </w:r>
    </w:p>
    <w:bookmarkStart w:id="1" w:name="_Toc226453690"/>
    <w:p>
      <w:pPr>
        <w:pStyle w:val="style1"/>
        <w:rPr>
          <w:lang w:val="en-IN"/>
        </w:rPr>
      </w:pPr>
      <w:r>
        <w:rPr>
          <w:lang w:val="en-IN"/>
        </w:rPr>
        <w:t>1. Financial Health Check</w:t>
      </w:r>
      <w:bookmarkEnd w:id="1"/>
    </w:p>
    <w:bookmarkStart w:id="2" w:name="_Toc226453691"/>
    <w:p>
      <w:pPr>
        <w:pStyle w:val="style2"/>
        <w:rPr>
          <w:lang w:val="en-IN"/>
        </w:rPr>
      </w:pPr>
      <w:r>
        <w:rPr>
          <w:lang w:val="en-IN"/>
        </w:rPr>
        <w:t>1.1 Analysis of Tesla’s Five-Year Financial Performance (2020–2024)</w:t>
      </w:r>
      <w:bookmarkEnd w:id="2"/>
    </w:p>
    <w:p>
      <w:pPr>
        <w:pStyle w:val="style0"/>
        <w:rPr>
          <w:lang w:val="en-IN"/>
        </w:rPr>
      </w:pPr>
      <w:r>
        <w:rPr>
          <w:lang w:val="en-IN"/>
        </w:rPr>
        <w:t xml:space="preserve">Through the study of </w:t>
      </w:r>
      <w:r>
        <w:rPr>
          <w:lang w:val="en-IN"/>
        </w:rPr>
        <w:t>Tesla, Inc.'s 2020</w:t>
      </w:r>
      <w:r>
        <w:rPr>
          <w:lang w:val="en-IN"/>
        </w:rPr>
        <w:t>-24</w:t>
      </w:r>
      <w:r>
        <w:rPr>
          <w:lang w:val="en-IN"/>
        </w:rPr>
        <w:t xml:space="preserve"> financial statements, there is a significant increase in scale and new profitability pressures</w:t>
      </w:r>
      <w:r>
        <w:rPr>
          <w:lang w:val="en-IN"/>
        </w:rPr>
        <w:t xml:space="preserve"> in the latest year. In these five years, Tesla grew its manufacturing facilities worldwide, </w:t>
      </w:r>
      <w:r>
        <w:rPr>
          <w:lang w:val="en-IN"/>
        </w:rPr>
        <w:t>mini-vehicle</w:t>
      </w:r>
      <w:r>
        <w:rPr>
          <w:lang w:val="en-IN"/>
        </w:rPr>
        <w:t xml:space="preserve"> delivery, and energy generation and storage, which profoundly impacted its financial flow and wealth.</w:t>
      </w:r>
    </w:p>
    <w:p>
      <w:pPr>
        <w:pStyle w:val="style0"/>
        <w:keepNext/>
        <w:jc w:val="center"/>
        <w:rPr>
          <w:b/>
          <w:bCs/>
          <w:i/>
          <w:iCs/>
        </w:rPr>
      </w:pPr>
      <w:r>
        <w:rPr>
          <w:b/>
          <w:bCs/>
          <w:i/>
          <w:iCs/>
          <w:noProof/>
          <w:lang w:val="en-IN"/>
        </w:rPr>
        <w:drawing>
          <wp:inline distL="0" distT="0" distB="0" distR="0">
            <wp:extent cx="5135140" cy="5430982"/>
            <wp:effectExtent l="0" t="0" r="8890" b="0"/>
            <wp:docPr id="1028"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4" cstate="print"/>
                    <a:srcRect l="0" t="0" r="0" b="0"/>
                    <a:stretch/>
                  </pic:blipFill>
                  <pic:spPr>
                    <a:xfrm rot="0">
                      <a:off x="0" y="0"/>
                      <a:ext cx="5135140" cy="5430982"/>
                    </a:xfrm>
                    <a:prstGeom prst="rect"/>
                  </pic:spPr>
                </pic:pic>
              </a:graphicData>
            </a:graphic>
          </wp:inline>
        </w:drawing>
      </w:r>
    </w:p>
    <w:p>
      <w:pPr>
        <w:pStyle w:val="style34"/>
        <w:jc w:val="center"/>
        <w:rPr>
          <w:b/>
          <w:bCs/>
          <w:color w:val="auto"/>
          <w:sz w:val="24"/>
          <w:szCs w:val="24"/>
        </w:rPr>
      </w:pPr>
      <w:r>
        <w:rPr>
          <w:b/>
          <w:bCs/>
          <w:color w:val="auto"/>
          <w:sz w:val="24"/>
          <w:szCs w:val="24"/>
        </w:rPr>
        <w:t xml:space="preserve">Figure </w:t>
      </w:r>
      <w:r>
        <w:rPr>
          <w:b/>
          <w:bCs/>
          <w:color w:val="auto"/>
          <w:sz w:val="24"/>
          <w:szCs w:val="24"/>
        </w:rPr>
        <w:fldChar w:fldCharType="begin"/>
      </w:r>
      <w:r>
        <w:rPr>
          <w:b/>
          <w:bCs/>
          <w:color w:val="auto"/>
          <w:sz w:val="24"/>
          <w:szCs w:val="24"/>
        </w:rPr>
        <w:instrText xml:space="preserve"> SEQ Figure \* ARABIC </w:instrText>
      </w:r>
      <w:r>
        <w:rPr>
          <w:b/>
          <w:bCs/>
          <w:color w:val="auto"/>
          <w:sz w:val="24"/>
          <w:szCs w:val="24"/>
        </w:rPr>
        <w:fldChar w:fldCharType="separate"/>
      </w:r>
      <w:r>
        <w:rPr>
          <w:b/>
          <w:bCs/>
          <w:noProof/>
          <w:color w:val="auto"/>
          <w:sz w:val="24"/>
          <w:szCs w:val="24"/>
        </w:rPr>
        <w:t>1</w:t>
      </w:r>
      <w:r>
        <w:rPr>
          <w:b/>
          <w:bCs/>
          <w:color w:val="auto"/>
          <w:sz w:val="24"/>
          <w:szCs w:val="24"/>
        </w:rPr>
        <w:fldChar w:fldCharType="end"/>
      </w:r>
      <w:r>
        <w:rPr>
          <w:b/>
          <w:bCs/>
          <w:color w:val="auto"/>
          <w:sz w:val="24"/>
          <w:szCs w:val="24"/>
        </w:rPr>
        <w:t>: Balance sheet 2024</w:t>
      </w:r>
    </w:p>
    <w:p>
      <w:pPr>
        <w:pStyle w:val="style0"/>
        <w:jc w:val="center"/>
        <w:rPr>
          <w:b/>
          <w:bCs/>
          <w:i/>
          <w:iCs/>
          <w:lang w:val="en-IN"/>
        </w:rPr>
      </w:pPr>
      <w:r>
        <w:rPr>
          <w:b/>
          <w:bCs/>
          <w:i/>
          <w:iCs/>
          <w:lang w:val="en-IN"/>
        </w:rPr>
        <w:t>(</w:t>
      </w:r>
      <w:r>
        <w:rPr>
          <w:b/>
          <w:bCs/>
          <w:i/>
          <w:iCs/>
          <w:lang w:val="en-IN"/>
        </w:rPr>
        <w:t>Source: Tesla, 2024</w:t>
      </w:r>
      <w:r>
        <w:rPr>
          <w:b/>
          <w:bCs/>
          <w:i/>
          <w:iCs/>
          <w:lang w:val="en-IN"/>
        </w:rPr>
        <w:t>)</w:t>
      </w:r>
    </w:p>
    <w:p>
      <w:pPr>
        <w:pStyle w:val="style0"/>
        <w:rPr>
          <w:lang w:val="en-IN"/>
        </w:rPr>
      </w:pPr>
      <w:r>
        <w:rPr>
          <w:lang w:val="en-IN"/>
        </w:rPr>
        <w:t xml:space="preserve">To begin with, </w:t>
      </w:r>
      <w:r>
        <w:rPr>
          <w:lang w:val="en-IN"/>
        </w:rPr>
        <w:t>Tesla's</w:t>
      </w:r>
      <w:r>
        <w:rPr>
          <w:lang w:val="en-IN"/>
        </w:rPr>
        <w:t xml:space="preserve"> revenues have shot up</w:t>
      </w:r>
      <w:r>
        <w:rPr>
          <w:lang w:val="en-IN"/>
        </w:rPr>
        <w:t>,</w:t>
      </w:r>
      <w:r>
        <w:rPr>
          <w:lang w:val="en-IN"/>
        </w:rPr>
        <w:t xml:space="preserve"> considering that the total revenues of the company have been growing dramatically since 2020, when the revenues stood at 31.5 billion, and </w:t>
      </w:r>
      <w:r>
        <w:rPr>
          <w:lang w:val="en-IN"/>
        </w:rPr>
        <w:t>by</w:t>
      </w:r>
      <w:r>
        <w:rPr>
          <w:lang w:val="en-IN"/>
        </w:rPr>
        <w:t xml:space="preserve"> 2024, the revenues </w:t>
      </w:r>
      <w:r>
        <w:rPr>
          <w:lang w:val="en-IN"/>
        </w:rPr>
        <w:t>had reached</w:t>
      </w:r>
      <w:r>
        <w:rPr>
          <w:lang w:val="en-IN"/>
        </w:rPr>
        <w:t xml:space="preserve"> 97.7 billion. Car sales have been the leading source of revenue during the years, though the energy production and storage division also expanded significantly, signifying the strategic move made by Tesla to diversify towards renewable energy </w:t>
      </w:r>
      <w:r>
        <w:rPr>
          <w:lang w:val="en-IN"/>
        </w:rPr>
        <w:t>solutions</w:t>
      </w:r>
      <w:r>
        <w:rPr>
          <w:lang w:val="en-IN"/>
        </w:rPr>
        <w:t>.</w:t>
      </w:r>
    </w:p>
    <w:p>
      <w:pPr>
        <w:pStyle w:val="style0"/>
        <w:rPr>
          <w:lang w:val="en-IN"/>
        </w:rPr>
      </w:pPr>
      <w:r>
        <w:rPr>
          <w:lang w:val="en-IN"/>
        </w:rPr>
        <w:t xml:space="preserve">Second, the profitability increased sharply in 2020-2023, and in 2023, the net earnings grew to 14.9 billion, as compared to 2020 (net income of 721 million). This has been made possible by high economies of scale, increased efficiency in manufacturing, and the high demand </w:t>
      </w:r>
      <w:r>
        <w:rPr>
          <w:lang w:val="en-IN"/>
        </w:rPr>
        <w:t>for</w:t>
      </w:r>
      <w:r>
        <w:rPr>
          <w:lang w:val="en-IN"/>
        </w:rPr>
        <w:t xml:space="preserve"> Tesla </w:t>
      </w:r>
      <w:r>
        <w:rPr>
          <w:lang w:val="en-IN"/>
        </w:rPr>
        <w:t>models, such as</w:t>
      </w:r>
      <w:r>
        <w:rPr>
          <w:lang w:val="en-IN"/>
        </w:rPr>
        <w:t xml:space="preserve"> the Model 3 and the Model Y. Nevertheless, the financial performance deteriorated in 2024</w:t>
      </w:r>
      <w:r>
        <w:rPr>
          <w:lang w:val="en-IN"/>
        </w:rPr>
        <w:t>,</w:t>
      </w:r>
      <w:r>
        <w:rPr>
          <w:lang w:val="en-IN"/>
        </w:rPr>
        <w:t xml:space="preserve"> with net income decreasing to $7.1 billion</w:t>
      </w:r>
      <w:r>
        <w:rPr>
          <w:lang w:val="en-IN"/>
        </w:rPr>
        <w:t>;</w:t>
      </w:r>
      <w:r>
        <w:rPr>
          <w:lang w:val="en-IN"/>
        </w:rPr>
        <w:t xml:space="preserve"> however, revenues did not show significant changes. This decrease represents a growing pressure of costs, price competition in the EV market</w:t>
      </w:r>
      <w:r>
        <w:rPr>
          <w:lang w:val="en-IN"/>
        </w:rPr>
        <w:t>,</w:t>
      </w:r>
      <w:r>
        <w:rPr>
          <w:lang w:val="en-IN"/>
        </w:rPr>
        <w:t xml:space="preserve"> and increased operating costs associated with research, development, and restructuring processes.</w:t>
      </w:r>
    </w:p>
    <w:p>
      <w:pPr>
        <w:pStyle w:val="style0"/>
        <w:rPr>
          <w:lang w:val="en-IN"/>
        </w:rPr>
      </w:pPr>
      <w:r>
        <w:rPr>
          <w:lang w:val="en-IN"/>
        </w:rPr>
        <w:t xml:space="preserve">According to </w:t>
      </w:r>
      <w:r>
        <w:rPr>
          <w:lang w:val="en-IN"/>
        </w:rPr>
        <w:t xml:space="preserve">the </w:t>
      </w:r>
      <w:r>
        <w:rPr>
          <w:lang w:val="en-IN"/>
        </w:rPr>
        <w:t xml:space="preserve">balance sheet, the total assets of Tesla have increased significantly between 2020 and 2024 (having gone up to 122.1 billion in 2024) due to </w:t>
      </w:r>
      <w:r>
        <w:rPr>
          <w:lang w:val="en-IN"/>
        </w:rPr>
        <w:t xml:space="preserve">a </w:t>
      </w:r>
      <w:r>
        <w:rPr>
          <w:lang w:val="en-IN"/>
        </w:rPr>
        <w:t>significant increase in assets of property, plant</w:t>
      </w:r>
      <w:r>
        <w:rPr>
          <w:lang w:val="en-IN"/>
        </w:rPr>
        <w:t>,</w:t>
      </w:r>
      <w:r>
        <w:rPr>
          <w:lang w:val="en-IN"/>
        </w:rPr>
        <w:t xml:space="preserve"> and equipment</w:t>
      </w:r>
      <w:r>
        <w:rPr>
          <w:lang w:val="en-IN"/>
        </w:rPr>
        <w:t>,</w:t>
      </w:r>
      <w:r>
        <w:rPr>
          <w:lang w:val="en-IN"/>
        </w:rPr>
        <w:t xml:space="preserve"> such as gigafactories and production infrastructure. Meanwhile, the equity provided by shareholders was also growing significantly, which reflects a rising capital base.</w:t>
      </w:r>
    </w:p>
    <w:p>
      <w:pPr>
        <w:pStyle w:val="style0"/>
        <w:keepNext/>
        <w:jc w:val="center"/>
        <w:rPr>
          <w:b/>
          <w:bCs/>
          <w:i/>
          <w:iCs/>
        </w:rPr>
      </w:pPr>
      <w:r>
        <w:rPr>
          <w:b/>
          <w:bCs/>
          <w:i/>
          <w:iCs/>
          <w:noProof/>
          <w:lang w:val="en-IN"/>
        </w:rPr>
        <w:drawing>
          <wp:inline distL="0" distT="0" distB="0" distR="0">
            <wp:extent cx="4775003" cy="4831080"/>
            <wp:effectExtent l="0" t="0" r="6985" b="7620"/>
            <wp:docPr id="1029"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5" cstate="print"/>
                    <a:srcRect l="0" t="0" r="0" b="0"/>
                    <a:stretch/>
                  </pic:blipFill>
                  <pic:spPr>
                    <a:xfrm rot="0">
                      <a:off x="0" y="0"/>
                      <a:ext cx="4775003" cy="4831080"/>
                    </a:xfrm>
                    <a:prstGeom prst="rect"/>
                  </pic:spPr>
                </pic:pic>
              </a:graphicData>
            </a:graphic>
          </wp:inline>
        </w:drawing>
      </w:r>
    </w:p>
    <w:p>
      <w:pPr>
        <w:pStyle w:val="style34"/>
        <w:jc w:val="center"/>
        <w:rPr>
          <w:b/>
          <w:bCs/>
          <w:color w:val="auto"/>
          <w:sz w:val="24"/>
          <w:szCs w:val="24"/>
        </w:rPr>
      </w:pPr>
      <w:r>
        <w:rPr>
          <w:b/>
          <w:bCs/>
          <w:color w:val="auto"/>
          <w:sz w:val="24"/>
          <w:szCs w:val="24"/>
        </w:rPr>
        <w:t xml:space="preserve">Figure </w:t>
      </w:r>
      <w:r>
        <w:rPr>
          <w:b/>
          <w:bCs/>
          <w:color w:val="auto"/>
          <w:sz w:val="24"/>
          <w:szCs w:val="24"/>
        </w:rPr>
        <w:fldChar w:fldCharType="begin"/>
      </w:r>
      <w:r>
        <w:rPr>
          <w:b/>
          <w:bCs/>
          <w:color w:val="auto"/>
          <w:sz w:val="24"/>
          <w:szCs w:val="24"/>
        </w:rPr>
        <w:instrText xml:space="preserve"> SEQ Figure \* ARABIC </w:instrText>
      </w:r>
      <w:r>
        <w:rPr>
          <w:b/>
          <w:bCs/>
          <w:color w:val="auto"/>
          <w:sz w:val="24"/>
          <w:szCs w:val="24"/>
        </w:rPr>
        <w:fldChar w:fldCharType="separate"/>
      </w:r>
      <w:r>
        <w:rPr>
          <w:b/>
          <w:bCs/>
          <w:noProof/>
          <w:color w:val="auto"/>
          <w:sz w:val="24"/>
          <w:szCs w:val="24"/>
        </w:rPr>
        <w:t>2</w:t>
      </w:r>
      <w:r>
        <w:rPr>
          <w:b/>
          <w:bCs/>
          <w:color w:val="auto"/>
          <w:sz w:val="24"/>
          <w:szCs w:val="24"/>
        </w:rPr>
        <w:fldChar w:fldCharType="end"/>
      </w:r>
      <w:r>
        <w:rPr>
          <w:b/>
          <w:bCs/>
          <w:color w:val="auto"/>
          <w:sz w:val="24"/>
          <w:szCs w:val="24"/>
        </w:rPr>
        <w:t>: Income Statement 2021-24</w:t>
      </w:r>
    </w:p>
    <w:p>
      <w:pPr>
        <w:pStyle w:val="style0"/>
        <w:jc w:val="center"/>
        <w:rPr>
          <w:b/>
          <w:bCs/>
          <w:i/>
          <w:iCs/>
          <w:lang w:val="en-IN"/>
        </w:rPr>
      </w:pPr>
      <w:r>
        <w:rPr>
          <w:b/>
          <w:bCs/>
          <w:i/>
          <w:iCs/>
          <w:lang w:val="en-IN"/>
        </w:rPr>
        <w:t>(Source: Tesla, 2023)</w:t>
      </w:r>
    </w:p>
    <w:bookmarkStart w:id="3" w:name="_Toc226453692"/>
    <w:p>
      <w:pPr>
        <w:pStyle w:val="style2"/>
        <w:rPr>
          <w:lang w:val="en-IN"/>
        </w:rPr>
      </w:pPr>
      <w:r>
        <w:rPr>
          <w:lang w:val="en-IN"/>
        </w:rPr>
        <w:t>1.2 Ratio Analysis</w:t>
      </w:r>
      <w:bookmarkEnd w:id="3"/>
    </w:p>
    <w:p>
      <w:pPr>
        <w:pStyle w:val="style0"/>
        <w:rPr>
          <w:lang w:val="en-IN"/>
        </w:rPr>
      </w:pPr>
      <w:r>
        <w:rPr>
          <w:lang w:val="en-IN"/>
        </w:rPr>
        <w:t>Financial ratio analysis is a systematic way of assessing the financial performance of a company and the efficiency with which it operates, its liquidity position, as well as capital structure</w:t>
      </w:r>
      <w:r>
        <w:rPr>
          <w:lang w:val="en-IN"/>
        </w:rPr>
        <w:t xml:space="preserve"> (</w:t>
      </w:r>
      <w:r>
        <w:t>Hamsyah</w:t>
      </w:r>
      <w:r>
        <w:t xml:space="preserve"> et al. </w:t>
      </w:r>
      <w:r>
        <w:t>2023</w:t>
      </w:r>
      <w:r>
        <w:rPr>
          <w:lang w:val="en-IN"/>
        </w:rPr>
        <w:t>)</w:t>
      </w:r>
      <w:r>
        <w:rPr>
          <w:lang w:val="en-IN"/>
        </w:rPr>
        <w:t xml:space="preserve">. The given ratio analysis assesses the profitability, liquidity, efficiency, gearing, and investment performance of Tesla </w:t>
      </w:r>
      <w:r>
        <w:rPr>
          <w:lang w:val="en-IN"/>
        </w:rPr>
        <w:t>on the basis of</w:t>
      </w:r>
      <w:r>
        <w:rPr>
          <w:lang w:val="en-IN"/>
        </w:rPr>
        <w:t xml:space="preserve"> the calculated ratios in 2023 and 2024</w:t>
      </w:r>
      <w:r>
        <w:rPr>
          <w:lang w:val="en-IN"/>
        </w:rPr>
        <w:t xml:space="preserve"> (refer </w:t>
      </w:r>
      <w:r>
        <w:rPr>
          <w:lang w:val="en-IN"/>
        </w:rPr>
        <w:t>to Appendix</w:t>
      </w:r>
      <w:r>
        <w:rPr>
          <w:lang w:val="en-IN"/>
        </w:rPr>
        <w:t xml:space="preserve"> 1 for calculations)</w:t>
      </w:r>
      <w:r>
        <w:rPr>
          <w:lang w:val="en-IN"/>
        </w:rPr>
        <w:t>.</w:t>
      </w:r>
    </w:p>
    <w:p>
      <w:pPr>
        <w:pStyle w:val="style179"/>
        <w:numPr>
          <w:ilvl w:val="0"/>
          <w:numId w:val="1"/>
        </w:numPr>
        <w:rPr>
          <w:b/>
          <w:bCs/>
          <w:i/>
          <w:iCs/>
          <w:u w:val="single"/>
          <w:lang w:val="en-IN"/>
        </w:rPr>
      </w:pPr>
      <w:r>
        <w:rPr>
          <w:b/>
          <w:bCs/>
          <w:i/>
          <w:iCs/>
          <w:u w:val="single"/>
          <w:lang w:val="en-IN"/>
        </w:rPr>
        <w:t>Profitability Ratios</w:t>
      </w:r>
    </w:p>
    <w:p>
      <w:pPr>
        <w:pStyle w:val="style0"/>
        <w:rPr>
          <w:lang w:val="en-IN"/>
        </w:rPr>
      </w:pPr>
      <w:r>
        <w:rPr>
          <w:lang w:val="en-IN"/>
        </w:rPr>
        <w:t xml:space="preserve">The profitability ratios are measures of how well a company can earn income in </w:t>
      </w:r>
      <w:r>
        <w:rPr>
          <w:lang w:val="en-IN"/>
        </w:rPr>
        <w:t>relation</w:t>
      </w:r>
      <w:r>
        <w:rPr>
          <w:lang w:val="en-IN"/>
        </w:rPr>
        <w:t xml:space="preserve"> to its income, its assets</w:t>
      </w:r>
      <w:r>
        <w:rPr>
          <w:lang w:val="en-IN"/>
        </w:rPr>
        <w:t>,</w:t>
      </w:r>
      <w:r>
        <w:rPr>
          <w:lang w:val="en-IN"/>
        </w:rPr>
        <w:t xml:space="preserve"> or its capital. These ratios play a significant role as an indicator of operational efficiency and pricing power</w:t>
      </w:r>
      <w:r>
        <w:rPr>
          <w:lang w:val="en-IN"/>
        </w:rPr>
        <w:t xml:space="preserve"> (</w:t>
      </w:r>
      <w:r>
        <w:t>Sholaeman</w:t>
      </w:r>
      <w:r>
        <w:t xml:space="preserve"> et al. </w:t>
      </w:r>
      <w:r>
        <w:t>2021</w:t>
      </w:r>
      <w:r>
        <w:rPr>
          <w:lang w:val="en-IN"/>
        </w:rPr>
        <w:t>)</w:t>
      </w:r>
      <w:r>
        <w:rPr>
          <w:lang w:val="en-IN"/>
        </w:rPr>
        <w:t>.</w:t>
      </w:r>
    </w:p>
    <w:p>
      <w:pPr>
        <w:pStyle w:val="style0"/>
        <w:rPr>
          <w:lang w:val="en-IN"/>
        </w:rPr>
      </w:pPr>
      <w:r>
        <w:rPr>
          <w:lang w:val="en-IN"/>
        </w:rPr>
        <w:t xml:space="preserve">The gross profit margin of Tesla dropped to 17.86% as of 2024, which is marginally less than the value of 18.25% in 2023, which means that the efficiency of production was deteriorating slightly or that the prices have decreased marginally. The change indicates the possibility of the company incurring higher manufacturing expenses or </w:t>
      </w:r>
      <w:r>
        <w:rPr>
          <w:lang w:val="en-IN"/>
        </w:rPr>
        <w:t>lower</w:t>
      </w:r>
      <w:r>
        <w:rPr>
          <w:lang w:val="en-IN"/>
        </w:rPr>
        <w:t xml:space="preserve"> prices of vehicles to keep up with the </w:t>
      </w:r>
      <w:r>
        <w:rPr>
          <w:lang w:val="en-IN"/>
        </w:rPr>
        <w:t>fast-growing</w:t>
      </w:r>
      <w:r>
        <w:rPr>
          <w:lang w:val="en-IN"/>
        </w:rPr>
        <w:t xml:space="preserve"> electric vehicle market.</w:t>
      </w:r>
    </w:p>
    <w:p>
      <w:pPr>
        <w:pStyle w:val="style0"/>
        <w:rPr>
          <w:lang w:val="en-IN"/>
        </w:rPr>
      </w:pPr>
      <w:r>
        <w:rPr>
          <w:lang w:val="en-IN"/>
        </w:rPr>
        <w:t xml:space="preserve">The net profit margin is cut more significantly, as it decreased to 7.26% in 2024 compared to 15.49% in 2023. This steep decline draws </w:t>
      </w:r>
      <w:r>
        <w:rPr>
          <w:lang w:val="en-IN"/>
        </w:rPr>
        <w:t xml:space="preserve">attention </w:t>
      </w:r>
      <w:r>
        <w:rPr>
          <w:lang w:val="en-IN"/>
        </w:rPr>
        <w:t xml:space="preserve">to focus on the added operation costs and potential pressure on the margins due to price declines, the rise in research and development costs, and heightened competition in the global EV industry. </w:t>
      </w:r>
    </w:p>
    <w:p>
      <w:pPr>
        <w:pStyle w:val="style179"/>
        <w:numPr>
          <w:ilvl w:val="0"/>
          <w:numId w:val="5"/>
        </w:numPr>
        <w:rPr>
          <w:b/>
          <w:bCs/>
          <w:i/>
          <w:iCs/>
          <w:u w:val="single"/>
          <w:lang w:val="en-IN"/>
        </w:rPr>
      </w:pPr>
      <w:r>
        <w:rPr>
          <w:b/>
          <w:bCs/>
          <w:i/>
          <w:iCs/>
          <w:u w:val="single"/>
          <w:lang w:val="en-IN"/>
        </w:rPr>
        <w:t>Liquidity Ratios</w:t>
      </w:r>
    </w:p>
    <w:p>
      <w:pPr>
        <w:pStyle w:val="style0"/>
        <w:rPr>
          <w:lang w:val="en-IN"/>
        </w:rPr>
      </w:pPr>
      <w:r>
        <w:rPr>
          <w:lang w:val="en-IN"/>
        </w:rPr>
        <w:t xml:space="preserve">Liquidity ratios will determine how a company can </w:t>
      </w:r>
      <w:r>
        <w:rPr>
          <w:lang w:val="en-IN"/>
        </w:rPr>
        <w:t>fulfill</w:t>
      </w:r>
      <w:r>
        <w:rPr>
          <w:lang w:val="en-IN"/>
        </w:rPr>
        <w:t xml:space="preserve"> its liabilities in the short run through its current assets. The ratios will give an idea </w:t>
      </w:r>
      <w:r>
        <w:rPr>
          <w:lang w:val="en-IN"/>
        </w:rPr>
        <w:t>of</w:t>
      </w:r>
      <w:r>
        <w:rPr>
          <w:lang w:val="en-IN"/>
        </w:rPr>
        <w:t xml:space="preserve"> financial flexibility and operational stability</w:t>
      </w:r>
      <w:r>
        <w:rPr>
          <w:lang w:val="en-IN"/>
        </w:rPr>
        <w:t xml:space="preserve"> (</w:t>
      </w:r>
      <w:r>
        <w:t xml:space="preserve">Blessing and </w:t>
      </w:r>
      <w:r>
        <w:t>Sakouvogui</w:t>
      </w:r>
      <w:r>
        <w:t>, 2023</w:t>
      </w:r>
      <w:r>
        <w:rPr>
          <w:lang w:val="en-IN"/>
        </w:rPr>
        <w:t>)</w:t>
      </w:r>
      <w:r>
        <w:rPr>
          <w:lang w:val="en-IN"/>
        </w:rPr>
        <w:t>.</w:t>
      </w:r>
    </w:p>
    <w:p>
      <w:pPr>
        <w:pStyle w:val="style0"/>
        <w:rPr>
          <w:lang w:val="en-IN"/>
        </w:rPr>
      </w:pPr>
      <w:r>
        <w:rPr>
          <w:lang w:val="en-IN"/>
        </w:rPr>
        <w:t xml:space="preserve">In the current ratio, Tesla has improved in 2024 (2.03) compared to 2023 (1.73), which means that the company has become more likely to </w:t>
      </w:r>
      <w:r>
        <w:rPr>
          <w:lang w:val="en-IN"/>
        </w:rPr>
        <w:t>fulfill</w:t>
      </w:r>
      <w:r>
        <w:rPr>
          <w:lang w:val="en-IN"/>
        </w:rPr>
        <w:t xml:space="preserve"> its short-term liabilities. The ratio of 2 or more is an indicator that Tesla has enough liquid funds to cover its short-term financial liabilities in an efficient manner.</w:t>
      </w:r>
    </w:p>
    <w:p>
      <w:pPr>
        <w:pStyle w:val="style0"/>
        <w:rPr>
          <w:lang w:val="en-IN"/>
        </w:rPr>
      </w:pPr>
      <w:r>
        <w:rPr>
          <w:lang w:val="en-IN"/>
        </w:rPr>
        <w:t xml:space="preserve">In the same line, the quick ratio </w:t>
      </w:r>
      <w:r>
        <w:rPr>
          <w:lang w:val="en-IN"/>
        </w:rPr>
        <w:t>in</w:t>
      </w:r>
      <w:r>
        <w:rPr>
          <w:lang w:val="en-IN"/>
        </w:rPr>
        <w:t xml:space="preserve"> 2024 is 1.61, as compared to 1.25 in the same year, indicating that high liquidity is observed once inventory has been excluded </w:t>
      </w:r>
      <w:r>
        <w:rPr>
          <w:lang w:val="en-IN"/>
        </w:rPr>
        <w:t>from</w:t>
      </w:r>
      <w:r>
        <w:rPr>
          <w:lang w:val="en-IN"/>
        </w:rPr>
        <w:t xml:space="preserve"> current assets. This growth indicates that Tesla enhanced its position in terms of liquid assets, especially in the form of augmented short-term investments and cash reserves.</w:t>
      </w:r>
    </w:p>
    <w:p>
      <w:pPr>
        <w:pStyle w:val="style179"/>
        <w:numPr>
          <w:ilvl w:val="0"/>
          <w:numId w:val="4"/>
        </w:numPr>
        <w:rPr>
          <w:b/>
          <w:bCs/>
          <w:i/>
          <w:iCs/>
          <w:u w:val="single"/>
          <w:lang w:val="en-IN"/>
        </w:rPr>
      </w:pPr>
      <w:r>
        <w:rPr>
          <w:b/>
          <w:bCs/>
          <w:i/>
          <w:iCs/>
          <w:u w:val="single"/>
          <w:lang w:val="en-IN"/>
        </w:rPr>
        <w:t>Efficiency Ratios</w:t>
      </w:r>
    </w:p>
    <w:p>
      <w:pPr>
        <w:pStyle w:val="style0"/>
        <w:rPr>
          <w:lang w:val="en-IN"/>
        </w:rPr>
      </w:pPr>
      <w:r>
        <w:rPr>
          <w:lang w:val="en-IN"/>
        </w:rPr>
        <w:t xml:space="preserve">Efficiency ratios measure the effectiveness with which a company uses its resources </w:t>
      </w:r>
      <w:r>
        <w:rPr>
          <w:lang w:val="en-IN"/>
        </w:rPr>
        <w:t>in order to</w:t>
      </w:r>
      <w:r>
        <w:rPr>
          <w:lang w:val="en-IN"/>
        </w:rPr>
        <w:t xml:space="preserve"> accomplish its revenue and operational </w:t>
      </w:r>
      <w:r>
        <w:rPr>
          <w:lang w:val="en-IN"/>
        </w:rPr>
        <w:t>goals</w:t>
      </w:r>
      <w:r>
        <w:rPr>
          <w:lang w:val="en-IN"/>
        </w:rPr>
        <w:t xml:space="preserve"> (</w:t>
      </w:r>
      <w:r>
        <w:t>Ayoush</w:t>
      </w:r>
      <w:r>
        <w:t xml:space="preserve"> et al. </w:t>
      </w:r>
      <w:r>
        <w:t>2021</w:t>
      </w:r>
      <w:r>
        <w:rPr>
          <w:lang w:val="en-IN"/>
        </w:rPr>
        <w:t>)</w:t>
      </w:r>
      <w:r>
        <w:rPr>
          <w:lang w:val="en-IN"/>
        </w:rPr>
        <w:t>.</w:t>
      </w:r>
    </w:p>
    <w:p>
      <w:pPr>
        <w:pStyle w:val="style0"/>
        <w:rPr>
          <w:lang w:val="en-IN"/>
        </w:rPr>
      </w:pPr>
      <w:r>
        <w:rPr>
          <w:lang w:val="en-IN"/>
        </w:rPr>
        <w:t>The inventory turnover also improved in Tesla in 2024</w:t>
      </w:r>
      <w:r>
        <w:rPr>
          <w:lang w:val="en-IN"/>
        </w:rPr>
        <w:t>,</w:t>
      </w:r>
      <w:r>
        <w:rPr>
          <w:lang w:val="en-IN"/>
        </w:rPr>
        <w:t xml:space="preserve"> when it was 6.68 times compared to 5.81 times in 2023, meaning that the company is managing its inventory in a better and faster manner to convert the inventory into sales. This can be the </w:t>
      </w:r>
      <w:r>
        <w:rPr>
          <w:lang w:val="en-IN"/>
        </w:rPr>
        <w:t xml:space="preserve">improvement of the supply chain, the increase </w:t>
      </w:r>
      <w:r>
        <w:rPr>
          <w:lang w:val="en-IN"/>
        </w:rPr>
        <w:t>in</w:t>
      </w:r>
      <w:r>
        <w:rPr>
          <w:lang w:val="en-IN"/>
        </w:rPr>
        <w:t xml:space="preserve"> demand, or better manufacturing planning of Tesla production.</w:t>
      </w:r>
    </w:p>
    <w:p>
      <w:pPr>
        <w:pStyle w:val="style0"/>
        <w:rPr>
          <w:lang w:val="en-IN"/>
        </w:rPr>
      </w:pPr>
      <w:r>
        <w:rPr>
          <w:lang w:val="en-IN"/>
        </w:rPr>
        <w:t>Yet, the 2023 turnover ratio in the 27.58 times dropped to the 2024 turnover, indicating that the company collects the receivables of the customers rather slowly in 2024, 22.11 times. The trend can be a sign of a long credit cycle, sales under financing facilities</w:t>
      </w:r>
      <w:r>
        <w:rPr>
          <w:lang w:val="en-IN"/>
        </w:rPr>
        <w:t>,</w:t>
      </w:r>
      <w:r>
        <w:rPr>
          <w:lang w:val="en-IN"/>
        </w:rPr>
        <w:t xml:space="preserve"> or </w:t>
      </w:r>
      <w:r>
        <w:rPr>
          <w:lang w:val="en-IN"/>
        </w:rPr>
        <w:t xml:space="preserve">a </w:t>
      </w:r>
      <w:r>
        <w:rPr>
          <w:lang w:val="en-IN"/>
        </w:rPr>
        <w:t xml:space="preserve">transformation in customer payment patterns. </w:t>
      </w:r>
    </w:p>
    <w:p>
      <w:pPr>
        <w:pStyle w:val="style179"/>
        <w:numPr>
          <w:ilvl w:val="0"/>
          <w:numId w:val="3"/>
        </w:numPr>
        <w:rPr>
          <w:b/>
          <w:bCs/>
          <w:i/>
          <w:iCs/>
          <w:u w:val="single"/>
          <w:lang w:val="en-IN"/>
        </w:rPr>
      </w:pPr>
      <w:r>
        <w:rPr>
          <w:b/>
          <w:bCs/>
          <w:i/>
          <w:iCs/>
          <w:u w:val="single"/>
          <w:lang w:val="en-IN"/>
        </w:rPr>
        <w:t>Gearing Ratios</w:t>
      </w:r>
    </w:p>
    <w:p>
      <w:pPr>
        <w:pStyle w:val="style0"/>
        <w:rPr>
          <w:lang w:val="en-IN"/>
        </w:rPr>
      </w:pPr>
      <w:r>
        <w:rPr>
          <w:lang w:val="en-IN"/>
        </w:rPr>
        <w:t>Gearing ratios determine how much the company finances its activity with debt as opposed to equity. The ratios will give information on the financial risk and stability in capital structure</w:t>
      </w:r>
      <w:r>
        <w:rPr>
          <w:lang w:val="en-IN"/>
        </w:rPr>
        <w:t xml:space="preserve"> (</w:t>
      </w:r>
      <w:r>
        <w:t xml:space="preserve">Blessing and </w:t>
      </w:r>
      <w:r>
        <w:t>Sakouvogui</w:t>
      </w:r>
      <w:r>
        <w:t>,</w:t>
      </w:r>
      <w:r>
        <w:t xml:space="preserve"> </w:t>
      </w:r>
      <w:r>
        <w:t>2023</w:t>
      </w:r>
      <w:r>
        <w:rPr>
          <w:lang w:val="en-IN"/>
        </w:rPr>
        <w:t>)</w:t>
      </w:r>
      <w:r>
        <w:rPr>
          <w:lang w:val="en-IN"/>
        </w:rPr>
        <w:t>.</w:t>
      </w:r>
    </w:p>
    <w:p>
      <w:pPr>
        <w:pStyle w:val="style0"/>
        <w:rPr>
          <w:lang w:val="en-IN"/>
        </w:rPr>
      </w:pPr>
      <w:r>
        <w:rPr>
          <w:lang w:val="en-IN"/>
        </w:rPr>
        <w:t xml:space="preserve">Tesla has slightly declined in </w:t>
      </w:r>
      <w:r>
        <w:rPr>
          <w:lang w:val="en-IN"/>
        </w:rPr>
        <w:t xml:space="preserve">its </w:t>
      </w:r>
      <w:r>
        <w:rPr>
          <w:lang w:val="en-IN"/>
        </w:rPr>
        <w:t xml:space="preserve">debt-to-equity ratio by 0.69 in 2023 to 0.66 in 2024, which means that the company depends less on debt financing compared to </w:t>
      </w:r>
      <w:r>
        <w:rPr>
          <w:lang w:val="en-IN"/>
        </w:rPr>
        <w:t>shareholders'</w:t>
      </w:r>
      <w:r>
        <w:rPr>
          <w:lang w:val="en-IN"/>
        </w:rPr>
        <w:t xml:space="preserve"> equity. Such a conservative leverage structure will mitigate financial risks and increase Tesla’s resistance to economic risks.</w:t>
      </w:r>
    </w:p>
    <w:p>
      <w:pPr>
        <w:pStyle w:val="style0"/>
        <w:rPr>
          <w:lang w:val="en-IN"/>
        </w:rPr>
      </w:pPr>
      <w:r>
        <w:rPr>
          <w:lang w:val="en-IN"/>
        </w:rPr>
        <w:t>In the same light, the debt ratio has been consistent at around 0.40 in both years</w:t>
      </w:r>
      <w:r>
        <w:rPr>
          <w:lang w:val="en-IN"/>
        </w:rPr>
        <w:t>,</w:t>
      </w:r>
      <w:r>
        <w:rPr>
          <w:lang w:val="en-IN"/>
        </w:rPr>
        <w:t xml:space="preserve"> implying that about 40 percent of </w:t>
      </w:r>
      <w:r>
        <w:rPr>
          <w:lang w:val="en-IN"/>
        </w:rPr>
        <w:t>Tesla's</w:t>
      </w:r>
      <w:r>
        <w:rPr>
          <w:lang w:val="en-IN"/>
        </w:rPr>
        <w:t xml:space="preserve"> assets have been funded by liabilities. It is a reasonable capital structure</w:t>
      </w:r>
      <w:r>
        <w:rPr>
          <w:lang w:val="en-IN"/>
        </w:rPr>
        <w:t>,</w:t>
      </w:r>
      <w:r>
        <w:rPr>
          <w:lang w:val="en-IN"/>
        </w:rPr>
        <w:t xml:space="preserve"> indicating that Tesla has a sensible financial approach and does not depend heavily on borrowing.</w:t>
      </w:r>
    </w:p>
    <w:p>
      <w:pPr>
        <w:pStyle w:val="style179"/>
        <w:numPr>
          <w:ilvl w:val="0"/>
          <w:numId w:val="2"/>
        </w:numPr>
        <w:rPr>
          <w:b/>
          <w:bCs/>
          <w:i/>
          <w:iCs/>
          <w:u w:val="single"/>
          <w:lang w:val="en-IN"/>
        </w:rPr>
      </w:pPr>
      <w:r>
        <w:rPr>
          <w:b/>
          <w:bCs/>
          <w:i/>
          <w:iCs/>
          <w:u w:val="single"/>
          <w:lang w:val="en-IN"/>
        </w:rPr>
        <w:t>Investment Ratios</w:t>
      </w:r>
    </w:p>
    <w:p>
      <w:pPr>
        <w:pStyle w:val="style0"/>
        <w:rPr>
          <w:lang w:val="en-IN"/>
        </w:rPr>
      </w:pPr>
      <w:r>
        <w:rPr>
          <w:lang w:val="en-IN"/>
        </w:rPr>
        <w:t>The investment ratios are used to determine the efficiency of a company in terms of returns to investors through assets and capital</w:t>
      </w:r>
      <w:r>
        <w:rPr>
          <w:lang w:val="en-IN"/>
        </w:rPr>
        <w:t xml:space="preserve"> (</w:t>
      </w:r>
      <w:r>
        <w:t>Hamsyah</w:t>
      </w:r>
      <w:r>
        <w:t xml:space="preserve"> et al. </w:t>
      </w:r>
      <w:r>
        <w:t>2023</w:t>
      </w:r>
      <w:r>
        <w:rPr>
          <w:lang w:val="en-IN"/>
        </w:rPr>
        <w:t>)</w:t>
      </w:r>
      <w:r>
        <w:rPr>
          <w:lang w:val="en-IN"/>
        </w:rPr>
        <w:t>.</w:t>
      </w:r>
    </w:p>
    <w:p>
      <w:pPr>
        <w:pStyle w:val="style0"/>
        <w:rPr>
          <w:lang w:val="en-IN"/>
        </w:rPr>
      </w:pPr>
      <w:r>
        <w:rPr>
          <w:lang w:val="en-IN"/>
        </w:rPr>
        <w:t>The value of Tesla showed a decrease in the ratio of return on assets (ROA) during 2023 and 2024, in which the value fell to 5.81 percent as compared to the year before, indicating the high downward drift in net income relative to its growing assets. With Tesla constantly pouring in a lot of investment in infrastructure and production capacity, the profits that are earned on these investments have been reduced in the short run.</w:t>
      </w:r>
    </w:p>
    <w:p>
      <w:pPr>
        <w:pStyle w:val="style0"/>
        <w:rPr>
          <w:lang w:val="en-IN"/>
        </w:rPr>
      </w:pPr>
      <w:r>
        <w:rPr>
          <w:lang w:val="en-IN"/>
        </w:rPr>
        <w:t xml:space="preserve">Equally, the return on equity (ROE) decreased by 23.94% in 2023 to 9.73% in 2024, which implies that the profitability created on behalf of shareholders greatly declined. </w:t>
      </w:r>
      <w:r>
        <w:rPr>
          <w:lang w:val="en-IN"/>
        </w:rPr>
        <w:t xml:space="preserve">Despite the positive returns Tesla continues to record, the decrease points to the possibility of better cost management and revenue maximisation </w:t>
      </w:r>
      <w:r>
        <w:rPr>
          <w:lang w:val="en-IN"/>
        </w:rPr>
        <w:t>to</w:t>
      </w:r>
      <w:r>
        <w:rPr>
          <w:lang w:val="en-IN"/>
        </w:rPr>
        <w:t xml:space="preserve"> continue attracting investor confidence.</w:t>
      </w:r>
    </w:p>
    <w:bookmarkStart w:id="4" w:name="_Toc226453693"/>
    <w:p>
      <w:pPr>
        <w:pStyle w:val="style2"/>
        <w:rPr>
          <w:lang w:val="en-IN"/>
        </w:rPr>
      </w:pPr>
      <w:r>
        <w:rPr>
          <w:lang w:val="en-IN"/>
        </w:rPr>
        <w:t>1.3 Key Financial Trends, Strengths, and Threats</w:t>
      </w:r>
      <w:bookmarkEnd w:id="4"/>
      <w:r>
        <w:rPr>
          <w:lang w:val="en-IN"/>
        </w:rPr>
        <w:t xml:space="preserve"> </w:t>
      </w:r>
    </w:p>
    <w:tbl>
      <w:tblPr>
        <w:tblStyle w:val="style4112"/>
        <w:tblW w:w="0" w:type="auto"/>
        <w:tblLook w:val="04A0" w:firstRow="1" w:lastRow="0" w:firstColumn="1" w:lastColumn="0" w:noHBand="0" w:noVBand="1"/>
      </w:tblPr>
      <w:tblGrid>
        <w:gridCol w:w="1473"/>
        <w:gridCol w:w="2711"/>
        <w:gridCol w:w="2462"/>
        <w:gridCol w:w="2378"/>
      </w:tblGrid>
      <w:tr>
        <w:trPr/>
        <w:tc>
          <w:tcPr>
            <w:tcW w:w="0" w:type="auto"/>
            <w:tcBorders/>
            <w:hideMark/>
          </w:tcPr>
          <w:p>
            <w:pPr>
              <w:pStyle w:val="style0"/>
              <w:rPr>
                <w:lang w:val="en-IN"/>
              </w:rPr>
            </w:pPr>
            <w:r>
              <w:rPr>
                <w:lang w:val="en-IN"/>
              </w:rPr>
              <w:t>Financial Aspect</w:t>
            </w:r>
          </w:p>
        </w:tc>
        <w:tc>
          <w:tcPr>
            <w:tcW w:w="0" w:type="auto"/>
            <w:tcBorders/>
            <w:hideMark/>
          </w:tcPr>
          <w:p>
            <w:pPr>
              <w:pStyle w:val="style0"/>
              <w:rPr>
                <w:lang w:val="en-IN"/>
              </w:rPr>
            </w:pPr>
            <w:r>
              <w:rPr>
                <w:lang w:val="en-IN"/>
              </w:rPr>
              <w:t>Key Trend (2020–2024)</w:t>
            </w:r>
          </w:p>
        </w:tc>
        <w:tc>
          <w:tcPr>
            <w:tcW w:w="0" w:type="auto"/>
            <w:tcBorders/>
            <w:hideMark/>
          </w:tcPr>
          <w:p>
            <w:pPr>
              <w:pStyle w:val="style0"/>
              <w:rPr>
                <w:lang w:val="en-IN"/>
              </w:rPr>
            </w:pPr>
            <w:r>
              <w:rPr>
                <w:lang w:val="en-IN"/>
              </w:rPr>
              <w:t>Strengths Identified</w:t>
            </w:r>
          </w:p>
        </w:tc>
        <w:tc>
          <w:tcPr>
            <w:tcW w:w="0" w:type="auto"/>
            <w:tcBorders/>
            <w:hideMark/>
          </w:tcPr>
          <w:p>
            <w:pPr>
              <w:pStyle w:val="style0"/>
              <w:rPr>
                <w:lang w:val="en-IN"/>
              </w:rPr>
            </w:pPr>
            <w:r>
              <w:rPr>
                <w:lang w:val="en-IN"/>
              </w:rPr>
              <w:t>Potential Threats</w:t>
            </w:r>
          </w:p>
        </w:tc>
      </w:tr>
      <w:tr>
        <w:tblPrEx/>
        <w:trPr/>
        <w:tc>
          <w:tcPr>
            <w:tcW w:w="0" w:type="auto"/>
            <w:tcBorders/>
            <w:hideMark/>
          </w:tcPr>
          <w:p>
            <w:pPr>
              <w:pStyle w:val="style0"/>
              <w:rPr>
                <w:lang w:val="en-IN"/>
              </w:rPr>
            </w:pPr>
            <w:r>
              <w:rPr>
                <w:lang w:val="en-IN"/>
              </w:rPr>
              <w:t>Revenue Growth</w:t>
            </w:r>
          </w:p>
        </w:tc>
        <w:tc>
          <w:tcPr>
            <w:tcW w:w="0" w:type="auto"/>
            <w:tcBorders/>
            <w:hideMark/>
          </w:tcPr>
          <w:p>
            <w:pPr>
              <w:pStyle w:val="style0"/>
              <w:rPr>
                <w:lang w:val="en-IN"/>
              </w:rPr>
            </w:pPr>
            <w:r>
              <w:rPr>
                <w:lang w:val="en-IN"/>
              </w:rPr>
              <w:t xml:space="preserve">Revenue increased significantly from approximately </w:t>
            </w:r>
            <w:r>
              <w:rPr>
                <w:b/>
                <w:bCs/>
                <w:lang w:val="en-IN"/>
              </w:rPr>
              <w:t>$31.5 billion in 2020 to $97.7 billion in 2024</w:t>
            </w:r>
            <w:r>
              <w:rPr>
                <w:lang w:val="en-IN"/>
              </w:rPr>
              <w:t xml:space="preserve">, reflecting strong demand for electric vehicles and </w:t>
            </w:r>
            <w:r>
              <w:rPr>
                <w:lang w:val="en-IN"/>
              </w:rPr>
              <w:t xml:space="preserve">the </w:t>
            </w:r>
            <w:r>
              <w:rPr>
                <w:lang w:val="en-IN"/>
              </w:rPr>
              <w:t>expansion of global production capacity.</w:t>
            </w:r>
          </w:p>
        </w:tc>
        <w:tc>
          <w:tcPr>
            <w:tcW w:w="0" w:type="auto"/>
            <w:tcBorders/>
            <w:hideMark/>
          </w:tcPr>
          <w:p>
            <w:pPr>
              <w:pStyle w:val="style0"/>
              <w:rPr>
                <w:lang w:val="en-IN"/>
              </w:rPr>
            </w:pPr>
            <w:r>
              <w:rPr>
                <w:lang w:val="en-IN"/>
              </w:rPr>
              <w:t>Demonstrates strong market demand, global expansion, and successful product adoption.</w:t>
            </w:r>
          </w:p>
        </w:tc>
        <w:tc>
          <w:tcPr>
            <w:tcW w:w="0" w:type="auto"/>
            <w:tcBorders/>
            <w:hideMark/>
          </w:tcPr>
          <w:p>
            <w:pPr>
              <w:pStyle w:val="style0"/>
              <w:rPr>
                <w:lang w:val="en-IN"/>
              </w:rPr>
            </w:pPr>
            <w:r>
              <w:rPr>
                <w:lang w:val="en-IN"/>
              </w:rPr>
              <w:t>Growth may slow due to increasing EV competition from global automakers and potential market saturation.</w:t>
            </w:r>
          </w:p>
        </w:tc>
      </w:tr>
      <w:tr>
        <w:tblPrEx/>
        <w:trPr/>
        <w:tc>
          <w:tcPr>
            <w:tcW w:w="0" w:type="auto"/>
            <w:tcBorders/>
            <w:hideMark/>
          </w:tcPr>
          <w:p>
            <w:pPr>
              <w:pStyle w:val="style0"/>
              <w:rPr>
                <w:lang w:val="en-IN"/>
              </w:rPr>
            </w:pPr>
            <w:r>
              <w:rPr>
                <w:lang w:val="en-IN"/>
              </w:rPr>
              <w:t>Profitability</w:t>
            </w:r>
          </w:p>
        </w:tc>
        <w:tc>
          <w:tcPr>
            <w:tcW w:w="0" w:type="auto"/>
            <w:tcBorders/>
            <w:hideMark/>
          </w:tcPr>
          <w:p>
            <w:pPr>
              <w:pStyle w:val="style0"/>
              <w:rPr>
                <w:lang w:val="en-IN"/>
              </w:rPr>
            </w:pPr>
            <w:r>
              <w:rPr>
                <w:lang w:val="en-IN"/>
              </w:rPr>
              <w:t xml:space="preserve">Net income grew steadily until </w:t>
            </w:r>
            <w:r>
              <w:rPr>
                <w:b/>
                <w:bCs/>
                <w:lang w:val="en-IN"/>
              </w:rPr>
              <w:t>2023 ($14.9 billion)</w:t>
            </w:r>
            <w:r>
              <w:rPr>
                <w:lang w:val="en-IN"/>
              </w:rPr>
              <w:t xml:space="preserve"> but declined sharply in </w:t>
            </w:r>
            <w:r>
              <w:rPr>
                <w:b/>
                <w:bCs/>
                <w:lang w:val="en-IN"/>
              </w:rPr>
              <w:t>2024 ($7.1 billion)</w:t>
            </w:r>
            <w:r>
              <w:rPr>
                <w:lang w:val="en-IN"/>
              </w:rPr>
              <w:t xml:space="preserve"> despite stable revenues.</w:t>
            </w:r>
          </w:p>
        </w:tc>
        <w:tc>
          <w:tcPr>
            <w:tcW w:w="0" w:type="auto"/>
            <w:tcBorders/>
            <w:hideMark/>
          </w:tcPr>
          <w:p>
            <w:pPr>
              <w:pStyle w:val="style0"/>
              <w:rPr>
                <w:lang w:val="en-IN"/>
              </w:rPr>
            </w:pPr>
            <w:r>
              <w:rPr>
                <w:lang w:val="en-IN"/>
              </w:rPr>
              <w:t>Historically strong profitability supported by economies of scale and technological innovation.</w:t>
            </w:r>
          </w:p>
        </w:tc>
        <w:tc>
          <w:tcPr>
            <w:tcW w:w="0" w:type="auto"/>
            <w:tcBorders/>
            <w:hideMark/>
          </w:tcPr>
          <w:p>
            <w:pPr>
              <w:pStyle w:val="style0"/>
              <w:rPr>
                <w:lang w:val="en-IN"/>
              </w:rPr>
            </w:pPr>
            <w:r>
              <w:rPr>
                <w:lang w:val="en-IN"/>
              </w:rPr>
              <w:t>Margin pressure due to pricing strategies, higher operating expenses, and intensified competition.</w:t>
            </w:r>
          </w:p>
        </w:tc>
      </w:tr>
      <w:tr>
        <w:tblPrEx/>
        <w:trPr/>
        <w:tc>
          <w:tcPr>
            <w:tcW w:w="0" w:type="auto"/>
            <w:tcBorders/>
            <w:hideMark/>
          </w:tcPr>
          <w:p>
            <w:pPr>
              <w:pStyle w:val="style0"/>
              <w:rPr>
                <w:lang w:val="en-IN"/>
              </w:rPr>
            </w:pPr>
            <w:r>
              <w:rPr>
                <w:lang w:val="en-IN"/>
              </w:rPr>
              <w:t>Asset Expansion</w:t>
            </w:r>
          </w:p>
        </w:tc>
        <w:tc>
          <w:tcPr>
            <w:tcW w:w="0" w:type="auto"/>
            <w:tcBorders/>
            <w:hideMark/>
          </w:tcPr>
          <w:p>
            <w:pPr>
              <w:pStyle w:val="style0"/>
              <w:rPr>
                <w:lang w:val="en-IN"/>
              </w:rPr>
            </w:pPr>
            <w:r>
              <w:rPr>
                <w:lang w:val="en-IN"/>
              </w:rPr>
              <w:t xml:space="preserve">Total assets increased from </w:t>
            </w:r>
            <w:r>
              <w:rPr>
                <w:b/>
                <w:bCs/>
                <w:lang w:val="en-IN"/>
              </w:rPr>
              <w:t>$52 billion in 2020 to over $122 billion in 2024</w:t>
            </w:r>
            <w:r>
              <w:rPr>
                <w:lang w:val="en-IN"/>
              </w:rPr>
              <w:t xml:space="preserve">, largely due to investment in </w:t>
            </w:r>
            <w:r>
              <w:rPr>
                <w:lang w:val="en-IN"/>
              </w:rPr>
              <w:t>manufacturing facilities and production infrastructure.</w:t>
            </w:r>
          </w:p>
        </w:tc>
        <w:tc>
          <w:tcPr>
            <w:tcW w:w="0" w:type="auto"/>
            <w:tcBorders/>
            <w:hideMark/>
          </w:tcPr>
          <w:p>
            <w:pPr>
              <w:pStyle w:val="style0"/>
              <w:rPr>
                <w:lang w:val="en-IN"/>
              </w:rPr>
            </w:pPr>
            <w:r>
              <w:rPr>
                <w:lang w:val="en-IN"/>
              </w:rPr>
              <w:t>Increased production capacity strengthens long-</w:t>
            </w:r>
            <w:r>
              <w:rPr>
                <w:lang w:val="en-IN"/>
              </w:rPr>
              <w:t>term competitive advantage.</w:t>
            </w:r>
          </w:p>
        </w:tc>
        <w:tc>
          <w:tcPr>
            <w:tcW w:w="0" w:type="auto"/>
            <w:tcBorders/>
            <w:hideMark/>
          </w:tcPr>
          <w:p>
            <w:pPr>
              <w:pStyle w:val="style0"/>
              <w:rPr>
                <w:lang w:val="en-IN"/>
              </w:rPr>
            </w:pPr>
            <w:r>
              <w:rPr>
                <w:lang w:val="en-IN"/>
              </w:rPr>
              <w:t xml:space="preserve">High capital expenditure may reduce short-term returns and increase financial </w:t>
            </w:r>
            <w:r>
              <w:rPr>
                <w:lang w:val="en-IN"/>
              </w:rPr>
              <w:t>risk if demand weakens.</w:t>
            </w:r>
          </w:p>
        </w:tc>
      </w:tr>
      <w:tr>
        <w:tblPrEx/>
        <w:trPr/>
        <w:tc>
          <w:tcPr>
            <w:tcW w:w="0" w:type="auto"/>
            <w:tcBorders/>
            <w:hideMark/>
          </w:tcPr>
          <w:p>
            <w:pPr>
              <w:pStyle w:val="style0"/>
              <w:rPr>
                <w:lang w:val="en-IN"/>
              </w:rPr>
            </w:pPr>
            <w:r>
              <w:rPr>
                <w:lang w:val="en-IN"/>
              </w:rPr>
              <w:t>Liquidity Position</w:t>
            </w:r>
          </w:p>
        </w:tc>
        <w:tc>
          <w:tcPr>
            <w:tcW w:w="0" w:type="auto"/>
            <w:tcBorders/>
            <w:hideMark/>
          </w:tcPr>
          <w:p>
            <w:pPr>
              <w:pStyle w:val="style0"/>
              <w:rPr>
                <w:lang w:val="en-IN"/>
              </w:rPr>
            </w:pPr>
            <w:r>
              <w:rPr>
                <w:lang w:val="en-IN"/>
              </w:rPr>
              <w:t xml:space="preserve">Current ratio improved to </w:t>
            </w:r>
            <w:r>
              <w:rPr>
                <w:b/>
                <w:bCs/>
                <w:lang w:val="en-IN"/>
              </w:rPr>
              <w:t>2.03 in 2024</w:t>
            </w:r>
            <w:r>
              <w:rPr>
                <w:lang w:val="en-IN"/>
              </w:rPr>
              <w:t>, indicating strong short-term financial stability.</w:t>
            </w:r>
          </w:p>
        </w:tc>
        <w:tc>
          <w:tcPr>
            <w:tcW w:w="0" w:type="auto"/>
            <w:tcBorders/>
            <w:hideMark/>
          </w:tcPr>
          <w:p>
            <w:pPr>
              <w:pStyle w:val="style0"/>
              <w:rPr>
                <w:lang w:val="en-IN"/>
              </w:rPr>
            </w:pPr>
            <w:r>
              <w:rPr>
                <w:lang w:val="en-IN"/>
              </w:rPr>
              <w:t xml:space="preserve">Strong liquidity ensures operational flexibility and </w:t>
            </w:r>
            <w:r>
              <w:rPr>
                <w:lang w:val="en-IN"/>
              </w:rPr>
              <w:t xml:space="preserve">the </w:t>
            </w:r>
            <w:r>
              <w:rPr>
                <w:lang w:val="en-IN"/>
              </w:rPr>
              <w:t>ability to meet short-term obligations.</w:t>
            </w:r>
          </w:p>
        </w:tc>
        <w:tc>
          <w:tcPr>
            <w:tcW w:w="0" w:type="auto"/>
            <w:tcBorders/>
            <w:hideMark/>
          </w:tcPr>
          <w:p>
            <w:pPr>
              <w:pStyle w:val="style0"/>
              <w:rPr>
                <w:lang w:val="en-IN"/>
              </w:rPr>
            </w:pPr>
            <w:r>
              <w:rPr>
                <w:lang w:val="en-IN"/>
              </w:rPr>
              <w:t>Excess liquidity may indicate inefficient capital utilisation if funds are not invested productively.</w:t>
            </w:r>
          </w:p>
        </w:tc>
      </w:tr>
      <w:tr>
        <w:tblPrEx/>
        <w:trPr/>
        <w:tc>
          <w:tcPr>
            <w:tcW w:w="0" w:type="auto"/>
            <w:tcBorders/>
            <w:hideMark/>
          </w:tcPr>
          <w:p>
            <w:pPr>
              <w:pStyle w:val="style0"/>
              <w:rPr>
                <w:lang w:val="en-IN"/>
              </w:rPr>
            </w:pPr>
            <w:r>
              <w:rPr>
                <w:lang w:val="en-IN"/>
              </w:rPr>
              <w:t>Financial Leverage</w:t>
            </w:r>
          </w:p>
        </w:tc>
        <w:tc>
          <w:tcPr>
            <w:tcW w:w="0" w:type="auto"/>
            <w:tcBorders/>
            <w:hideMark/>
          </w:tcPr>
          <w:p>
            <w:pPr>
              <w:pStyle w:val="style0"/>
              <w:rPr>
                <w:lang w:val="en-IN"/>
              </w:rPr>
            </w:pPr>
            <w:r>
              <w:rPr>
                <w:lang w:val="en-IN"/>
              </w:rPr>
              <w:t xml:space="preserve">Debt levels remained moderate with a </w:t>
            </w:r>
            <w:r>
              <w:rPr>
                <w:b/>
                <w:bCs/>
                <w:lang w:val="en-IN"/>
              </w:rPr>
              <w:t>debt ratio of around 0.40</w:t>
            </w:r>
            <w:r>
              <w:rPr>
                <w:lang w:val="en-IN"/>
              </w:rPr>
              <w:t>, reflecting a balanced capital structure.</w:t>
            </w:r>
          </w:p>
        </w:tc>
        <w:tc>
          <w:tcPr>
            <w:tcW w:w="0" w:type="auto"/>
            <w:tcBorders/>
            <w:hideMark/>
          </w:tcPr>
          <w:p>
            <w:pPr>
              <w:pStyle w:val="style0"/>
              <w:rPr>
                <w:lang w:val="en-IN"/>
              </w:rPr>
            </w:pPr>
            <w:r>
              <w:rPr>
                <w:lang w:val="en-IN"/>
              </w:rPr>
              <w:t>Conservative leverage reduces financial risk and enhances creditworthiness.</w:t>
            </w:r>
          </w:p>
        </w:tc>
        <w:tc>
          <w:tcPr>
            <w:tcW w:w="0" w:type="auto"/>
            <w:tcBorders/>
            <w:hideMark/>
          </w:tcPr>
          <w:p>
            <w:pPr>
              <w:pStyle w:val="style0"/>
              <w:rPr>
                <w:lang w:val="en-IN"/>
              </w:rPr>
            </w:pPr>
            <w:r>
              <w:rPr>
                <w:lang w:val="en-IN"/>
              </w:rPr>
              <w:t>Underutilisation of debt financing could limit opportunities for accelerated growth.</w:t>
            </w:r>
          </w:p>
        </w:tc>
      </w:tr>
    </w:tbl>
    <w:p>
      <w:pPr>
        <w:pStyle w:val="style1"/>
        <w:rPr>
          <w:lang w:val="en-IN"/>
        </w:rPr>
      </w:pPr>
    </w:p>
    <w:p>
      <w:pPr>
        <w:pStyle w:val="style0"/>
        <w:spacing w:before="0" w:after="160" w:lineRule="auto" w:line="278"/>
        <w:jc w:val="left"/>
        <w:rPr>
          <w:rFonts w:cs="宋体" w:eastAsia="宋体"/>
          <w:b/>
          <w:color w:val="000000"/>
          <w:sz w:val="28"/>
          <w:szCs w:val="40"/>
          <w:lang w:val="en-IN"/>
        </w:rPr>
      </w:pPr>
      <w:r>
        <w:rPr>
          <w:lang w:val="en-IN"/>
        </w:rPr>
        <w:br w:type="page"/>
      </w:r>
    </w:p>
    <w:bookmarkStart w:id="5" w:name="_Toc226453694"/>
    <w:p>
      <w:pPr>
        <w:pStyle w:val="style1"/>
        <w:rPr>
          <w:lang w:val="en-IN"/>
        </w:rPr>
      </w:pPr>
      <w:r>
        <w:rPr>
          <w:lang w:val="en-IN"/>
        </w:rPr>
        <w:t>2. Working Capital Management Analysis</w:t>
      </w:r>
      <w:bookmarkEnd w:id="5"/>
    </w:p>
    <w:bookmarkStart w:id="6" w:name="_Toc226453695"/>
    <w:p>
      <w:pPr>
        <w:pStyle w:val="style2"/>
        <w:rPr>
          <w:lang w:val="en-IN"/>
        </w:rPr>
      </w:pPr>
      <w:r>
        <w:rPr>
          <w:lang w:val="en-IN"/>
        </w:rPr>
        <w:t>2.1 Assessment of the Cash Operating Cycle</w:t>
      </w:r>
      <w:bookmarkEnd w:id="6"/>
    </w:p>
    <w:p>
      <w:pPr>
        <w:pStyle w:val="style0"/>
        <w:rPr>
          <w:lang w:val="en-IN"/>
        </w:rPr>
      </w:pPr>
      <w:r>
        <w:rPr>
          <w:lang w:val="en-IN"/>
        </w:rPr>
        <w:t xml:space="preserve">Cash operating cycle (COC) or cash conversion cycle is the </w:t>
      </w:r>
      <w:r>
        <w:rPr>
          <w:lang w:val="en-IN"/>
        </w:rPr>
        <w:t>time period</w:t>
      </w:r>
      <w:r>
        <w:rPr>
          <w:lang w:val="en-IN"/>
        </w:rPr>
        <w:t xml:space="preserve"> of a company to transform its investments in inventory and other resources into cash flow through sales. It is an indicator of the efficiency of a firm in terms of managing inventory, receivables</w:t>
      </w:r>
      <w:r>
        <w:rPr>
          <w:lang w:val="en-IN"/>
        </w:rPr>
        <w:t>,</w:t>
      </w:r>
      <w:r>
        <w:rPr>
          <w:lang w:val="en-IN"/>
        </w:rPr>
        <w:t xml:space="preserve"> and payables</w:t>
      </w:r>
      <w:r>
        <w:rPr>
          <w:lang w:val="en-IN"/>
        </w:rPr>
        <w:t xml:space="preserve"> (</w:t>
      </w:r>
      <w:r>
        <w:t>Zaher and Illescas, 2022</w:t>
      </w:r>
      <w:r>
        <w:rPr>
          <w:lang w:val="en-IN"/>
        </w:rPr>
        <w:t>)</w:t>
      </w:r>
      <w:r>
        <w:rPr>
          <w:lang w:val="en-IN"/>
        </w:rPr>
        <w:t xml:space="preserve">. </w:t>
      </w:r>
      <w:r>
        <w:rPr>
          <w:lang w:val="en-IN"/>
        </w:rPr>
        <w:t>A low cycle implies that it better operates its working capital and is liquid.</w:t>
      </w:r>
    </w:p>
    <w:p>
      <w:pPr>
        <w:pStyle w:val="style0"/>
        <w:rPr>
          <w:lang w:val="en-IN"/>
        </w:rPr>
      </w:pPr>
      <w:r>
        <w:rPr>
          <w:lang w:val="en-IN"/>
        </w:rPr>
        <w:t>At Tesla, Inc. the cash operating cycle is influenced by large-scale production of manufacturing, supply chains and direct to consumer sales model of the company. The Tesla enterprise has a relatively productive operating cycle due to the high levels of inventory control and high sales volumes. There has also been an increment in the inventory turnover ratio in 2024 as compared to the previous year (2023) and the value in the current year (2024) is noted at 6.68 times compared to 5.81 times, which show that Tesla has improved its ratio to turn its inventory into sales.</w:t>
      </w:r>
    </w:p>
    <w:p>
      <w:pPr>
        <w:pStyle w:val="style0"/>
        <w:rPr>
          <w:lang w:val="en-IN"/>
        </w:rPr>
      </w:pPr>
      <w:r>
        <w:rPr>
          <w:lang w:val="en-IN"/>
        </w:rPr>
        <w:t xml:space="preserve">Nevertheless, the receivables turnover ratio fell in 2023 </w:t>
      </w:r>
      <w:r>
        <w:rPr>
          <w:lang w:val="en-IN"/>
        </w:rPr>
        <w:t xml:space="preserve">to </w:t>
      </w:r>
      <w:r>
        <w:rPr>
          <w:lang w:val="en-IN"/>
        </w:rPr>
        <w:t xml:space="preserve">27.58 times) by 2024 (22.11 times), which reflected a very marginal decrease in the rate of the collection of payments in the period. Even though </w:t>
      </w:r>
      <w:r>
        <w:rPr>
          <w:lang w:val="en-IN"/>
        </w:rPr>
        <w:t>Tesla's</w:t>
      </w:r>
      <w:r>
        <w:rPr>
          <w:lang w:val="en-IN"/>
        </w:rPr>
        <w:t xml:space="preserve"> business model has been based on direct sales and customer deposits, the decline could also be based on growing financing programs, longer payment periods, or expansion in energy storage initiatives</w:t>
      </w:r>
      <w:r>
        <w:rPr>
          <w:lang w:val="en-IN"/>
        </w:rPr>
        <w:t>,</w:t>
      </w:r>
      <w:r>
        <w:rPr>
          <w:lang w:val="en-IN"/>
        </w:rPr>
        <w:t xml:space="preserve"> which have longer payment periods.</w:t>
      </w:r>
    </w:p>
    <w:p>
      <w:pPr>
        <w:pStyle w:val="style0"/>
        <w:rPr>
          <w:lang w:val="en-IN"/>
        </w:rPr>
      </w:pPr>
      <w:r>
        <w:rPr>
          <w:lang w:val="en-IN"/>
        </w:rPr>
        <w:t xml:space="preserve">On balance, the cash operating cycle of </w:t>
      </w:r>
      <w:r>
        <w:rPr>
          <w:lang w:val="en-IN"/>
        </w:rPr>
        <w:t xml:space="preserve">the </w:t>
      </w:r>
      <w:r>
        <w:rPr>
          <w:lang w:val="en-IN"/>
        </w:rPr>
        <w:t xml:space="preserve">Tesla company is rather efficient as the turnover of the inventory and the demand </w:t>
      </w:r>
      <w:r>
        <w:rPr>
          <w:lang w:val="en-IN"/>
        </w:rPr>
        <w:t>for</w:t>
      </w:r>
      <w:r>
        <w:rPr>
          <w:lang w:val="en-IN"/>
        </w:rPr>
        <w:t xml:space="preserve"> electric vehicles are high. However, the minor decrease in the receivables turnover indicates that Tesla needs to keep enhancing receivable collection procedures and credit policy control to keep the resultant cash flow at maximum efficiency in the </w:t>
      </w:r>
      <w:r>
        <w:rPr>
          <w:lang w:val="en-IN"/>
        </w:rPr>
        <w:t>ever-competitive</w:t>
      </w:r>
      <w:r>
        <w:rPr>
          <w:lang w:val="en-IN"/>
        </w:rPr>
        <w:t xml:space="preserve"> world EV market.</w:t>
      </w:r>
    </w:p>
    <w:bookmarkStart w:id="7" w:name="_Toc226453696"/>
    <w:p>
      <w:pPr>
        <w:pStyle w:val="style0"/>
        <w:rPr>
          <w:rFonts w:cs="Arial"/>
          <w:lang w:val="en-IN"/>
        </w:rPr>
      </w:pPr>
      <w:r>
        <w:rPr>
          <w:rStyle w:val="style4098"/>
          <w:rFonts w:ascii="Arial" w:cs="Arial" w:hAnsi="Arial"/>
          <w:lang w:val="en-IN"/>
        </w:rPr>
        <w:t>2.2 working capital reforms to help enhance liquidity</w:t>
      </w:r>
      <w:bookmarkEnd w:id="7"/>
      <w:r>
        <w:rPr>
          <w:rFonts w:cs="Arial"/>
          <w:lang w:val="en-IN"/>
        </w:rPr>
        <w:t xml:space="preserve"> </w:t>
      </w:r>
    </w:p>
    <w:p>
      <w:pPr>
        <w:pStyle w:val="style0"/>
        <w:rPr>
          <w:lang w:val="en-IN"/>
        </w:rPr>
      </w:pPr>
      <w:r>
        <w:rPr>
          <w:lang w:val="en-IN"/>
        </w:rPr>
        <w:t xml:space="preserve">The working capital should be managed effectively to ensure there is liquidity and </w:t>
      </w:r>
      <w:r>
        <w:rPr>
          <w:lang w:val="en-IN"/>
        </w:rPr>
        <w:t xml:space="preserve">the </w:t>
      </w:r>
      <w:r>
        <w:rPr>
          <w:lang w:val="en-IN"/>
        </w:rPr>
        <w:t xml:space="preserve">sustainability of operations. Despite the relatively solid liquidity status of Tesla, Inc., </w:t>
      </w:r>
      <w:r>
        <w:rPr>
          <w:lang w:val="en-IN"/>
        </w:rPr>
        <w:t>additional working capital practice advancement would enable financial flexibility and better operations.</w:t>
      </w:r>
    </w:p>
    <w:p>
      <w:pPr>
        <w:pStyle w:val="style179"/>
        <w:numPr>
          <w:ilvl w:val="0"/>
          <w:numId w:val="7"/>
        </w:numPr>
        <w:rPr>
          <w:lang w:val="en-IN"/>
        </w:rPr>
      </w:pPr>
      <w:r>
        <w:rPr>
          <w:lang w:val="en-IN"/>
        </w:rPr>
        <w:t>Better receivables management is one of the possible options. Since the receivables turnover ratio decreased in 2024, Tesla can reinforce credit control mechanisms and promote quicker payments via online payment tools or first-pay bonuses. Enhanced tracking of pending receivables would go towards minimizing delays in cash receipts and aid in accelerating cash conversion.</w:t>
      </w:r>
    </w:p>
    <w:p>
      <w:pPr>
        <w:pStyle w:val="style179"/>
        <w:numPr>
          <w:ilvl w:val="0"/>
          <w:numId w:val="7"/>
        </w:numPr>
        <w:rPr>
          <w:lang w:val="en-IN"/>
        </w:rPr>
      </w:pPr>
      <w:r>
        <w:rPr>
          <w:lang w:val="en-IN"/>
        </w:rPr>
        <w:t xml:space="preserve">The other significant change concerns maximising inventory. Though the inventory turnover increased in 2024, </w:t>
      </w:r>
      <w:r>
        <w:rPr>
          <w:lang w:val="en-IN"/>
        </w:rPr>
        <w:t>Tesla's</w:t>
      </w:r>
      <w:r>
        <w:rPr>
          <w:lang w:val="en-IN"/>
        </w:rPr>
        <w:t xml:space="preserve"> manufacturing operations demand significant inventories, especially </w:t>
      </w:r>
      <w:r>
        <w:rPr>
          <w:lang w:val="en-IN"/>
        </w:rPr>
        <w:t>with regard to</w:t>
      </w:r>
      <w:r>
        <w:rPr>
          <w:lang w:val="en-IN"/>
        </w:rPr>
        <w:t xml:space="preserve"> batteries and vehicle parts.  </w:t>
      </w:r>
    </w:p>
    <w:bookmarkStart w:id="8" w:name="_Toc226453697"/>
    <w:p>
      <w:pPr>
        <w:pStyle w:val="style2"/>
        <w:rPr>
          <w:lang w:val="en-IN"/>
        </w:rPr>
      </w:pPr>
      <w:r>
        <w:rPr>
          <w:lang w:val="en-IN"/>
        </w:rPr>
        <w:t xml:space="preserve">2.3 Short- and </w:t>
      </w:r>
      <w:r>
        <w:rPr>
          <w:lang w:val="en-IN"/>
        </w:rPr>
        <w:t>Long-term</w:t>
      </w:r>
      <w:r>
        <w:rPr>
          <w:lang w:val="en-IN"/>
        </w:rPr>
        <w:t xml:space="preserve"> Financing </w:t>
      </w:r>
      <w:r>
        <w:rPr>
          <w:lang w:val="en-IN"/>
        </w:rPr>
        <w:t>Options Comparison</w:t>
      </w:r>
      <w:bookmarkEnd w:id="8"/>
    </w:p>
    <w:p>
      <w:pPr>
        <w:pStyle w:val="style0"/>
        <w:rPr>
          <w:lang w:val="en-IN"/>
        </w:rPr>
      </w:pPr>
      <w:r>
        <w:rPr>
          <w:lang w:val="en-IN"/>
        </w:rPr>
        <w:t xml:space="preserve">The decision of working capital financing implies choosing the optimal sources of funds to facilitate the </w:t>
      </w:r>
      <w:r>
        <w:rPr>
          <w:lang w:val="en-IN"/>
        </w:rPr>
        <w:t>everyday</w:t>
      </w:r>
      <w:r>
        <w:rPr>
          <w:lang w:val="en-IN"/>
        </w:rPr>
        <w:t xml:space="preserve"> business processes, purchasing of inventory</w:t>
      </w:r>
      <w:r>
        <w:rPr>
          <w:lang w:val="en-IN"/>
        </w:rPr>
        <w:t>,</w:t>
      </w:r>
      <w:r>
        <w:rPr>
          <w:lang w:val="en-IN"/>
        </w:rPr>
        <w:t xml:space="preserve"> and covering short-term obligations</w:t>
      </w:r>
      <w:r>
        <w:rPr>
          <w:lang w:val="en-IN"/>
        </w:rPr>
        <w:t xml:space="preserve"> (</w:t>
      </w:r>
      <w:r>
        <w:t>Ibrahim</w:t>
      </w:r>
      <w:r>
        <w:t xml:space="preserve"> et al. </w:t>
      </w:r>
      <w:r>
        <w:t>2021</w:t>
      </w:r>
      <w:r>
        <w:rPr>
          <w:lang w:val="en-IN"/>
        </w:rPr>
        <w:t>)</w:t>
      </w:r>
      <w:r>
        <w:rPr>
          <w:lang w:val="en-IN"/>
        </w:rPr>
        <w:t>. The firms usually use both short- and long-run financing instruments based on the cost, risk, and strategy. The following table contrasts important features of these forms of financing with the financial management strategy of Tesla.</w:t>
      </w:r>
    </w:p>
    <w:tbl>
      <w:tblPr>
        <w:tblStyle w:val="style4114"/>
        <w:tblW w:w="0" w:type="auto"/>
        <w:tblLook w:val="04A0" w:firstRow="1" w:lastRow="0" w:firstColumn="1" w:lastColumn="0" w:noHBand="0" w:noVBand="1"/>
      </w:tblPr>
      <w:tblGrid>
        <w:gridCol w:w="1553"/>
        <w:gridCol w:w="1784"/>
        <w:gridCol w:w="1768"/>
        <w:gridCol w:w="1977"/>
        <w:gridCol w:w="1941"/>
      </w:tblGrid>
      <w:tr>
        <w:trPr/>
        <w:tc>
          <w:tcPr>
            <w:tcW w:w="0" w:type="auto"/>
            <w:tcBorders/>
            <w:hideMark/>
          </w:tcPr>
          <w:p>
            <w:pPr>
              <w:pStyle w:val="style0"/>
              <w:rPr>
                <w:lang w:val="en-IN"/>
              </w:rPr>
            </w:pPr>
            <w:r>
              <w:rPr>
                <w:lang w:val="en-IN"/>
              </w:rPr>
              <w:t>Financing Type</w:t>
            </w:r>
          </w:p>
        </w:tc>
        <w:tc>
          <w:tcPr>
            <w:tcW w:w="0" w:type="auto"/>
            <w:tcBorders/>
            <w:hideMark/>
          </w:tcPr>
          <w:p>
            <w:pPr>
              <w:pStyle w:val="style0"/>
              <w:rPr>
                <w:lang w:val="en-IN"/>
              </w:rPr>
            </w:pPr>
            <w:r>
              <w:rPr>
                <w:lang w:val="en-IN"/>
              </w:rPr>
              <w:t>Description</w:t>
            </w:r>
          </w:p>
        </w:tc>
        <w:tc>
          <w:tcPr>
            <w:tcW w:w="0" w:type="auto"/>
            <w:tcBorders/>
            <w:hideMark/>
          </w:tcPr>
          <w:p>
            <w:pPr>
              <w:pStyle w:val="style0"/>
              <w:rPr>
                <w:lang w:val="en-IN"/>
              </w:rPr>
            </w:pPr>
            <w:r>
              <w:rPr>
                <w:lang w:val="en-IN"/>
              </w:rPr>
              <w:t>Advantages</w:t>
            </w:r>
          </w:p>
        </w:tc>
        <w:tc>
          <w:tcPr>
            <w:tcW w:w="0" w:type="auto"/>
            <w:tcBorders/>
            <w:hideMark/>
          </w:tcPr>
          <w:p>
            <w:pPr>
              <w:pStyle w:val="style0"/>
              <w:rPr>
                <w:lang w:val="en-IN"/>
              </w:rPr>
            </w:pPr>
            <w:r>
              <w:rPr>
                <w:lang w:val="en-IN"/>
              </w:rPr>
              <w:t>Disadvantages</w:t>
            </w:r>
          </w:p>
        </w:tc>
        <w:tc>
          <w:tcPr>
            <w:tcW w:w="0" w:type="auto"/>
            <w:tcBorders/>
            <w:hideMark/>
          </w:tcPr>
          <w:p>
            <w:pPr>
              <w:pStyle w:val="style0"/>
              <w:rPr>
                <w:lang w:val="en-IN"/>
              </w:rPr>
            </w:pPr>
            <w:r>
              <w:rPr>
                <w:lang w:val="en-IN"/>
              </w:rPr>
              <w:t>Relevance for Tesla</w:t>
            </w:r>
          </w:p>
        </w:tc>
      </w:tr>
      <w:tr>
        <w:tblPrEx/>
        <w:trPr/>
        <w:tc>
          <w:tcPr>
            <w:tcW w:w="0" w:type="auto"/>
            <w:tcBorders/>
            <w:hideMark/>
          </w:tcPr>
          <w:p>
            <w:pPr>
              <w:pStyle w:val="style0"/>
              <w:rPr>
                <w:lang w:val="en-IN"/>
              </w:rPr>
            </w:pPr>
            <w:r>
              <w:rPr>
                <w:lang w:val="en-IN"/>
              </w:rPr>
              <w:t>Short-Term Bank Loans</w:t>
            </w:r>
          </w:p>
        </w:tc>
        <w:tc>
          <w:tcPr>
            <w:tcW w:w="0" w:type="auto"/>
            <w:tcBorders/>
            <w:hideMark/>
          </w:tcPr>
          <w:p>
            <w:pPr>
              <w:pStyle w:val="style0"/>
              <w:rPr>
                <w:lang w:val="en-IN"/>
              </w:rPr>
            </w:pPr>
            <w:r>
              <w:rPr>
                <w:lang w:val="en-IN"/>
              </w:rPr>
              <w:t>Borrowing from financial institutions for a short period, typically less than one year.</w:t>
            </w:r>
          </w:p>
        </w:tc>
        <w:tc>
          <w:tcPr>
            <w:tcW w:w="0" w:type="auto"/>
            <w:tcBorders/>
            <w:hideMark/>
          </w:tcPr>
          <w:p>
            <w:pPr>
              <w:pStyle w:val="style0"/>
              <w:rPr>
                <w:lang w:val="en-IN"/>
              </w:rPr>
            </w:pPr>
            <w:r>
              <w:rPr>
                <w:lang w:val="en-IN"/>
              </w:rPr>
              <w:t>Provides quick access to funds and flexible repayment options.</w:t>
            </w:r>
          </w:p>
        </w:tc>
        <w:tc>
          <w:tcPr>
            <w:tcW w:w="0" w:type="auto"/>
            <w:tcBorders/>
            <w:hideMark/>
          </w:tcPr>
          <w:p>
            <w:pPr>
              <w:pStyle w:val="style0"/>
              <w:rPr>
                <w:lang w:val="en-IN"/>
              </w:rPr>
            </w:pPr>
            <w:r>
              <w:rPr>
                <w:lang w:val="en-IN"/>
              </w:rPr>
              <w:t>Higher interest rates and refinancing risk if market conditions change.</w:t>
            </w:r>
          </w:p>
        </w:tc>
        <w:tc>
          <w:tcPr>
            <w:tcW w:w="0" w:type="auto"/>
            <w:tcBorders/>
            <w:hideMark/>
          </w:tcPr>
          <w:p>
            <w:pPr>
              <w:pStyle w:val="style0"/>
              <w:rPr>
                <w:lang w:val="en-IN"/>
              </w:rPr>
            </w:pPr>
            <w:r>
              <w:rPr>
                <w:lang w:val="en-IN"/>
              </w:rPr>
              <w:t>Useful for managing temporary liquidity needs or seasonal working capital fluctuations.</w:t>
            </w:r>
          </w:p>
        </w:tc>
      </w:tr>
      <w:tr>
        <w:tblPrEx/>
        <w:trPr/>
        <w:tc>
          <w:tcPr>
            <w:tcW w:w="0" w:type="auto"/>
            <w:tcBorders/>
            <w:hideMark/>
          </w:tcPr>
          <w:p>
            <w:pPr>
              <w:pStyle w:val="style0"/>
              <w:rPr>
                <w:lang w:val="en-IN"/>
              </w:rPr>
            </w:pPr>
            <w:r>
              <w:rPr>
                <w:lang w:val="en-IN"/>
              </w:rPr>
              <w:t>Trade Credit</w:t>
            </w:r>
          </w:p>
        </w:tc>
        <w:tc>
          <w:tcPr>
            <w:tcW w:w="0" w:type="auto"/>
            <w:tcBorders/>
            <w:hideMark/>
          </w:tcPr>
          <w:p>
            <w:pPr>
              <w:pStyle w:val="style0"/>
              <w:rPr>
                <w:lang w:val="en-IN"/>
              </w:rPr>
            </w:pPr>
            <w:r>
              <w:rPr>
                <w:lang w:val="en-IN"/>
              </w:rPr>
              <w:t>Credit extended by suppliers allowing delayed payment for purchases.</w:t>
            </w:r>
          </w:p>
        </w:tc>
        <w:tc>
          <w:tcPr>
            <w:tcW w:w="0" w:type="auto"/>
            <w:tcBorders/>
            <w:hideMark/>
          </w:tcPr>
          <w:p>
            <w:pPr>
              <w:pStyle w:val="style0"/>
              <w:rPr>
                <w:lang w:val="en-IN"/>
              </w:rPr>
            </w:pPr>
            <w:r>
              <w:rPr>
                <w:lang w:val="en-IN"/>
              </w:rPr>
              <w:t>No immediate cash outflow and often interest-free within agreed terms.</w:t>
            </w:r>
          </w:p>
        </w:tc>
        <w:tc>
          <w:tcPr>
            <w:tcW w:w="0" w:type="auto"/>
            <w:tcBorders/>
            <w:hideMark/>
          </w:tcPr>
          <w:p>
            <w:pPr>
              <w:pStyle w:val="style0"/>
              <w:rPr>
                <w:lang w:val="en-IN"/>
              </w:rPr>
            </w:pPr>
            <w:r>
              <w:rPr>
                <w:lang w:val="en-IN"/>
              </w:rPr>
              <w:t>Excessive reliance may damage supplier relationships or lead to penalties.</w:t>
            </w:r>
          </w:p>
        </w:tc>
        <w:tc>
          <w:tcPr>
            <w:tcW w:w="0" w:type="auto"/>
            <w:tcBorders/>
            <w:hideMark/>
          </w:tcPr>
          <w:p>
            <w:pPr>
              <w:pStyle w:val="style0"/>
              <w:rPr>
                <w:lang w:val="en-IN"/>
              </w:rPr>
            </w:pPr>
            <w:r>
              <w:rPr>
                <w:lang w:val="en-IN"/>
              </w:rPr>
              <w:t>Tesla can leverage its strong supplier network to maintain favourable payment terms.</w:t>
            </w:r>
          </w:p>
        </w:tc>
      </w:tr>
      <w:tr>
        <w:tblPrEx/>
        <w:trPr/>
        <w:tc>
          <w:tcPr>
            <w:tcW w:w="0" w:type="auto"/>
            <w:tcBorders/>
            <w:hideMark/>
          </w:tcPr>
          <w:p>
            <w:pPr>
              <w:pStyle w:val="style0"/>
              <w:rPr>
                <w:lang w:val="en-IN"/>
              </w:rPr>
            </w:pPr>
            <w:r>
              <w:rPr>
                <w:lang w:val="en-IN"/>
              </w:rPr>
              <w:t>Commercial Paper</w:t>
            </w:r>
          </w:p>
        </w:tc>
        <w:tc>
          <w:tcPr>
            <w:tcW w:w="0" w:type="auto"/>
            <w:tcBorders/>
            <w:hideMark/>
          </w:tcPr>
          <w:p>
            <w:pPr>
              <w:pStyle w:val="style0"/>
              <w:rPr>
                <w:lang w:val="en-IN"/>
              </w:rPr>
            </w:pPr>
            <w:r>
              <w:rPr>
                <w:lang w:val="en-IN"/>
              </w:rPr>
              <w:t xml:space="preserve">Short-term unsecured debt </w:t>
            </w:r>
            <w:r>
              <w:rPr>
                <w:lang w:val="en-IN"/>
              </w:rPr>
              <w:t xml:space="preserve">is </w:t>
            </w:r>
            <w:r>
              <w:rPr>
                <w:lang w:val="en-IN"/>
              </w:rPr>
              <w:t>issued by large corporations to raise funds quickly.</w:t>
            </w:r>
          </w:p>
        </w:tc>
        <w:tc>
          <w:tcPr>
            <w:tcW w:w="0" w:type="auto"/>
            <w:tcBorders/>
            <w:hideMark/>
          </w:tcPr>
          <w:p>
            <w:pPr>
              <w:pStyle w:val="style0"/>
              <w:rPr>
                <w:lang w:val="en-IN"/>
              </w:rPr>
            </w:pPr>
            <w:r>
              <w:rPr>
                <w:lang w:val="en-IN"/>
              </w:rPr>
              <w:t>Lower borrowing costs compared with bank loans and flexible financing.</w:t>
            </w:r>
          </w:p>
        </w:tc>
        <w:tc>
          <w:tcPr>
            <w:tcW w:w="0" w:type="auto"/>
            <w:tcBorders/>
            <w:hideMark/>
          </w:tcPr>
          <w:p>
            <w:pPr>
              <w:pStyle w:val="style0"/>
              <w:rPr>
                <w:lang w:val="en-IN"/>
              </w:rPr>
            </w:pPr>
            <w:r>
              <w:rPr>
                <w:lang w:val="en-IN"/>
              </w:rPr>
              <w:t>Only available to companies with strong credit ratings.</w:t>
            </w:r>
          </w:p>
        </w:tc>
        <w:tc>
          <w:tcPr>
            <w:tcW w:w="0" w:type="auto"/>
            <w:tcBorders/>
            <w:hideMark/>
          </w:tcPr>
          <w:p>
            <w:pPr>
              <w:pStyle w:val="style0"/>
              <w:rPr>
                <w:lang w:val="en-IN"/>
              </w:rPr>
            </w:pPr>
            <w:r>
              <w:rPr>
                <w:lang w:val="en-IN"/>
              </w:rPr>
              <w:t>Tesla’s financial reputation enables potential use of commercial paper for liquidity management.</w:t>
            </w:r>
          </w:p>
        </w:tc>
      </w:tr>
      <w:tr>
        <w:tblPrEx/>
        <w:trPr/>
        <w:tc>
          <w:tcPr>
            <w:tcW w:w="0" w:type="auto"/>
            <w:tcBorders/>
            <w:hideMark/>
          </w:tcPr>
          <w:p>
            <w:pPr>
              <w:pStyle w:val="style0"/>
              <w:rPr>
                <w:lang w:val="en-IN"/>
              </w:rPr>
            </w:pPr>
            <w:r>
              <w:rPr>
                <w:lang w:val="en-IN"/>
              </w:rPr>
              <w:t>Long-Term Debt Financing</w:t>
            </w:r>
          </w:p>
        </w:tc>
        <w:tc>
          <w:tcPr>
            <w:tcW w:w="0" w:type="auto"/>
            <w:tcBorders/>
            <w:hideMark/>
          </w:tcPr>
          <w:p>
            <w:pPr>
              <w:pStyle w:val="style0"/>
              <w:rPr>
                <w:lang w:val="en-IN"/>
              </w:rPr>
            </w:pPr>
            <w:r>
              <w:rPr>
                <w:lang w:val="en-IN"/>
              </w:rPr>
              <w:t>Borrowing funds for periods exceeding one year through bonds or long-term loans.</w:t>
            </w:r>
          </w:p>
        </w:tc>
        <w:tc>
          <w:tcPr>
            <w:tcW w:w="0" w:type="auto"/>
            <w:tcBorders/>
            <w:hideMark/>
          </w:tcPr>
          <w:p>
            <w:pPr>
              <w:pStyle w:val="style0"/>
              <w:rPr>
                <w:lang w:val="en-IN"/>
              </w:rPr>
            </w:pPr>
            <w:r>
              <w:rPr>
                <w:lang w:val="en-IN"/>
              </w:rPr>
              <w:t>Provides stable financing for large capital investments.</w:t>
            </w:r>
          </w:p>
        </w:tc>
        <w:tc>
          <w:tcPr>
            <w:tcW w:w="0" w:type="auto"/>
            <w:tcBorders/>
            <w:hideMark/>
          </w:tcPr>
          <w:p>
            <w:pPr>
              <w:pStyle w:val="style0"/>
              <w:rPr>
                <w:lang w:val="en-IN"/>
              </w:rPr>
            </w:pPr>
            <w:r>
              <w:rPr>
                <w:lang w:val="en-IN"/>
              </w:rPr>
              <w:t xml:space="preserve">Higher total interest payments and </w:t>
            </w:r>
            <w:r>
              <w:rPr>
                <w:lang w:val="en-IN"/>
              </w:rPr>
              <w:t xml:space="preserve">a </w:t>
            </w:r>
            <w:r>
              <w:rPr>
                <w:lang w:val="en-IN"/>
              </w:rPr>
              <w:t>potential increase in financial leverage.</w:t>
            </w:r>
          </w:p>
        </w:tc>
        <w:tc>
          <w:tcPr>
            <w:tcW w:w="0" w:type="auto"/>
            <w:tcBorders/>
            <w:hideMark/>
          </w:tcPr>
          <w:p>
            <w:pPr>
              <w:pStyle w:val="style0"/>
              <w:rPr>
                <w:lang w:val="en-IN"/>
              </w:rPr>
            </w:pPr>
            <w:r>
              <w:rPr>
                <w:lang w:val="en-IN"/>
              </w:rPr>
              <w:t>Suitable for financing large investments such as gigafactories or new production facilities.</w:t>
            </w:r>
          </w:p>
        </w:tc>
      </w:tr>
      <w:tr>
        <w:tblPrEx/>
        <w:trPr/>
        <w:tc>
          <w:tcPr>
            <w:tcW w:w="0" w:type="auto"/>
            <w:tcBorders/>
            <w:hideMark/>
          </w:tcPr>
          <w:p>
            <w:pPr>
              <w:pStyle w:val="style0"/>
              <w:rPr>
                <w:lang w:val="en-IN"/>
              </w:rPr>
            </w:pPr>
            <w:r>
              <w:rPr>
                <w:lang w:val="en-IN"/>
              </w:rPr>
              <w:t>Equity Financing</w:t>
            </w:r>
          </w:p>
        </w:tc>
        <w:tc>
          <w:tcPr>
            <w:tcW w:w="0" w:type="auto"/>
            <w:tcBorders/>
            <w:hideMark/>
          </w:tcPr>
          <w:p>
            <w:pPr>
              <w:pStyle w:val="style0"/>
              <w:rPr>
                <w:lang w:val="en-IN"/>
              </w:rPr>
            </w:pPr>
            <w:r>
              <w:rPr>
                <w:lang w:val="en-IN"/>
              </w:rPr>
              <w:t xml:space="preserve">Raising capital by issuing new </w:t>
            </w:r>
            <w:r>
              <w:rPr>
                <w:lang w:val="en-IN"/>
              </w:rPr>
              <w:t>shares to investors.</w:t>
            </w:r>
          </w:p>
        </w:tc>
        <w:tc>
          <w:tcPr>
            <w:tcW w:w="0" w:type="auto"/>
            <w:tcBorders/>
            <w:hideMark/>
          </w:tcPr>
          <w:p>
            <w:pPr>
              <w:pStyle w:val="style0"/>
              <w:rPr>
                <w:lang w:val="en-IN"/>
              </w:rPr>
            </w:pPr>
            <w:r>
              <w:rPr>
                <w:lang w:val="en-IN"/>
              </w:rPr>
              <w:t xml:space="preserve">No repayment obligation and improves </w:t>
            </w:r>
            <w:r>
              <w:rPr>
                <w:lang w:val="en-IN"/>
              </w:rPr>
              <w:t>financial stability.</w:t>
            </w:r>
          </w:p>
        </w:tc>
        <w:tc>
          <w:tcPr>
            <w:tcW w:w="0" w:type="auto"/>
            <w:tcBorders/>
            <w:hideMark/>
          </w:tcPr>
          <w:p>
            <w:pPr>
              <w:pStyle w:val="style0"/>
              <w:rPr>
                <w:lang w:val="en-IN"/>
              </w:rPr>
            </w:pPr>
            <w:r>
              <w:rPr>
                <w:lang w:val="en-IN"/>
              </w:rPr>
              <w:t xml:space="preserve">Dilution of existing shareholders’ </w:t>
            </w:r>
            <w:r>
              <w:rPr>
                <w:lang w:val="en-IN"/>
              </w:rPr>
              <w:t>ownership and control.</w:t>
            </w:r>
          </w:p>
        </w:tc>
        <w:tc>
          <w:tcPr>
            <w:tcW w:w="0" w:type="auto"/>
            <w:tcBorders/>
            <w:hideMark/>
          </w:tcPr>
          <w:p>
            <w:pPr>
              <w:pStyle w:val="style0"/>
              <w:rPr>
                <w:lang w:val="en-IN"/>
              </w:rPr>
            </w:pPr>
            <w:r>
              <w:rPr>
                <w:lang w:val="en-IN"/>
              </w:rPr>
              <w:t xml:space="preserve">Tesla may use equity financing to fund major strategic </w:t>
            </w:r>
            <w:r>
              <w:rPr>
                <w:lang w:val="en-IN"/>
              </w:rPr>
              <w:t>expansion projects.</w:t>
            </w:r>
          </w:p>
        </w:tc>
      </w:tr>
    </w:tbl>
    <w:p>
      <w:pPr>
        <w:pStyle w:val="style0"/>
        <w:rPr>
          <w:lang w:val="en-IN"/>
        </w:rPr>
      </w:pPr>
    </w:p>
    <w:p>
      <w:pPr>
        <w:pStyle w:val="style0"/>
        <w:spacing w:before="0" w:after="160" w:lineRule="auto" w:line="278"/>
        <w:jc w:val="left"/>
        <w:rPr>
          <w:lang w:val="en-IN"/>
        </w:rPr>
      </w:pPr>
      <w:r>
        <w:rPr>
          <w:lang w:val="en-IN"/>
        </w:rPr>
        <w:br w:type="page"/>
      </w:r>
    </w:p>
    <w:bookmarkStart w:id="9" w:name="_Toc226453698"/>
    <w:p>
      <w:pPr>
        <w:pStyle w:val="style1"/>
        <w:rPr>
          <w:lang w:val="en-IN"/>
        </w:rPr>
      </w:pPr>
      <w:r>
        <w:rPr>
          <w:lang w:val="en-IN"/>
        </w:rPr>
        <w:t>3. Strategic Financial Restructuring Plan</w:t>
      </w:r>
      <w:bookmarkEnd w:id="9"/>
    </w:p>
    <w:bookmarkStart w:id="10" w:name="_Toc226453699"/>
    <w:p>
      <w:pPr>
        <w:pStyle w:val="style2"/>
        <w:rPr>
          <w:lang w:val="en-IN"/>
        </w:rPr>
      </w:pPr>
      <w:r>
        <w:rPr>
          <w:lang w:val="en-IN"/>
        </w:rPr>
        <w:t>3.1 Recommended Financial Restructuring Options</w:t>
      </w:r>
      <w:bookmarkEnd w:id="10"/>
    </w:p>
    <w:p>
      <w:pPr>
        <w:pStyle w:val="style0"/>
        <w:rPr>
          <w:lang w:val="en-IN"/>
        </w:rPr>
      </w:pPr>
      <w:r>
        <w:rPr>
          <w:lang w:val="en-IN"/>
        </w:rPr>
        <w:t>In order to</w:t>
      </w:r>
      <w:r>
        <w:rPr>
          <w:lang w:val="en-IN"/>
        </w:rPr>
        <w:t xml:space="preserve"> enhance financial stability in the long term and remain competitive in the global arena, Tesla, Inc. must consider adopting a strategy of financial restructuring that will aim at optimization of operations, efficiency of capital allocation, and selective strategic alliances.</w:t>
      </w:r>
    </w:p>
    <w:p>
      <w:pPr>
        <w:pStyle w:val="style0"/>
        <w:rPr>
          <w:lang w:val="en-IN"/>
        </w:rPr>
      </w:pPr>
      <w:r>
        <w:rPr>
          <w:lang w:val="en-IN"/>
        </w:rPr>
        <w:t>Diversification or reorganization of the non-performing business units is one of the possible restructuring plans. Tesla has also been reducing its workforce and restructuring its organisation because of declining demand and price rivalry in the electric car sector. In early 2024</w:t>
      </w:r>
      <w:r>
        <w:rPr>
          <w:lang w:val="en-IN"/>
        </w:rPr>
        <w:t>,</w:t>
      </w:r>
      <w:r>
        <w:rPr>
          <w:lang w:val="en-IN"/>
        </w:rPr>
        <w:t xml:space="preserve"> the company declared worldwide layoffs of approximately </w:t>
      </w:r>
      <w:r>
        <w:rPr>
          <w:lang w:val="en-IN"/>
        </w:rPr>
        <w:t>10%</w:t>
      </w:r>
      <w:r>
        <w:rPr>
          <w:lang w:val="en-IN"/>
        </w:rPr>
        <w:t xml:space="preserve"> staff to cut expenses and increase operational effectiveness, as part of </w:t>
      </w:r>
      <w:r>
        <w:rPr>
          <w:lang w:val="en-IN"/>
        </w:rPr>
        <w:t xml:space="preserve">the </w:t>
      </w:r>
      <w:r>
        <w:rPr>
          <w:lang w:val="en-IN"/>
        </w:rPr>
        <w:t xml:space="preserve">anticipation of the next </w:t>
      </w:r>
      <w:r>
        <w:rPr>
          <w:lang w:val="en-IN"/>
        </w:rPr>
        <w:t>growth</w:t>
      </w:r>
      <w:r>
        <w:rPr>
          <w:lang w:val="en-IN"/>
        </w:rPr>
        <w:t xml:space="preserve"> stage</w:t>
      </w:r>
      <w:r>
        <w:rPr>
          <w:lang w:val="en-IN"/>
        </w:rPr>
        <w:t xml:space="preserve"> (Reuters, 2024)</w:t>
      </w:r>
      <w:r>
        <w:rPr>
          <w:lang w:val="en-IN"/>
        </w:rPr>
        <w:t xml:space="preserve">. </w:t>
      </w:r>
    </w:p>
    <w:p>
      <w:pPr>
        <w:pStyle w:val="style0"/>
        <w:rPr>
          <w:lang w:val="en-IN"/>
        </w:rPr>
      </w:pPr>
      <w:r>
        <w:rPr>
          <w:lang w:val="en-IN"/>
        </w:rPr>
        <w:t xml:space="preserve">Creating strategic </w:t>
      </w:r>
      <w:r>
        <w:rPr>
          <w:lang w:val="en-IN"/>
        </w:rPr>
        <w:t>partnerships</w:t>
      </w:r>
      <w:r>
        <w:rPr>
          <w:lang w:val="en-IN"/>
        </w:rPr>
        <w:t xml:space="preserve"> and technological collaboration is another option </w:t>
      </w:r>
      <w:r>
        <w:rPr>
          <w:lang w:val="en-IN"/>
        </w:rPr>
        <w:t>for</w:t>
      </w:r>
      <w:r>
        <w:rPr>
          <w:lang w:val="en-IN"/>
        </w:rPr>
        <w:t xml:space="preserve"> restructuring. Tesla engages </w:t>
      </w:r>
      <w:r>
        <w:rPr>
          <w:lang w:val="en-IN"/>
        </w:rPr>
        <w:t>more and more</w:t>
      </w:r>
      <w:r>
        <w:rPr>
          <w:lang w:val="en-IN"/>
        </w:rPr>
        <w:t xml:space="preserve"> </w:t>
      </w:r>
      <w:r>
        <w:rPr>
          <w:lang w:val="en-IN"/>
        </w:rPr>
        <w:t>technological</w:t>
      </w:r>
      <w:r>
        <w:rPr>
          <w:lang w:val="en-IN"/>
        </w:rPr>
        <w:t xml:space="preserve"> and semiconductor companies to enhance artificial intelligence capabilities applied in the system of autonomous driving. Research and development can be lowered</w:t>
      </w:r>
      <w:r>
        <w:rPr>
          <w:lang w:val="en-IN"/>
        </w:rPr>
        <w:t>,</w:t>
      </w:r>
      <w:r>
        <w:rPr>
          <w:lang w:val="en-IN"/>
        </w:rPr>
        <w:t xml:space="preserve"> and innovation can be fast-tracked through strategic technology alliances. </w:t>
      </w:r>
    </w:p>
    <w:p>
      <w:pPr>
        <w:pStyle w:val="style0"/>
        <w:rPr>
          <w:lang w:val="en-IN"/>
        </w:rPr>
      </w:pPr>
      <w:r>
        <w:rPr>
          <w:lang w:val="en-IN"/>
        </w:rPr>
        <w:t xml:space="preserve">Another alternative is the </w:t>
      </w:r>
      <w:r>
        <w:rPr>
          <w:lang w:val="en-IN"/>
        </w:rPr>
        <w:t>equity-based</w:t>
      </w:r>
      <w:r>
        <w:rPr>
          <w:lang w:val="en-IN"/>
        </w:rPr>
        <w:t xml:space="preserve"> capital injection in terms of </w:t>
      </w:r>
      <w:r>
        <w:rPr>
          <w:lang w:val="en-IN"/>
        </w:rPr>
        <w:t xml:space="preserve">a </w:t>
      </w:r>
      <w:r>
        <w:rPr>
          <w:lang w:val="en-IN"/>
        </w:rPr>
        <w:t xml:space="preserve">new share issue or reinvestment of the earnings. Tesla had previously overused equity financing and internally generated funds instead of </w:t>
      </w:r>
      <w:r>
        <w:rPr>
          <w:lang w:val="en-IN"/>
        </w:rPr>
        <w:t>using</w:t>
      </w:r>
      <w:r>
        <w:rPr>
          <w:lang w:val="en-IN"/>
        </w:rPr>
        <w:t xml:space="preserve"> debt financing. Following this strategy would enable the company to continue to be financially flexible and enable expansion investments like gigafactories and international distribution systems.</w:t>
      </w:r>
    </w:p>
    <w:p>
      <w:pPr>
        <w:pStyle w:val="style0"/>
        <w:rPr>
          <w:lang w:val="en-IN"/>
        </w:rPr>
      </w:pPr>
      <w:r>
        <w:rPr>
          <w:lang w:val="en-IN"/>
        </w:rPr>
        <w:t xml:space="preserve">Lastly, Tesla can also look at portfolio diversification and growth in energy generation and storage segments, which </w:t>
      </w:r>
      <w:r>
        <w:rPr>
          <w:lang w:val="en-IN"/>
        </w:rPr>
        <w:t>have</w:t>
      </w:r>
      <w:r>
        <w:rPr>
          <w:lang w:val="en-IN"/>
        </w:rPr>
        <w:t xml:space="preserve"> proven to be highly </w:t>
      </w:r>
      <w:r>
        <w:rPr>
          <w:lang w:val="en-IN"/>
        </w:rPr>
        <w:t>growth able</w:t>
      </w:r>
      <w:r>
        <w:rPr>
          <w:lang w:val="en-IN"/>
        </w:rPr>
        <w:t>. A diversified revenue base also helps to mitigate an auto cycle based on demand and enhances financial sustainability.</w:t>
      </w:r>
      <w:r>
        <w:rPr>
          <w:lang w:val="en-IN"/>
        </w:rPr>
        <w:t xml:space="preserve"> </w:t>
      </w:r>
    </w:p>
    <w:bookmarkStart w:id="11" w:name="_Toc226453700"/>
    <w:p>
      <w:pPr>
        <w:pStyle w:val="style2"/>
        <w:rPr>
          <w:lang w:val="en-IN"/>
        </w:rPr>
      </w:pPr>
      <w:r>
        <w:t>3.2 Impact on Shareholder Value, Debt Structure, and Operational Flexibility</w:t>
      </w:r>
      <w:bookmarkEnd w:id="11"/>
    </w:p>
    <w:p>
      <w:pPr>
        <w:pStyle w:val="style0"/>
        <w:rPr>
          <w:lang w:val="en-IN"/>
        </w:rPr>
      </w:pPr>
      <w:r>
        <w:rPr>
          <w:lang w:val="en-IN"/>
        </w:rPr>
        <w:t xml:space="preserve">Restructuring financial programs may have a great impact on the shareholder value, capital structure, and operational flexibility. In the case of Tesla, Inc., strategic </w:t>
      </w:r>
      <w:r>
        <w:rPr>
          <w:lang w:val="en-IN"/>
        </w:rPr>
        <w:t xml:space="preserve">partnerships and streamlining of operations may help to increase </w:t>
      </w:r>
      <w:r>
        <w:rPr>
          <w:lang w:val="en-IN"/>
        </w:rPr>
        <w:t xml:space="preserve">the </w:t>
      </w:r>
      <w:r>
        <w:rPr>
          <w:lang w:val="en-IN"/>
        </w:rPr>
        <w:t>shareholder value of the business in the long term</w:t>
      </w:r>
      <w:r>
        <w:rPr>
          <w:lang w:val="en-IN"/>
        </w:rPr>
        <w:t>,</w:t>
      </w:r>
      <w:r>
        <w:rPr>
          <w:lang w:val="en-IN"/>
        </w:rPr>
        <w:t xml:space="preserve"> as this helps achieve increased profitability and competitiveness in the market.</w:t>
      </w:r>
    </w:p>
    <w:p>
      <w:pPr>
        <w:pStyle w:val="style0"/>
        <w:rPr>
          <w:lang w:val="en-IN"/>
        </w:rPr>
      </w:pPr>
      <w:r>
        <w:rPr>
          <w:lang w:val="en-IN"/>
        </w:rPr>
        <w:t xml:space="preserve">First, operational restructuring by cutting costs and enhancing efficiency can </w:t>
      </w:r>
      <w:r>
        <w:rPr>
          <w:lang w:val="en-IN"/>
        </w:rPr>
        <w:t>help Tesla grow</w:t>
      </w:r>
      <w:r>
        <w:rPr>
          <w:lang w:val="en-IN"/>
        </w:rPr>
        <w:t xml:space="preserve"> in terms of profit margins and cash flows that directly affect the shareholders. Nonetheless, any planned restructuring, including downsizing of </w:t>
      </w:r>
      <w:r>
        <w:rPr>
          <w:lang w:val="en-IN"/>
        </w:rPr>
        <w:t xml:space="preserve">the </w:t>
      </w:r>
      <w:r>
        <w:rPr>
          <w:lang w:val="en-IN"/>
        </w:rPr>
        <w:t xml:space="preserve">workforce, can bring in temporary Connell or reputation problems. The recent layoffs and reorganizations at Tesla were in part initiated by decreased demand and pricing forces in </w:t>
      </w:r>
      <w:r>
        <w:rPr>
          <w:lang w:val="en-IN"/>
        </w:rPr>
        <w:t xml:space="preserve">the </w:t>
      </w:r>
      <w:r>
        <w:rPr>
          <w:lang w:val="en-IN"/>
        </w:rPr>
        <w:t>EV market</w:t>
      </w:r>
      <w:r>
        <w:rPr>
          <w:lang w:val="en-IN"/>
        </w:rPr>
        <w:t xml:space="preserve"> (Tesla, 2024)</w:t>
      </w:r>
      <w:r>
        <w:rPr>
          <w:lang w:val="en-IN"/>
        </w:rPr>
        <w:t xml:space="preserve">. The company will enhance productivity by minimizing </w:t>
      </w:r>
      <w:r>
        <w:rPr>
          <w:lang w:val="en-IN"/>
        </w:rPr>
        <w:t>operational</w:t>
      </w:r>
      <w:r>
        <w:rPr>
          <w:lang w:val="en-IN"/>
        </w:rPr>
        <w:t xml:space="preserve"> inefficiencies to retain profitability in a highly competitive industry.</w:t>
      </w:r>
    </w:p>
    <w:p>
      <w:pPr>
        <w:pStyle w:val="style0"/>
        <w:rPr>
          <w:lang w:val="en-IN"/>
        </w:rPr>
      </w:pPr>
      <w:r>
        <w:rPr>
          <w:lang w:val="en-IN"/>
        </w:rPr>
        <w:t xml:space="preserve">Secondly, restructuring decisions are those that affect the debt structure and financing strategy of a company. Tesla has a comparatively low leverage relative to traditional automotive companies. This </w:t>
      </w:r>
      <w:r>
        <w:rPr>
          <w:lang w:val="en-IN"/>
        </w:rPr>
        <w:t>low-leverage</w:t>
      </w:r>
      <w:r>
        <w:rPr>
          <w:lang w:val="en-IN"/>
        </w:rPr>
        <w:t xml:space="preserve"> capital structure minimises financial risk and gives flexibility to any future investments. Unless Tesla delays on the equity-based financing </w:t>
      </w:r>
      <w:r>
        <w:rPr>
          <w:lang w:val="en-IN"/>
        </w:rPr>
        <w:t>due to</w:t>
      </w:r>
      <w:r>
        <w:rPr>
          <w:lang w:val="en-IN"/>
        </w:rPr>
        <w:t xml:space="preserve"> excessive borrowing, it will be able to retain a robust balance sheet and elude the heavy interest payments in times of market fluctuations</w:t>
      </w:r>
    </w:p>
    <w:bookmarkStart w:id="12" w:name="_Toc226453701"/>
    <w:p>
      <w:pPr>
        <w:pStyle w:val="style2"/>
        <w:rPr>
          <w:lang w:val="en-IN"/>
        </w:rPr>
      </w:pPr>
      <w:r>
        <w:t>3.3 International and Ethical Considerations (Taxation, Currency Risk, Inflation, CSR)</w:t>
      </w:r>
      <w:bookmarkEnd w:id="12"/>
    </w:p>
    <w:p>
      <w:pPr>
        <w:pStyle w:val="style0"/>
        <w:rPr>
          <w:lang w:val="en-IN"/>
        </w:rPr>
      </w:pPr>
      <w:r>
        <w:rPr>
          <w:lang w:val="en-IN"/>
        </w:rPr>
        <w:t>Tesla, Inc.</w:t>
      </w:r>
      <w:r>
        <w:rPr>
          <w:lang w:val="en-IN"/>
        </w:rPr>
        <w:t>,</w:t>
      </w:r>
      <w:r>
        <w:rPr>
          <w:lang w:val="en-IN"/>
        </w:rPr>
        <w:t xml:space="preserve"> as one of the worldwide electric vehicle producers</w:t>
      </w:r>
      <w:r>
        <w:rPr>
          <w:lang w:val="en-IN"/>
        </w:rPr>
        <w:t>,</w:t>
      </w:r>
      <w:r>
        <w:rPr>
          <w:lang w:val="en-IN"/>
        </w:rPr>
        <w:t xml:space="preserve"> </w:t>
      </w:r>
      <w:r>
        <w:rPr>
          <w:lang w:val="en-IN"/>
        </w:rPr>
        <w:t>has to</w:t>
      </w:r>
      <w:r>
        <w:rPr>
          <w:lang w:val="en-IN"/>
        </w:rPr>
        <w:t xml:space="preserve"> be aware of several international financial and ethical considerations in applying strategic restructuring strategies. These are international taxation, currency effects, inflationary effects, </w:t>
      </w:r>
      <w:r>
        <w:rPr>
          <w:lang w:val="en-IN"/>
        </w:rPr>
        <w:t>and</w:t>
      </w:r>
      <w:r>
        <w:rPr>
          <w:lang w:val="en-IN"/>
        </w:rPr>
        <w:t xml:space="preserve"> corporate social responsibility (CSR).</w:t>
      </w:r>
    </w:p>
    <w:p>
      <w:pPr>
        <w:pStyle w:val="style0"/>
        <w:rPr>
          <w:lang w:val="en-IN"/>
        </w:rPr>
      </w:pPr>
      <w:r>
        <w:rPr>
          <w:lang w:val="en-IN"/>
        </w:rPr>
        <w:t xml:space="preserve">Currency risk is one of the major international considerations. Tesla has a manufacturing and sales business in various regions such as North America, Europe, </w:t>
      </w:r>
      <w:r>
        <w:rPr>
          <w:lang w:val="en-IN"/>
        </w:rPr>
        <w:t xml:space="preserve">and </w:t>
      </w:r>
      <w:r>
        <w:rPr>
          <w:lang w:val="en-IN"/>
        </w:rPr>
        <w:t>Asia. The exchange rates are known to have a profound influence on revenue, the cost of production, and profitability. As an illustration, Tesla makes a good amount of its money due to China and Europe, and so its financial performance is responsive to the fluctuations in other currencies like the euro or Chinese yuan. Currency volatility may be mitigated by developing good hedging policies and diversifying production sites.</w:t>
      </w:r>
    </w:p>
    <w:p>
      <w:pPr>
        <w:pStyle w:val="style0"/>
        <w:rPr>
          <w:lang w:val="en-IN"/>
        </w:rPr>
      </w:pPr>
      <w:r>
        <w:rPr>
          <w:lang w:val="en-IN"/>
        </w:rPr>
        <w:t xml:space="preserve">The other prominent impact is international taxation and policies of regulation. Tesla </w:t>
      </w:r>
      <w:r>
        <w:rPr>
          <w:lang w:val="en-IN"/>
        </w:rPr>
        <w:t>has to</w:t>
      </w:r>
      <w:r>
        <w:rPr>
          <w:lang w:val="en-IN"/>
        </w:rPr>
        <w:t xml:space="preserve"> adhere to different taxation, subsidization, and regulation systems in different countries. Government incentives or tariffs might have a significant impact on demand of the </w:t>
      </w:r>
      <w:r>
        <w:rPr>
          <w:lang w:val="en-IN"/>
        </w:rPr>
        <w:t>demand for electric cars</w:t>
      </w:r>
      <w:r>
        <w:rPr>
          <w:lang w:val="en-IN"/>
        </w:rPr>
        <w:t xml:space="preserve">. International EVs are an example, and due to declining </w:t>
      </w:r>
      <w:r>
        <w:rPr>
          <w:lang w:val="en-IN"/>
        </w:rPr>
        <w:t>subsidies</w:t>
      </w:r>
      <w:r>
        <w:rPr>
          <w:lang w:val="en-IN"/>
        </w:rPr>
        <w:t xml:space="preserve"> and growing competition on an international scale, this has impacted Tesla regarding its delivery rise in several markets.</w:t>
      </w:r>
      <w:r>
        <w:rPr>
          <w:lang w:val="en-IN"/>
        </w:rPr>
        <w:t xml:space="preserve"> </w:t>
      </w:r>
    </w:p>
    <w:p>
      <w:pPr>
        <w:pStyle w:val="style0"/>
        <w:rPr>
          <w:lang w:val="en-IN"/>
        </w:rPr>
      </w:pPr>
      <w:r>
        <w:rPr>
          <w:lang w:val="en-IN"/>
        </w:rPr>
        <w:t>Environmental and regulatory factors are also crucial to Tesla when it goes global. Recently, the company was granted the expansion of its Gigafactory in Germany that seeks to boost a substantial output of electric cars and batteries in Europe. Although this expansion will provide a stronger presence of Tesla in the international market, it will also provoke a negative effect on the environment and the need to follow stringent sustainability rules.</w:t>
      </w:r>
    </w:p>
    <w:p>
      <w:pPr>
        <w:pStyle w:val="style0"/>
        <w:rPr>
          <w:lang w:val="en-IN"/>
        </w:rPr>
      </w:pPr>
      <w:r>
        <w:rPr>
          <w:lang w:val="en-IN"/>
        </w:rPr>
        <w:t xml:space="preserve">Lastly, corporate social responsibility (CSR) is a critical issue </w:t>
      </w:r>
      <w:r>
        <w:rPr>
          <w:lang w:val="en-IN"/>
        </w:rPr>
        <w:t>for</w:t>
      </w:r>
      <w:r>
        <w:rPr>
          <w:lang w:val="en-IN"/>
        </w:rPr>
        <w:t xml:space="preserve"> their world brand image. Tesla</w:t>
      </w:r>
      <w:r>
        <w:rPr>
          <w:lang w:val="en-IN"/>
        </w:rPr>
        <w:t>,</w:t>
      </w:r>
      <w:r>
        <w:rPr>
          <w:lang w:val="en-IN"/>
        </w:rPr>
        <w:t xml:space="preserve"> as a company </w:t>
      </w:r>
      <w:r>
        <w:rPr>
          <w:lang w:val="en-IN"/>
        </w:rPr>
        <w:t>at</w:t>
      </w:r>
      <w:r>
        <w:rPr>
          <w:lang w:val="en-IN"/>
        </w:rPr>
        <w:t xml:space="preserve"> the </w:t>
      </w:r>
      <w:r>
        <w:rPr>
          <w:lang w:val="en-IN"/>
        </w:rPr>
        <w:t>forefront</w:t>
      </w:r>
      <w:r>
        <w:rPr>
          <w:lang w:val="en-IN"/>
        </w:rPr>
        <w:t xml:space="preserve"> of sustainable mobility</w:t>
      </w:r>
      <w:r>
        <w:rPr>
          <w:lang w:val="en-IN"/>
        </w:rPr>
        <w:t>,</w:t>
      </w:r>
      <w:r>
        <w:rPr>
          <w:lang w:val="en-IN"/>
        </w:rPr>
        <w:t xml:space="preserve"> should ensure that it has a high environmental level, proper labour ethics</w:t>
      </w:r>
      <w:r>
        <w:rPr>
          <w:lang w:val="en-IN"/>
        </w:rPr>
        <w:t>,</w:t>
      </w:r>
      <w:r>
        <w:rPr>
          <w:lang w:val="en-IN"/>
        </w:rPr>
        <w:t xml:space="preserve"> and proper management of </w:t>
      </w:r>
      <w:r>
        <w:rPr>
          <w:lang w:val="en-IN"/>
        </w:rPr>
        <w:t xml:space="preserve">the </w:t>
      </w:r>
      <w:r>
        <w:rPr>
          <w:lang w:val="en-IN"/>
        </w:rPr>
        <w:t xml:space="preserve">supply chain. Being transparent in sustainability reporting as well as responsible in the sourcing of the batteries will be crucial to </w:t>
      </w:r>
      <w:r>
        <w:rPr>
          <w:lang w:val="en-IN"/>
        </w:rPr>
        <w:t>the</w:t>
      </w:r>
      <w:r>
        <w:rPr>
          <w:lang w:val="en-IN"/>
        </w:rPr>
        <w:t xml:space="preserve"> conservation of stakeholder confidence and long-term global development.</w:t>
      </w:r>
    </w:p>
    <w:p>
      <w:pPr>
        <w:pStyle w:val="style0"/>
        <w:spacing w:before="0" w:after="160" w:lineRule="auto" w:line="278"/>
        <w:jc w:val="left"/>
        <w:rPr>
          <w:lang w:val="en-IN"/>
        </w:rPr>
      </w:pPr>
      <w:r>
        <w:rPr>
          <w:lang w:val="en-IN"/>
        </w:rPr>
        <w:br w:type="page"/>
      </w:r>
    </w:p>
    <w:bookmarkStart w:id="13" w:name="_Toc226453702"/>
    <w:p>
      <w:pPr>
        <w:pStyle w:val="style1"/>
        <w:rPr>
          <w:lang w:val="en-IN"/>
        </w:rPr>
      </w:pPr>
      <w:r>
        <w:rPr>
          <w:lang w:val="en-IN"/>
        </w:rPr>
        <w:t>4. Investment Appraisal and Capital Budgeting</w:t>
      </w:r>
      <w:bookmarkEnd w:id="13"/>
    </w:p>
    <w:bookmarkStart w:id="14" w:name="_Toc226453703"/>
    <w:p>
      <w:pPr>
        <w:pStyle w:val="style2"/>
        <w:rPr>
          <w:lang w:val="en-IN"/>
        </w:rPr>
      </w:pPr>
      <w:r>
        <w:rPr>
          <w:lang w:val="en-IN"/>
        </w:rPr>
        <w:t>4.1 Evaluation of Investment Projects Using Capital Budgeting Techniques</w:t>
      </w:r>
      <w:bookmarkEnd w:id="14"/>
    </w:p>
    <w:p>
      <w:pPr>
        <w:pStyle w:val="style0"/>
        <w:rPr>
          <w:lang w:val="en-IN"/>
        </w:rPr>
      </w:pPr>
      <w:r>
        <w:rPr>
          <w:lang w:val="en-IN"/>
        </w:rPr>
        <w:t>Investment appraisal is an important part of the corporate financial management process since it enables firms to consider the viability and profitability of possible projects and avoid committing funds</w:t>
      </w:r>
      <w:r>
        <w:rPr>
          <w:lang w:val="en-IN"/>
        </w:rPr>
        <w:t xml:space="preserve"> (</w:t>
      </w:r>
      <w:r>
        <w:t>Wang, 2021</w:t>
      </w:r>
      <w:r>
        <w:rPr>
          <w:lang w:val="en-IN"/>
        </w:rPr>
        <w:t>)</w:t>
      </w:r>
      <w:r>
        <w:rPr>
          <w:lang w:val="en-IN"/>
        </w:rPr>
        <w:t>. The methods of capital budgeting</w:t>
      </w:r>
      <w:r>
        <w:rPr>
          <w:lang w:val="en-IN"/>
        </w:rPr>
        <w:t>,</w:t>
      </w:r>
      <w:r>
        <w:rPr>
          <w:lang w:val="en-IN"/>
        </w:rPr>
        <w:t xml:space="preserve"> including Payback Period (PBP), Accounting rate of return (ARR), Net Present Value (NPV), Profitability Index (PI)</w:t>
      </w:r>
      <w:r>
        <w:rPr>
          <w:lang w:val="en-IN"/>
        </w:rPr>
        <w:t>,</w:t>
      </w:r>
      <w:r>
        <w:rPr>
          <w:lang w:val="en-IN"/>
        </w:rPr>
        <w:t xml:space="preserve"> and Internal rate of Return (IRR)</w:t>
      </w:r>
      <w:r>
        <w:rPr>
          <w:lang w:val="en-IN"/>
        </w:rPr>
        <w:t>,</w:t>
      </w:r>
      <w:r>
        <w:rPr>
          <w:lang w:val="en-IN"/>
        </w:rPr>
        <w:t xml:space="preserve"> have been applied widely in evaluating the financial appeal of an investment opportunity. Such methods ensure that a financial manager calculates whether an investment will yield high returns in terms of its cost and the risk involved. </w:t>
      </w:r>
    </w:p>
    <w:p>
      <w:pPr>
        <w:pStyle w:val="style0"/>
        <w:rPr>
          <w:lang w:val="en-IN"/>
        </w:rPr>
      </w:pPr>
      <w:r>
        <w:rPr>
          <w:lang w:val="en-IN"/>
        </w:rPr>
        <w:t>The first technique applied in this evaluation is the Payback Period (PBP). Payback period is the length of time it might take a project to recoup the inflows of cash to cover its initial investment</w:t>
      </w:r>
      <w:r>
        <w:rPr>
          <w:lang w:val="en-IN"/>
        </w:rPr>
        <w:t xml:space="preserve"> (</w:t>
      </w:r>
      <w:r>
        <w:t>Sinaga</w:t>
      </w:r>
      <w:r>
        <w:t xml:space="preserve"> et al. </w:t>
      </w:r>
      <w:r>
        <w:t>2023</w:t>
      </w:r>
      <w:r>
        <w:rPr>
          <w:lang w:val="en-IN"/>
        </w:rPr>
        <w:t>)</w:t>
      </w:r>
      <w:r>
        <w:rPr>
          <w:lang w:val="en-IN"/>
        </w:rPr>
        <w:t>. It is most especially applicable in measuring liquidity risk and how swiftly the funds invested can be recouped. According to the calculations</w:t>
      </w:r>
      <w:r>
        <w:rPr>
          <w:lang w:val="en-IN"/>
        </w:rPr>
        <w:t>,</w:t>
      </w:r>
      <w:r>
        <w:rPr>
          <w:lang w:val="en-IN"/>
        </w:rPr>
        <w:t xml:space="preserve"> Project </w:t>
      </w:r>
      <w:r>
        <w:rPr>
          <w:lang w:val="en-IN"/>
        </w:rPr>
        <w:t>A's</w:t>
      </w:r>
      <w:r>
        <w:rPr>
          <w:lang w:val="en-IN"/>
        </w:rPr>
        <w:t xml:space="preserve"> payback period is about 4.5 years, Project </w:t>
      </w:r>
      <w:r>
        <w:rPr>
          <w:lang w:val="en-IN"/>
        </w:rPr>
        <w:t>B's</w:t>
      </w:r>
      <w:r>
        <w:rPr>
          <w:lang w:val="en-IN"/>
        </w:rPr>
        <w:t xml:space="preserve"> payback period is also about 4.55 years</w:t>
      </w:r>
      <w:r>
        <w:rPr>
          <w:lang w:val="en-IN"/>
        </w:rPr>
        <w:t>,</w:t>
      </w:r>
      <w:r>
        <w:rPr>
          <w:lang w:val="en-IN"/>
        </w:rPr>
        <w:t xml:space="preserve"> and Project C recovers investment within a shorter period and has a payback period of about 3.6 years. It means that Project C is the quickest in terms of payback of invested capital</w:t>
      </w:r>
      <w:r>
        <w:rPr>
          <w:lang w:val="en-IN"/>
        </w:rPr>
        <w:t>,</w:t>
      </w:r>
      <w:r>
        <w:rPr>
          <w:lang w:val="en-IN"/>
        </w:rPr>
        <w:t xml:space="preserve"> and this can decrease financial risk to the firm. In sectors where the pace of change of technology is high, shorter payback periods may be beneficial in that it mitigates the risks of technological obsolescence and risk in the market.</w:t>
      </w:r>
    </w:p>
    <w:p>
      <w:pPr>
        <w:pStyle w:val="style0"/>
        <w:rPr>
          <w:lang w:val="en-IN"/>
        </w:rPr>
      </w:pPr>
      <w:r>
        <w:rPr>
          <w:lang w:val="en-IN"/>
        </w:rPr>
        <w:t xml:space="preserve">Accounting rate of Return (ARR) is another significant method of evaluation. ARR is used to calculate </w:t>
      </w:r>
      <w:r>
        <w:rPr>
          <w:lang w:val="en-IN"/>
        </w:rPr>
        <w:t xml:space="preserve">the </w:t>
      </w:r>
      <w:r>
        <w:rPr>
          <w:lang w:val="en-IN"/>
        </w:rPr>
        <w:t xml:space="preserve">projected profitability of a project in relation to the initial investment against </w:t>
      </w:r>
      <w:r>
        <w:rPr>
          <w:lang w:val="en-IN"/>
        </w:rPr>
        <w:t xml:space="preserve">the </w:t>
      </w:r>
      <w:r>
        <w:rPr>
          <w:lang w:val="en-IN"/>
        </w:rPr>
        <w:t>average annual accounting profit</w:t>
      </w:r>
      <w:r>
        <w:rPr>
          <w:lang w:val="en-IN"/>
        </w:rPr>
        <w:t xml:space="preserve"> (</w:t>
      </w:r>
      <w:r>
        <w:t>Dai</w:t>
      </w:r>
      <w:r>
        <w:t xml:space="preserve"> et al. </w:t>
      </w:r>
      <w:r>
        <w:t>2022</w:t>
      </w:r>
      <w:r>
        <w:rPr>
          <w:lang w:val="en-IN"/>
        </w:rPr>
        <w:t>)</w:t>
      </w:r>
      <w:r>
        <w:rPr>
          <w:lang w:val="en-IN"/>
        </w:rPr>
        <w:t>. Based on the calculated findings, Project A yields an ARR of 1.6, Project B yields an ARR of 2 per cent</w:t>
      </w:r>
      <w:r>
        <w:rPr>
          <w:lang w:val="en-IN"/>
        </w:rPr>
        <w:t>,</w:t>
      </w:r>
      <w:r>
        <w:rPr>
          <w:lang w:val="en-IN"/>
        </w:rPr>
        <w:t xml:space="preserve"> and Project C yields the greatest ARR of 6 per cent. The high ARR of Project C implies that the investment will be able to earn higher accounting profitability compared to </w:t>
      </w:r>
      <w:r>
        <w:rPr>
          <w:lang w:val="en-IN"/>
        </w:rPr>
        <w:t xml:space="preserve">the </w:t>
      </w:r>
      <w:r>
        <w:rPr>
          <w:lang w:val="en-IN"/>
        </w:rPr>
        <w:t>cost of investment compared to Project B. This implies that Project C would be stronger in its financial performance in terms of earnings generation.</w:t>
      </w:r>
    </w:p>
    <w:p>
      <w:pPr>
        <w:pStyle w:val="style0"/>
        <w:rPr>
          <w:lang w:val="en-IN"/>
        </w:rPr>
      </w:pPr>
      <w:r>
        <w:rPr>
          <w:lang w:val="en-IN"/>
        </w:rPr>
        <w:t xml:space="preserve">It is broadly accepted that the Net Present Value (NPV) method can be considered one of the most valid methods of investment appraisal </w:t>
      </w:r>
      <w:r>
        <w:rPr>
          <w:lang w:val="en-IN"/>
        </w:rPr>
        <w:t>due to the fact that</w:t>
      </w:r>
      <w:r>
        <w:rPr>
          <w:lang w:val="en-IN"/>
        </w:rPr>
        <w:t xml:space="preserve"> it takes into consideration the time value of money. NPV is used to compare the value of future cash outlay at different inflows expected to remain after discounting </w:t>
      </w:r>
      <w:r>
        <w:rPr>
          <w:lang w:val="en-IN"/>
        </w:rPr>
        <w:t>them</w:t>
      </w:r>
      <w:r>
        <w:rPr>
          <w:lang w:val="en-IN"/>
        </w:rPr>
        <w:t xml:space="preserve"> with the initial cost. In the present case, the cost of capital and risk of investment in the company </w:t>
      </w:r>
      <w:r>
        <w:rPr>
          <w:lang w:val="en-IN"/>
        </w:rPr>
        <w:t>have</w:t>
      </w:r>
      <w:r>
        <w:rPr>
          <w:lang w:val="en-IN"/>
        </w:rPr>
        <w:t xml:space="preserve"> been reflected by applying a discount rate of 10 percent. The calculations reveal that Project A has </w:t>
      </w:r>
      <w:r>
        <w:rPr>
          <w:lang w:val="en-IN"/>
        </w:rPr>
        <w:t>an</w:t>
      </w:r>
      <w:r>
        <w:rPr>
          <w:lang w:val="en-IN"/>
        </w:rPr>
        <w:t xml:space="preserve"> NPV of -7.69</w:t>
      </w:r>
      <w:r>
        <w:rPr>
          <w:lang w:val="en-IN"/>
        </w:rPr>
        <w:t>,</w:t>
      </w:r>
      <w:r>
        <w:rPr>
          <w:lang w:val="en-IN"/>
        </w:rPr>
        <w:t xml:space="preserve"> Project B has an NPV of -7.31, and Project C would have an NPV of -1.98 million. Whilst the three projects show negative NPVs at the discount rate provided, Project C in the alternatives is the project with the highest NPV</w:t>
      </w:r>
      <w:r>
        <w:rPr>
          <w:lang w:val="en-IN"/>
        </w:rPr>
        <w:t>,</w:t>
      </w:r>
      <w:r>
        <w:rPr>
          <w:lang w:val="en-IN"/>
        </w:rPr>
        <w:t xml:space="preserve"> meaning that the project exhibits minimum financial loss in terms of the present value.</w:t>
      </w:r>
    </w:p>
    <w:p>
      <w:pPr>
        <w:pStyle w:val="style0"/>
        <w:rPr>
          <w:lang w:val="en-IN"/>
        </w:rPr>
      </w:pPr>
      <w:r>
        <w:rPr>
          <w:lang w:val="en-IN"/>
        </w:rPr>
        <w:t>The other indicator that can be of use is the Profitability Index (PI)</w:t>
      </w:r>
      <w:r>
        <w:rPr>
          <w:lang w:val="en-IN"/>
        </w:rPr>
        <w:t>, which</w:t>
      </w:r>
      <w:r>
        <w:rPr>
          <w:lang w:val="en-IN"/>
        </w:rPr>
        <w:t xml:space="preserve"> determines the ratio of the present value of the cash inflows in the future divided by the initial investment. A PI above one will generally be an indicator that a project can be successful. On this assessment</w:t>
      </w:r>
      <w:r>
        <w:rPr>
          <w:lang w:val="en-IN"/>
        </w:rPr>
        <w:t>,</w:t>
      </w:r>
      <w:r>
        <w:rPr>
          <w:lang w:val="en-IN"/>
        </w:rPr>
        <w:t xml:space="preserve"> Project A and Project B generate a PI of about 0.83, whilst Project C generates a better PI of 0.96. Project C once again can be said to be doing relatively well against the other two alternatives</w:t>
      </w:r>
      <w:r>
        <w:rPr>
          <w:lang w:val="en-IN"/>
        </w:rPr>
        <w:t>,</w:t>
      </w:r>
      <w:r>
        <w:rPr>
          <w:lang w:val="en-IN"/>
        </w:rPr>
        <w:t xml:space="preserve"> as none of the projects </w:t>
      </w:r>
      <w:r>
        <w:rPr>
          <w:lang w:val="en-IN"/>
        </w:rPr>
        <w:t>actually meets</w:t>
      </w:r>
      <w:r>
        <w:rPr>
          <w:lang w:val="en-IN"/>
        </w:rPr>
        <w:t xml:space="preserve"> the benchmark value of one.</w:t>
      </w:r>
    </w:p>
    <w:p>
      <w:pPr>
        <w:pStyle w:val="style0"/>
        <w:rPr>
          <w:lang w:val="en-IN"/>
        </w:rPr>
      </w:pPr>
      <w:r>
        <w:rPr>
          <w:lang w:val="en-IN"/>
        </w:rPr>
        <w:t xml:space="preserve">Lastly, </w:t>
      </w:r>
      <w:r>
        <w:rPr>
          <w:lang w:val="en-IN"/>
        </w:rPr>
        <w:t xml:space="preserve">the </w:t>
      </w:r>
      <w:r>
        <w:rPr>
          <w:lang w:val="en-IN"/>
        </w:rPr>
        <w:t xml:space="preserve">Internal Rate of Return (IRR) is used to approximate the discounting rate to make </w:t>
      </w:r>
      <w:r>
        <w:rPr>
          <w:lang w:val="en-IN"/>
        </w:rPr>
        <w:t xml:space="preserve">the </w:t>
      </w:r>
      <w:r>
        <w:rPr>
          <w:lang w:val="en-IN"/>
        </w:rPr>
        <w:t xml:space="preserve">NPV of a project equal to zero. It is the rate of </w:t>
      </w:r>
      <w:r>
        <w:rPr>
          <w:lang w:val="en-IN"/>
        </w:rPr>
        <w:t>return</w:t>
      </w:r>
      <w:r>
        <w:rPr>
          <w:lang w:val="en-IN"/>
        </w:rPr>
        <w:t xml:space="preserve"> anticipated to be made by an investment</w:t>
      </w:r>
      <w:r>
        <w:rPr>
          <w:lang w:val="en-IN"/>
        </w:rPr>
        <w:t xml:space="preserve"> (</w:t>
      </w:r>
      <w:r>
        <w:t xml:space="preserve">Wang, </w:t>
      </w:r>
      <w:r>
        <w:t>2</w:t>
      </w:r>
      <w:r>
        <w:t>021</w:t>
      </w:r>
      <w:r>
        <w:rPr>
          <w:lang w:val="en-IN"/>
        </w:rPr>
        <w:t>)</w:t>
      </w:r>
      <w:r>
        <w:rPr>
          <w:lang w:val="en-IN"/>
        </w:rPr>
        <w:t>. The computed values of the IRAs indicate that Project A has an IRR of about 6.5, Project B has an IRR of about 6.8</w:t>
      </w:r>
      <w:r>
        <w:rPr>
          <w:lang w:val="en-IN"/>
        </w:rPr>
        <w:t>,</w:t>
      </w:r>
      <w:r>
        <w:rPr>
          <w:lang w:val="en-IN"/>
        </w:rPr>
        <w:t xml:space="preserve"> and Project C has the highest IRR of about 9. </w:t>
      </w:r>
      <w:r>
        <w:rPr>
          <w:lang w:val="en-IN"/>
        </w:rPr>
        <w:t>None of</w:t>
      </w:r>
      <w:r>
        <w:rPr>
          <w:lang w:val="en-IN"/>
        </w:rPr>
        <w:t xml:space="preserve"> the projects </w:t>
      </w:r>
      <w:r>
        <w:rPr>
          <w:lang w:val="en-IN"/>
        </w:rPr>
        <w:t>considers</w:t>
      </w:r>
      <w:r>
        <w:rPr>
          <w:lang w:val="en-IN"/>
        </w:rPr>
        <w:t xml:space="preserve"> the investment standard since the discount rate should be 10. Nevertheless, Project C once again shows the best performance when compared to the rest of the alternatives.</w:t>
      </w:r>
    </w:p>
    <w:p>
      <w:pPr>
        <w:pStyle w:val="style0"/>
        <w:rPr>
          <w:lang w:val="en-IN"/>
        </w:rPr>
      </w:pPr>
      <w:r>
        <w:rPr>
          <w:lang w:val="en-IN"/>
        </w:rPr>
        <w:t>Altogether, when the five capital budgeting methods are taken together, it is possible to argue that Project C is much better than the other two types of investments in terms of the speed of payback, profitability, and the general financial performance.</w:t>
      </w:r>
    </w:p>
    <w:bookmarkStart w:id="15" w:name="_Toc226453704"/>
    <w:p>
      <w:pPr>
        <w:pStyle w:val="style2"/>
        <w:rPr>
          <w:lang w:val="en-IN"/>
        </w:rPr>
      </w:pPr>
      <w:r>
        <w:rPr>
          <w:lang w:val="en-IN"/>
        </w:rPr>
        <w:t>4.2 Project Recommendation on Financial and Non-Financial</w:t>
      </w:r>
      <w:r>
        <w:rPr>
          <w:lang w:val="en-IN"/>
        </w:rPr>
        <w:t xml:space="preserve"> Considerations</w:t>
      </w:r>
      <w:bookmarkEnd w:id="15"/>
    </w:p>
    <w:p>
      <w:pPr>
        <w:pStyle w:val="style0"/>
        <w:rPr>
          <w:lang w:val="en-IN"/>
        </w:rPr>
      </w:pPr>
      <w:r>
        <w:rPr>
          <w:lang w:val="en-IN"/>
        </w:rPr>
        <w:t xml:space="preserve">Financial performance indicators should be used when choosing the best investment project </w:t>
      </w:r>
      <w:r>
        <w:rPr>
          <w:lang w:val="en-IN"/>
        </w:rPr>
        <w:t>in light of</w:t>
      </w:r>
      <w:r>
        <w:rPr>
          <w:lang w:val="en-IN"/>
        </w:rPr>
        <w:t xml:space="preserve"> the overall financial status of the organisation. According to the </w:t>
      </w:r>
      <w:r>
        <w:rPr>
          <w:lang w:val="en-IN"/>
        </w:rPr>
        <w:t>outcome of the investment appraisal, Project C is the most favourable alternative since it is better than the other two projects in most of the methods used to evaluate the projects.</w:t>
      </w:r>
    </w:p>
    <w:p>
      <w:pPr>
        <w:pStyle w:val="style0"/>
        <w:rPr>
          <w:lang w:val="en-IN"/>
        </w:rPr>
      </w:pPr>
      <w:r>
        <w:rPr>
          <w:lang w:val="en-IN"/>
        </w:rPr>
        <w:t>The main rationale to recommend Project C is that it has a shorter payback period of 3.6 years</w:t>
      </w:r>
      <w:r>
        <w:rPr>
          <w:lang w:val="en-IN"/>
        </w:rPr>
        <w:t>,</w:t>
      </w:r>
      <w:r>
        <w:rPr>
          <w:lang w:val="en-IN"/>
        </w:rPr>
        <w:t xml:space="preserve"> which means that it can recover the original investment much faster. This is especially relevant to Tesla since the company is in a very competitive and rapidly dynamic technological world. In the development of electric vehicles, companies </w:t>
      </w:r>
      <w:r>
        <w:rPr>
          <w:lang w:val="en-IN"/>
        </w:rPr>
        <w:t>have to</w:t>
      </w:r>
      <w:r>
        <w:rPr>
          <w:lang w:val="en-IN"/>
        </w:rPr>
        <w:t xml:space="preserve"> use a considerable amount of funding on innovation, battery technology, and capacity regularly. The quicker payback period results in the company reinvesting money into additional technological advancement and expansion.</w:t>
      </w:r>
    </w:p>
    <w:p>
      <w:pPr>
        <w:pStyle w:val="style0"/>
        <w:rPr>
          <w:lang w:val="en-IN"/>
        </w:rPr>
      </w:pPr>
      <w:r>
        <w:rPr>
          <w:lang w:val="en-IN"/>
        </w:rPr>
        <w:t>The other main value of the Project C is the fact that it has a higher accounting rate of return of 6</w:t>
      </w:r>
      <w:r>
        <w:rPr>
          <w:lang w:val="en-IN"/>
        </w:rPr>
        <w:t>,</w:t>
      </w:r>
      <w:r>
        <w:rPr>
          <w:lang w:val="en-IN"/>
        </w:rPr>
        <w:t xml:space="preserve"> which is far better than the ARR of the other projects. Increased profitability enhances shareholder value and boosts </w:t>
      </w:r>
      <w:r>
        <w:rPr>
          <w:lang w:val="en-IN"/>
        </w:rPr>
        <w:t xml:space="preserve">the </w:t>
      </w:r>
      <w:r>
        <w:rPr>
          <w:lang w:val="en-IN"/>
        </w:rPr>
        <w:t xml:space="preserve">financial performance of the company. Because </w:t>
      </w:r>
      <w:r>
        <w:rPr>
          <w:lang w:val="en-IN"/>
        </w:rPr>
        <w:t>Tesla's</w:t>
      </w:r>
      <w:r>
        <w:rPr>
          <w:lang w:val="en-IN"/>
        </w:rPr>
        <w:t xml:space="preserve"> profitability decreased in the last financial year, and net income decreased compared to the past years, choosing an initiative that will increase profitability will help to boost financial results and investor trust.</w:t>
      </w:r>
    </w:p>
    <w:p>
      <w:pPr>
        <w:pStyle w:val="style0"/>
        <w:rPr>
          <w:lang w:val="en-IN"/>
        </w:rPr>
      </w:pPr>
      <w:r>
        <w:rPr>
          <w:lang w:val="en-IN"/>
        </w:rPr>
        <w:t>Moreover, the project C has the best internal rate of return of about 9 percent</w:t>
      </w:r>
      <w:r>
        <w:rPr>
          <w:lang w:val="en-IN"/>
        </w:rPr>
        <w:t>,</w:t>
      </w:r>
      <w:r>
        <w:rPr>
          <w:lang w:val="en-IN"/>
        </w:rPr>
        <w:t xml:space="preserve"> which is </w:t>
      </w:r>
      <w:r>
        <w:rPr>
          <w:lang w:val="en-IN"/>
        </w:rPr>
        <w:t>closer</w:t>
      </w:r>
      <w:r>
        <w:rPr>
          <w:lang w:val="en-IN"/>
        </w:rPr>
        <w:t xml:space="preserve"> to the discount rate of 10 percent as opposed to </w:t>
      </w:r>
      <w:r>
        <w:rPr>
          <w:lang w:val="en-IN"/>
        </w:rPr>
        <w:t xml:space="preserve">the </w:t>
      </w:r>
      <w:r>
        <w:rPr>
          <w:lang w:val="en-IN"/>
        </w:rPr>
        <w:t>others. The IRR is a bit lower than the amount that is required; yet, it still represents a comparatively better investment performance than Projects A and B. Moreover, the Project C yields the largest profitability index of 0.96, which implies that it creates more value given the per pound of investment.</w:t>
      </w:r>
    </w:p>
    <w:p>
      <w:pPr>
        <w:pStyle w:val="style0"/>
        <w:rPr>
          <w:lang w:val="en-IN"/>
        </w:rPr>
      </w:pPr>
      <w:r>
        <w:rPr>
          <w:lang w:val="en-IN"/>
        </w:rPr>
        <w:t>Besides financial motivations, other non-financial motivations also effects in the capital budgeting decisions. The market environment Tesla deals with is affected by technological change, environmental policies</w:t>
      </w:r>
      <w:r>
        <w:rPr>
          <w:lang w:val="en-IN"/>
        </w:rPr>
        <w:t>,</w:t>
      </w:r>
      <w:r>
        <w:rPr>
          <w:lang w:val="en-IN"/>
        </w:rPr>
        <w:t xml:space="preserve"> and political regulation as it operates in a global market. Investments aimed at technological innovation or increasing production efficiency can have </w:t>
      </w:r>
      <w:r>
        <w:rPr>
          <w:lang w:val="en-IN"/>
        </w:rPr>
        <w:t>long-term</w:t>
      </w:r>
      <w:r>
        <w:rPr>
          <w:lang w:val="en-IN"/>
        </w:rPr>
        <w:t xml:space="preserve"> strategic values not just related to the financial benefits.</w:t>
      </w:r>
    </w:p>
    <w:p>
      <w:pPr>
        <w:pStyle w:val="style0"/>
        <w:rPr>
          <w:lang w:val="en-IN"/>
        </w:rPr>
      </w:pPr>
      <w:r>
        <w:rPr>
          <w:lang w:val="en-IN"/>
        </w:rPr>
        <w:t xml:space="preserve">To illustrate, government subsidies, environmental policies, and international trade policies are political forces that may have a substantial impact on the electric vehicle industry. Tesla will be forced to invest in innovation continuously </w:t>
      </w:r>
      <w:r>
        <w:rPr>
          <w:lang w:val="en-IN"/>
        </w:rPr>
        <w:t>to</w:t>
      </w:r>
      <w:r>
        <w:rPr>
          <w:lang w:val="en-IN"/>
        </w:rPr>
        <w:t xml:space="preserve"> keep up with the </w:t>
      </w:r>
      <w:r>
        <w:rPr>
          <w:lang w:val="en-IN"/>
        </w:rPr>
        <w:t>competition with its new EV competitors. The technological leadership of the company may be improved by project activities that contribute to improved production efficiency, battery development, or autonomous driving abilities.</w:t>
      </w:r>
    </w:p>
    <w:p>
      <w:pPr>
        <w:pStyle w:val="style0"/>
        <w:rPr>
          <w:lang w:val="en-IN"/>
        </w:rPr>
      </w:pPr>
      <w:r>
        <w:rPr>
          <w:lang w:val="en-IN"/>
        </w:rPr>
        <w:t xml:space="preserve">Customers and loyalty </w:t>
      </w:r>
      <w:r>
        <w:rPr>
          <w:lang w:val="en-IN"/>
        </w:rPr>
        <w:t>is</w:t>
      </w:r>
      <w:r>
        <w:rPr>
          <w:lang w:val="en-IN"/>
        </w:rPr>
        <w:t xml:space="preserve"> also a key factor that has been central to the success of Tesla. The company has created a good brand related to sustainability, innovation, and modern technologies. Customer trust and brand loyalty would be further boosted by investments that would facilitate product improvement or technological development.</w:t>
      </w:r>
    </w:p>
    <w:p>
      <w:pPr>
        <w:pStyle w:val="style0"/>
        <w:rPr>
          <w:lang w:val="en-IN"/>
        </w:rPr>
      </w:pPr>
      <w:r>
        <w:rPr>
          <w:lang w:val="en-IN"/>
        </w:rPr>
        <w:t>Taking into account</w:t>
      </w:r>
      <w:r>
        <w:rPr>
          <w:lang w:val="en-IN"/>
        </w:rPr>
        <w:t xml:space="preserve"> the findings of the financial evaluation and strategic business factors, Project C is the appropriate investment alternative as it offers a comparatively better performance in the financial way and suits the long-term innovation strategy of Tesla.</w:t>
      </w:r>
    </w:p>
    <w:bookmarkStart w:id="16" w:name="_Toc226453705"/>
    <w:p>
      <w:pPr>
        <w:pStyle w:val="style2"/>
        <w:rPr>
          <w:lang w:val="en-IN"/>
        </w:rPr>
      </w:pPr>
      <w:r>
        <w:rPr>
          <w:lang w:val="en-IN"/>
        </w:rPr>
        <w:t>4.3 Capital Rationing and Best Project Choice</w:t>
      </w:r>
      <w:bookmarkEnd w:id="16"/>
    </w:p>
    <w:p>
      <w:pPr>
        <w:pStyle w:val="style0"/>
        <w:rPr>
          <w:lang w:val="en-IN"/>
        </w:rPr>
      </w:pPr>
      <w:r>
        <w:rPr>
          <w:lang w:val="en-IN"/>
        </w:rPr>
        <w:t xml:space="preserve">Capital rationing is where an organization has </w:t>
      </w:r>
      <w:r>
        <w:rPr>
          <w:lang w:val="en-IN"/>
        </w:rPr>
        <w:t>didn't</w:t>
      </w:r>
      <w:r>
        <w:rPr>
          <w:lang w:val="en-IN"/>
        </w:rPr>
        <w:t xml:space="preserve"> finances to invest and hence </w:t>
      </w:r>
      <w:r>
        <w:rPr>
          <w:lang w:val="en-IN"/>
        </w:rPr>
        <w:t>has</w:t>
      </w:r>
      <w:r>
        <w:rPr>
          <w:lang w:val="en-IN"/>
        </w:rPr>
        <w:t xml:space="preserve"> to</w:t>
      </w:r>
      <w:r>
        <w:rPr>
          <w:lang w:val="en-IN"/>
        </w:rPr>
        <w:t xml:space="preserve"> select competing projects. In this case, the maximum amount of investment admitted by Tesla is 100 million pounds, </w:t>
      </w:r>
      <w:r>
        <w:rPr>
          <w:lang w:val="en-IN"/>
        </w:rPr>
        <w:t xml:space="preserve">and </w:t>
      </w:r>
      <w:r>
        <w:rPr>
          <w:lang w:val="en-IN"/>
        </w:rPr>
        <w:t xml:space="preserve">the investment that is required by each project </w:t>
      </w:r>
      <w:r>
        <w:rPr>
          <w:lang w:val="en-IN"/>
        </w:rPr>
        <w:t>is 50</w:t>
      </w:r>
      <w:r>
        <w:rPr>
          <w:lang w:val="en-IN"/>
        </w:rPr>
        <w:t xml:space="preserve"> million pounds. Consequently, the company is </w:t>
      </w:r>
      <w:r>
        <w:rPr>
          <w:lang w:val="en-IN"/>
        </w:rPr>
        <w:t>in a position</w:t>
      </w:r>
      <w:r>
        <w:rPr>
          <w:lang w:val="en-IN"/>
        </w:rPr>
        <w:t xml:space="preserve"> </w:t>
      </w:r>
      <w:r>
        <w:rPr>
          <w:lang w:val="en-IN"/>
        </w:rPr>
        <w:t>to choose</w:t>
      </w:r>
      <w:r>
        <w:rPr>
          <w:lang w:val="en-IN"/>
        </w:rPr>
        <w:t xml:space="preserve"> up to two projects.</w:t>
      </w:r>
    </w:p>
    <w:p>
      <w:pPr>
        <w:pStyle w:val="style0"/>
        <w:rPr>
          <w:lang w:val="en-IN"/>
        </w:rPr>
      </w:pPr>
      <w:r>
        <w:rPr>
          <w:lang w:val="en-IN"/>
        </w:rPr>
        <w:t>The overall NPV that each project combination should produce should be calculated to identify the best combination of project combinations. Project A plus Project B would incur the entire investment value of the project</w:t>
      </w:r>
      <w:r>
        <w:rPr>
          <w:lang w:val="en-IN"/>
        </w:rPr>
        <w:t>,</w:t>
      </w:r>
      <w:r>
        <w:rPr>
          <w:lang w:val="en-IN"/>
        </w:rPr>
        <w:t xml:space="preserve"> which is the amount of £100 million</w:t>
      </w:r>
      <w:r>
        <w:rPr>
          <w:lang w:val="en-IN"/>
        </w:rPr>
        <w:t>,</w:t>
      </w:r>
      <w:r>
        <w:rPr>
          <w:lang w:val="en-IN"/>
        </w:rPr>
        <w:t xml:space="preserve"> and would produce a cumulative NPV of approximately -16.99 million, the minimum financial outcomes of all the other choices.</w:t>
      </w:r>
    </w:p>
    <w:p>
      <w:pPr>
        <w:pStyle w:val="style0"/>
        <w:rPr>
          <w:lang w:val="en-IN"/>
        </w:rPr>
      </w:pPr>
      <w:r>
        <w:rPr>
          <w:lang w:val="en-IN"/>
        </w:rPr>
        <w:t>According to the second combination, the investment needed to implement Project A and Project C would also be £100 million</w:t>
      </w:r>
      <w:r>
        <w:rPr>
          <w:lang w:val="en-IN"/>
        </w:rPr>
        <w:t>,</w:t>
      </w:r>
      <w:r>
        <w:rPr>
          <w:lang w:val="en-IN"/>
        </w:rPr>
        <w:t xml:space="preserve"> with the resultant NPV of the combination to be about -10.67 million. Even though the combination is more acceptable than the former, it still gives a larger negative NPV.</w:t>
      </w:r>
    </w:p>
    <w:p>
      <w:pPr>
        <w:pStyle w:val="style0"/>
        <w:rPr>
          <w:lang w:val="en-IN"/>
        </w:rPr>
      </w:pPr>
      <w:r>
        <w:rPr>
          <w:lang w:val="en-IN"/>
        </w:rPr>
        <w:t>Project B and Project C are the third potential combination</w:t>
      </w:r>
      <w:r>
        <w:rPr>
          <w:lang w:val="en-IN"/>
        </w:rPr>
        <w:t>,</w:t>
      </w:r>
      <w:r>
        <w:rPr>
          <w:lang w:val="en-IN"/>
        </w:rPr>
        <w:t xml:space="preserve"> which would also need the available 100 million investment fund. The combined NPV of this option is about -10.29 </w:t>
      </w:r>
      <w:r>
        <w:rPr>
          <w:lang w:val="en-IN"/>
        </w:rPr>
        <w:t xml:space="preserve">million pounds and is the largest NPV of the three combinations. </w:t>
      </w:r>
      <w:r>
        <w:rPr>
          <w:lang w:val="en-IN"/>
        </w:rPr>
        <w:t>Even though</w:t>
      </w:r>
      <w:r>
        <w:rPr>
          <w:lang w:val="en-IN"/>
        </w:rPr>
        <w:t xml:space="preserve"> the NPV is still slightly negative</w:t>
      </w:r>
      <w:r>
        <w:rPr>
          <w:lang w:val="en-IN"/>
        </w:rPr>
        <w:t>,</w:t>
      </w:r>
      <w:r>
        <w:rPr>
          <w:lang w:val="en-IN"/>
        </w:rPr>
        <w:t xml:space="preserve"> assuming the high discount rate assumption, it is still a combination that minimises financial loss and at the same time enables Tesla to pursue two investment opportunities.</w:t>
      </w:r>
    </w:p>
    <w:p>
      <w:pPr>
        <w:pStyle w:val="style0"/>
        <w:rPr>
          <w:lang w:val="en-IN"/>
        </w:rPr>
      </w:pPr>
      <w:r>
        <w:rPr>
          <w:lang w:val="en-IN"/>
        </w:rPr>
        <w:t xml:space="preserve">The joint venture of Project B and Project C is the optimal capital rationing decision since it will produce the highest total NPV of all the available alternatives. In addition to that, the annual cash flows of Project B are relatively predictable and consistent, and </w:t>
      </w:r>
      <w:r>
        <w:rPr>
          <w:lang w:val="en-IN"/>
        </w:rPr>
        <w:t>they</w:t>
      </w:r>
      <w:r>
        <w:rPr>
          <w:lang w:val="en-IN"/>
        </w:rPr>
        <w:t xml:space="preserve"> can be employed to </w:t>
      </w:r>
      <w:r>
        <w:rPr>
          <w:lang w:val="en-IN"/>
        </w:rPr>
        <w:t>support</w:t>
      </w:r>
      <w:r>
        <w:rPr>
          <w:lang w:val="en-IN"/>
        </w:rPr>
        <w:t xml:space="preserve"> the liquidity and financial stability. Project C</w:t>
      </w:r>
      <w:r>
        <w:rPr>
          <w:lang w:val="en-IN"/>
        </w:rPr>
        <w:t>,</w:t>
      </w:r>
      <w:r>
        <w:rPr>
          <w:lang w:val="en-IN"/>
        </w:rPr>
        <w:t xml:space="preserve"> which is the other project</w:t>
      </w:r>
      <w:r>
        <w:rPr>
          <w:lang w:val="en-IN"/>
        </w:rPr>
        <w:t>,</w:t>
      </w:r>
      <w:r>
        <w:rPr>
          <w:lang w:val="en-IN"/>
        </w:rPr>
        <w:t xml:space="preserve"> is more profitable and quicker to recover cash.</w:t>
      </w:r>
    </w:p>
    <w:p>
      <w:pPr>
        <w:pStyle w:val="style0"/>
        <w:rPr>
          <w:lang w:val="en-IN"/>
        </w:rPr>
      </w:pPr>
      <w:r>
        <w:rPr>
          <w:lang w:val="en-IN"/>
        </w:rPr>
        <w:t xml:space="preserve">Therefore, a </w:t>
      </w:r>
      <w:r>
        <w:rPr>
          <w:lang w:val="en-IN"/>
        </w:rPr>
        <w:t xml:space="preserve">mix </w:t>
      </w:r>
      <w:r>
        <w:rPr>
          <w:lang w:val="en-IN"/>
        </w:rPr>
        <w:t xml:space="preserve">between Projects B and C will enable Tesla to achieve the balance between the creation of </w:t>
      </w:r>
      <w:r>
        <w:rPr>
          <w:lang w:val="en-IN"/>
        </w:rPr>
        <w:t>a</w:t>
      </w:r>
      <w:r>
        <w:rPr>
          <w:lang w:val="en-IN"/>
        </w:rPr>
        <w:t xml:space="preserve"> constant cash flow and higher returns. This business plan guarantees financial stability, extreme flexibility in operations</w:t>
      </w:r>
      <w:r>
        <w:rPr>
          <w:lang w:val="en-IN"/>
        </w:rPr>
        <w:t>,</w:t>
      </w:r>
      <w:r>
        <w:rPr>
          <w:lang w:val="en-IN"/>
        </w:rPr>
        <w:t xml:space="preserve"> and allows the business to continue investing in strategic growth prospects in the rapidly expanding electric vehicle market.</w:t>
      </w:r>
    </w:p>
    <w:p>
      <w:pPr>
        <w:pStyle w:val="style0"/>
        <w:rPr>
          <w:lang w:val="en-IN"/>
        </w:rPr>
      </w:pPr>
      <w:r>
        <w:rPr>
          <w:lang w:val="en-IN"/>
        </w:rPr>
        <w:t>In total, the reasonable allocation of finite financial sources and effective capital budgeting are essential to the maintenance of the competitive advantage of Tesla and the realization of its positive sustainable development in the long-term.</w:t>
      </w:r>
      <w:r>
        <w:rPr>
          <w:lang w:val="en-IN"/>
        </w:rPr>
        <w:br w:type="page"/>
      </w:r>
    </w:p>
    <w:bookmarkStart w:id="17" w:name="_Toc226453706"/>
    <w:p>
      <w:pPr>
        <w:pStyle w:val="style1"/>
        <w:rPr/>
      </w:pPr>
      <w:r>
        <w:t>Con</w:t>
      </w:r>
      <w:r>
        <w:t>cl</w:t>
      </w:r>
      <w:r>
        <w:t>usion</w:t>
      </w:r>
      <w:bookmarkEnd w:id="17"/>
    </w:p>
    <w:p>
      <w:pPr>
        <w:pStyle w:val="style0"/>
        <w:rPr>
          <w:lang w:val="en-IN"/>
        </w:rPr>
      </w:pPr>
      <w:r>
        <w:rPr>
          <w:lang w:val="en-IN"/>
        </w:rPr>
        <w:t xml:space="preserve">From the above analysis, it can be concluded </w:t>
      </w:r>
      <w:r>
        <w:rPr>
          <w:lang w:val="en-IN"/>
        </w:rPr>
        <w:t xml:space="preserve">that </w:t>
      </w:r>
      <w:r>
        <w:rPr>
          <w:lang w:val="en-IN"/>
        </w:rPr>
        <w:t xml:space="preserve">the </w:t>
      </w:r>
      <w:r>
        <w:rPr>
          <w:lang w:val="en-IN"/>
        </w:rPr>
        <w:t>financial analysis of Tesla, Inc. shows high operational growth and emerging profitability pressure. According to the five-year financial analysis (2020</w:t>
      </w:r>
      <w:r>
        <w:rPr>
          <w:lang w:val="en-IN"/>
        </w:rPr>
        <w:t>-</w:t>
      </w:r>
      <w:r>
        <w:rPr>
          <w:lang w:val="en-IN"/>
        </w:rPr>
        <w:t xml:space="preserve">24), there is a considerable growth estimated, as the turnover doubles with revenue growing between about 31.5 billion in 2020 and 97.7 billion in 2024, and the total assets grow to more than 122 billion. The VRM shows that the company has good liquidity with a current ratio of 2.03 in 2024, but its profitability decreased, with </w:t>
      </w:r>
      <w:r>
        <w:rPr>
          <w:lang w:val="en-IN"/>
        </w:rPr>
        <w:t xml:space="preserve">the </w:t>
      </w:r>
      <w:r>
        <w:rPr>
          <w:lang w:val="en-IN"/>
        </w:rPr>
        <w:t>net profit margin decreasing to 7.26% in 2024. The outcomes of investment appraisal have revealed that</w:t>
      </w:r>
      <w:r>
        <w:rPr>
          <w:lang w:val="en-IN"/>
        </w:rPr>
        <w:t>,</w:t>
      </w:r>
      <w:r>
        <w:rPr>
          <w:lang w:val="en-IN"/>
        </w:rPr>
        <w:t xml:space="preserve"> relative to the other projects, **Project C is better in relation to the highest ARR (6%), IRR (approximately 9%), and the lowest payback period (3.6 years). The optimal solution (for the capital budget of 100 million pounds) and the best choice would be to choose Projects B and C</w:t>
      </w:r>
      <w:r>
        <w:rPr>
          <w:lang w:val="en-IN"/>
        </w:rPr>
        <w:t>,</w:t>
      </w:r>
      <w:r>
        <w:rPr>
          <w:lang w:val="en-IN"/>
        </w:rPr>
        <w:t xml:space="preserve"> since this would give the best total financial value and sustain Tesla to its full growth and financial security.</w:t>
      </w:r>
      <w:r>
        <w:rPr>
          <w:lang w:val="en-IN"/>
        </w:rPr>
        <w:br w:type="page"/>
      </w:r>
    </w:p>
    <w:bookmarkStart w:id="18" w:name="_Toc226453707"/>
    <w:p>
      <w:pPr>
        <w:pStyle w:val="style1"/>
        <w:rPr>
          <w:lang w:val="en-IN"/>
        </w:rPr>
      </w:pPr>
      <w:r>
        <w:rPr>
          <w:lang w:val="en-IN"/>
        </w:rPr>
        <w:t>References</w:t>
      </w:r>
      <w:bookmarkEnd w:id="18"/>
    </w:p>
    <w:p>
      <w:pPr>
        <w:pStyle w:val="style0"/>
        <w:rPr/>
      </w:pPr>
      <w:r>
        <w:t xml:space="preserve">Ayoush, M.D., Toumeh, A.A. and </w:t>
      </w:r>
      <w:r>
        <w:t>Shabaneh</w:t>
      </w:r>
      <w:r>
        <w:t>, K.I.</w:t>
      </w:r>
      <w:r>
        <w:t xml:space="preserve"> (</w:t>
      </w:r>
      <w:r>
        <w:t>2021</w:t>
      </w:r>
      <w:r>
        <w:t>)</w:t>
      </w:r>
      <w:r>
        <w:t xml:space="preserve"> Liquidity, leverage, and solvency: what affects profitability of industrial enterprises the </w:t>
      </w:r>
      <w:r>
        <w:t>most?.</w:t>
      </w:r>
      <w:r>
        <w:t> </w:t>
      </w:r>
      <w:r>
        <w:rPr>
          <w:i/>
          <w:iCs/>
        </w:rPr>
        <w:t>Investment Management &amp; Financial Innovations</w:t>
      </w:r>
      <w:r>
        <w:t>, </w:t>
      </w:r>
      <w:r>
        <w:rPr>
          <w:i/>
          <w:iCs/>
        </w:rPr>
        <w:t>18</w:t>
      </w:r>
      <w:r>
        <w:t>(3), p.249.</w:t>
      </w:r>
      <w:r>
        <w:t xml:space="preserve"> </w:t>
      </w:r>
    </w:p>
    <w:p>
      <w:pPr>
        <w:pStyle w:val="style0"/>
        <w:rPr/>
      </w:pPr>
      <w:r>
        <w:t xml:space="preserve">Blessing, H. and </w:t>
      </w:r>
      <w:r>
        <w:t>Sakouvogui</w:t>
      </w:r>
      <w:r>
        <w:t>, G.</w:t>
      </w:r>
      <w:r>
        <w:t xml:space="preserve"> (</w:t>
      </w:r>
      <w:r>
        <w:t>2023</w:t>
      </w:r>
      <w:r>
        <w:t xml:space="preserve">) </w:t>
      </w:r>
      <w:r>
        <w:t>Impact of liquidity and solvency ratios on financial performance: a comprehensive analysis. </w:t>
      </w:r>
      <w:r>
        <w:rPr>
          <w:i/>
          <w:iCs/>
        </w:rPr>
        <w:t>Indonesia Auditing Research Journal</w:t>
      </w:r>
      <w:r>
        <w:t>, </w:t>
      </w:r>
      <w:r>
        <w:rPr>
          <w:i/>
          <w:iCs/>
        </w:rPr>
        <w:t>12</w:t>
      </w:r>
      <w:r>
        <w:t>(3), pp.102-115.</w:t>
      </w:r>
    </w:p>
    <w:p>
      <w:pPr>
        <w:pStyle w:val="style0"/>
        <w:rPr/>
      </w:pPr>
      <w:r>
        <w:t xml:space="preserve">Dai, H., Li, N., Wang, </w:t>
      </w:r>
      <w:r>
        <w:t>Y.</w:t>
      </w:r>
      <w:r>
        <w:t xml:space="preserve"> and Zhao, X.</w:t>
      </w:r>
      <w:r>
        <w:t xml:space="preserve"> (</w:t>
      </w:r>
      <w:r>
        <w:t>2022</w:t>
      </w:r>
      <w:r>
        <w:t>)</w:t>
      </w:r>
      <w:r>
        <w:t xml:space="preserve"> The analysis of three main investment criteria: NPV IRR and payback period. In </w:t>
      </w:r>
      <w:r>
        <w:rPr>
          <w:i/>
          <w:iCs/>
        </w:rPr>
        <w:t>2022 7th International Conference on Financial Innovation and Economic Development (ICFIED 2022)</w:t>
      </w:r>
      <w:r>
        <w:t> (pp. 185-189). Atlantis Press.</w:t>
      </w:r>
    </w:p>
    <w:p>
      <w:pPr>
        <w:pStyle w:val="style0"/>
        <w:rPr/>
      </w:pPr>
      <w:r>
        <w:t>Hamsyah</w:t>
      </w:r>
      <w:r>
        <w:t>, H., Latif, I.N.</w:t>
      </w:r>
      <w:r>
        <w:t>,</w:t>
      </w:r>
      <w:r>
        <w:t xml:space="preserve"> and Dewi, C.K.</w:t>
      </w:r>
      <w:r>
        <w:t xml:space="preserve"> (</w:t>
      </w:r>
      <w:r>
        <w:t>2023</w:t>
      </w:r>
      <w:r>
        <w:t>)</w:t>
      </w:r>
      <w:r>
        <w:t xml:space="preserve"> Cooperative Financial Performance Analysis of Liquidity, Solvency, Profitability, and Activity Ratios. </w:t>
      </w:r>
      <w:r>
        <w:rPr>
          <w:i/>
          <w:iCs/>
        </w:rPr>
        <w:t>Indonesian Journal of Sustainability Policy and Technology</w:t>
      </w:r>
      <w:r>
        <w:t>, </w:t>
      </w:r>
      <w:r>
        <w:rPr>
          <w:i/>
          <w:iCs/>
        </w:rPr>
        <w:t>1</w:t>
      </w:r>
      <w:r>
        <w:t>(1), pp.30-45.</w:t>
      </w:r>
    </w:p>
    <w:p>
      <w:pPr>
        <w:pStyle w:val="style0"/>
        <w:rPr/>
      </w:pPr>
      <w:r>
        <w:t>Ibrahim, K.Y., Usaini, M. and Elijah, S.</w:t>
      </w:r>
      <w:r>
        <w:t xml:space="preserve"> (</w:t>
      </w:r>
      <w:r>
        <w:t>2021</w:t>
      </w:r>
      <w:r>
        <w:t>)</w:t>
      </w:r>
      <w:r>
        <w:t xml:space="preserve"> Working capital management and business performance. </w:t>
      </w:r>
      <w:r>
        <w:rPr>
          <w:i/>
          <w:iCs/>
        </w:rPr>
        <w:t>Nigerian Journal of Marketing (NJM) Vol</w:t>
      </w:r>
      <w:r>
        <w:t>, </w:t>
      </w:r>
      <w:r>
        <w:rPr>
          <w:i/>
          <w:iCs/>
        </w:rPr>
        <w:t>7</w:t>
      </w:r>
      <w:r>
        <w:t>(1), pp.25-38.</w:t>
      </w:r>
    </w:p>
    <w:p>
      <w:pPr>
        <w:pStyle w:val="style0"/>
        <w:rPr>
          <w:lang w:val="en-IN"/>
        </w:rPr>
      </w:pPr>
      <w:r>
        <w:rPr>
          <w:lang w:val="en-IN"/>
        </w:rPr>
        <w:t xml:space="preserve">Reuters. (2024) </w:t>
      </w:r>
      <w:r>
        <w:rPr>
          <w:lang w:val="en-IN"/>
        </w:rPr>
        <w:t>Tesla expects to book over $350 million in costs for layoffs</w:t>
      </w:r>
      <w:r>
        <w:rPr>
          <w:lang w:val="en-IN"/>
        </w:rPr>
        <w:t xml:space="preserve">. [online]. Available at: </w:t>
      </w:r>
      <w:r>
        <w:rPr/>
        <w:fldChar w:fldCharType="begin"/>
      </w:r>
      <w:r>
        <w:instrText xml:space="preserve"> HYPERLINK "https://www.reuters.com/business/autos-transportation/tesla-reiterates-capital-expenditure-target-10-billion-this-year-2024-04-24/" </w:instrText>
      </w:r>
      <w:r>
        <w:rPr/>
        <w:fldChar w:fldCharType="separate"/>
      </w:r>
      <w:r>
        <w:rPr>
          <w:rStyle w:val="style85"/>
          <w:lang w:val="en-IN"/>
        </w:rPr>
        <w:t>https://www.reuters.com/business/autos-transportation/tesla-reiterates-capital-expenditure-target-10-billion-this-year-2024-04-24/</w:t>
      </w:r>
      <w:r>
        <w:rPr/>
        <w:fldChar w:fldCharType="end"/>
      </w:r>
      <w:r>
        <w:rPr>
          <w:lang w:val="en-IN"/>
        </w:rPr>
        <w:t xml:space="preserve"> [Accessed: </w:t>
      </w:r>
      <w:r>
        <w:rPr>
          <w:lang w:val="en-IN"/>
        </w:rPr>
        <w:t>02</w:t>
      </w:r>
      <w:r>
        <w:rPr>
          <w:lang w:val="en-IN"/>
        </w:rPr>
        <w:t xml:space="preserve"> April 2026]</w:t>
      </w:r>
    </w:p>
    <w:p>
      <w:pPr>
        <w:pStyle w:val="style0"/>
        <w:rPr>
          <w:lang w:val="en-IN"/>
        </w:rPr>
      </w:pPr>
      <w:r>
        <w:rPr>
          <w:lang w:val="en-IN"/>
        </w:rPr>
        <w:t xml:space="preserve">Reuters. (2024) </w:t>
      </w:r>
      <w:r>
        <w:rPr>
          <w:lang w:val="en-IN"/>
        </w:rPr>
        <w:t>Tesla plans to cut 601 more jobs in California, notice to government says</w:t>
      </w:r>
      <w:r>
        <w:rPr>
          <w:lang w:val="en-IN"/>
        </w:rPr>
        <w:t xml:space="preserve">. [online]. Available at: </w:t>
      </w:r>
      <w:r>
        <w:rPr/>
        <w:fldChar w:fldCharType="begin"/>
      </w:r>
      <w:r>
        <w:instrText xml:space="preserve"> HYPERLINK "https://www.reuters.com/technology/tesla-lay-off-an-additional-601-employees-california-government-notice-2024-05-14/" </w:instrText>
      </w:r>
      <w:r>
        <w:rPr/>
        <w:fldChar w:fldCharType="separate"/>
      </w:r>
      <w:r>
        <w:rPr>
          <w:rStyle w:val="style85"/>
          <w:lang w:val="en-IN"/>
        </w:rPr>
        <w:t>https://www.reuters.com/technology/tesla-lay-off-an-additional-601-employees-california-government-notice-2024-05-14/</w:t>
      </w:r>
      <w:r>
        <w:rPr/>
        <w:fldChar w:fldCharType="end"/>
      </w:r>
      <w:r>
        <w:rPr>
          <w:lang w:val="en-IN"/>
        </w:rPr>
        <w:t xml:space="preserve"> [Accessed: </w:t>
      </w:r>
      <w:r>
        <w:rPr>
          <w:lang w:val="en-IN"/>
        </w:rPr>
        <w:t>0</w:t>
      </w:r>
      <w:r>
        <w:rPr>
          <w:lang w:val="en-IN"/>
        </w:rPr>
        <w:t>7 April 2026]</w:t>
      </w:r>
    </w:p>
    <w:p>
      <w:pPr>
        <w:pStyle w:val="style0"/>
        <w:rPr/>
      </w:pPr>
      <w:r>
        <w:t>Sholaeman</w:t>
      </w:r>
      <w:r>
        <w:t xml:space="preserve">, B., </w:t>
      </w:r>
      <w:r>
        <w:t>Rinofah</w:t>
      </w:r>
      <w:r>
        <w:t xml:space="preserve">, R. and </w:t>
      </w:r>
      <w:r>
        <w:t>Maulida</w:t>
      </w:r>
      <w:r>
        <w:t>, A.</w:t>
      </w:r>
      <w:r>
        <w:t xml:space="preserve"> (</w:t>
      </w:r>
      <w:r>
        <w:t>2021</w:t>
      </w:r>
      <w:r>
        <w:t>)</w:t>
      </w:r>
      <w:r>
        <w:t xml:space="preserve"> Liquidity, Solvability, and Profitability Ratio Analysis towards Financial Performance. </w:t>
      </w:r>
      <w:r>
        <w:rPr>
          <w:i/>
          <w:iCs/>
        </w:rPr>
        <w:t>Almana</w:t>
      </w:r>
      <w:r>
        <w:rPr>
          <w:i/>
          <w:iCs/>
        </w:rPr>
        <w:t xml:space="preserve">: </w:t>
      </w:r>
      <w:r>
        <w:rPr>
          <w:i/>
          <w:iCs/>
        </w:rPr>
        <w:t>Jurnal</w:t>
      </w:r>
      <w:r>
        <w:rPr>
          <w:i/>
          <w:iCs/>
        </w:rPr>
        <w:t xml:space="preserve"> </w:t>
      </w:r>
      <w:r>
        <w:rPr>
          <w:i/>
          <w:iCs/>
        </w:rPr>
        <w:t>Manajemen</w:t>
      </w:r>
      <w:r>
        <w:rPr>
          <w:i/>
          <w:iCs/>
        </w:rPr>
        <w:t xml:space="preserve"> Dan Bisnis</w:t>
      </w:r>
      <w:r>
        <w:t>, </w:t>
      </w:r>
      <w:r>
        <w:rPr>
          <w:i/>
          <w:iCs/>
        </w:rPr>
        <w:t>5</w:t>
      </w:r>
      <w:r>
        <w:t>(3), pp.337-343.</w:t>
      </w:r>
    </w:p>
    <w:p>
      <w:pPr>
        <w:pStyle w:val="style0"/>
        <w:rPr/>
      </w:pPr>
      <w:r>
        <w:t xml:space="preserve">Sinaga, A.S., Sari, M.M., </w:t>
      </w:r>
      <w:r>
        <w:t>Hutasuhut</w:t>
      </w:r>
      <w:r>
        <w:t>, A.A., Zahara, S.T., Amanda, A., Fitri, A. and Caesario, M.A.</w:t>
      </w:r>
      <w:r>
        <w:t xml:space="preserve"> (</w:t>
      </w:r>
      <w:r>
        <w:t>2023</w:t>
      </w:r>
      <w:r>
        <w:t>)</w:t>
      </w:r>
      <w:r>
        <w:t xml:space="preserve"> Comparison of capital budgeting methods: NPV, IRR, </w:t>
      </w:r>
      <w:r>
        <w:t>PAYBACK PERIOD. </w:t>
      </w:r>
      <w:r>
        <w:rPr>
          <w:i/>
          <w:iCs/>
        </w:rPr>
        <w:t>World Journal of Advanced Research and Reviews</w:t>
      </w:r>
      <w:r>
        <w:t>, </w:t>
      </w:r>
      <w:r>
        <w:rPr>
          <w:i/>
          <w:iCs/>
        </w:rPr>
        <w:t>19</w:t>
      </w:r>
      <w:r>
        <w:t>(2), pp.1078-1081.</w:t>
      </w:r>
    </w:p>
    <w:p>
      <w:pPr>
        <w:pStyle w:val="style0"/>
        <w:rPr>
          <w:lang w:val="en-IN"/>
        </w:rPr>
      </w:pPr>
      <w:r>
        <w:rPr>
          <w:lang w:val="en-IN"/>
        </w:rPr>
        <w:t xml:space="preserve">Tesla. (2020) Annual report 2020. [online]. Available at: </w:t>
      </w:r>
      <w:r>
        <w:rPr/>
        <w:fldChar w:fldCharType="begin"/>
      </w:r>
      <w:r>
        <w:instrText xml:space="preserve"> HYPERLINK "https://www.annualreports.com/HostedData/AnnualReportArchive/t/NASDAQ_TSLA_2020.pdf" </w:instrText>
      </w:r>
      <w:r>
        <w:rPr/>
        <w:fldChar w:fldCharType="separate"/>
      </w:r>
      <w:r>
        <w:rPr>
          <w:rStyle w:val="style85"/>
          <w:lang w:val="en-IN"/>
        </w:rPr>
        <w:t>https://www.annualreports.com/HostedData/AnnualReportArchive/t/NASDAQ_TSLA_2020.pdf</w:t>
      </w:r>
      <w:r>
        <w:rPr/>
        <w:fldChar w:fldCharType="end"/>
      </w:r>
      <w:r>
        <w:rPr>
          <w:lang w:val="en-IN"/>
        </w:rPr>
        <w:t xml:space="preserve"> [Accessed on: </w:t>
      </w:r>
      <w:r>
        <w:rPr>
          <w:lang w:val="en-IN"/>
        </w:rPr>
        <w:t>09</w:t>
      </w:r>
      <w:r>
        <w:rPr>
          <w:lang w:val="en-IN"/>
        </w:rPr>
        <w:t xml:space="preserve"> April 2026]</w:t>
      </w:r>
    </w:p>
    <w:p>
      <w:pPr>
        <w:pStyle w:val="style0"/>
        <w:rPr>
          <w:lang w:val="en-IN"/>
        </w:rPr>
      </w:pPr>
      <w:r>
        <w:rPr>
          <w:lang w:val="en-IN"/>
        </w:rPr>
        <w:t xml:space="preserve">Tesla. (2022) Annual report 2022. [online]. Available at: </w:t>
      </w:r>
      <w:r>
        <w:rPr/>
        <w:fldChar w:fldCharType="begin"/>
      </w:r>
      <w:r>
        <w:instrText xml:space="preserve"> HYPERLINK "https://www.annualreports.com/HostedData/AnnualReportArchive/t/NASDAQ_TSLA_2022.pdf" </w:instrText>
      </w:r>
      <w:r>
        <w:rPr/>
        <w:fldChar w:fldCharType="separate"/>
      </w:r>
      <w:r>
        <w:rPr>
          <w:rStyle w:val="style85"/>
          <w:lang w:val="en-IN"/>
        </w:rPr>
        <w:t>https://www.annualreports.com/HostedData/AnnualReportArchive/t/NASDAQ_TSLA_2022.pdf</w:t>
      </w:r>
      <w:r>
        <w:rPr/>
        <w:fldChar w:fldCharType="end"/>
      </w:r>
      <w:r>
        <w:rPr>
          <w:lang w:val="en-IN"/>
        </w:rPr>
        <w:t xml:space="preserve"> [Accessed on: </w:t>
      </w:r>
      <w:r>
        <w:rPr>
          <w:lang w:val="en-IN"/>
        </w:rPr>
        <w:t>0</w:t>
      </w:r>
      <w:r>
        <w:rPr>
          <w:lang w:val="en-IN"/>
        </w:rPr>
        <w:t>7 April 2026]</w:t>
      </w:r>
    </w:p>
    <w:p>
      <w:pPr>
        <w:pStyle w:val="style0"/>
        <w:rPr>
          <w:lang w:val="en-IN"/>
        </w:rPr>
      </w:pPr>
      <w:r>
        <w:rPr>
          <w:lang w:val="en-IN"/>
        </w:rPr>
        <w:t xml:space="preserve">Tesla. (2023) Annual report 2023. [online]. Available at: </w:t>
      </w:r>
      <w:r>
        <w:rPr/>
        <w:fldChar w:fldCharType="begin"/>
      </w:r>
      <w:r>
        <w:instrText xml:space="preserve"> HYPERLINK "https://www.annualreports.com/HostedData/AnnualReportArchive/t/NASDAQ_TSLA_2023.pdf" </w:instrText>
      </w:r>
      <w:r>
        <w:rPr/>
        <w:fldChar w:fldCharType="separate"/>
      </w:r>
      <w:r>
        <w:rPr>
          <w:rStyle w:val="style85"/>
          <w:lang w:val="en-IN"/>
        </w:rPr>
        <w:t>https://www.annualreports.com/HostedData/AnnualReportArchive/t/NASDAQ_TSLA_2023.pdf</w:t>
      </w:r>
      <w:r>
        <w:rPr/>
        <w:fldChar w:fldCharType="end"/>
      </w:r>
      <w:r>
        <w:rPr>
          <w:lang w:val="en-IN"/>
        </w:rPr>
        <w:t xml:space="preserve"> [Accessed on: </w:t>
      </w:r>
      <w:r>
        <w:rPr>
          <w:lang w:val="en-IN"/>
        </w:rPr>
        <w:t>02</w:t>
      </w:r>
      <w:r>
        <w:rPr>
          <w:lang w:val="en-IN"/>
        </w:rPr>
        <w:t xml:space="preserve"> April 2026]</w:t>
      </w:r>
    </w:p>
    <w:p>
      <w:pPr>
        <w:pStyle w:val="style0"/>
        <w:rPr>
          <w:lang w:val="en-IN"/>
        </w:rPr>
      </w:pPr>
      <w:r>
        <w:rPr>
          <w:lang w:val="en-IN"/>
        </w:rPr>
        <w:t xml:space="preserve">Tesla. (2024) Annual report 2024. [online]. Available at: </w:t>
      </w:r>
      <w:r>
        <w:rPr/>
        <w:fldChar w:fldCharType="begin"/>
      </w:r>
      <w:r>
        <w:instrText xml:space="preserve"> HYPERLINK "https://www.annualreports.com/HostedData/AnnualReports/PDF/NASDAQ_TSLA_2024.pdf" </w:instrText>
      </w:r>
      <w:r>
        <w:rPr/>
        <w:fldChar w:fldCharType="separate"/>
      </w:r>
      <w:r>
        <w:rPr>
          <w:rStyle w:val="style85"/>
          <w:lang w:val="en-IN"/>
        </w:rPr>
        <w:t>https://www.annualreports.com/HostedData/AnnualReports/PDF/NASDAQ_TSLA_2024.pdf</w:t>
      </w:r>
      <w:r>
        <w:rPr/>
        <w:fldChar w:fldCharType="end"/>
      </w:r>
      <w:r>
        <w:rPr>
          <w:lang w:val="en-IN"/>
        </w:rPr>
        <w:t xml:space="preserve"> [Accessed on: 7 April 2026]</w:t>
      </w:r>
    </w:p>
    <w:p>
      <w:pPr>
        <w:pStyle w:val="style0"/>
        <w:rPr>
          <w:lang w:val="en-IN"/>
        </w:rPr>
      </w:pPr>
      <w:r>
        <w:rPr>
          <w:lang w:val="en-IN"/>
        </w:rPr>
        <w:t xml:space="preserve">Tesla. (2026) About us. [online]. Available at: </w:t>
      </w:r>
      <w:r>
        <w:rPr/>
        <w:fldChar w:fldCharType="begin"/>
      </w:r>
      <w:r>
        <w:instrText xml:space="preserve"> HYPERLINK "https://www.tesla.com/about" </w:instrText>
      </w:r>
      <w:r>
        <w:rPr/>
        <w:fldChar w:fldCharType="separate"/>
      </w:r>
      <w:r>
        <w:rPr>
          <w:rStyle w:val="style85"/>
          <w:lang w:val="en-IN"/>
        </w:rPr>
        <w:t>https://www.tesla.com/about</w:t>
      </w:r>
      <w:r>
        <w:rPr/>
        <w:fldChar w:fldCharType="end"/>
      </w:r>
      <w:r>
        <w:rPr>
          <w:lang w:val="en-IN"/>
        </w:rPr>
        <w:t xml:space="preserve"> [Accessed on: </w:t>
      </w:r>
      <w:r>
        <w:rPr>
          <w:lang w:val="en-IN"/>
        </w:rPr>
        <w:t>04</w:t>
      </w:r>
      <w:r>
        <w:rPr>
          <w:lang w:val="en-IN"/>
        </w:rPr>
        <w:t xml:space="preserve"> April 2026]</w:t>
      </w:r>
    </w:p>
    <w:p>
      <w:pPr>
        <w:pStyle w:val="style0"/>
        <w:rPr/>
      </w:pPr>
      <w:r>
        <w:t>Wang, Y.</w:t>
      </w:r>
      <w:r>
        <w:t xml:space="preserve"> (</w:t>
      </w:r>
      <w:r>
        <w:t>2021</w:t>
      </w:r>
      <w:r>
        <w:t>)</w:t>
      </w:r>
      <w:r>
        <w:t xml:space="preserve"> The development and usage of NPV and IRR and their comparison. In </w:t>
      </w:r>
      <w:r>
        <w:rPr>
          <w:i/>
          <w:iCs/>
        </w:rPr>
        <w:t>2021 3rd International Conference on Economic Management and Cultural Industry (ICEMCI 2021)</w:t>
      </w:r>
      <w:r>
        <w:t> (pp. 2044-2048). Atlantis Press.</w:t>
      </w:r>
    </w:p>
    <w:p>
      <w:pPr>
        <w:pStyle w:val="style0"/>
        <w:rPr/>
      </w:pPr>
      <w:r>
        <w:t>Zaher, H. and Illescas, G.M.</w:t>
      </w:r>
      <w:r>
        <w:t xml:space="preserve"> (</w:t>
      </w:r>
      <w:r>
        <w:t>2022</w:t>
      </w:r>
      <w:r>
        <w:t>)</w:t>
      </w:r>
      <w:r>
        <w:t xml:space="preserve"> The Cash Conversion Cycle: A Systematic Literature Review. </w:t>
      </w:r>
      <w:r>
        <w:rPr>
          <w:i/>
          <w:iCs/>
        </w:rPr>
        <w:t>Economic and Social Development: Book of Proceedings</w:t>
      </w:r>
      <w:r>
        <w:t>, pp.18-35.</w:t>
      </w:r>
    </w:p>
    <w:p>
      <w:pPr>
        <w:pStyle w:val="style0"/>
        <w:spacing w:before="0" w:after="160" w:lineRule="auto" w:line="278"/>
        <w:jc w:val="left"/>
        <w:rPr>
          <w:lang w:val="en-IN"/>
        </w:rPr>
      </w:pPr>
      <w:r>
        <w:rPr>
          <w:lang w:val="en-IN"/>
        </w:rPr>
        <w:br w:type="page"/>
      </w:r>
    </w:p>
    <w:bookmarkStart w:id="19" w:name="_Toc226453708"/>
    <w:p>
      <w:pPr>
        <w:pStyle w:val="style1"/>
        <w:rPr>
          <w:lang w:val="en-IN"/>
        </w:rPr>
      </w:pPr>
      <w:r>
        <w:rPr>
          <w:lang w:val="en-IN"/>
        </w:rPr>
        <w:t>Appendix</w:t>
      </w:r>
      <w:bookmarkEnd w:id="19"/>
    </w:p>
    <w:p>
      <w:pPr>
        <w:pStyle w:val="style0"/>
        <w:rPr>
          <w:b/>
          <w:bCs/>
          <w:u w:val="single"/>
          <w:lang w:val="en-IN"/>
        </w:rPr>
      </w:pPr>
      <w:r>
        <w:rPr>
          <w:b/>
          <w:bCs/>
          <w:u w:val="single"/>
          <w:lang w:val="en-IN"/>
        </w:rPr>
        <w:t>Ratio Calculations</w:t>
      </w:r>
    </w:p>
    <w:p>
      <w:pPr>
        <w:pStyle w:val="style0"/>
        <w:rPr>
          <w:b/>
          <w:bCs/>
          <w:lang w:val="en-IN"/>
        </w:rPr>
      </w:pPr>
      <w:r>
        <w:rPr>
          <w:b/>
          <w:bCs/>
          <w:lang w:val="en-IN"/>
        </w:rPr>
        <w:t>1. Profitability Ratios</w:t>
      </w:r>
    </w:p>
    <w:tbl>
      <w:tblPr>
        <w:tblStyle w:val="style154"/>
        <w:tblW w:w="0" w:type="auto"/>
        <w:tblLook w:val="04A0" w:firstRow="1" w:lastRow="0" w:firstColumn="1" w:lastColumn="0" w:noHBand="0" w:noVBand="1"/>
      </w:tblPr>
      <w:tblGrid>
        <w:gridCol w:w="1392"/>
        <w:gridCol w:w="1812"/>
        <w:gridCol w:w="1761"/>
        <w:gridCol w:w="1149"/>
        <w:gridCol w:w="1761"/>
        <w:gridCol w:w="1149"/>
      </w:tblGrid>
      <w:tr>
        <w:trPr/>
        <w:tc>
          <w:tcPr>
            <w:tcW w:w="0" w:type="auto"/>
            <w:tcBorders/>
            <w:hideMark/>
          </w:tcPr>
          <w:p>
            <w:pPr>
              <w:pStyle w:val="style0"/>
              <w:rPr>
                <w:lang w:val="en-IN"/>
              </w:rPr>
            </w:pPr>
            <w:r>
              <w:rPr>
                <w:lang w:val="en-IN"/>
              </w:rPr>
              <w:t>Ratio</w:t>
            </w:r>
          </w:p>
        </w:tc>
        <w:tc>
          <w:tcPr>
            <w:tcW w:w="0" w:type="auto"/>
            <w:tcBorders/>
            <w:hideMark/>
          </w:tcPr>
          <w:p>
            <w:pPr>
              <w:pStyle w:val="style0"/>
              <w:rPr>
                <w:lang w:val="en-IN"/>
              </w:rPr>
            </w:pPr>
            <w:r>
              <w:rPr>
                <w:lang w:val="en-IN"/>
              </w:rPr>
              <w:t>Formula</w:t>
            </w:r>
          </w:p>
        </w:tc>
        <w:tc>
          <w:tcPr>
            <w:tcW w:w="0" w:type="auto"/>
            <w:tcBorders/>
            <w:hideMark/>
          </w:tcPr>
          <w:p>
            <w:pPr>
              <w:pStyle w:val="style0"/>
              <w:rPr>
                <w:lang w:val="en-IN"/>
              </w:rPr>
            </w:pPr>
            <w:r>
              <w:rPr>
                <w:lang w:val="en-IN"/>
              </w:rPr>
              <w:t>2024 Calculation</w:t>
            </w:r>
          </w:p>
        </w:tc>
        <w:tc>
          <w:tcPr>
            <w:tcW w:w="0" w:type="auto"/>
            <w:tcBorders/>
            <w:hideMark/>
          </w:tcPr>
          <w:p>
            <w:pPr>
              <w:pStyle w:val="style0"/>
              <w:rPr>
                <w:lang w:val="en-IN"/>
              </w:rPr>
            </w:pPr>
            <w:r>
              <w:rPr>
                <w:lang w:val="en-IN"/>
              </w:rPr>
              <w:t>2024 Result</w:t>
            </w:r>
          </w:p>
        </w:tc>
        <w:tc>
          <w:tcPr>
            <w:tcW w:w="0" w:type="auto"/>
            <w:tcBorders/>
            <w:hideMark/>
          </w:tcPr>
          <w:p>
            <w:pPr>
              <w:pStyle w:val="style0"/>
              <w:rPr>
                <w:lang w:val="en-IN"/>
              </w:rPr>
            </w:pPr>
            <w:r>
              <w:rPr>
                <w:lang w:val="en-IN"/>
              </w:rPr>
              <w:t>2023 Calculation</w:t>
            </w:r>
          </w:p>
        </w:tc>
        <w:tc>
          <w:tcPr>
            <w:tcW w:w="0" w:type="auto"/>
            <w:tcBorders/>
            <w:hideMark/>
          </w:tcPr>
          <w:p>
            <w:pPr>
              <w:pStyle w:val="style0"/>
              <w:rPr>
                <w:lang w:val="en-IN"/>
              </w:rPr>
            </w:pPr>
            <w:r>
              <w:rPr>
                <w:lang w:val="en-IN"/>
              </w:rPr>
              <w:t>2023 Result</w:t>
            </w:r>
          </w:p>
        </w:tc>
      </w:tr>
      <w:tr>
        <w:tblPrEx/>
        <w:trPr/>
        <w:tc>
          <w:tcPr>
            <w:tcW w:w="0" w:type="auto"/>
            <w:tcBorders/>
            <w:hideMark/>
          </w:tcPr>
          <w:p>
            <w:pPr>
              <w:pStyle w:val="style0"/>
              <w:rPr>
                <w:lang w:val="en-IN"/>
              </w:rPr>
            </w:pPr>
            <w:r>
              <w:rPr>
                <w:lang w:val="en-IN"/>
              </w:rPr>
              <w:t>Gross Profit Margin</w:t>
            </w:r>
          </w:p>
        </w:tc>
        <w:tc>
          <w:tcPr>
            <w:tcW w:w="0" w:type="auto"/>
            <w:tcBorders/>
            <w:hideMark/>
          </w:tcPr>
          <w:p>
            <w:pPr>
              <w:pStyle w:val="style0"/>
              <w:rPr>
                <w:lang w:val="en-IN"/>
              </w:rPr>
            </w:pPr>
            <w:r>
              <w:rPr>
                <w:lang w:val="en-IN"/>
              </w:rPr>
              <w:t>Gross Profit ÷ Revenue ×100</w:t>
            </w:r>
          </w:p>
        </w:tc>
        <w:tc>
          <w:tcPr>
            <w:tcW w:w="0" w:type="auto"/>
            <w:tcBorders/>
            <w:hideMark/>
          </w:tcPr>
          <w:p>
            <w:pPr>
              <w:pStyle w:val="style0"/>
              <w:rPr>
                <w:lang w:val="en-IN"/>
              </w:rPr>
            </w:pPr>
            <w:r>
              <w:rPr>
                <w:lang w:val="en-IN"/>
              </w:rPr>
              <w:t>17,450 ÷ 97,690 ×100</w:t>
            </w:r>
          </w:p>
        </w:tc>
        <w:tc>
          <w:tcPr>
            <w:tcW w:w="0" w:type="auto"/>
            <w:tcBorders/>
            <w:hideMark/>
          </w:tcPr>
          <w:p>
            <w:pPr>
              <w:pStyle w:val="style0"/>
              <w:rPr>
                <w:lang w:val="en-IN"/>
              </w:rPr>
            </w:pPr>
            <w:r>
              <w:rPr>
                <w:lang w:val="en-IN"/>
              </w:rPr>
              <w:t>17.86%</w:t>
            </w:r>
          </w:p>
        </w:tc>
        <w:tc>
          <w:tcPr>
            <w:tcW w:w="0" w:type="auto"/>
            <w:tcBorders/>
            <w:hideMark/>
          </w:tcPr>
          <w:p>
            <w:pPr>
              <w:pStyle w:val="style0"/>
              <w:rPr>
                <w:lang w:val="en-IN"/>
              </w:rPr>
            </w:pPr>
            <w:r>
              <w:rPr>
                <w:lang w:val="en-IN"/>
              </w:rPr>
              <w:t>17,660 ÷ 96,773 ×100</w:t>
            </w:r>
          </w:p>
        </w:tc>
        <w:tc>
          <w:tcPr>
            <w:tcW w:w="0" w:type="auto"/>
            <w:tcBorders/>
            <w:hideMark/>
          </w:tcPr>
          <w:p>
            <w:pPr>
              <w:pStyle w:val="style0"/>
              <w:rPr>
                <w:lang w:val="en-IN"/>
              </w:rPr>
            </w:pPr>
            <w:r>
              <w:rPr>
                <w:lang w:val="en-IN"/>
              </w:rPr>
              <w:t>18.25%</w:t>
            </w:r>
          </w:p>
        </w:tc>
      </w:tr>
      <w:tr>
        <w:tblPrEx/>
        <w:trPr/>
        <w:tc>
          <w:tcPr>
            <w:tcW w:w="0" w:type="auto"/>
            <w:tcBorders/>
            <w:hideMark/>
          </w:tcPr>
          <w:p>
            <w:pPr>
              <w:pStyle w:val="style0"/>
              <w:rPr>
                <w:lang w:val="en-IN"/>
              </w:rPr>
            </w:pPr>
            <w:r>
              <w:rPr>
                <w:lang w:val="en-IN"/>
              </w:rPr>
              <w:t>Net Profit Margin</w:t>
            </w:r>
          </w:p>
        </w:tc>
        <w:tc>
          <w:tcPr>
            <w:tcW w:w="0" w:type="auto"/>
            <w:tcBorders/>
            <w:hideMark/>
          </w:tcPr>
          <w:p>
            <w:pPr>
              <w:pStyle w:val="style0"/>
              <w:rPr>
                <w:lang w:val="en-IN"/>
              </w:rPr>
            </w:pPr>
            <w:r>
              <w:rPr>
                <w:lang w:val="en-IN"/>
              </w:rPr>
              <w:t>Net Income ÷ Revenue ×100</w:t>
            </w:r>
          </w:p>
        </w:tc>
        <w:tc>
          <w:tcPr>
            <w:tcW w:w="0" w:type="auto"/>
            <w:tcBorders/>
            <w:hideMark/>
          </w:tcPr>
          <w:p>
            <w:pPr>
              <w:pStyle w:val="style0"/>
              <w:rPr>
                <w:lang w:val="en-IN"/>
              </w:rPr>
            </w:pPr>
            <w:r>
              <w:rPr>
                <w:lang w:val="en-IN"/>
              </w:rPr>
              <w:t>7,091 ÷ 97,690 ×100</w:t>
            </w:r>
          </w:p>
        </w:tc>
        <w:tc>
          <w:tcPr>
            <w:tcW w:w="0" w:type="auto"/>
            <w:tcBorders/>
            <w:hideMark/>
          </w:tcPr>
          <w:p>
            <w:pPr>
              <w:pStyle w:val="style0"/>
              <w:rPr>
                <w:lang w:val="en-IN"/>
              </w:rPr>
            </w:pPr>
            <w:r>
              <w:rPr>
                <w:lang w:val="en-IN"/>
              </w:rPr>
              <w:t>7.26%</w:t>
            </w:r>
          </w:p>
        </w:tc>
        <w:tc>
          <w:tcPr>
            <w:tcW w:w="0" w:type="auto"/>
            <w:tcBorders/>
            <w:hideMark/>
          </w:tcPr>
          <w:p>
            <w:pPr>
              <w:pStyle w:val="style0"/>
              <w:rPr>
                <w:lang w:val="en-IN"/>
              </w:rPr>
            </w:pPr>
            <w:r>
              <w:rPr>
                <w:lang w:val="en-IN"/>
              </w:rPr>
              <w:t>14,997 ÷ 96,773 ×100</w:t>
            </w:r>
          </w:p>
        </w:tc>
        <w:tc>
          <w:tcPr>
            <w:tcW w:w="0" w:type="auto"/>
            <w:tcBorders/>
            <w:hideMark/>
          </w:tcPr>
          <w:p>
            <w:pPr>
              <w:pStyle w:val="style0"/>
              <w:rPr>
                <w:lang w:val="en-IN"/>
              </w:rPr>
            </w:pPr>
            <w:r>
              <w:rPr>
                <w:lang w:val="en-IN"/>
              </w:rPr>
              <w:t>15.49%</w:t>
            </w:r>
          </w:p>
        </w:tc>
      </w:tr>
    </w:tbl>
    <w:p>
      <w:pPr>
        <w:pStyle w:val="style0"/>
        <w:rPr>
          <w:b/>
          <w:bCs/>
          <w:lang w:val="en-IN"/>
        </w:rPr>
      </w:pPr>
      <w:r>
        <w:rPr>
          <w:b/>
          <w:bCs/>
          <w:lang w:val="en-IN"/>
        </w:rPr>
        <w:t>2. Liquidity Ratios</w:t>
      </w:r>
    </w:p>
    <w:tbl>
      <w:tblPr>
        <w:tblStyle w:val="style154"/>
        <w:tblW w:w="0" w:type="auto"/>
        <w:tblLook w:val="04A0" w:firstRow="1" w:lastRow="0" w:firstColumn="1" w:lastColumn="0" w:noHBand="0" w:noVBand="1"/>
      </w:tblPr>
      <w:tblGrid>
        <w:gridCol w:w="1150"/>
        <w:gridCol w:w="2233"/>
        <w:gridCol w:w="1795"/>
        <w:gridCol w:w="1025"/>
        <w:gridCol w:w="1795"/>
        <w:gridCol w:w="1025"/>
      </w:tblGrid>
      <w:tr>
        <w:trPr/>
        <w:tc>
          <w:tcPr>
            <w:tcW w:w="0" w:type="auto"/>
            <w:tcBorders/>
            <w:hideMark/>
          </w:tcPr>
          <w:p>
            <w:pPr>
              <w:pStyle w:val="style0"/>
              <w:rPr>
                <w:lang w:val="en-IN"/>
              </w:rPr>
            </w:pPr>
            <w:r>
              <w:rPr>
                <w:lang w:val="en-IN"/>
              </w:rPr>
              <w:t>Ratio</w:t>
            </w:r>
          </w:p>
        </w:tc>
        <w:tc>
          <w:tcPr>
            <w:tcW w:w="0" w:type="auto"/>
            <w:tcBorders/>
            <w:hideMark/>
          </w:tcPr>
          <w:p>
            <w:pPr>
              <w:pStyle w:val="style0"/>
              <w:rPr>
                <w:lang w:val="en-IN"/>
              </w:rPr>
            </w:pPr>
            <w:r>
              <w:rPr>
                <w:lang w:val="en-IN"/>
              </w:rPr>
              <w:t>Formula</w:t>
            </w:r>
          </w:p>
        </w:tc>
        <w:tc>
          <w:tcPr>
            <w:tcW w:w="0" w:type="auto"/>
            <w:tcBorders/>
            <w:hideMark/>
          </w:tcPr>
          <w:p>
            <w:pPr>
              <w:pStyle w:val="style0"/>
              <w:rPr>
                <w:lang w:val="en-IN"/>
              </w:rPr>
            </w:pPr>
            <w:r>
              <w:rPr>
                <w:lang w:val="en-IN"/>
              </w:rPr>
              <w:t>2024 Calculation</w:t>
            </w:r>
          </w:p>
        </w:tc>
        <w:tc>
          <w:tcPr>
            <w:tcW w:w="0" w:type="auto"/>
            <w:tcBorders/>
            <w:hideMark/>
          </w:tcPr>
          <w:p>
            <w:pPr>
              <w:pStyle w:val="style0"/>
              <w:rPr>
                <w:lang w:val="en-IN"/>
              </w:rPr>
            </w:pPr>
            <w:r>
              <w:rPr>
                <w:lang w:val="en-IN"/>
              </w:rPr>
              <w:t>2024 Result</w:t>
            </w:r>
          </w:p>
        </w:tc>
        <w:tc>
          <w:tcPr>
            <w:tcW w:w="0" w:type="auto"/>
            <w:tcBorders/>
            <w:hideMark/>
          </w:tcPr>
          <w:p>
            <w:pPr>
              <w:pStyle w:val="style0"/>
              <w:rPr>
                <w:lang w:val="en-IN"/>
              </w:rPr>
            </w:pPr>
            <w:r>
              <w:rPr>
                <w:lang w:val="en-IN"/>
              </w:rPr>
              <w:t>2023 Calculation</w:t>
            </w:r>
          </w:p>
        </w:tc>
        <w:tc>
          <w:tcPr>
            <w:tcW w:w="0" w:type="auto"/>
            <w:tcBorders/>
            <w:hideMark/>
          </w:tcPr>
          <w:p>
            <w:pPr>
              <w:pStyle w:val="style0"/>
              <w:rPr>
                <w:lang w:val="en-IN"/>
              </w:rPr>
            </w:pPr>
            <w:r>
              <w:rPr>
                <w:lang w:val="en-IN"/>
              </w:rPr>
              <w:t>2023 Result</w:t>
            </w:r>
          </w:p>
        </w:tc>
      </w:tr>
      <w:tr>
        <w:tblPrEx/>
        <w:trPr/>
        <w:tc>
          <w:tcPr>
            <w:tcW w:w="0" w:type="auto"/>
            <w:tcBorders/>
            <w:hideMark/>
          </w:tcPr>
          <w:p>
            <w:pPr>
              <w:pStyle w:val="style0"/>
              <w:rPr>
                <w:lang w:val="en-IN"/>
              </w:rPr>
            </w:pPr>
            <w:r>
              <w:rPr>
                <w:lang w:val="en-IN"/>
              </w:rPr>
              <w:t>Current Ratio</w:t>
            </w:r>
          </w:p>
        </w:tc>
        <w:tc>
          <w:tcPr>
            <w:tcW w:w="0" w:type="auto"/>
            <w:tcBorders/>
            <w:hideMark/>
          </w:tcPr>
          <w:p>
            <w:pPr>
              <w:pStyle w:val="style0"/>
              <w:rPr>
                <w:lang w:val="en-IN"/>
              </w:rPr>
            </w:pPr>
            <w:r>
              <w:rPr>
                <w:lang w:val="en-IN"/>
              </w:rPr>
              <w:t>Current Assets ÷ Current Liabilities</w:t>
            </w:r>
          </w:p>
        </w:tc>
        <w:tc>
          <w:tcPr>
            <w:tcW w:w="0" w:type="auto"/>
            <w:tcBorders/>
            <w:hideMark/>
          </w:tcPr>
          <w:p>
            <w:pPr>
              <w:pStyle w:val="style0"/>
              <w:rPr>
                <w:lang w:val="en-IN"/>
              </w:rPr>
            </w:pPr>
            <w:r>
              <w:rPr>
                <w:lang w:val="en-IN"/>
              </w:rPr>
              <w:t>58,360 ÷ 28,821</w:t>
            </w:r>
          </w:p>
        </w:tc>
        <w:tc>
          <w:tcPr>
            <w:tcW w:w="0" w:type="auto"/>
            <w:tcBorders/>
            <w:hideMark/>
          </w:tcPr>
          <w:p>
            <w:pPr>
              <w:pStyle w:val="style0"/>
              <w:rPr>
                <w:lang w:val="en-IN"/>
              </w:rPr>
            </w:pPr>
            <w:r>
              <w:rPr>
                <w:lang w:val="en-IN"/>
              </w:rPr>
              <w:t>2.03</w:t>
            </w:r>
          </w:p>
        </w:tc>
        <w:tc>
          <w:tcPr>
            <w:tcW w:w="0" w:type="auto"/>
            <w:tcBorders/>
            <w:hideMark/>
          </w:tcPr>
          <w:p>
            <w:pPr>
              <w:pStyle w:val="style0"/>
              <w:rPr>
                <w:lang w:val="en-IN"/>
              </w:rPr>
            </w:pPr>
            <w:r>
              <w:rPr>
                <w:lang w:val="en-IN"/>
              </w:rPr>
              <w:t>49,616 ÷ 28,748</w:t>
            </w:r>
          </w:p>
        </w:tc>
        <w:tc>
          <w:tcPr>
            <w:tcW w:w="0" w:type="auto"/>
            <w:tcBorders/>
            <w:hideMark/>
          </w:tcPr>
          <w:p>
            <w:pPr>
              <w:pStyle w:val="style0"/>
              <w:rPr>
                <w:lang w:val="en-IN"/>
              </w:rPr>
            </w:pPr>
            <w:r>
              <w:rPr>
                <w:lang w:val="en-IN"/>
              </w:rPr>
              <w:t>1.73</w:t>
            </w:r>
          </w:p>
        </w:tc>
      </w:tr>
      <w:tr>
        <w:tblPrEx/>
        <w:trPr/>
        <w:tc>
          <w:tcPr>
            <w:tcW w:w="0" w:type="auto"/>
            <w:tcBorders/>
            <w:hideMark/>
          </w:tcPr>
          <w:p>
            <w:pPr>
              <w:pStyle w:val="style0"/>
              <w:rPr>
                <w:lang w:val="en-IN"/>
              </w:rPr>
            </w:pPr>
            <w:r>
              <w:rPr>
                <w:lang w:val="en-IN"/>
              </w:rPr>
              <w:t>Quick Ratio</w:t>
            </w:r>
          </w:p>
        </w:tc>
        <w:tc>
          <w:tcPr>
            <w:tcW w:w="0" w:type="auto"/>
            <w:tcBorders/>
            <w:hideMark/>
          </w:tcPr>
          <w:p>
            <w:pPr>
              <w:pStyle w:val="style0"/>
              <w:rPr>
                <w:lang w:val="en-IN"/>
              </w:rPr>
            </w:pPr>
            <w:r>
              <w:rPr>
                <w:lang w:val="en-IN"/>
              </w:rPr>
              <w:t>(Current Assets − Inventory) ÷ Current Liabilities</w:t>
            </w:r>
          </w:p>
        </w:tc>
        <w:tc>
          <w:tcPr>
            <w:tcW w:w="0" w:type="auto"/>
            <w:tcBorders/>
            <w:hideMark/>
          </w:tcPr>
          <w:p>
            <w:pPr>
              <w:pStyle w:val="style0"/>
              <w:rPr>
                <w:lang w:val="en-IN"/>
              </w:rPr>
            </w:pPr>
            <w:r>
              <w:rPr>
                <w:lang w:val="en-IN"/>
              </w:rPr>
              <w:t>(58,360 − 12,017) ÷ 28,821</w:t>
            </w:r>
          </w:p>
        </w:tc>
        <w:tc>
          <w:tcPr>
            <w:tcW w:w="0" w:type="auto"/>
            <w:tcBorders/>
            <w:hideMark/>
          </w:tcPr>
          <w:p>
            <w:pPr>
              <w:pStyle w:val="style0"/>
              <w:rPr>
                <w:lang w:val="en-IN"/>
              </w:rPr>
            </w:pPr>
            <w:r>
              <w:rPr>
                <w:lang w:val="en-IN"/>
              </w:rPr>
              <w:t>1.61</w:t>
            </w:r>
          </w:p>
        </w:tc>
        <w:tc>
          <w:tcPr>
            <w:tcW w:w="0" w:type="auto"/>
            <w:tcBorders/>
            <w:hideMark/>
          </w:tcPr>
          <w:p>
            <w:pPr>
              <w:pStyle w:val="style0"/>
              <w:rPr>
                <w:lang w:val="en-IN"/>
              </w:rPr>
            </w:pPr>
            <w:r>
              <w:rPr>
                <w:lang w:val="en-IN"/>
              </w:rPr>
              <w:t>(49,616 − 13,626) ÷ 28,748</w:t>
            </w:r>
          </w:p>
        </w:tc>
        <w:tc>
          <w:tcPr>
            <w:tcW w:w="0" w:type="auto"/>
            <w:tcBorders/>
            <w:hideMark/>
          </w:tcPr>
          <w:p>
            <w:pPr>
              <w:pStyle w:val="style0"/>
              <w:rPr>
                <w:lang w:val="en-IN"/>
              </w:rPr>
            </w:pPr>
            <w:r>
              <w:rPr>
                <w:lang w:val="en-IN"/>
              </w:rPr>
              <w:t>1.25</w:t>
            </w:r>
          </w:p>
        </w:tc>
      </w:tr>
    </w:tbl>
    <w:p>
      <w:pPr>
        <w:pStyle w:val="style0"/>
        <w:rPr>
          <w:b/>
          <w:bCs/>
          <w:lang w:val="en-IN"/>
        </w:rPr>
      </w:pPr>
      <w:r>
        <w:rPr>
          <w:b/>
          <w:bCs/>
          <w:lang w:val="en-IN"/>
        </w:rPr>
        <w:t>3. Efficiency Ratios</w:t>
      </w:r>
    </w:p>
    <w:tbl>
      <w:tblPr>
        <w:tblStyle w:val="style154"/>
        <w:tblW w:w="0" w:type="auto"/>
        <w:tblLook w:val="04A0" w:firstRow="1" w:lastRow="0" w:firstColumn="1" w:lastColumn="0" w:noHBand="0" w:noVBand="1"/>
      </w:tblPr>
      <w:tblGrid>
        <w:gridCol w:w="1774"/>
        <w:gridCol w:w="1993"/>
        <w:gridCol w:w="1576"/>
        <w:gridCol w:w="1053"/>
        <w:gridCol w:w="1576"/>
        <w:gridCol w:w="1053"/>
      </w:tblGrid>
      <w:tr>
        <w:trPr/>
        <w:tc>
          <w:tcPr>
            <w:tcW w:w="0" w:type="auto"/>
            <w:tcBorders/>
            <w:hideMark/>
          </w:tcPr>
          <w:p>
            <w:pPr>
              <w:pStyle w:val="style0"/>
              <w:rPr>
                <w:lang w:val="en-IN"/>
              </w:rPr>
            </w:pPr>
            <w:r>
              <w:rPr>
                <w:lang w:val="en-IN"/>
              </w:rPr>
              <w:t>Ratio</w:t>
            </w:r>
          </w:p>
        </w:tc>
        <w:tc>
          <w:tcPr>
            <w:tcW w:w="0" w:type="auto"/>
            <w:tcBorders/>
            <w:hideMark/>
          </w:tcPr>
          <w:p>
            <w:pPr>
              <w:pStyle w:val="style0"/>
              <w:rPr>
                <w:lang w:val="en-IN"/>
              </w:rPr>
            </w:pPr>
            <w:r>
              <w:rPr>
                <w:lang w:val="en-IN"/>
              </w:rPr>
              <w:t>Formula</w:t>
            </w:r>
          </w:p>
        </w:tc>
        <w:tc>
          <w:tcPr>
            <w:tcW w:w="0" w:type="auto"/>
            <w:tcBorders/>
            <w:hideMark/>
          </w:tcPr>
          <w:p>
            <w:pPr>
              <w:pStyle w:val="style0"/>
              <w:rPr>
                <w:lang w:val="en-IN"/>
              </w:rPr>
            </w:pPr>
            <w:r>
              <w:rPr>
                <w:lang w:val="en-IN"/>
              </w:rPr>
              <w:t>2024 Calculation</w:t>
            </w:r>
          </w:p>
        </w:tc>
        <w:tc>
          <w:tcPr>
            <w:tcW w:w="0" w:type="auto"/>
            <w:tcBorders/>
            <w:hideMark/>
          </w:tcPr>
          <w:p>
            <w:pPr>
              <w:pStyle w:val="style0"/>
              <w:rPr>
                <w:lang w:val="en-IN"/>
              </w:rPr>
            </w:pPr>
            <w:r>
              <w:rPr>
                <w:lang w:val="en-IN"/>
              </w:rPr>
              <w:t>2024 Result</w:t>
            </w:r>
          </w:p>
        </w:tc>
        <w:tc>
          <w:tcPr>
            <w:tcW w:w="0" w:type="auto"/>
            <w:tcBorders/>
            <w:hideMark/>
          </w:tcPr>
          <w:p>
            <w:pPr>
              <w:pStyle w:val="style0"/>
              <w:rPr>
                <w:lang w:val="en-IN"/>
              </w:rPr>
            </w:pPr>
            <w:r>
              <w:rPr>
                <w:lang w:val="en-IN"/>
              </w:rPr>
              <w:t>2023 Calculation</w:t>
            </w:r>
          </w:p>
        </w:tc>
        <w:tc>
          <w:tcPr>
            <w:tcW w:w="0" w:type="auto"/>
            <w:tcBorders/>
            <w:hideMark/>
          </w:tcPr>
          <w:p>
            <w:pPr>
              <w:pStyle w:val="style0"/>
              <w:rPr>
                <w:lang w:val="en-IN"/>
              </w:rPr>
            </w:pPr>
            <w:r>
              <w:rPr>
                <w:lang w:val="en-IN"/>
              </w:rPr>
              <w:t>2023 Result</w:t>
            </w:r>
          </w:p>
        </w:tc>
      </w:tr>
      <w:tr>
        <w:tblPrEx/>
        <w:trPr/>
        <w:tc>
          <w:tcPr>
            <w:tcW w:w="0" w:type="auto"/>
            <w:tcBorders/>
            <w:hideMark/>
          </w:tcPr>
          <w:p>
            <w:pPr>
              <w:pStyle w:val="style0"/>
              <w:rPr>
                <w:lang w:val="en-IN"/>
              </w:rPr>
            </w:pPr>
            <w:r>
              <w:rPr>
                <w:lang w:val="en-IN"/>
              </w:rPr>
              <w:t>Inventory Turnover</w:t>
            </w:r>
          </w:p>
        </w:tc>
        <w:tc>
          <w:tcPr>
            <w:tcW w:w="0" w:type="auto"/>
            <w:tcBorders/>
            <w:hideMark/>
          </w:tcPr>
          <w:p>
            <w:pPr>
              <w:pStyle w:val="style0"/>
              <w:rPr>
                <w:lang w:val="en-IN"/>
              </w:rPr>
            </w:pPr>
            <w:r>
              <w:rPr>
                <w:lang w:val="en-IN"/>
              </w:rPr>
              <w:t>Cost of Revenue ÷ Inventory</w:t>
            </w:r>
          </w:p>
        </w:tc>
        <w:tc>
          <w:tcPr>
            <w:tcW w:w="0" w:type="auto"/>
            <w:tcBorders/>
            <w:hideMark/>
          </w:tcPr>
          <w:p>
            <w:pPr>
              <w:pStyle w:val="style0"/>
              <w:rPr>
                <w:lang w:val="en-IN"/>
              </w:rPr>
            </w:pPr>
            <w:r>
              <w:rPr>
                <w:lang w:val="en-IN"/>
              </w:rPr>
              <w:t>80,240 ÷ 12,017</w:t>
            </w:r>
          </w:p>
        </w:tc>
        <w:tc>
          <w:tcPr>
            <w:tcW w:w="0" w:type="auto"/>
            <w:tcBorders/>
            <w:hideMark/>
          </w:tcPr>
          <w:p>
            <w:pPr>
              <w:pStyle w:val="style0"/>
              <w:rPr>
                <w:lang w:val="en-IN"/>
              </w:rPr>
            </w:pPr>
            <w:r>
              <w:rPr>
                <w:lang w:val="en-IN"/>
              </w:rPr>
              <w:t>6.68 times</w:t>
            </w:r>
          </w:p>
        </w:tc>
        <w:tc>
          <w:tcPr>
            <w:tcW w:w="0" w:type="auto"/>
            <w:tcBorders/>
            <w:hideMark/>
          </w:tcPr>
          <w:p>
            <w:pPr>
              <w:pStyle w:val="style0"/>
              <w:rPr>
                <w:lang w:val="en-IN"/>
              </w:rPr>
            </w:pPr>
            <w:r>
              <w:rPr>
                <w:lang w:val="en-IN"/>
              </w:rPr>
              <w:t>79,113 ÷ 13,626</w:t>
            </w:r>
          </w:p>
        </w:tc>
        <w:tc>
          <w:tcPr>
            <w:tcW w:w="0" w:type="auto"/>
            <w:tcBorders/>
            <w:hideMark/>
          </w:tcPr>
          <w:p>
            <w:pPr>
              <w:pStyle w:val="style0"/>
              <w:rPr>
                <w:lang w:val="en-IN"/>
              </w:rPr>
            </w:pPr>
            <w:r>
              <w:rPr>
                <w:lang w:val="en-IN"/>
              </w:rPr>
              <w:t>5.81 times</w:t>
            </w:r>
          </w:p>
        </w:tc>
      </w:tr>
      <w:tr>
        <w:tblPrEx/>
        <w:trPr/>
        <w:tc>
          <w:tcPr>
            <w:tcW w:w="0" w:type="auto"/>
            <w:tcBorders/>
            <w:hideMark/>
          </w:tcPr>
          <w:p>
            <w:pPr>
              <w:pStyle w:val="style0"/>
              <w:rPr>
                <w:lang w:val="en-IN"/>
              </w:rPr>
            </w:pPr>
            <w:r>
              <w:rPr>
                <w:lang w:val="en-IN"/>
              </w:rPr>
              <w:t>Receivables Turnover</w:t>
            </w:r>
          </w:p>
        </w:tc>
        <w:tc>
          <w:tcPr>
            <w:tcW w:w="0" w:type="auto"/>
            <w:tcBorders/>
            <w:hideMark/>
          </w:tcPr>
          <w:p>
            <w:pPr>
              <w:pStyle w:val="style0"/>
              <w:rPr>
                <w:lang w:val="en-IN"/>
              </w:rPr>
            </w:pPr>
            <w:r>
              <w:rPr>
                <w:lang w:val="en-IN"/>
              </w:rPr>
              <w:t>Revenue ÷ Accounts Receivable</w:t>
            </w:r>
          </w:p>
        </w:tc>
        <w:tc>
          <w:tcPr>
            <w:tcW w:w="0" w:type="auto"/>
            <w:tcBorders/>
            <w:hideMark/>
          </w:tcPr>
          <w:p>
            <w:pPr>
              <w:pStyle w:val="style0"/>
              <w:rPr>
                <w:lang w:val="en-IN"/>
              </w:rPr>
            </w:pPr>
            <w:r>
              <w:rPr>
                <w:lang w:val="en-IN"/>
              </w:rPr>
              <w:t>97,690 ÷ 4,418</w:t>
            </w:r>
          </w:p>
        </w:tc>
        <w:tc>
          <w:tcPr>
            <w:tcW w:w="0" w:type="auto"/>
            <w:tcBorders/>
            <w:hideMark/>
          </w:tcPr>
          <w:p>
            <w:pPr>
              <w:pStyle w:val="style0"/>
              <w:rPr>
                <w:lang w:val="en-IN"/>
              </w:rPr>
            </w:pPr>
            <w:r>
              <w:rPr>
                <w:lang w:val="en-IN"/>
              </w:rPr>
              <w:t>22.11 times</w:t>
            </w:r>
          </w:p>
        </w:tc>
        <w:tc>
          <w:tcPr>
            <w:tcW w:w="0" w:type="auto"/>
            <w:tcBorders/>
            <w:hideMark/>
          </w:tcPr>
          <w:p>
            <w:pPr>
              <w:pStyle w:val="style0"/>
              <w:rPr>
                <w:lang w:val="en-IN"/>
              </w:rPr>
            </w:pPr>
            <w:r>
              <w:rPr>
                <w:lang w:val="en-IN"/>
              </w:rPr>
              <w:t>96,773 ÷ 3,508</w:t>
            </w:r>
          </w:p>
        </w:tc>
        <w:tc>
          <w:tcPr>
            <w:tcW w:w="0" w:type="auto"/>
            <w:tcBorders/>
            <w:hideMark/>
          </w:tcPr>
          <w:p>
            <w:pPr>
              <w:pStyle w:val="style0"/>
              <w:rPr>
                <w:lang w:val="en-IN"/>
              </w:rPr>
            </w:pPr>
            <w:r>
              <w:rPr>
                <w:lang w:val="en-IN"/>
              </w:rPr>
              <w:t>27.58 times</w:t>
            </w:r>
          </w:p>
        </w:tc>
      </w:tr>
    </w:tbl>
    <w:p>
      <w:pPr>
        <w:pStyle w:val="style0"/>
        <w:rPr>
          <w:b/>
          <w:bCs/>
          <w:lang w:val="en-IN"/>
        </w:rPr>
      </w:pPr>
      <w:r>
        <w:rPr>
          <w:b/>
          <w:bCs/>
          <w:lang w:val="en-IN"/>
        </w:rPr>
        <w:t>4. Gearing (Leverage) Ratios</w:t>
      </w:r>
    </w:p>
    <w:tbl>
      <w:tblPr>
        <w:tblStyle w:val="style154"/>
        <w:tblW w:w="0" w:type="auto"/>
        <w:tblLook w:val="04A0" w:firstRow="1" w:lastRow="0" w:firstColumn="1" w:lastColumn="0" w:noHBand="0" w:noVBand="1"/>
      </w:tblPr>
      <w:tblGrid>
        <w:gridCol w:w="1294"/>
        <w:gridCol w:w="2421"/>
        <w:gridCol w:w="1595"/>
        <w:gridCol w:w="1060"/>
        <w:gridCol w:w="1595"/>
        <w:gridCol w:w="1060"/>
      </w:tblGrid>
      <w:tr>
        <w:trPr/>
        <w:tc>
          <w:tcPr>
            <w:tcW w:w="0" w:type="auto"/>
            <w:tcBorders/>
            <w:hideMark/>
          </w:tcPr>
          <w:p>
            <w:pPr>
              <w:pStyle w:val="style0"/>
              <w:rPr>
                <w:lang w:val="en-IN"/>
              </w:rPr>
            </w:pPr>
            <w:r>
              <w:rPr>
                <w:lang w:val="en-IN"/>
              </w:rPr>
              <w:t>Ratio</w:t>
            </w:r>
          </w:p>
        </w:tc>
        <w:tc>
          <w:tcPr>
            <w:tcW w:w="0" w:type="auto"/>
            <w:tcBorders/>
            <w:hideMark/>
          </w:tcPr>
          <w:p>
            <w:pPr>
              <w:pStyle w:val="style0"/>
              <w:rPr>
                <w:lang w:val="en-IN"/>
              </w:rPr>
            </w:pPr>
            <w:r>
              <w:rPr>
                <w:lang w:val="en-IN"/>
              </w:rPr>
              <w:t>Formula</w:t>
            </w:r>
          </w:p>
        </w:tc>
        <w:tc>
          <w:tcPr>
            <w:tcW w:w="0" w:type="auto"/>
            <w:tcBorders/>
            <w:hideMark/>
          </w:tcPr>
          <w:p>
            <w:pPr>
              <w:pStyle w:val="style0"/>
              <w:rPr>
                <w:lang w:val="en-IN"/>
              </w:rPr>
            </w:pPr>
            <w:r>
              <w:rPr>
                <w:lang w:val="en-IN"/>
              </w:rPr>
              <w:t>2024 Calculation</w:t>
            </w:r>
          </w:p>
        </w:tc>
        <w:tc>
          <w:tcPr>
            <w:tcW w:w="0" w:type="auto"/>
            <w:tcBorders/>
            <w:hideMark/>
          </w:tcPr>
          <w:p>
            <w:pPr>
              <w:pStyle w:val="style0"/>
              <w:rPr>
                <w:lang w:val="en-IN"/>
              </w:rPr>
            </w:pPr>
            <w:r>
              <w:rPr>
                <w:lang w:val="en-IN"/>
              </w:rPr>
              <w:t>2024 Result</w:t>
            </w:r>
          </w:p>
        </w:tc>
        <w:tc>
          <w:tcPr>
            <w:tcW w:w="0" w:type="auto"/>
            <w:tcBorders/>
            <w:hideMark/>
          </w:tcPr>
          <w:p>
            <w:pPr>
              <w:pStyle w:val="style0"/>
              <w:rPr>
                <w:lang w:val="en-IN"/>
              </w:rPr>
            </w:pPr>
            <w:r>
              <w:rPr>
                <w:lang w:val="en-IN"/>
              </w:rPr>
              <w:t>2023 Calculation</w:t>
            </w:r>
          </w:p>
        </w:tc>
        <w:tc>
          <w:tcPr>
            <w:tcW w:w="0" w:type="auto"/>
            <w:tcBorders/>
            <w:hideMark/>
          </w:tcPr>
          <w:p>
            <w:pPr>
              <w:pStyle w:val="style0"/>
              <w:rPr>
                <w:lang w:val="en-IN"/>
              </w:rPr>
            </w:pPr>
            <w:r>
              <w:rPr>
                <w:lang w:val="en-IN"/>
              </w:rPr>
              <w:t>2023 Result</w:t>
            </w:r>
          </w:p>
        </w:tc>
      </w:tr>
      <w:tr>
        <w:tblPrEx/>
        <w:trPr/>
        <w:tc>
          <w:tcPr>
            <w:tcW w:w="0" w:type="auto"/>
            <w:tcBorders/>
            <w:hideMark/>
          </w:tcPr>
          <w:p>
            <w:pPr>
              <w:pStyle w:val="style0"/>
              <w:rPr>
                <w:lang w:val="en-IN"/>
              </w:rPr>
            </w:pPr>
            <w:r>
              <w:rPr>
                <w:lang w:val="en-IN"/>
              </w:rPr>
              <w:t>Debt to Equity Ratio</w:t>
            </w:r>
          </w:p>
        </w:tc>
        <w:tc>
          <w:tcPr>
            <w:tcW w:w="0" w:type="auto"/>
            <w:tcBorders/>
            <w:hideMark/>
          </w:tcPr>
          <w:p>
            <w:pPr>
              <w:pStyle w:val="style0"/>
              <w:rPr>
                <w:lang w:val="en-IN"/>
              </w:rPr>
            </w:pPr>
            <w:r>
              <w:rPr>
                <w:lang w:val="en-IN"/>
              </w:rPr>
              <w:t>Total Liabilities ÷ Shareholders' Equity</w:t>
            </w:r>
          </w:p>
        </w:tc>
        <w:tc>
          <w:tcPr>
            <w:tcW w:w="0" w:type="auto"/>
            <w:tcBorders/>
            <w:hideMark/>
          </w:tcPr>
          <w:p>
            <w:pPr>
              <w:pStyle w:val="style0"/>
              <w:rPr>
                <w:lang w:val="en-IN"/>
              </w:rPr>
            </w:pPr>
            <w:r>
              <w:rPr>
                <w:lang w:val="en-IN"/>
              </w:rPr>
              <w:t>48,390 ÷ 72,913</w:t>
            </w:r>
          </w:p>
        </w:tc>
        <w:tc>
          <w:tcPr>
            <w:tcW w:w="0" w:type="auto"/>
            <w:tcBorders/>
            <w:hideMark/>
          </w:tcPr>
          <w:p>
            <w:pPr>
              <w:pStyle w:val="style0"/>
              <w:rPr>
                <w:lang w:val="en-IN"/>
              </w:rPr>
            </w:pPr>
            <w:r>
              <w:rPr>
                <w:lang w:val="en-IN"/>
              </w:rPr>
              <w:t>0.66</w:t>
            </w:r>
          </w:p>
        </w:tc>
        <w:tc>
          <w:tcPr>
            <w:tcW w:w="0" w:type="auto"/>
            <w:tcBorders/>
            <w:hideMark/>
          </w:tcPr>
          <w:p>
            <w:pPr>
              <w:pStyle w:val="style0"/>
              <w:rPr>
                <w:lang w:val="en-IN"/>
              </w:rPr>
            </w:pPr>
            <w:r>
              <w:rPr>
                <w:lang w:val="en-IN"/>
              </w:rPr>
              <w:t>43,009 ÷ 62,634</w:t>
            </w:r>
          </w:p>
        </w:tc>
        <w:tc>
          <w:tcPr>
            <w:tcW w:w="0" w:type="auto"/>
            <w:tcBorders/>
            <w:hideMark/>
          </w:tcPr>
          <w:p>
            <w:pPr>
              <w:pStyle w:val="style0"/>
              <w:rPr>
                <w:lang w:val="en-IN"/>
              </w:rPr>
            </w:pPr>
            <w:r>
              <w:rPr>
                <w:lang w:val="en-IN"/>
              </w:rPr>
              <w:t>0.69</w:t>
            </w:r>
          </w:p>
        </w:tc>
      </w:tr>
      <w:tr>
        <w:tblPrEx/>
        <w:trPr/>
        <w:tc>
          <w:tcPr>
            <w:tcW w:w="0" w:type="auto"/>
            <w:tcBorders/>
            <w:hideMark/>
          </w:tcPr>
          <w:p>
            <w:pPr>
              <w:pStyle w:val="style0"/>
              <w:rPr>
                <w:lang w:val="en-IN"/>
              </w:rPr>
            </w:pPr>
            <w:r>
              <w:rPr>
                <w:lang w:val="en-IN"/>
              </w:rPr>
              <w:t>Debt Ratio</w:t>
            </w:r>
          </w:p>
        </w:tc>
        <w:tc>
          <w:tcPr>
            <w:tcW w:w="0" w:type="auto"/>
            <w:tcBorders/>
            <w:hideMark/>
          </w:tcPr>
          <w:p>
            <w:pPr>
              <w:pStyle w:val="style0"/>
              <w:rPr>
                <w:lang w:val="en-IN"/>
              </w:rPr>
            </w:pPr>
            <w:r>
              <w:rPr>
                <w:lang w:val="en-IN"/>
              </w:rPr>
              <w:t>Total Liabilities ÷ Total Assets</w:t>
            </w:r>
          </w:p>
        </w:tc>
        <w:tc>
          <w:tcPr>
            <w:tcW w:w="0" w:type="auto"/>
            <w:tcBorders/>
            <w:hideMark/>
          </w:tcPr>
          <w:p>
            <w:pPr>
              <w:pStyle w:val="style0"/>
              <w:rPr>
                <w:lang w:val="en-IN"/>
              </w:rPr>
            </w:pPr>
            <w:r>
              <w:rPr>
                <w:lang w:val="en-IN"/>
              </w:rPr>
              <w:t>48,390 ÷ 122,070</w:t>
            </w:r>
          </w:p>
        </w:tc>
        <w:tc>
          <w:tcPr>
            <w:tcW w:w="0" w:type="auto"/>
            <w:tcBorders/>
            <w:hideMark/>
          </w:tcPr>
          <w:p>
            <w:pPr>
              <w:pStyle w:val="style0"/>
              <w:rPr>
                <w:lang w:val="en-IN"/>
              </w:rPr>
            </w:pPr>
            <w:r>
              <w:rPr>
                <w:lang w:val="en-IN"/>
              </w:rPr>
              <w:t>0.40</w:t>
            </w:r>
          </w:p>
        </w:tc>
        <w:tc>
          <w:tcPr>
            <w:tcW w:w="0" w:type="auto"/>
            <w:tcBorders/>
            <w:hideMark/>
          </w:tcPr>
          <w:p>
            <w:pPr>
              <w:pStyle w:val="style0"/>
              <w:rPr>
                <w:lang w:val="en-IN"/>
              </w:rPr>
            </w:pPr>
            <w:r>
              <w:rPr>
                <w:lang w:val="en-IN"/>
              </w:rPr>
              <w:t>43,009 ÷ 106,618</w:t>
            </w:r>
          </w:p>
        </w:tc>
        <w:tc>
          <w:tcPr>
            <w:tcW w:w="0" w:type="auto"/>
            <w:tcBorders/>
            <w:hideMark/>
          </w:tcPr>
          <w:p>
            <w:pPr>
              <w:pStyle w:val="style0"/>
              <w:rPr>
                <w:lang w:val="en-IN"/>
              </w:rPr>
            </w:pPr>
            <w:r>
              <w:rPr>
                <w:lang w:val="en-IN"/>
              </w:rPr>
              <w:t>0.40</w:t>
            </w:r>
          </w:p>
        </w:tc>
      </w:tr>
    </w:tbl>
    <w:p>
      <w:pPr>
        <w:pStyle w:val="style0"/>
        <w:rPr>
          <w:b/>
          <w:bCs/>
          <w:lang w:val="en-IN"/>
        </w:rPr>
      </w:pPr>
      <w:r>
        <w:rPr>
          <w:b/>
          <w:bCs/>
          <w:lang w:val="en-IN"/>
        </w:rPr>
        <w:t>5. Investment Ratios</w:t>
      </w:r>
    </w:p>
    <w:tbl>
      <w:tblPr>
        <w:tblStyle w:val="style154"/>
        <w:tblW w:w="0" w:type="auto"/>
        <w:tblLook w:val="04A0" w:firstRow="1" w:lastRow="0" w:firstColumn="1" w:lastColumn="0" w:noHBand="0" w:noVBand="1"/>
      </w:tblPr>
      <w:tblGrid>
        <w:gridCol w:w="1478"/>
        <w:gridCol w:w="1847"/>
        <w:gridCol w:w="1731"/>
        <w:gridCol w:w="1061"/>
        <w:gridCol w:w="1770"/>
        <w:gridCol w:w="1136"/>
      </w:tblGrid>
      <w:tr>
        <w:trPr/>
        <w:tc>
          <w:tcPr>
            <w:tcW w:w="0" w:type="auto"/>
            <w:tcBorders/>
            <w:hideMark/>
          </w:tcPr>
          <w:p>
            <w:pPr>
              <w:pStyle w:val="style0"/>
              <w:rPr>
                <w:lang w:val="en-IN"/>
              </w:rPr>
            </w:pPr>
            <w:r>
              <w:rPr>
                <w:lang w:val="en-IN"/>
              </w:rPr>
              <w:t>Ratio</w:t>
            </w:r>
          </w:p>
        </w:tc>
        <w:tc>
          <w:tcPr>
            <w:tcW w:w="0" w:type="auto"/>
            <w:tcBorders/>
            <w:hideMark/>
          </w:tcPr>
          <w:p>
            <w:pPr>
              <w:pStyle w:val="style0"/>
              <w:rPr>
                <w:lang w:val="en-IN"/>
              </w:rPr>
            </w:pPr>
            <w:r>
              <w:rPr>
                <w:lang w:val="en-IN"/>
              </w:rPr>
              <w:t>Formula</w:t>
            </w:r>
          </w:p>
        </w:tc>
        <w:tc>
          <w:tcPr>
            <w:tcW w:w="0" w:type="auto"/>
            <w:tcBorders/>
            <w:hideMark/>
          </w:tcPr>
          <w:p>
            <w:pPr>
              <w:pStyle w:val="style0"/>
              <w:rPr>
                <w:lang w:val="en-IN"/>
              </w:rPr>
            </w:pPr>
            <w:r>
              <w:rPr>
                <w:lang w:val="en-IN"/>
              </w:rPr>
              <w:t>2024 Calculation</w:t>
            </w:r>
          </w:p>
        </w:tc>
        <w:tc>
          <w:tcPr>
            <w:tcW w:w="0" w:type="auto"/>
            <w:tcBorders/>
            <w:hideMark/>
          </w:tcPr>
          <w:p>
            <w:pPr>
              <w:pStyle w:val="style0"/>
              <w:rPr>
                <w:lang w:val="en-IN"/>
              </w:rPr>
            </w:pPr>
            <w:r>
              <w:rPr>
                <w:lang w:val="en-IN"/>
              </w:rPr>
              <w:t>2024 Result</w:t>
            </w:r>
          </w:p>
        </w:tc>
        <w:tc>
          <w:tcPr>
            <w:tcW w:w="0" w:type="auto"/>
            <w:tcBorders/>
            <w:hideMark/>
          </w:tcPr>
          <w:p>
            <w:pPr>
              <w:pStyle w:val="style0"/>
              <w:rPr>
                <w:lang w:val="en-IN"/>
              </w:rPr>
            </w:pPr>
            <w:r>
              <w:rPr>
                <w:lang w:val="en-IN"/>
              </w:rPr>
              <w:t>2023 Calculation</w:t>
            </w:r>
          </w:p>
        </w:tc>
        <w:tc>
          <w:tcPr>
            <w:tcW w:w="0" w:type="auto"/>
            <w:tcBorders/>
            <w:hideMark/>
          </w:tcPr>
          <w:p>
            <w:pPr>
              <w:pStyle w:val="style0"/>
              <w:rPr>
                <w:lang w:val="en-IN"/>
              </w:rPr>
            </w:pPr>
            <w:r>
              <w:rPr>
                <w:lang w:val="en-IN"/>
              </w:rPr>
              <w:t>2023 Result</w:t>
            </w:r>
          </w:p>
        </w:tc>
      </w:tr>
      <w:tr>
        <w:tblPrEx/>
        <w:trPr/>
        <w:tc>
          <w:tcPr>
            <w:tcW w:w="0" w:type="auto"/>
            <w:tcBorders/>
            <w:hideMark/>
          </w:tcPr>
          <w:p>
            <w:pPr>
              <w:pStyle w:val="style0"/>
              <w:rPr>
                <w:lang w:val="en-IN"/>
              </w:rPr>
            </w:pPr>
            <w:r>
              <w:rPr>
                <w:lang w:val="en-IN"/>
              </w:rPr>
              <w:t>Return on Assets (ROA)</w:t>
            </w:r>
          </w:p>
        </w:tc>
        <w:tc>
          <w:tcPr>
            <w:tcW w:w="0" w:type="auto"/>
            <w:tcBorders/>
            <w:hideMark/>
          </w:tcPr>
          <w:p>
            <w:pPr>
              <w:pStyle w:val="style0"/>
              <w:rPr>
                <w:lang w:val="en-IN"/>
              </w:rPr>
            </w:pPr>
            <w:r>
              <w:rPr>
                <w:lang w:val="en-IN"/>
              </w:rPr>
              <w:t>Net Income ÷ Total Assets ×100</w:t>
            </w:r>
          </w:p>
        </w:tc>
        <w:tc>
          <w:tcPr>
            <w:tcW w:w="0" w:type="auto"/>
            <w:tcBorders/>
            <w:hideMark/>
          </w:tcPr>
          <w:p>
            <w:pPr>
              <w:pStyle w:val="style0"/>
              <w:rPr>
                <w:lang w:val="en-IN"/>
              </w:rPr>
            </w:pPr>
            <w:r>
              <w:rPr>
                <w:lang w:val="en-IN"/>
              </w:rPr>
              <w:t>7,091 ÷ 122,070 ×100</w:t>
            </w:r>
          </w:p>
        </w:tc>
        <w:tc>
          <w:tcPr>
            <w:tcW w:w="0" w:type="auto"/>
            <w:tcBorders/>
            <w:hideMark/>
          </w:tcPr>
          <w:p>
            <w:pPr>
              <w:pStyle w:val="style0"/>
              <w:rPr>
                <w:lang w:val="en-IN"/>
              </w:rPr>
            </w:pPr>
            <w:r>
              <w:rPr>
                <w:lang w:val="en-IN"/>
              </w:rPr>
              <w:t>5.81%</w:t>
            </w:r>
          </w:p>
        </w:tc>
        <w:tc>
          <w:tcPr>
            <w:tcW w:w="0" w:type="auto"/>
            <w:tcBorders/>
            <w:hideMark/>
          </w:tcPr>
          <w:p>
            <w:pPr>
              <w:pStyle w:val="style0"/>
              <w:rPr>
                <w:lang w:val="en-IN"/>
              </w:rPr>
            </w:pPr>
            <w:r>
              <w:rPr>
                <w:lang w:val="en-IN"/>
              </w:rPr>
              <w:t>14,997 ÷ 106,618 ×100</w:t>
            </w:r>
          </w:p>
        </w:tc>
        <w:tc>
          <w:tcPr>
            <w:tcW w:w="0" w:type="auto"/>
            <w:tcBorders/>
            <w:hideMark/>
          </w:tcPr>
          <w:p>
            <w:pPr>
              <w:pStyle w:val="style0"/>
              <w:rPr>
                <w:lang w:val="en-IN"/>
              </w:rPr>
            </w:pPr>
            <w:r>
              <w:rPr>
                <w:lang w:val="en-IN"/>
              </w:rPr>
              <w:t>14.06%</w:t>
            </w:r>
          </w:p>
        </w:tc>
      </w:tr>
      <w:tr>
        <w:tblPrEx/>
        <w:trPr/>
        <w:tc>
          <w:tcPr>
            <w:tcW w:w="0" w:type="auto"/>
            <w:tcBorders/>
            <w:hideMark/>
          </w:tcPr>
          <w:p>
            <w:pPr>
              <w:pStyle w:val="style0"/>
              <w:rPr>
                <w:lang w:val="en-IN"/>
              </w:rPr>
            </w:pPr>
            <w:r>
              <w:rPr>
                <w:lang w:val="en-IN"/>
              </w:rPr>
              <w:t>Return on Equity (ROE)</w:t>
            </w:r>
          </w:p>
        </w:tc>
        <w:tc>
          <w:tcPr>
            <w:tcW w:w="0" w:type="auto"/>
            <w:tcBorders/>
            <w:hideMark/>
          </w:tcPr>
          <w:p>
            <w:pPr>
              <w:pStyle w:val="style0"/>
              <w:rPr>
                <w:lang w:val="en-IN"/>
              </w:rPr>
            </w:pPr>
            <w:r>
              <w:rPr>
                <w:lang w:val="en-IN"/>
              </w:rPr>
              <w:t>Net Income ÷ Equity ×100</w:t>
            </w:r>
          </w:p>
        </w:tc>
        <w:tc>
          <w:tcPr>
            <w:tcW w:w="0" w:type="auto"/>
            <w:tcBorders/>
            <w:hideMark/>
          </w:tcPr>
          <w:p>
            <w:pPr>
              <w:pStyle w:val="style0"/>
              <w:rPr>
                <w:lang w:val="en-IN"/>
              </w:rPr>
            </w:pPr>
            <w:r>
              <w:rPr>
                <w:lang w:val="en-IN"/>
              </w:rPr>
              <w:t>7,091 ÷ 72,913 ×100</w:t>
            </w:r>
          </w:p>
        </w:tc>
        <w:tc>
          <w:tcPr>
            <w:tcW w:w="0" w:type="auto"/>
            <w:tcBorders/>
            <w:hideMark/>
          </w:tcPr>
          <w:p>
            <w:pPr>
              <w:pStyle w:val="style0"/>
              <w:rPr>
                <w:lang w:val="en-IN"/>
              </w:rPr>
            </w:pPr>
            <w:r>
              <w:rPr>
                <w:lang w:val="en-IN"/>
              </w:rPr>
              <w:t>9.73%</w:t>
            </w:r>
          </w:p>
        </w:tc>
        <w:tc>
          <w:tcPr>
            <w:tcW w:w="0" w:type="auto"/>
            <w:tcBorders/>
            <w:hideMark/>
          </w:tcPr>
          <w:p>
            <w:pPr>
              <w:pStyle w:val="style0"/>
              <w:rPr>
                <w:lang w:val="en-IN"/>
              </w:rPr>
            </w:pPr>
            <w:r>
              <w:rPr>
                <w:lang w:val="en-IN"/>
              </w:rPr>
              <w:t>14,997 ÷ 62,634 ×100</w:t>
            </w:r>
          </w:p>
        </w:tc>
        <w:tc>
          <w:tcPr>
            <w:tcW w:w="0" w:type="auto"/>
            <w:tcBorders/>
            <w:hideMark/>
          </w:tcPr>
          <w:p>
            <w:pPr>
              <w:pStyle w:val="style0"/>
              <w:rPr>
                <w:lang w:val="en-IN"/>
              </w:rPr>
            </w:pPr>
            <w:r>
              <w:rPr>
                <w:lang w:val="en-IN"/>
              </w:rPr>
              <w:t>23.94%</w:t>
            </w:r>
          </w:p>
        </w:tc>
      </w:tr>
    </w:tbl>
    <w:p>
      <w:pPr>
        <w:pStyle w:val="style0"/>
        <w:rPr>
          <w:b/>
          <w:bCs/>
          <w:u w:val="single"/>
        </w:rPr>
      </w:pPr>
      <w:r>
        <w:rPr>
          <w:b/>
          <w:bCs/>
          <w:u w:val="single"/>
        </w:rPr>
        <w:t>Investment Appraisal</w:t>
      </w:r>
    </w:p>
    <w:p>
      <w:pPr>
        <w:pStyle w:val="style0"/>
        <w:rPr/>
      </w:pPr>
      <w:r>
        <w:rPr>
          <w:noProof/>
        </w:rPr>
        <w:drawing>
          <wp:inline distL="0" distT="0" distB="0" distR="0">
            <wp:extent cx="5731510" cy="2903220"/>
            <wp:effectExtent l="0" t="0" r="254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6" cstate="print"/>
                    <a:srcRect l="0" t="0" r="0" b="0"/>
                    <a:stretch/>
                  </pic:blipFill>
                  <pic:spPr>
                    <a:xfrm rot="0">
                      <a:off x="0" y="0"/>
                      <a:ext cx="5731510" cy="2903220"/>
                    </a:xfrm>
                    <a:prstGeom prst="rect"/>
                  </pic:spPr>
                </pic:pic>
              </a:graphicData>
            </a:graphic>
          </wp:inline>
        </w:drawing>
      </w:r>
    </w:p>
    <w:sectPr>
      <w:footerReference w:type="default" r:id="rId7"/>
      <w:pgSz w:w="11906" w:h="16838" w:orient="portrait"/>
      <w:pgMar w:top="1440" w:right="1440" w:bottom="1440" w:left="1440" w:header="708" w:footer="708" w:gutter="0"/>
      <w:pgBorders w:zOrder="front" w:display="allPages" w:offsetFrom="page">
        <w:top w:val="thickThinMediumGap" w:sz="18" w:space="24" w:color="auto"/>
        <w:left w:val="thickThinMediumGap" w:sz="18" w:space="24" w:color="auto"/>
        <w:bottom w:val="thinThickMediumGap" w:sz="18" w:space="24" w:color="auto"/>
        <w:right w:val="thinThickMediumGap"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altName w:val="Wingdings"/>
    <w:panose1 w:val="05000000000000000000"/>
    <w:charset w:val="02"/>
    <w:family w:val="auto"/>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Symbol">
    <w:altName w:val="Symbol"/>
    <w:panose1 w:val="05050102010007020507"/>
    <w:charset w:val="02"/>
    <w:family w:val="roman"/>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right"/>
      <w:rPr>
        <w:rFonts w:ascii="Calibri Light" w:cs="宋体" w:eastAsia="宋体" w:hAnsi="Calibri Light"/>
        <w:sz w:val="28"/>
        <w:szCs w:val="28"/>
      </w:rPr>
    </w:pPr>
    <w:r>
      <w:rPr>
        <w:rFonts w:ascii="Calibri Light" w:cs="宋体" w:eastAsia="宋体" w:hAnsi="Calibri Light"/>
        <w:sz w:val="28"/>
        <w:szCs w:val="28"/>
      </w:rPr>
      <w:t xml:space="preserve">pg. </w:t>
    </w:r>
    <w:r>
      <w:rPr>
        <w:rFonts w:ascii="Calibri" w:cs="Times New Roman" w:eastAsia="宋体" w:hAnsi="Calibri"/>
        <w:sz w:val="22"/>
        <w:szCs w:val="22"/>
      </w:rPr>
      <w:fldChar w:fldCharType="begin"/>
    </w:r>
    <w:r>
      <w:instrText>PAGE    \* MERGEFORMAT</w:instrText>
    </w:r>
    <w:r>
      <w:rPr>
        <w:rFonts w:ascii="Calibri" w:cs="Times New Roman" w:eastAsia="宋体" w:hAnsi="Calibri"/>
        <w:sz w:val="22"/>
        <w:szCs w:val="22"/>
      </w:rPr>
      <w:fldChar w:fldCharType="separate"/>
    </w:r>
    <w:r>
      <w:rPr>
        <w:rFonts w:ascii="Calibri Light" w:cs="宋体" w:eastAsia="宋体" w:hAnsi="Calibri Light"/>
        <w:sz w:val="28"/>
        <w:szCs w:val="28"/>
      </w:rPr>
      <w:t>2</w:t>
    </w:r>
    <w:r>
      <w:rPr>
        <w:rFonts w:ascii="Calibri Light" w:cs="宋体" w:eastAsia="宋体" w:hAnsi="Calibri Light"/>
        <w:sz w:val="28"/>
        <w:szCs w:val="28"/>
      </w:rPr>
      <w:fldChar w:fldCharType="end"/>
    </w:r>
  </w:p>
  <w:p>
    <w:pPr>
      <w:pStyle w:val="style32"/>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3F2283C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849AAC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75A6BAE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9120E94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8E8E87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00000005"/>
    <w:multiLevelType w:val="hybridMultilevel"/>
    <w:tmpl w:val="DA3A928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cs="Courier New" w:hAnsi="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cs="Courier New" w:hAnsi="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cs="Courier New" w:hAnsi="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00000006"/>
    <w:multiLevelType w:val="multilevel"/>
    <w:tmpl w:val="5E80EB7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num w:numId="1">
    <w:abstractNumId w:val="1"/>
  </w:num>
  <w:num w:numId="2">
    <w:abstractNumId w:val="5"/>
  </w:num>
  <w:num w:numId="3">
    <w:abstractNumId w:val="2"/>
  </w:num>
  <w:num w:numId="4">
    <w:abstractNumId w:val="4"/>
  </w:num>
  <w:num w:numId="5">
    <w:abstractNumId w:val="3"/>
  </w:num>
  <w:num w:numId="6">
    <w:abstractNumId w:val="6"/>
  </w:num>
  <w:num w:numId="7">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removePersonalInformation/>
  <w:removeDateAndTime/>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4"/>
        <w:szCs w:val="24"/>
        <w:lang w:val="en-IN"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before="240" w:after="240" w:lineRule="auto" w:line="360"/>
      <w:jc w:val="both"/>
    </w:pPr>
    <w:rPr>
      <w:rFonts w:ascii="Arial" w:hAnsi="Arial"/>
      <w:lang w:val="en-GB"/>
    </w:rPr>
  </w:style>
  <w:style w:type="paragraph" w:styleId="style1">
    <w:name w:val="heading 1"/>
    <w:basedOn w:val="style0"/>
    <w:next w:val="style0"/>
    <w:link w:val="style4097"/>
    <w:qFormat/>
    <w:uiPriority w:val="9"/>
    <w:pPr>
      <w:keepNext/>
      <w:keepLines/>
      <w:outlineLvl w:val="0"/>
    </w:pPr>
    <w:rPr>
      <w:rFonts w:cs="宋体" w:eastAsia="宋体"/>
      <w:b/>
      <w:color w:val="000000"/>
      <w:sz w:val="28"/>
      <w:szCs w:val="40"/>
    </w:rPr>
  </w:style>
  <w:style w:type="paragraph" w:styleId="style2">
    <w:name w:val="heading 2"/>
    <w:basedOn w:val="style0"/>
    <w:next w:val="style0"/>
    <w:link w:val="style4098"/>
    <w:qFormat/>
    <w:uiPriority w:val="9"/>
    <w:pPr>
      <w:keepNext/>
      <w:keepLines/>
      <w:outlineLvl w:val="1"/>
    </w:pPr>
    <w:rPr>
      <w:rFonts w:cs="宋体" w:eastAsia="宋体"/>
      <w:b/>
      <w:i/>
      <w:szCs w:val="32"/>
    </w:rPr>
  </w:style>
  <w:style w:type="paragraph" w:styleId="style3">
    <w:name w:val="heading 3"/>
    <w:basedOn w:val="style0"/>
    <w:next w:val="style0"/>
    <w:link w:val="style4099"/>
    <w:qFormat/>
    <w:uiPriority w:val="9"/>
    <w:pPr>
      <w:keepNext/>
      <w:keepLines/>
      <w:spacing w:before="160" w:after="80"/>
      <w:outlineLvl w:val="2"/>
    </w:pPr>
    <w:rPr>
      <w:rFonts w:ascii="Calibri" w:cs="宋体" w:eastAsia="宋体" w:hAnsi="Calibri"/>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ascii="Calibri" w:cs="宋体" w:eastAsia="宋体" w:hAnsi="Calibri"/>
      <w:i/>
      <w:iCs/>
      <w:color w:val="2f5496"/>
    </w:rPr>
  </w:style>
  <w:style w:type="paragraph" w:styleId="style5">
    <w:name w:val="heading 5"/>
    <w:basedOn w:val="style0"/>
    <w:next w:val="style0"/>
    <w:link w:val="style4101"/>
    <w:qFormat/>
    <w:uiPriority w:val="9"/>
    <w:pPr>
      <w:keepNext/>
      <w:keepLines/>
      <w:spacing w:before="80" w:after="40"/>
      <w:outlineLvl w:val="4"/>
    </w:pPr>
    <w:rPr>
      <w:rFonts w:ascii="Calibri" w:cs="宋体"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4"/>
    <w:qFormat/>
    <w:uiPriority w:val="9"/>
    <w:pPr>
      <w:keepNext/>
      <w:keepLines/>
      <w:spacing w:before="0" w:after="0"/>
      <w:outlineLvl w:val="7"/>
    </w:pPr>
    <w:rPr>
      <w:rFonts w:ascii="Calibri" w:cs="宋体" w:eastAsia="宋体" w:hAnsi="Calibri"/>
      <w:i/>
      <w:iCs/>
      <w:color w:val="272727"/>
    </w:rPr>
  </w:style>
  <w:style w:type="paragraph" w:styleId="style9">
    <w:name w:val="heading 9"/>
    <w:basedOn w:val="style0"/>
    <w:next w:val="style0"/>
    <w:link w:val="style4105"/>
    <w:qFormat/>
    <w:uiPriority w:val="9"/>
    <w:pPr>
      <w:keepNext/>
      <w:keepLines/>
      <w:spacing w:before="0"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1 Char_fba723f8-04e5-4da8-912c-1398c086abad"/>
    <w:basedOn w:val="style65"/>
    <w:next w:val="style4097"/>
    <w:link w:val="style1"/>
    <w:uiPriority w:val="9"/>
    <w:rPr>
      <w:rFonts w:ascii="Times New Roman" w:cs="宋体" w:eastAsia="宋体" w:hAnsi="Times New Roman"/>
      <w:b/>
      <w:color w:val="000000"/>
      <w:sz w:val="28"/>
      <w:szCs w:val="40"/>
    </w:rPr>
  </w:style>
  <w:style w:type="character" w:customStyle="1" w:styleId="style4098">
    <w:name w:val="Heading 2 Char_f9ae4ad7-b0ac-45b3-a9f2-a24bc4282a43"/>
    <w:basedOn w:val="style65"/>
    <w:next w:val="style4098"/>
    <w:link w:val="style2"/>
    <w:uiPriority w:val="9"/>
    <w:rPr>
      <w:rFonts w:ascii="Times New Roman" w:cs="宋体" w:eastAsia="宋体" w:hAnsi="Times New Roman"/>
      <w:b/>
      <w:i/>
      <w:szCs w:val="32"/>
    </w:rPr>
  </w:style>
  <w:style w:type="character" w:customStyle="1" w:styleId="style4099">
    <w:name w:val="Heading 3 Char_d3eeef95-7799-4582-b283-1e0b41fdb3f7"/>
    <w:basedOn w:val="style65"/>
    <w:next w:val="style4099"/>
    <w:link w:val="style3"/>
    <w:uiPriority w:val="9"/>
    <w:rPr>
      <w:rFonts w:cs="宋体" w:eastAsia="宋体"/>
      <w:color w:val="2f5496"/>
      <w:sz w:val="28"/>
      <w:szCs w:val="28"/>
      <w:lang w:val="en-GB"/>
    </w:rPr>
  </w:style>
  <w:style w:type="character" w:customStyle="1" w:styleId="style4100">
    <w:name w:val="Heading 4 Char_efa831e6-f0e8-4dca-9a17-3005fa4bc038"/>
    <w:basedOn w:val="style65"/>
    <w:next w:val="style4100"/>
    <w:link w:val="style4"/>
    <w:uiPriority w:val="9"/>
    <w:rPr>
      <w:rFonts w:cs="宋体" w:eastAsia="宋体"/>
      <w:i/>
      <w:iCs/>
      <w:color w:val="2f5496"/>
      <w:lang w:val="en-GB"/>
    </w:rPr>
  </w:style>
  <w:style w:type="character" w:customStyle="1" w:styleId="style4101">
    <w:name w:val="Heading 5 Char_64d02ac1-52b6-4f01-bab1-9d7a4986fb1f"/>
    <w:basedOn w:val="style65"/>
    <w:next w:val="style4101"/>
    <w:link w:val="style5"/>
    <w:uiPriority w:val="9"/>
    <w:rPr>
      <w:rFonts w:cs="宋体" w:eastAsia="宋体"/>
      <w:color w:val="2f5496"/>
      <w:lang w:val="en-GB"/>
    </w:rPr>
  </w:style>
  <w:style w:type="character" w:customStyle="1" w:styleId="style4102">
    <w:name w:val="Heading 6 Char_17f3fc18-116f-4612-aa9f-82c082e24834"/>
    <w:basedOn w:val="style65"/>
    <w:next w:val="style4102"/>
    <w:link w:val="style6"/>
    <w:uiPriority w:val="9"/>
    <w:rPr>
      <w:rFonts w:cs="宋体" w:eastAsia="宋体"/>
      <w:i/>
      <w:iCs/>
      <w:color w:val="595959"/>
      <w:lang w:val="en-GB"/>
    </w:rPr>
  </w:style>
  <w:style w:type="character" w:customStyle="1" w:styleId="style4103">
    <w:name w:val="Heading 7 Char_39d40fec-2c5a-41aa-a513-42d5cb73e54e"/>
    <w:basedOn w:val="style65"/>
    <w:next w:val="style4103"/>
    <w:link w:val="style7"/>
    <w:uiPriority w:val="9"/>
    <w:rPr>
      <w:rFonts w:cs="宋体" w:eastAsia="宋体"/>
      <w:color w:val="595959"/>
      <w:lang w:val="en-GB"/>
    </w:rPr>
  </w:style>
  <w:style w:type="character" w:customStyle="1" w:styleId="style4104">
    <w:name w:val="Heading 8 Char_4cecd481-8cc9-43c4-be95-cd43b9a88ef3"/>
    <w:basedOn w:val="style65"/>
    <w:next w:val="style4104"/>
    <w:link w:val="style8"/>
    <w:uiPriority w:val="9"/>
    <w:rPr>
      <w:rFonts w:cs="宋体" w:eastAsia="宋体"/>
      <w:i/>
      <w:iCs/>
      <w:color w:val="272727"/>
      <w:lang w:val="en-GB"/>
    </w:rPr>
  </w:style>
  <w:style w:type="character" w:customStyle="1" w:styleId="style4105">
    <w:name w:val="Heading 9 Char_b55c22e3-d0f1-40b4-8292-2d8cfe78c97f"/>
    <w:basedOn w:val="style65"/>
    <w:next w:val="style4105"/>
    <w:link w:val="style9"/>
    <w:uiPriority w:val="9"/>
    <w:rPr>
      <w:rFonts w:cs="宋体" w:eastAsia="宋体"/>
      <w:color w:val="272727"/>
      <w:lang w:val="en-GB"/>
    </w:rPr>
  </w:style>
  <w:style w:type="paragraph" w:styleId="style62">
    <w:name w:val="Title"/>
    <w:basedOn w:val="style0"/>
    <w:next w:val="style0"/>
    <w:link w:val="style4106"/>
    <w:qFormat/>
    <w:uiPriority w:val="10"/>
    <w:pPr>
      <w:spacing w:before="0" w:after="80" w:lineRule="auto" w:line="240"/>
      <w:contextualSpacing/>
    </w:pPr>
    <w:rPr>
      <w:rFonts w:ascii="Calibri Light" w:cs="宋体" w:eastAsia="宋体" w:hAnsi="Calibri Light"/>
      <w:spacing w:val="-10"/>
      <w:kern w:val="28"/>
      <w:sz w:val="56"/>
      <w:szCs w:val="56"/>
    </w:rPr>
  </w:style>
  <w:style w:type="character" w:customStyle="1" w:styleId="style4106">
    <w:name w:val="Title Char_28a8443c-0bb3-4b95-a8dc-17e1645d16d3"/>
    <w:basedOn w:val="style65"/>
    <w:next w:val="style4106"/>
    <w:link w:val="style62"/>
    <w:uiPriority w:val="10"/>
    <w:rPr>
      <w:rFonts w:ascii="Calibri Light" w:cs="宋体" w:eastAsia="宋体" w:hAnsi="Calibri Light"/>
      <w:spacing w:val="-10"/>
      <w:kern w:val="28"/>
      <w:sz w:val="56"/>
      <w:szCs w:val="56"/>
      <w:lang w:val="en-GB"/>
    </w:rPr>
  </w:style>
  <w:style w:type="paragraph" w:styleId="style74">
    <w:name w:val="Subtitle"/>
    <w:basedOn w:val="style0"/>
    <w:next w:val="style0"/>
    <w:link w:val="style4107"/>
    <w:qFormat/>
    <w:uiPriority w:val="11"/>
    <w:pPr>
      <w:numPr>
        <w:ilvl w:val="1"/>
        <w:numId w:val="0"/>
      </w:numPr>
      <w:spacing w:after="160"/>
    </w:pPr>
    <w:rPr>
      <w:rFonts w:ascii="Calibri" w:cs="宋体" w:eastAsia="宋体" w:hAnsi="Calibri"/>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lang w:val="en-GB"/>
    </w:rPr>
  </w:style>
  <w:style w:type="paragraph" w:styleId="style180">
    <w:name w:val="Quote"/>
    <w:basedOn w:val="style0"/>
    <w:next w:val="style0"/>
    <w:link w:val="style4108"/>
    <w:qFormat/>
    <w:uiPriority w:val="29"/>
    <w:pPr>
      <w:spacing w:before="160" w:after="160"/>
      <w:jc w:val="center"/>
    </w:pPr>
    <w:rPr>
      <w:i/>
      <w:iCs/>
      <w:color w:val="404040"/>
    </w:rPr>
  </w:style>
  <w:style w:type="character" w:customStyle="1" w:styleId="style4108">
    <w:name w:val="Quote Char_a9f243a6-91f1-434b-9d70-5cc8b0eec592"/>
    <w:basedOn w:val="style65"/>
    <w:next w:val="style4108"/>
    <w:link w:val="style180"/>
    <w:uiPriority w:val="29"/>
    <w:rPr>
      <w:rFonts w:ascii="Times New Roman" w:hAnsi="Times New Roman"/>
      <w:i/>
      <w:iCs/>
      <w:color w:val="404040"/>
      <w:lang w:val="en-GB"/>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e68a1669-0b19-4c30-8481-16b980530cf0"/>
    <w:basedOn w:val="style65"/>
    <w:next w:val="style4109"/>
    <w:link w:val="style181"/>
    <w:uiPriority w:val="30"/>
    <w:rPr>
      <w:rFonts w:ascii="Times New Roman" w:hAnsi="Times New Roman"/>
      <w:i/>
      <w:iCs/>
      <w:color w:val="2f5496"/>
      <w:lang w:val="en-GB"/>
    </w:rPr>
  </w:style>
  <w:style w:type="character" w:styleId="style263">
    <w:name w:val="Intense Reference"/>
    <w:basedOn w:val="style65"/>
    <w:next w:val="style263"/>
    <w:qFormat/>
    <w:uiPriority w:val="32"/>
    <w:rPr>
      <w:b/>
      <w:bCs/>
      <w:smallCaps/>
      <w:color w:val="2f5496"/>
      <w:spacing w:val="5"/>
    </w:rPr>
  </w:style>
  <w:style w:type="paragraph" w:styleId="style31">
    <w:name w:val="header"/>
    <w:basedOn w:val="style0"/>
    <w:next w:val="style31"/>
    <w:link w:val="style4110"/>
    <w:uiPriority w:val="99"/>
    <w:pPr>
      <w:tabs>
        <w:tab w:val="center" w:leader="none" w:pos="4513"/>
        <w:tab w:val="right" w:leader="none" w:pos="9026"/>
      </w:tabs>
      <w:spacing w:before="0" w:after="0" w:lineRule="auto" w:line="240"/>
    </w:pPr>
    <w:rPr/>
  </w:style>
  <w:style w:type="character" w:customStyle="1" w:styleId="style4110">
    <w:name w:val="Header Char_feb178cb-929c-44ef-983c-86b330f8224b"/>
    <w:basedOn w:val="style65"/>
    <w:next w:val="style4110"/>
    <w:link w:val="style31"/>
    <w:uiPriority w:val="99"/>
    <w:rPr>
      <w:rFonts w:ascii="Times New Roman" w:hAnsi="Times New Roman"/>
      <w:lang w:val="en-GB"/>
    </w:rPr>
  </w:style>
  <w:style w:type="paragraph" w:styleId="style32">
    <w:name w:val="footer"/>
    <w:basedOn w:val="style0"/>
    <w:next w:val="style32"/>
    <w:link w:val="style4111"/>
    <w:uiPriority w:val="99"/>
    <w:pPr>
      <w:tabs>
        <w:tab w:val="center" w:leader="none" w:pos="4513"/>
        <w:tab w:val="right" w:leader="none" w:pos="9026"/>
      </w:tabs>
      <w:spacing w:before="0" w:after="0" w:lineRule="auto" w:line="240"/>
    </w:pPr>
    <w:rPr/>
  </w:style>
  <w:style w:type="character" w:customStyle="1" w:styleId="style4111">
    <w:name w:val="Footer Char_8dc0615c-8099-4cd1-bf79-75c891a88589"/>
    <w:basedOn w:val="style65"/>
    <w:next w:val="style4111"/>
    <w:link w:val="style32"/>
    <w:uiPriority w:val="99"/>
    <w:rPr>
      <w:rFonts w:ascii="Times New Roman" w:hAnsi="Times New Roman"/>
      <w:lang w:val="en-GB"/>
    </w:rPr>
  </w:style>
  <w:style w:type="table" w:customStyle="1" w:styleId="style4112">
    <w:name w:val="Grid Table 4 Accent 3"/>
    <w:basedOn w:val="style105"/>
    <w:next w:val="style4112"/>
    <w:uiPriority w:val="49"/>
    <w:pPr>
      <w:spacing w:after="0" w:lineRule="auto" w:line="240"/>
    </w:pPr>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pPr/>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pPr/>
      <w:rPr>
        <w:b/>
        <w:bCs/>
      </w:rPr>
      <w:tblPr/>
      <w:tcPr>
        <w:tcBorders>
          <w:top w:val="double" w:sz="4" w:space="0" w:color="a5a5a5"/>
        </w:tcBorders>
      </w:tcPr>
    </w:tblStylePr>
    <w:tblStylePr w:type="band1Horz">
      <w:pPr/>
      <w:tblPr/>
      <w:tcPr>
        <w:tcBorders/>
        <w:shd w:val="clear" w:color="auto" w:fill="ededed"/>
      </w:tcPr>
    </w:tblStylePr>
    <w:tblStylePr w:type="firstCol">
      <w:pPr/>
      <w:rPr>
        <w:b/>
        <w:bCs/>
      </w:rPr>
      <w:tcPr>
        <w:tcBorders/>
      </w:tcPr>
    </w:tblStylePr>
    <w:tblStylePr w:type="lastCol">
      <w:pPr/>
      <w:rPr>
        <w:b/>
        <w:bCs/>
      </w:rPr>
      <w:tcPr>
        <w:tcBorders/>
      </w:tcPr>
    </w:tblStylePr>
    <w:tblStylePr w:type="band1Vert">
      <w:pPr/>
      <w:tblPr/>
      <w:tcPr>
        <w:tcBorders/>
        <w:shd w:val="clear" w:color="auto" w:fill="ededed"/>
      </w:tcPr>
    </w:tblStylePr>
    <w:tcPr>
      <w:tcBorders/>
    </w:tc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5">
    <w:name w:val="Hyperlink"/>
    <w:basedOn w:val="style65"/>
    <w:next w:val="style85"/>
    <w:uiPriority w:val="99"/>
    <w:rPr>
      <w:color w:val="0563c1"/>
      <w:u w:val="single"/>
    </w:rPr>
  </w:style>
  <w:style w:type="character" w:customStyle="1" w:styleId="style4113">
    <w:name w:val="Unresolved Mention"/>
    <w:basedOn w:val="style65"/>
    <w:next w:val="style4113"/>
    <w:uiPriority w:val="99"/>
    <w:rPr>
      <w:color w:val="605e5c"/>
      <w:shd w:val="clear" w:color="auto" w:fill="e1dfdd"/>
    </w:rPr>
  </w:style>
  <w:style w:type="paragraph" w:styleId="style34">
    <w:name w:val="caption"/>
    <w:basedOn w:val="style0"/>
    <w:next w:val="style0"/>
    <w:qFormat/>
    <w:uiPriority w:val="35"/>
    <w:pPr>
      <w:spacing w:before="0" w:after="200" w:lineRule="auto" w:line="240"/>
    </w:pPr>
    <w:rPr>
      <w:i/>
      <w:iCs/>
      <w:color w:val="44546a"/>
      <w:sz w:val="18"/>
      <w:szCs w:val="18"/>
    </w:rPr>
  </w:style>
  <w:style w:type="table" w:customStyle="1" w:styleId="style4114">
    <w:name w:val="Grid Table 4 Accent 4"/>
    <w:basedOn w:val="style105"/>
    <w:next w:val="style4114"/>
    <w:uiPriority w:val="49"/>
    <w:pPr>
      <w:spacing w:after="0" w:lineRule="auto" w:line="240"/>
    </w:pPr>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pPr/>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pPr/>
      <w:rPr>
        <w:b/>
        <w:bCs/>
      </w:rPr>
      <w:tblPr/>
      <w:tcPr>
        <w:tcBorders>
          <w:top w:val="double" w:sz="4" w:space="0" w:color="ffc000"/>
        </w:tcBorders>
      </w:tcPr>
    </w:tblStylePr>
    <w:tblStylePr w:type="band1Horz">
      <w:pPr/>
      <w:tblPr/>
      <w:tcPr>
        <w:tcBorders/>
        <w:shd w:val="clear" w:color="auto" w:fill="fff2cc"/>
      </w:tcPr>
    </w:tblStylePr>
    <w:tblStylePr w:type="firstCol">
      <w:pPr/>
      <w:rPr>
        <w:b/>
        <w:bCs/>
      </w:rPr>
      <w:tcPr>
        <w:tcBorders/>
      </w:tcPr>
    </w:tblStylePr>
    <w:tblStylePr w:type="lastCol">
      <w:pPr/>
      <w:rPr>
        <w:b/>
        <w:bCs/>
      </w:rPr>
      <w:tcPr>
        <w:tcBorders/>
      </w:tcPr>
    </w:tblStylePr>
    <w:tblStylePr w:type="band1Vert">
      <w:pPr/>
      <w:tblPr/>
      <w:tcPr>
        <w:tcBorders/>
        <w:shd w:val="clear" w:color="auto" w:fill="fff2cc"/>
      </w:tcPr>
    </w:tblStylePr>
    <w:tcPr>
      <w:tcBorders/>
    </w:tcPr>
  </w:style>
  <w:style w:type="paragraph" w:styleId="style266">
    <w:name w:val="TOC Heading"/>
    <w:basedOn w:val="style1"/>
    <w:next w:val="style0"/>
    <w:qFormat/>
    <w:uiPriority w:val="39"/>
    <w:pPr>
      <w:spacing w:after="0" w:lineRule="auto" w:line="259"/>
      <w:jc w:val="left"/>
      <w:outlineLvl w:val="9"/>
    </w:pPr>
    <w:rPr>
      <w:rFonts w:ascii="Calibri Light" w:hAnsi="Calibri Light"/>
      <w:b w:val="false"/>
      <w:color w:val="2f5496"/>
      <w:kern w:val="0"/>
      <w:sz w:val="32"/>
      <w:szCs w:val="32"/>
      <w:lang w:val="en-IN" w:eastAsia="en-IN"/>
      <w14:ligatures xmlns:w14="http://schemas.microsoft.com/office/word/2010/wordml" w14:val="none"/>
    </w:rPr>
  </w:style>
  <w:style w:type="paragraph" w:styleId="style19">
    <w:name w:val="toc 1"/>
    <w:basedOn w:val="style0"/>
    <w:next w:val="style0"/>
    <w:uiPriority w:val="39"/>
    <w:pPr>
      <w:spacing w:after="100"/>
    </w:pPr>
    <w:rPr/>
  </w:style>
  <w:style w:type="paragraph" w:styleId="style20">
    <w:name w:val="toc 2"/>
    <w:basedOn w:val="style0"/>
    <w:next w:val="style0"/>
    <w:uiPriority w:val="39"/>
    <w:pPr>
      <w:spacing w:after="100"/>
      <w:ind w:left="24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theme" Target="theme/theme1.xml"/><Relationship Id="rId10" Type="http://schemas.openxmlformats.org/officeDocument/2006/relationships/settings" Target="settings.xml"/><Relationship Id="rId12" Type="http://schemas.openxmlformats.org/officeDocument/2006/relationships/customXml" Target="../customXml/item1.xml"/><Relationship Id="rId9" Type="http://schemas.openxmlformats.org/officeDocument/2006/relationships/fontTable" Target="fontTable.xml"/><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footer" Target="footer1.xml"/><Relationship Id="rId8"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3462F-4ACA-44BA-8E0F-784048C52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5724</Words>
  <Pages>28</Pages>
  <Characters>32593</Characters>
  <Application>WPS Office</Application>
  <DocSecurity>0</DocSecurity>
  <Paragraphs>335</Paragraphs>
  <ScaleCrop>false</ScaleCrop>
  <LinksUpToDate>false</LinksUpToDate>
  <CharactersWithSpaces>38038</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2026-04-07T05:58:00Z</dcterms:created>
  <dc:creator>WPS Office</dc:creator>
  <lastModifiedBy>MT2111</lastModifiedBy>
  <dcterms:modified xsi:type="dcterms:W3CDTF">2026-04-24T08:53:48Z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eb81b88b-9691-4ee5-9143-ed009226f03b</vt:lpwstr>
  </property>
  <property fmtid="{D5CDD505-2E9C-101B-9397-08002B2CF9AE}" pid="3" name="ICV">
    <vt:lpwstr>b6d0d091de534a98911c6c465b15aaa8</vt:lpwstr>
  </property>
</Properties>
</file>