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26D36" w14:textId="68D7348C" w:rsidR="006A7EA2" w:rsidRDefault="00371537">
      <w:pPr>
        <w:jc w:val="center"/>
        <w:rPr>
          <w:rFonts w:ascii="Arial" w:hAnsi="Arial" w:cs="Arial"/>
          <w:b/>
          <w:bCs/>
          <w:sz w:val="40"/>
          <w:szCs w:val="40"/>
        </w:rPr>
      </w:pPr>
      <w:r>
        <w:rPr>
          <w:rFonts w:ascii="Arial" w:hAnsi="Arial" w:cs="Arial"/>
          <w:b/>
          <w:bCs/>
          <w:sz w:val="40"/>
          <w:szCs w:val="40"/>
        </w:rPr>
        <w:t xml:space="preserve">Criminal law </w:t>
      </w:r>
    </w:p>
    <w:p w14:paraId="4EE48F7A" w14:textId="77777777" w:rsidR="006A7EA2" w:rsidRDefault="00371537">
      <w:pPr>
        <w:jc w:val="center"/>
        <w:rPr>
          <w:rFonts w:ascii="Arial" w:hAnsi="Arial" w:cs="Arial"/>
          <w:b/>
          <w:bCs/>
          <w:sz w:val="40"/>
          <w:szCs w:val="40"/>
        </w:rPr>
      </w:pPr>
      <w:r>
        <w:rPr>
          <w:rFonts w:ascii="Arial" w:hAnsi="Arial" w:cs="Arial"/>
          <w:b/>
          <w:bCs/>
          <w:sz w:val="40"/>
          <w:szCs w:val="40"/>
        </w:rPr>
        <w:t>Liability by Omission</w:t>
      </w:r>
    </w:p>
    <w:p w14:paraId="31611383" w14:textId="77777777" w:rsidR="006A7EA2" w:rsidRDefault="006A7EA2">
      <w:pPr>
        <w:jc w:val="center"/>
        <w:rPr>
          <w:rFonts w:ascii="Arial" w:hAnsi="Arial" w:cs="Arial"/>
          <w:b/>
          <w:bCs/>
          <w:sz w:val="40"/>
          <w:szCs w:val="40"/>
        </w:rPr>
      </w:pPr>
    </w:p>
    <w:p w14:paraId="74365A69" w14:textId="77777777" w:rsidR="006A7EA2" w:rsidRDefault="006A7EA2">
      <w:pPr>
        <w:jc w:val="center"/>
        <w:rPr>
          <w:rFonts w:ascii="Arial" w:hAnsi="Arial" w:cs="Arial"/>
          <w:b/>
          <w:bCs/>
          <w:sz w:val="40"/>
          <w:szCs w:val="40"/>
        </w:rPr>
      </w:pPr>
    </w:p>
    <w:p w14:paraId="64375578" w14:textId="77777777" w:rsidR="006A7EA2" w:rsidRDefault="006A7EA2">
      <w:pPr>
        <w:jc w:val="center"/>
        <w:rPr>
          <w:rFonts w:ascii="Arial" w:hAnsi="Arial" w:cs="Arial"/>
          <w:b/>
          <w:bCs/>
          <w:sz w:val="40"/>
          <w:szCs w:val="40"/>
        </w:rPr>
      </w:pPr>
    </w:p>
    <w:p w14:paraId="39D6C904" w14:textId="77777777" w:rsidR="006A7EA2" w:rsidRDefault="006A7EA2">
      <w:pPr>
        <w:jc w:val="center"/>
        <w:rPr>
          <w:rFonts w:ascii="Arial" w:hAnsi="Arial" w:cs="Arial"/>
          <w:b/>
          <w:bCs/>
          <w:sz w:val="40"/>
          <w:szCs w:val="40"/>
        </w:rPr>
      </w:pPr>
    </w:p>
    <w:p w14:paraId="7FEA71EB" w14:textId="77777777" w:rsidR="006A7EA2" w:rsidRDefault="006A7EA2">
      <w:pPr>
        <w:jc w:val="center"/>
        <w:rPr>
          <w:rFonts w:ascii="Arial" w:hAnsi="Arial" w:cs="Arial"/>
          <w:b/>
          <w:bCs/>
          <w:sz w:val="40"/>
          <w:szCs w:val="40"/>
        </w:rPr>
      </w:pPr>
    </w:p>
    <w:p w14:paraId="602151E9" w14:textId="7253550A" w:rsidR="006A7EA2" w:rsidRPr="004B6E27" w:rsidRDefault="009B6004">
      <w:pPr>
        <w:jc w:val="center"/>
        <w:rPr>
          <w:rFonts w:ascii="Arial" w:hAnsi="Arial" w:cs="Arial"/>
          <w:b/>
          <w:bCs/>
          <w:sz w:val="40"/>
          <w:szCs w:val="40"/>
        </w:rPr>
      </w:pPr>
      <w:r w:rsidRPr="004B6E27">
        <w:rPr>
          <w:rFonts w:ascii="Arial" w:hAnsi="Arial" w:cs="Arial"/>
          <w:b/>
          <w:bCs/>
          <w:sz w:val="40"/>
          <w:szCs w:val="40"/>
        </w:rPr>
        <w:t>Student Name</w:t>
      </w:r>
      <w:r w:rsidR="00371537" w:rsidRPr="004B6E27">
        <w:rPr>
          <w:rFonts w:ascii="Arial" w:hAnsi="Arial" w:cs="Arial"/>
          <w:b/>
          <w:bCs/>
          <w:sz w:val="40"/>
          <w:szCs w:val="40"/>
        </w:rPr>
        <w:t>:</w:t>
      </w:r>
      <w:r w:rsidR="00D40773" w:rsidRPr="004B6E27">
        <w:rPr>
          <w:rFonts w:ascii="Arial" w:hAnsi="Arial" w:cs="Arial"/>
          <w:b/>
          <w:bCs/>
          <w:sz w:val="40"/>
          <w:szCs w:val="40"/>
        </w:rPr>
        <w:t xml:space="preserve"> Carmen Tutu</w:t>
      </w:r>
      <w:r w:rsidR="00371537" w:rsidRPr="004B6E27">
        <w:rPr>
          <w:rFonts w:ascii="Arial" w:hAnsi="Arial" w:cs="Arial"/>
          <w:b/>
          <w:bCs/>
          <w:sz w:val="40"/>
          <w:szCs w:val="40"/>
        </w:rPr>
        <w:tab/>
      </w:r>
    </w:p>
    <w:p w14:paraId="79503620" w14:textId="46E34CB7" w:rsidR="006A7EA2" w:rsidRPr="004B6E27" w:rsidRDefault="00371537">
      <w:pPr>
        <w:rPr>
          <w:rFonts w:ascii="Arial" w:hAnsi="Arial" w:cs="Arial"/>
          <w:b/>
          <w:bCs/>
          <w:sz w:val="40"/>
          <w:szCs w:val="40"/>
        </w:rPr>
      </w:pPr>
      <w:r w:rsidRPr="004B6E27">
        <w:rPr>
          <w:rFonts w:ascii="Arial" w:hAnsi="Arial" w:cs="Arial"/>
          <w:b/>
          <w:bCs/>
          <w:sz w:val="40"/>
          <w:szCs w:val="40"/>
        </w:rPr>
        <w:tab/>
      </w:r>
      <w:r w:rsidRPr="004B6E27">
        <w:rPr>
          <w:rFonts w:ascii="Arial" w:hAnsi="Arial" w:cs="Arial"/>
          <w:b/>
          <w:bCs/>
          <w:sz w:val="40"/>
          <w:szCs w:val="40"/>
        </w:rPr>
        <w:tab/>
        <w:t xml:space="preserve"> </w:t>
      </w:r>
      <w:r w:rsidR="001F7A56" w:rsidRPr="004B6E27">
        <w:rPr>
          <w:rFonts w:ascii="Arial" w:hAnsi="Arial" w:cs="Arial"/>
          <w:b/>
          <w:bCs/>
          <w:sz w:val="40"/>
          <w:szCs w:val="40"/>
        </w:rPr>
        <w:t xml:space="preserve"> Student </w:t>
      </w:r>
      <w:r w:rsidRPr="004B6E27">
        <w:rPr>
          <w:rFonts w:ascii="Arial" w:hAnsi="Arial" w:cs="Arial"/>
          <w:b/>
          <w:bCs/>
          <w:sz w:val="40"/>
          <w:szCs w:val="40"/>
        </w:rPr>
        <w:t>Number:</w:t>
      </w:r>
      <w:r w:rsidRPr="004B6E27">
        <w:rPr>
          <w:rFonts w:ascii="Arial" w:hAnsi="Arial" w:cs="Arial"/>
          <w:b/>
          <w:bCs/>
          <w:sz w:val="40"/>
          <w:szCs w:val="40"/>
        </w:rPr>
        <w:tab/>
      </w:r>
      <w:r w:rsidR="00D40773" w:rsidRPr="004B6E27">
        <w:rPr>
          <w:rFonts w:ascii="Arial" w:hAnsi="Arial" w:cs="Arial"/>
          <w:b/>
          <w:bCs/>
          <w:sz w:val="40"/>
          <w:szCs w:val="40"/>
        </w:rPr>
        <w:t>2207381</w:t>
      </w:r>
    </w:p>
    <w:p w14:paraId="15396BB4" w14:textId="77777777" w:rsidR="006A7EA2" w:rsidRPr="004B6E27" w:rsidRDefault="00371537">
      <w:pPr>
        <w:rPr>
          <w:rFonts w:ascii="Arial" w:hAnsi="Arial" w:cs="Arial"/>
          <w:b/>
          <w:bCs/>
          <w:sz w:val="40"/>
          <w:szCs w:val="40"/>
        </w:rPr>
      </w:pPr>
      <w:r w:rsidRPr="004B6E27">
        <w:rPr>
          <w:rFonts w:ascii="Arial" w:hAnsi="Arial" w:cs="Arial"/>
          <w:b/>
          <w:bCs/>
          <w:sz w:val="40"/>
          <w:szCs w:val="40"/>
        </w:rPr>
        <w:t xml:space="preserve"> </w:t>
      </w:r>
    </w:p>
    <w:p w14:paraId="56E59874" w14:textId="77777777" w:rsidR="006A7EA2" w:rsidRDefault="00371537">
      <w:pPr>
        <w:rPr>
          <w:rFonts w:ascii="Arial" w:hAnsi="Arial" w:cs="Arial"/>
          <w:sz w:val="24"/>
          <w:szCs w:val="24"/>
        </w:rPr>
      </w:pPr>
      <w:r>
        <w:rPr>
          <w:rFonts w:ascii="Arial" w:hAnsi="Arial" w:cs="Arial"/>
          <w:sz w:val="24"/>
          <w:szCs w:val="24"/>
        </w:rPr>
        <w:t xml:space="preserve">  </w:t>
      </w:r>
    </w:p>
    <w:p w14:paraId="41167F98" w14:textId="77777777" w:rsidR="006A7EA2" w:rsidRDefault="006A7EA2">
      <w:pPr>
        <w:rPr>
          <w:rFonts w:ascii="Arial" w:hAnsi="Arial" w:cs="Arial"/>
          <w:sz w:val="24"/>
          <w:szCs w:val="24"/>
        </w:rPr>
      </w:pPr>
    </w:p>
    <w:p w14:paraId="1729C1D0" w14:textId="77777777" w:rsidR="006A7EA2" w:rsidRDefault="006A7EA2">
      <w:pPr>
        <w:rPr>
          <w:rFonts w:ascii="Arial" w:hAnsi="Arial" w:cs="Arial"/>
          <w:sz w:val="24"/>
          <w:szCs w:val="24"/>
        </w:rPr>
      </w:pPr>
    </w:p>
    <w:p w14:paraId="37FD0900" w14:textId="77777777" w:rsidR="006A7EA2" w:rsidRDefault="006A7EA2">
      <w:pPr>
        <w:rPr>
          <w:rFonts w:ascii="Arial" w:hAnsi="Arial" w:cs="Arial"/>
          <w:sz w:val="24"/>
          <w:szCs w:val="24"/>
        </w:rPr>
      </w:pPr>
    </w:p>
    <w:p w14:paraId="014F26EF" w14:textId="77777777" w:rsidR="006A7EA2" w:rsidRDefault="006A7EA2">
      <w:pPr>
        <w:rPr>
          <w:rFonts w:ascii="Arial" w:hAnsi="Arial" w:cs="Arial"/>
          <w:sz w:val="24"/>
          <w:szCs w:val="24"/>
        </w:rPr>
      </w:pPr>
    </w:p>
    <w:p w14:paraId="549561CF" w14:textId="77777777" w:rsidR="006A7EA2" w:rsidRDefault="006A7EA2">
      <w:pPr>
        <w:rPr>
          <w:rFonts w:ascii="Arial" w:hAnsi="Arial" w:cs="Arial"/>
          <w:sz w:val="24"/>
          <w:szCs w:val="24"/>
        </w:rPr>
      </w:pPr>
    </w:p>
    <w:p w14:paraId="01D62AE1" w14:textId="77777777" w:rsidR="006A7EA2" w:rsidRDefault="00371537">
      <w:pPr>
        <w:rPr>
          <w:rFonts w:ascii="Arial" w:hAnsi="Arial" w:cs="Arial"/>
          <w:sz w:val="24"/>
          <w:szCs w:val="24"/>
        </w:rPr>
      </w:pPr>
      <w:r>
        <w:rPr>
          <w:rFonts w:ascii="Arial" w:hAnsi="Arial" w:cs="Arial"/>
          <w:sz w:val="24"/>
          <w:szCs w:val="24"/>
        </w:rPr>
        <w:t xml:space="preserve"> </w:t>
      </w:r>
    </w:p>
    <w:p w14:paraId="1037AF2A" w14:textId="77777777" w:rsidR="006A7EA2" w:rsidRDefault="00371537">
      <w:pPr>
        <w:rPr>
          <w:rFonts w:ascii="Arial" w:hAnsi="Arial" w:cs="Arial"/>
          <w:sz w:val="24"/>
          <w:szCs w:val="24"/>
        </w:rPr>
      </w:pPr>
      <w:r>
        <w:rPr>
          <w:rFonts w:ascii="Arial" w:hAnsi="Arial" w:cs="Arial"/>
          <w:sz w:val="24"/>
          <w:szCs w:val="24"/>
        </w:rPr>
        <w:t xml:space="preserve"> </w:t>
      </w:r>
    </w:p>
    <w:p w14:paraId="4347A54B" w14:textId="77777777" w:rsidR="006A7EA2" w:rsidRDefault="006A7EA2">
      <w:pPr>
        <w:rPr>
          <w:rFonts w:ascii="Arial" w:hAnsi="Arial" w:cs="Arial"/>
          <w:sz w:val="24"/>
          <w:szCs w:val="24"/>
        </w:rPr>
      </w:pPr>
    </w:p>
    <w:p w14:paraId="2E9D0038" w14:textId="77777777" w:rsidR="006A7EA2" w:rsidRDefault="006A7EA2">
      <w:pPr>
        <w:rPr>
          <w:rFonts w:ascii="Arial" w:hAnsi="Arial" w:cs="Arial"/>
          <w:sz w:val="24"/>
          <w:szCs w:val="24"/>
        </w:rPr>
      </w:pPr>
    </w:p>
    <w:p w14:paraId="581E333E" w14:textId="77777777" w:rsidR="006A7EA2" w:rsidRDefault="006A7EA2">
      <w:pPr>
        <w:rPr>
          <w:rFonts w:ascii="Arial" w:hAnsi="Arial" w:cs="Arial"/>
          <w:sz w:val="24"/>
          <w:szCs w:val="24"/>
        </w:rPr>
      </w:pPr>
    </w:p>
    <w:p w14:paraId="19A0B5A1" w14:textId="77777777" w:rsidR="006A7EA2" w:rsidRDefault="006A7EA2">
      <w:pPr>
        <w:rPr>
          <w:rFonts w:ascii="Arial" w:hAnsi="Arial" w:cs="Arial"/>
          <w:sz w:val="24"/>
          <w:szCs w:val="24"/>
        </w:rPr>
      </w:pPr>
    </w:p>
    <w:p w14:paraId="4564AEBD" w14:textId="77777777" w:rsidR="006A7EA2" w:rsidRDefault="006A7EA2">
      <w:pPr>
        <w:rPr>
          <w:rFonts w:ascii="Arial" w:hAnsi="Arial" w:cs="Arial"/>
          <w:sz w:val="24"/>
          <w:szCs w:val="24"/>
        </w:rPr>
      </w:pPr>
    </w:p>
    <w:p w14:paraId="42906CEA" w14:textId="77777777" w:rsidR="006A7EA2" w:rsidRDefault="006A7EA2">
      <w:pPr>
        <w:rPr>
          <w:rFonts w:ascii="Arial" w:hAnsi="Arial" w:cs="Arial"/>
          <w:sz w:val="24"/>
          <w:szCs w:val="24"/>
        </w:rPr>
      </w:pPr>
    </w:p>
    <w:p w14:paraId="39AF2832" w14:textId="77777777" w:rsidR="006A7EA2" w:rsidRDefault="006A7EA2">
      <w:pPr>
        <w:rPr>
          <w:rFonts w:ascii="Arial" w:hAnsi="Arial" w:cs="Arial"/>
          <w:sz w:val="24"/>
          <w:szCs w:val="24"/>
        </w:rPr>
      </w:pPr>
    </w:p>
    <w:p w14:paraId="0FA5E22E" w14:textId="77777777" w:rsidR="006A7EA2" w:rsidRDefault="006A7EA2">
      <w:pPr>
        <w:rPr>
          <w:rFonts w:ascii="Arial" w:hAnsi="Arial" w:cs="Arial"/>
          <w:sz w:val="24"/>
          <w:szCs w:val="24"/>
        </w:rPr>
      </w:pPr>
    </w:p>
    <w:p w14:paraId="69E2B448" w14:textId="77777777" w:rsidR="006A7EA2" w:rsidRDefault="006A7EA2">
      <w:pPr>
        <w:rPr>
          <w:rFonts w:ascii="Arial" w:hAnsi="Arial" w:cs="Arial"/>
          <w:sz w:val="24"/>
          <w:szCs w:val="24"/>
        </w:rPr>
      </w:pPr>
    </w:p>
    <w:p w14:paraId="392B297D" w14:textId="77777777" w:rsidR="006A7EA2" w:rsidRDefault="006A7EA2">
      <w:pPr>
        <w:rPr>
          <w:rFonts w:ascii="Arial" w:hAnsi="Arial" w:cs="Arial"/>
          <w:sz w:val="24"/>
          <w:szCs w:val="24"/>
        </w:rPr>
      </w:pPr>
    </w:p>
    <w:p w14:paraId="47E37980" w14:textId="77777777" w:rsidR="006A7EA2" w:rsidRDefault="006A7EA2">
      <w:pPr>
        <w:rPr>
          <w:rFonts w:ascii="Arial" w:hAnsi="Arial" w:cs="Arial"/>
          <w:sz w:val="24"/>
          <w:szCs w:val="24"/>
        </w:rPr>
      </w:pPr>
    </w:p>
    <w:p w14:paraId="7CB8FC36" w14:textId="77777777" w:rsidR="006A7EA2" w:rsidRDefault="006A7EA2">
      <w:pPr>
        <w:rPr>
          <w:rFonts w:ascii="Arial" w:hAnsi="Arial" w:cs="Arial"/>
          <w:sz w:val="24"/>
          <w:szCs w:val="24"/>
        </w:rPr>
      </w:pPr>
    </w:p>
    <w:p w14:paraId="5FB0A637" w14:textId="77777777" w:rsidR="006A7EA2" w:rsidRDefault="00371537">
      <w:pPr>
        <w:rPr>
          <w:rFonts w:ascii="Arial" w:hAnsi="Arial" w:cs="Arial"/>
          <w:b/>
          <w:bCs/>
          <w:sz w:val="28"/>
          <w:szCs w:val="28"/>
        </w:rPr>
      </w:pPr>
      <w:r>
        <w:rPr>
          <w:rFonts w:ascii="Arial" w:hAnsi="Arial" w:cs="Arial"/>
          <w:b/>
          <w:bCs/>
          <w:sz w:val="28"/>
          <w:szCs w:val="28"/>
        </w:rPr>
        <w:t>Introduction:</w:t>
      </w:r>
    </w:p>
    <w:p w14:paraId="16E57CE6" w14:textId="77777777" w:rsidR="006A7EA2" w:rsidRDefault="00371537">
      <w:pPr>
        <w:rPr>
          <w:rFonts w:ascii="Arial" w:hAnsi="Arial" w:cs="Arial"/>
          <w:sz w:val="24"/>
          <w:szCs w:val="24"/>
        </w:rPr>
      </w:pPr>
      <w:r>
        <w:rPr>
          <w:rFonts w:ascii="Arial" w:hAnsi="Arial" w:cs="Arial"/>
          <w:sz w:val="24"/>
          <w:szCs w:val="24"/>
        </w:rPr>
        <w:t xml:space="preserve">The last surrounding criminal liability in England and Wales is complex area that has been subject to much debate and criticism. Under current law, there is no general duty to act, and individuals can only be held criminally liable for failing to act in certain. Limited circumstances. Some argued that colour is so insufficient in the general duty to act should be introduced. This would mean that in the individual would be required to </w:t>
      </w:r>
      <w:proofErr w:type="gramStart"/>
      <w:r>
        <w:rPr>
          <w:rFonts w:ascii="Arial" w:hAnsi="Arial" w:cs="Arial"/>
          <w:sz w:val="24"/>
          <w:szCs w:val="24"/>
        </w:rPr>
        <w:t>take action</w:t>
      </w:r>
      <w:proofErr w:type="gramEnd"/>
      <w:r>
        <w:rPr>
          <w:rFonts w:ascii="Arial" w:hAnsi="Arial" w:cs="Arial"/>
          <w:sz w:val="24"/>
          <w:szCs w:val="24"/>
        </w:rPr>
        <w:t>. To prevent harm in certain situations, even if they did not directly cause the harm.</w:t>
      </w:r>
    </w:p>
    <w:p w14:paraId="7CF55320" w14:textId="0FB730B3" w:rsidR="006A7EA2" w:rsidRDefault="00371537">
      <w:r>
        <w:rPr>
          <w:rFonts w:ascii="Arial" w:hAnsi="Arial" w:cs="Arial"/>
          <w:sz w:val="24"/>
          <w:szCs w:val="24"/>
        </w:rPr>
        <w:t>In support of this argument, Professor Andrew Ashworth has stated that “the current law is overly restrictive and failed to adequately, protect vulnerable individuals.’ (Advert, 2015). Similarly, Professor Jeremih order has argued that” There should be a general duty to act to protect valuable, and it was, regardless of the relationship between the proprietor and with them</w:t>
      </w:r>
      <w:r w:rsidR="00A021C1">
        <w:rPr>
          <w:rFonts w:ascii="Arial" w:hAnsi="Arial" w:cs="Arial"/>
          <w:sz w:val="24"/>
          <w:szCs w:val="24"/>
        </w:rPr>
        <w:t>.” (</w:t>
      </w:r>
      <w:r>
        <w:rPr>
          <w:rFonts w:ascii="Arial" w:hAnsi="Arial" w:cs="Arial"/>
          <w:sz w:val="24"/>
          <w:szCs w:val="24"/>
        </w:rPr>
        <w:t>Horder,2018)</w:t>
      </w:r>
    </w:p>
    <w:p w14:paraId="6A82EF14" w14:textId="77777777" w:rsidR="006A7EA2" w:rsidRDefault="00371537">
      <w:pPr>
        <w:rPr>
          <w:rFonts w:ascii="Arial" w:hAnsi="Arial" w:cs="Arial"/>
          <w:b/>
          <w:bCs/>
          <w:sz w:val="24"/>
          <w:szCs w:val="24"/>
        </w:rPr>
      </w:pPr>
      <w:r>
        <w:rPr>
          <w:rFonts w:ascii="Arial" w:hAnsi="Arial" w:cs="Arial"/>
          <w:b/>
          <w:bCs/>
          <w:sz w:val="24"/>
          <w:szCs w:val="24"/>
        </w:rPr>
        <w:t>Which part of a crime does failure to act related to?</w:t>
      </w:r>
    </w:p>
    <w:p w14:paraId="3C1AC73B" w14:textId="5AA52D92" w:rsidR="006A7EA2" w:rsidRDefault="00371537">
      <w:r>
        <w:rPr>
          <w:rFonts w:ascii="Arial" w:hAnsi="Arial" w:cs="Arial"/>
          <w:sz w:val="24"/>
          <w:szCs w:val="24"/>
        </w:rPr>
        <w:t xml:space="preserve">The failure to act or omission can relate to various part of a crime, depending on the specific circumstances of the case. Generally, and omission may result in criminal liability, where there is a legal duty to act in the omission cause a prohibited result. In some case, The omission can satisfy actus reus, Or physical element, of the crime in other cases, the omission may relate to the </w:t>
      </w:r>
      <w:proofErr w:type="spellStart"/>
      <w:r>
        <w:rPr>
          <w:rFonts w:ascii="Arial" w:hAnsi="Arial" w:cs="Arial"/>
          <w:sz w:val="24"/>
          <w:szCs w:val="24"/>
        </w:rPr>
        <w:t>mens</w:t>
      </w:r>
      <w:proofErr w:type="spellEnd"/>
      <w:r>
        <w:rPr>
          <w:rFonts w:ascii="Arial" w:hAnsi="Arial" w:cs="Arial"/>
          <w:sz w:val="24"/>
          <w:szCs w:val="24"/>
        </w:rPr>
        <w:t xml:space="preserve"> </w:t>
      </w:r>
      <w:r w:rsidR="00A021C1">
        <w:rPr>
          <w:rFonts w:ascii="Arial" w:hAnsi="Arial" w:cs="Arial"/>
          <w:sz w:val="24"/>
          <w:szCs w:val="24"/>
        </w:rPr>
        <w:t>rea, or</w:t>
      </w:r>
      <w:r>
        <w:rPr>
          <w:rFonts w:ascii="Arial" w:hAnsi="Arial" w:cs="Arial"/>
          <w:sz w:val="24"/>
          <w:szCs w:val="24"/>
        </w:rPr>
        <w:t xml:space="preserve"> mental element, of the crime.</w:t>
      </w:r>
    </w:p>
    <w:p w14:paraId="6A59EAAA" w14:textId="77777777" w:rsidR="006A7EA2" w:rsidRDefault="00371537">
      <w:r>
        <w:rPr>
          <w:rFonts w:ascii="Arial" w:hAnsi="Arial" w:cs="Arial"/>
          <w:sz w:val="24"/>
          <w:szCs w:val="24"/>
        </w:rPr>
        <w:t>One common example of criminal liability by omission is failure to act to prevent harm to be a valuable person, where there is a legal duty to act. For example, in the case of R V Gibson and protector [1918] The defendant, who were the father and stepmother of a child, were found guilty of murdered by a mission for failing to provide adequate food and care to the child, resulting in the child. The court held that the defendant had a legal duty to act, and their failure to do so resulted in criminal liability.</w:t>
      </w:r>
    </w:p>
    <w:p w14:paraId="168C597F" w14:textId="77777777" w:rsidR="006A7EA2" w:rsidRDefault="00371537">
      <w:r>
        <w:rPr>
          <w:rFonts w:ascii="Arial" w:hAnsi="Arial" w:cs="Arial"/>
          <w:sz w:val="24"/>
          <w:szCs w:val="24"/>
        </w:rPr>
        <w:t>Another example of criminal liability by omission is the failure to act to prevent a crime. For instance in R v Miller [1983], the defendant was found guilty of arson by omission for failing to take reasonable steps to extinguish a cigarette he had negligently dropped, which caused a fire. The court held that the defendant had a legal duty to act to prevent the spread of the fire and his failure to do so resulted in criminal liability.</w:t>
      </w:r>
    </w:p>
    <w:p w14:paraId="21521988" w14:textId="77777777" w:rsidR="006A7EA2" w:rsidRDefault="00371537">
      <w:pPr>
        <w:rPr>
          <w:rFonts w:ascii="Arial" w:hAnsi="Arial" w:cs="Arial"/>
          <w:b/>
          <w:bCs/>
          <w:sz w:val="24"/>
          <w:szCs w:val="24"/>
        </w:rPr>
      </w:pPr>
      <w:r>
        <w:rPr>
          <w:rFonts w:ascii="Arial" w:hAnsi="Arial" w:cs="Arial"/>
          <w:b/>
          <w:bCs/>
          <w:sz w:val="24"/>
          <w:szCs w:val="24"/>
        </w:rPr>
        <w:t>Is there a general duty to act in a criminal law?</w:t>
      </w:r>
    </w:p>
    <w:p w14:paraId="65AA3951" w14:textId="77777777" w:rsidR="006A7EA2" w:rsidRDefault="00371537">
      <w:r>
        <w:rPr>
          <w:rFonts w:ascii="Arial" w:hAnsi="Arial" w:cs="Arial"/>
          <w:sz w:val="24"/>
          <w:szCs w:val="24"/>
        </w:rPr>
        <w:t xml:space="preserve">In English law, there is no general duty to act. This means that individuals are not normally required to take action to prevent harm, even if they are aware of the potentially dangerous situation. However, there are some specific circumstances </w:t>
      </w:r>
      <w:r>
        <w:rPr>
          <w:rFonts w:ascii="Arial" w:hAnsi="Arial" w:cs="Arial"/>
          <w:sz w:val="24"/>
          <w:szCs w:val="24"/>
        </w:rPr>
        <w:lastRenderedPageBreak/>
        <w:t>very duty to act can arise., And failure to act can result in criminal liability, for example:</w:t>
      </w:r>
    </w:p>
    <w:p w14:paraId="4E65BA22" w14:textId="77777777" w:rsidR="006A7EA2" w:rsidRDefault="00371537">
      <w:pPr>
        <w:numPr>
          <w:ilvl w:val="0"/>
          <w:numId w:val="1"/>
        </w:numPr>
      </w:pPr>
      <w:r>
        <w:rPr>
          <w:rFonts w:ascii="Arial" w:hAnsi="Arial" w:cs="Arial"/>
          <w:sz w:val="24"/>
          <w:szCs w:val="24"/>
        </w:rPr>
        <w:t xml:space="preserve">Duty arising from a special relationship. A person may have a duty to act if they have a special relationship with the victim, or the person in danger. This may </w:t>
      </w:r>
      <w:proofErr w:type="gramStart"/>
      <w:r>
        <w:rPr>
          <w:rFonts w:ascii="Arial" w:hAnsi="Arial" w:cs="Arial"/>
          <w:sz w:val="24"/>
          <w:szCs w:val="24"/>
        </w:rPr>
        <w:t>including</w:t>
      </w:r>
      <w:proofErr w:type="gramEnd"/>
      <w:r>
        <w:rPr>
          <w:rFonts w:ascii="Arial" w:hAnsi="Arial" w:cs="Arial"/>
          <w:sz w:val="24"/>
          <w:szCs w:val="24"/>
        </w:rPr>
        <w:t xml:space="preserve"> parents duty to protect their child </w:t>
      </w:r>
    </w:p>
    <w:p w14:paraId="2FA27ECC" w14:textId="72FA4A0A" w:rsidR="006A7EA2" w:rsidRDefault="00371537">
      <w:pPr>
        <w:numPr>
          <w:ilvl w:val="0"/>
          <w:numId w:val="1"/>
        </w:numPr>
      </w:pPr>
      <w:r>
        <w:rPr>
          <w:rFonts w:ascii="Arial" w:hAnsi="Arial" w:cs="Arial"/>
          <w:sz w:val="24"/>
          <w:szCs w:val="24"/>
        </w:rPr>
        <w:t xml:space="preserve">or a doctor’s duty to </w:t>
      </w:r>
      <w:r w:rsidR="002E2823">
        <w:rPr>
          <w:rFonts w:ascii="Arial" w:hAnsi="Arial" w:cs="Arial"/>
          <w:sz w:val="24"/>
          <w:szCs w:val="24"/>
        </w:rPr>
        <w:t>care For</w:t>
      </w:r>
      <w:r>
        <w:rPr>
          <w:rFonts w:ascii="Arial" w:hAnsi="Arial" w:cs="Arial"/>
          <w:sz w:val="24"/>
          <w:szCs w:val="24"/>
        </w:rPr>
        <w:t xml:space="preserve"> their patience. Failure to fulfil </w:t>
      </w:r>
      <w:proofErr w:type="gramStart"/>
      <w:r>
        <w:rPr>
          <w:rFonts w:ascii="Arial" w:hAnsi="Arial" w:cs="Arial"/>
          <w:sz w:val="24"/>
          <w:szCs w:val="24"/>
        </w:rPr>
        <w:t>these dirty man</w:t>
      </w:r>
      <w:proofErr w:type="gramEnd"/>
      <w:r>
        <w:rPr>
          <w:rFonts w:ascii="Arial" w:hAnsi="Arial" w:cs="Arial"/>
          <w:sz w:val="24"/>
          <w:szCs w:val="24"/>
        </w:rPr>
        <w:t xml:space="preserve"> is it in criminal liability one example of such a case is R V Gibson and </w:t>
      </w:r>
      <w:r w:rsidR="002E2823">
        <w:rPr>
          <w:rFonts w:ascii="Arial" w:hAnsi="Arial" w:cs="Arial"/>
          <w:sz w:val="24"/>
          <w:szCs w:val="24"/>
        </w:rPr>
        <w:t>protector [</w:t>
      </w:r>
      <w:r>
        <w:rPr>
          <w:rFonts w:ascii="Arial" w:hAnsi="Arial" w:cs="Arial"/>
          <w:sz w:val="24"/>
          <w:szCs w:val="24"/>
        </w:rPr>
        <w:t>1918] Where a father and stepmother were found guilty of a mother, for failing to provide food and a medical attention to their child.</w:t>
      </w:r>
    </w:p>
    <w:p w14:paraId="07E726CA" w14:textId="77777777" w:rsidR="006A7EA2" w:rsidRDefault="00371537">
      <w:pPr>
        <w:numPr>
          <w:ilvl w:val="0"/>
          <w:numId w:val="1"/>
        </w:numPr>
        <w:rPr>
          <w:rFonts w:ascii="Arial" w:hAnsi="Arial" w:cs="Arial"/>
          <w:sz w:val="24"/>
          <w:szCs w:val="24"/>
        </w:rPr>
      </w:pPr>
      <w:r>
        <w:rPr>
          <w:rFonts w:ascii="Arial" w:hAnsi="Arial" w:cs="Arial"/>
          <w:sz w:val="24"/>
          <w:szCs w:val="24"/>
        </w:rPr>
        <w:t xml:space="preserve">Duty arising from a contractual obligation: If a person has entered into a contract or agreement to provide a service or take certain actions, they may have a duty to act. Failure to fulfil this duty may result in criminal liability. An example of this is the case of R v </w:t>
      </w:r>
      <w:proofErr w:type="spellStart"/>
      <w:r>
        <w:rPr>
          <w:rFonts w:ascii="Arial" w:hAnsi="Arial" w:cs="Arial"/>
          <w:sz w:val="24"/>
          <w:szCs w:val="24"/>
        </w:rPr>
        <w:t>Pittwood</w:t>
      </w:r>
      <w:proofErr w:type="spellEnd"/>
      <w:r>
        <w:rPr>
          <w:rFonts w:ascii="Arial" w:hAnsi="Arial" w:cs="Arial"/>
          <w:sz w:val="24"/>
          <w:szCs w:val="24"/>
        </w:rPr>
        <w:t xml:space="preserve"> [1902] where a railway gatekeeper was convicted of manslaughter for failing to close a gate that he was contracted to maintain, resulting in the death of a person who was hit by a train.</w:t>
      </w:r>
    </w:p>
    <w:p w14:paraId="49C7BC38" w14:textId="77777777" w:rsidR="006A7EA2" w:rsidRDefault="00371537">
      <w:pPr>
        <w:numPr>
          <w:ilvl w:val="0"/>
          <w:numId w:val="1"/>
        </w:numPr>
        <w:rPr>
          <w:rFonts w:ascii="Arial" w:hAnsi="Arial" w:cs="Arial"/>
          <w:sz w:val="24"/>
          <w:szCs w:val="24"/>
        </w:rPr>
      </w:pPr>
      <w:r>
        <w:rPr>
          <w:rFonts w:ascii="Arial" w:hAnsi="Arial" w:cs="Arial"/>
          <w:sz w:val="24"/>
          <w:szCs w:val="24"/>
        </w:rPr>
        <w:t>Duty arising from a voluntary assumption of responsibility: If a person voluntarily assumes responsibility for another person's safety or well-being, they may have a duty to act. Failure to fulfil this duty may result in criminal liability. An example of this is the case of R v Miller [1983] where a man was convicted of arson for failing to take action to extinguish a fire he had started in his own home.</w:t>
      </w:r>
    </w:p>
    <w:p w14:paraId="0E8C89F6" w14:textId="77777777" w:rsidR="006A7EA2" w:rsidRDefault="00371537">
      <w:pPr>
        <w:rPr>
          <w:rFonts w:ascii="Arial" w:hAnsi="Arial" w:cs="Arial"/>
          <w:b/>
          <w:bCs/>
          <w:sz w:val="24"/>
          <w:szCs w:val="24"/>
        </w:rPr>
      </w:pPr>
      <w:r>
        <w:rPr>
          <w:rFonts w:ascii="Arial" w:hAnsi="Arial" w:cs="Arial"/>
          <w:b/>
          <w:bCs/>
          <w:sz w:val="24"/>
          <w:szCs w:val="24"/>
        </w:rPr>
        <w:t>What are the requirements for crime to be committed by omission?</w:t>
      </w:r>
    </w:p>
    <w:p w14:paraId="40955F22" w14:textId="77777777" w:rsidR="006A7EA2" w:rsidRDefault="00371537">
      <w:r>
        <w:rPr>
          <w:rFonts w:ascii="Arial" w:hAnsi="Arial" w:cs="Arial"/>
          <w:sz w:val="24"/>
          <w:szCs w:val="24"/>
        </w:rPr>
        <w:t>For crime to be committed by omissions, there are usually several requirements that to be met. These requirements vary, depending on a specific offence, and the</w:t>
      </w:r>
    </w:p>
    <w:p w14:paraId="3D6F811B" w14:textId="77777777" w:rsidR="006A7EA2" w:rsidRDefault="00371537">
      <w:pPr>
        <w:numPr>
          <w:ilvl w:val="0"/>
          <w:numId w:val="2"/>
        </w:numPr>
        <w:rPr>
          <w:rFonts w:ascii="Arial" w:hAnsi="Arial" w:cs="Arial"/>
          <w:sz w:val="24"/>
          <w:szCs w:val="24"/>
        </w:rPr>
      </w:pPr>
      <w:r>
        <w:rPr>
          <w:rFonts w:ascii="Arial" w:hAnsi="Arial" w:cs="Arial"/>
          <w:sz w:val="24"/>
          <w:szCs w:val="24"/>
        </w:rPr>
        <w:t>A legal duty to act: In most cases, there must be a legal duty to act before a crime can be committed by omission. This may arise from a special relationship, a contractual obligation, or a voluntary assumption of responsibility, as I mentioned in my previous response. The duty must be recognised by law, and the person must have a reasonable ability to act on that duty.</w:t>
      </w:r>
    </w:p>
    <w:p w14:paraId="79B8B5E8" w14:textId="77777777" w:rsidR="006A7EA2" w:rsidRDefault="00371537">
      <w:pPr>
        <w:numPr>
          <w:ilvl w:val="0"/>
          <w:numId w:val="2"/>
        </w:numPr>
        <w:rPr>
          <w:rFonts w:ascii="Arial" w:hAnsi="Arial" w:cs="Arial"/>
          <w:sz w:val="24"/>
          <w:szCs w:val="24"/>
        </w:rPr>
      </w:pPr>
      <w:r>
        <w:rPr>
          <w:rFonts w:ascii="Arial" w:hAnsi="Arial" w:cs="Arial"/>
          <w:sz w:val="24"/>
          <w:szCs w:val="24"/>
        </w:rPr>
        <w:t xml:space="preserve">Failure to act: The person must fail to act on their legal duty, either by not </w:t>
      </w:r>
      <w:proofErr w:type="gramStart"/>
      <w:r>
        <w:rPr>
          <w:rFonts w:ascii="Arial" w:hAnsi="Arial" w:cs="Arial"/>
          <w:sz w:val="24"/>
          <w:szCs w:val="24"/>
        </w:rPr>
        <w:t>taking action</w:t>
      </w:r>
      <w:proofErr w:type="gramEnd"/>
      <w:r>
        <w:rPr>
          <w:rFonts w:ascii="Arial" w:hAnsi="Arial" w:cs="Arial"/>
          <w:sz w:val="24"/>
          <w:szCs w:val="24"/>
        </w:rPr>
        <w:t xml:space="preserve"> when they had a duty to do so, or by not taking sufficient action to fulfil their duty.</w:t>
      </w:r>
    </w:p>
    <w:p w14:paraId="3E2781F6" w14:textId="77777777" w:rsidR="006A7EA2" w:rsidRDefault="00371537">
      <w:pPr>
        <w:numPr>
          <w:ilvl w:val="0"/>
          <w:numId w:val="2"/>
        </w:numPr>
        <w:rPr>
          <w:rFonts w:ascii="Arial" w:hAnsi="Arial" w:cs="Arial"/>
          <w:sz w:val="24"/>
          <w:szCs w:val="24"/>
        </w:rPr>
      </w:pPr>
      <w:r>
        <w:rPr>
          <w:rFonts w:ascii="Arial" w:hAnsi="Arial" w:cs="Arial"/>
          <w:sz w:val="24"/>
          <w:szCs w:val="24"/>
        </w:rPr>
        <w:t>Causation: The failure to act must be the cause of the harm or injury that resulted. The harm or injury must be a direct result of the person's failure to act, and the harm must be foreseeable.</w:t>
      </w:r>
    </w:p>
    <w:p w14:paraId="0CB19DCD" w14:textId="77777777" w:rsidR="006A7EA2" w:rsidRDefault="00371537">
      <w:pPr>
        <w:numPr>
          <w:ilvl w:val="0"/>
          <w:numId w:val="2"/>
        </w:numPr>
        <w:rPr>
          <w:rFonts w:ascii="Arial" w:hAnsi="Arial" w:cs="Arial"/>
          <w:sz w:val="24"/>
          <w:szCs w:val="24"/>
        </w:rPr>
      </w:pPr>
      <w:proofErr w:type="spellStart"/>
      <w:r>
        <w:rPr>
          <w:rFonts w:ascii="Arial" w:hAnsi="Arial" w:cs="Arial"/>
          <w:sz w:val="24"/>
          <w:szCs w:val="24"/>
        </w:rPr>
        <w:t>Mens</w:t>
      </w:r>
      <w:proofErr w:type="spellEnd"/>
      <w:r>
        <w:rPr>
          <w:rFonts w:ascii="Arial" w:hAnsi="Arial" w:cs="Arial"/>
          <w:sz w:val="24"/>
          <w:szCs w:val="24"/>
        </w:rPr>
        <w:t xml:space="preserve"> rea: Depending on the offense, there may be a requirement for a guilty state of mind, or </w:t>
      </w:r>
      <w:proofErr w:type="spellStart"/>
      <w:r>
        <w:rPr>
          <w:rFonts w:ascii="Arial" w:hAnsi="Arial" w:cs="Arial"/>
          <w:sz w:val="24"/>
          <w:szCs w:val="24"/>
        </w:rPr>
        <w:t>mens</w:t>
      </w:r>
      <w:proofErr w:type="spellEnd"/>
      <w:r>
        <w:rPr>
          <w:rFonts w:ascii="Arial" w:hAnsi="Arial" w:cs="Arial"/>
          <w:sz w:val="24"/>
          <w:szCs w:val="24"/>
        </w:rPr>
        <w:t xml:space="preserve"> rea. This means that the person must have had a certain mental state, such as intention, knowledge, or recklessness, in relation to their failure to act.</w:t>
      </w:r>
    </w:p>
    <w:p w14:paraId="14FF7660" w14:textId="77777777" w:rsidR="006A7EA2" w:rsidRDefault="006A7EA2">
      <w:pPr>
        <w:rPr>
          <w:rFonts w:ascii="Arial" w:hAnsi="Arial" w:cs="Arial"/>
          <w:sz w:val="24"/>
          <w:szCs w:val="24"/>
        </w:rPr>
      </w:pPr>
    </w:p>
    <w:p w14:paraId="276CFD7E" w14:textId="0E14216B" w:rsidR="006A7EA2" w:rsidRDefault="00371537">
      <w:pPr>
        <w:rPr>
          <w:rFonts w:ascii="Arial" w:hAnsi="Arial" w:cs="Arial"/>
          <w:b/>
          <w:bCs/>
          <w:sz w:val="24"/>
          <w:szCs w:val="24"/>
        </w:rPr>
      </w:pPr>
      <w:r>
        <w:rPr>
          <w:rFonts w:ascii="Arial" w:hAnsi="Arial" w:cs="Arial"/>
          <w:b/>
          <w:bCs/>
          <w:sz w:val="24"/>
          <w:szCs w:val="24"/>
        </w:rPr>
        <w:t xml:space="preserve">When might a common law duty to act </w:t>
      </w:r>
      <w:r w:rsidR="00270C1B">
        <w:rPr>
          <w:rFonts w:ascii="Arial" w:hAnsi="Arial" w:cs="Arial"/>
          <w:b/>
          <w:bCs/>
          <w:sz w:val="24"/>
          <w:szCs w:val="24"/>
        </w:rPr>
        <w:t>arise?</w:t>
      </w:r>
    </w:p>
    <w:p w14:paraId="1B45A298" w14:textId="77777777" w:rsidR="006A7EA2" w:rsidRDefault="00371537">
      <w:r>
        <w:rPr>
          <w:rFonts w:ascii="Arial" w:hAnsi="Arial" w:cs="Arial"/>
          <w:sz w:val="24"/>
          <w:szCs w:val="24"/>
        </w:rPr>
        <w:t>Liability by omission rise, when a person has a legal duty to act, but failed to do so, and as it is that, causes harm or injury, another person. As I mentioned earlier, this legal duty may arise from a special relationship, a contractual obligation, or a voluntary assumption of responsibility.</w:t>
      </w:r>
    </w:p>
    <w:p w14:paraId="597B5033" w14:textId="77777777" w:rsidR="006A7EA2" w:rsidRDefault="00371537">
      <w:r>
        <w:rPr>
          <w:rFonts w:ascii="Arial" w:hAnsi="Arial" w:cs="Arial"/>
          <w:sz w:val="24"/>
          <w:szCs w:val="24"/>
        </w:rPr>
        <w:t xml:space="preserve">It’s worth noting that the introduction of a general duty to act would be significant change to the criminal law, and would require careful consideration of its potential impact on individual rights and </w:t>
      </w:r>
      <w:proofErr w:type="gramStart"/>
      <w:r>
        <w:rPr>
          <w:rFonts w:ascii="Arial" w:hAnsi="Arial" w:cs="Arial"/>
          <w:sz w:val="24"/>
          <w:szCs w:val="24"/>
        </w:rPr>
        <w:t>freedoms .</w:t>
      </w:r>
      <w:proofErr w:type="gramEnd"/>
      <w:r>
        <w:rPr>
          <w:rFonts w:ascii="Arial" w:hAnsi="Arial" w:cs="Arial"/>
          <w:sz w:val="24"/>
          <w:szCs w:val="24"/>
        </w:rPr>
        <w:t xml:space="preserve"> It’s also likely that any such change would Need to be introduced to Legislation, rather than through case law.</w:t>
      </w:r>
    </w:p>
    <w:p w14:paraId="6AC08A18" w14:textId="77777777" w:rsidR="006A7EA2" w:rsidRDefault="00371537">
      <w:pPr>
        <w:rPr>
          <w:rFonts w:ascii="Arial" w:hAnsi="Arial" w:cs="Arial"/>
          <w:sz w:val="24"/>
          <w:szCs w:val="24"/>
        </w:rPr>
      </w:pPr>
      <w:r>
        <w:rPr>
          <w:rFonts w:ascii="Arial" w:hAnsi="Arial" w:cs="Arial"/>
          <w:sz w:val="24"/>
          <w:szCs w:val="24"/>
        </w:rPr>
        <w:t xml:space="preserve">That being said, there have been some cases where the courts have considered whether a general duty to act should exist in certain circumstances. For example, in the case of R v </w:t>
      </w:r>
      <w:proofErr w:type="spellStart"/>
      <w:r>
        <w:rPr>
          <w:rFonts w:ascii="Arial" w:hAnsi="Arial" w:cs="Arial"/>
          <w:sz w:val="24"/>
          <w:szCs w:val="24"/>
        </w:rPr>
        <w:t>Instan</w:t>
      </w:r>
      <w:proofErr w:type="spellEnd"/>
      <w:r>
        <w:rPr>
          <w:rFonts w:ascii="Arial" w:hAnsi="Arial" w:cs="Arial"/>
          <w:sz w:val="24"/>
          <w:szCs w:val="24"/>
        </w:rPr>
        <w:t xml:space="preserve"> [1893] the court held that a niece who lived with her elderly aunt had a duty to care for her and provide her with necessities of life, such as food and medical attention, even though there was no contract or formal obligation to do so. The court held that a general duty to act in these circumstances was implied by law.</w:t>
      </w:r>
    </w:p>
    <w:p w14:paraId="777EA530" w14:textId="77777777" w:rsidR="006A7EA2" w:rsidRDefault="00371537">
      <w:pPr>
        <w:rPr>
          <w:rFonts w:ascii="Arial" w:hAnsi="Arial" w:cs="Arial"/>
          <w:sz w:val="24"/>
          <w:szCs w:val="24"/>
        </w:rPr>
      </w:pPr>
      <w:r>
        <w:rPr>
          <w:rFonts w:ascii="Arial" w:hAnsi="Arial" w:cs="Arial"/>
          <w:sz w:val="24"/>
          <w:szCs w:val="24"/>
        </w:rPr>
        <w:t>R v Stone and Dobinson [1977] In this case, a brother and sister took in their elderly sister, who was in poor health and unable to care for herself. They failed to provide her with adequate food, medical attention, or personal care, and she eventually died as a result. The court held that the brother and sister had a duty of care towards their sister, and that their failure to provide for her amounted to gross negligence manslaughter.</w:t>
      </w:r>
    </w:p>
    <w:p w14:paraId="509426E9" w14:textId="77777777" w:rsidR="006A7EA2" w:rsidRDefault="00371537">
      <w:pPr>
        <w:rPr>
          <w:rFonts w:ascii="Arial" w:hAnsi="Arial" w:cs="Arial"/>
          <w:sz w:val="24"/>
          <w:szCs w:val="24"/>
        </w:rPr>
      </w:pPr>
      <w:r>
        <w:rPr>
          <w:rFonts w:ascii="Arial" w:hAnsi="Arial" w:cs="Arial"/>
          <w:sz w:val="24"/>
          <w:szCs w:val="24"/>
        </w:rPr>
        <w:t>R v Gibbins and Proctor [1918] In this case, a man and his wife deliberately starved his young daughter to death, despite having a legal duty to care for her. The court held that they were guilty of murder, as they had a clear duty to act and their failure to do so amounted to an intentional act that caused the child's death.</w:t>
      </w:r>
    </w:p>
    <w:p w14:paraId="5EA597E0" w14:textId="44691CCD" w:rsidR="006A7EA2" w:rsidRDefault="00371537">
      <w:pPr>
        <w:rPr>
          <w:rFonts w:ascii="Arial" w:hAnsi="Arial" w:cs="Arial"/>
          <w:sz w:val="24"/>
          <w:szCs w:val="24"/>
        </w:rPr>
      </w:pPr>
      <w:r>
        <w:rPr>
          <w:rFonts w:ascii="Arial" w:hAnsi="Arial" w:cs="Arial"/>
          <w:sz w:val="24"/>
          <w:szCs w:val="24"/>
        </w:rPr>
        <w:t xml:space="preserve">R v Miller [1983]: In this case, the defendant fell asleep in his flat while smoking a cigarette, which caused a fire. He woke up and moved to another </w:t>
      </w:r>
      <w:r w:rsidR="00270C1B">
        <w:rPr>
          <w:rFonts w:ascii="Arial" w:hAnsi="Arial" w:cs="Arial"/>
          <w:sz w:val="24"/>
          <w:szCs w:val="24"/>
        </w:rPr>
        <w:t>room but</w:t>
      </w:r>
      <w:r>
        <w:rPr>
          <w:rFonts w:ascii="Arial" w:hAnsi="Arial" w:cs="Arial"/>
          <w:sz w:val="24"/>
          <w:szCs w:val="24"/>
        </w:rPr>
        <w:t xml:space="preserve"> did not take any steps to put out the fire or call for help. The court held that he had a duty to take reasonable steps to prevent the fire from spreading, and his failure to do so amounted to a criminal act of arson.</w:t>
      </w:r>
    </w:p>
    <w:p w14:paraId="11C06769" w14:textId="77777777" w:rsidR="006A7EA2" w:rsidRDefault="006A7EA2">
      <w:pPr>
        <w:rPr>
          <w:rFonts w:ascii="Arial" w:hAnsi="Arial" w:cs="Arial"/>
          <w:sz w:val="24"/>
          <w:szCs w:val="24"/>
        </w:rPr>
      </w:pPr>
    </w:p>
    <w:p w14:paraId="1D4BE45D" w14:textId="2E77898F" w:rsidR="006A7EA2" w:rsidRDefault="00371537">
      <w:r>
        <w:rPr>
          <w:rFonts w:ascii="Arial" w:hAnsi="Arial" w:cs="Arial"/>
          <w:b/>
          <w:bCs/>
          <w:sz w:val="24"/>
          <w:szCs w:val="24"/>
        </w:rPr>
        <w:t>What are they p</w:t>
      </w:r>
      <w:r w:rsidR="009E6AE2">
        <w:rPr>
          <w:rFonts w:ascii="Arial" w:hAnsi="Arial" w:cs="Arial"/>
          <w:b/>
          <w:bCs/>
          <w:sz w:val="24"/>
          <w:szCs w:val="24"/>
        </w:rPr>
        <w:t>ros</w:t>
      </w:r>
      <w:r>
        <w:rPr>
          <w:rFonts w:ascii="Arial" w:hAnsi="Arial" w:cs="Arial"/>
          <w:b/>
          <w:bCs/>
          <w:sz w:val="24"/>
          <w:szCs w:val="24"/>
        </w:rPr>
        <w:t xml:space="preserve"> and </w:t>
      </w:r>
      <w:r w:rsidR="00270C1B">
        <w:rPr>
          <w:rFonts w:ascii="Arial" w:hAnsi="Arial" w:cs="Arial"/>
          <w:b/>
          <w:bCs/>
          <w:sz w:val="24"/>
          <w:szCs w:val="24"/>
        </w:rPr>
        <w:t>cons</w:t>
      </w:r>
      <w:r w:rsidR="00270C1B">
        <w:rPr>
          <w:rFonts w:ascii="Arial" w:hAnsi="Arial" w:cs="Arial"/>
          <w:sz w:val="24"/>
          <w:szCs w:val="24"/>
        </w:rPr>
        <w:t>?</w:t>
      </w:r>
    </w:p>
    <w:p w14:paraId="038486A0" w14:textId="77777777" w:rsidR="006A7EA2" w:rsidRDefault="00371537">
      <w:pPr>
        <w:rPr>
          <w:rFonts w:ascii="Arial" w:hAnsi="Arial" w:cs="Arial"/>
          <w:sz w:val="24"/>
          <w:szCs w:val="24"/>
        </w:rPr>
      </w:pPr>
      <w:r>
        <w:rPr>
          <w:rFonts w:ascii="Arial" w:hAnsi="Arial" w:cs="Arial"/>
          <w:sz w:val="24"/>
          <w:szCs w:val="24"/>
        </w:rPr>
        <w:t>There are arguments both in favour of and against introducing a general duty to act in criminal law. Here are some pros and cons of introducing such a duty, along with relevant cases:</w:t>
      </w:r>
    </w:p>
    <w:p w14:paraId="0E2D5C81" w14:textId="77777777" w:rsidR="006A7EA2" w:rsidRDefault="00371537">
      <w:pPr>
        <w:rPr>
          <w:rFonts w:ascii="Arial" w:hAnsi="Arial" w:cs="Arial"/>
          <w:sz w:val="24"/>
          <w:szCs w:val="24"/>
        </w:rPr>
      </w:pPr>
      <w:r>
        <w:rPr>
          <w:rFonts w:ascii="Arial" w:hAnsi="Arial" w:cs="Arial"/>
          <w:sz w:val="24"/>
          <w:szCs w:val="24"/>
        </w:rPr>
        <w:t>Pros:</w:t>
      </w:r>
    </w:p>
    <w:p w14:paraId="7D427310" w14:textId="77777777" w:rsidR="006A7EA2" w:rsidRDefault="00371537">
      <w:pPr>
        <w:numPr>
          <w:ilvl w:val="0"/>
          <w:numId w:val="3"/>
        </w:numPr>
        <w:rPr>
          <w:rFonts w:ascii="Arial" w:hAnsi="Arial" w:cs="Arial"/>
          <w:sz w:val="24"/>
          <w:szCs w:val="24"/>
        </w:rPr>
      </w:pPr>
      <w:r>
        <w:rPr>
          <w:rFonts w:ascii="Arial" w:hAnsi="Arial" w:cs="Arial"/>
          <w:sz w:val="24"/>
          <w:szCs w:val="24"/>
        </w:rPr>
        <w:t xml:space="preserve">Greater protection of vulnerable individuals: Introducing a general duty to act could provide greater protection to vulnerable individuals who may be at risk of harm due to the inaction of others. </w:t>
      </w:r>
    </w:p>
    <w:p w14:paraId="79452179" w14:textId="77777777" w:rsidR="006A7EA2" w:rsidRDefault="00371537">
      <w:pPr>
        <w:numPr>
          <w:ilvl w:val="0"/>
          <w:numId w:val="3"/>
        </w:numPr>
        <w:rPr>
          <w:rFonts w:ascii="Arial" w:hAnsi="Arial" w:cs="Arial"/>
          <w:sz w:val="24"/>
          <w:szCs w:val="24"/>
        </w:rPr>
      </w:pPr>
      <w:r>
        <w:rPr>
          <w:rFonts w:ascii="Arial" w:hAnsi="Arial" w:cs="Arial"/>
          <w:sz w:val="24"/>
          <w:szCs w:val="24"/>
        </w:rPr>
        <w:lastRenderedPageBreak/>
        <w:t xml:space="preserve">Increased accountability: A general duty to act could increase the accountability of individuals who have a special relationship with the victim, such as family members, caregivers, or employers. It could also make it easier to prosecute cases where individuals have failed to act, as the legal duty to act would be clear. </w:t>
      </w:r>
    </w:p>
    <w:p w14:paraId="6C22181D" w14:textId="77777777" w:rsidR="006A7EA2" w:rsidRDefault="00371537">
      <w:pPr>
        <w:ind w:left="720"/>
        <w:rPr>
          <w:rFonts w:ascii="Arial" w:hAnsi="Arial" w:cs="Arial"/>
          <w:sz w:val="24"/>
          <w:szCs w:val="24"/>
        </w:rPr>
      </w:pPr>
      <w:r>
        <w:rPr>
          <w:rFonts w:ascii="Arial" w:hAnsi="Arial" w:cs="Arial"/>
          <w:sz w:val="24"/>
          <w:szCs w:val="24"/>
        </w:rPr>
        <w:t>Cons:</w:t>
      </w:r>
    </w:p>
    <w:p w14:paraId="730405CC" w14:textId="77777777" w:rsidR="006A7EA2" w:rsidRDefault="00371537">
      <w:pPr>
        <w:numPr>
          <w:ilvl w:val="0"/>
          <w:numId w:val="4"/>
        </w:numPr>
        <w:rPr>
          <w:rFonts w:ascii="Arial" w:hAnsi="Arial" w:cs="Arial"/>
          <w:sz w:val="24"/>
          <w:szCs w:val="24"/>
        </w:rPr>
      </w:pPr>
      <w:r>
        <w:rPr>
          <w:rFonts w:ascii="Arial" w:hAnsi="Arial" w:cs="Arial"/>
          <w:sz w:val="24"/>
          <w:szCs w:val="24"/>
        </w:rPr>
        <w:t xml:space="preserve">Potential for unjust prosecution: Introducing a general duty to act could result in the unjust prosecution of individuals who were not aware of the harm or danger posed to the victim, or who were unable to act due to factors outside their control. This could lead to the criminalisation of individuals who are not blameworthy. </w:t>
      </w:r>
    </w:p>
    <w:p w14:paraId="7C5F4749" w14:textId="160647B6" w:rsidR="006A7EA2" w:rsidRDefault="00371537">
      <w:pPr>
        <w:numPr>
          <w:ilvl w:val="0"/>
          <w:numId w:val="4"/>
        </w:numPr>
      </w:pPr>
      <w:r>
        <w:rPr>
          <w:rFonts w:ascii="Arial" w:hAnsi="Arial" w:cs="Arial"/>
          <w:sz w:val="24"/>
          <w:szCs w:val="24"/>
        </w:rPr>
        <w:t xml:space="preserve">Burden on individuals: A general duty to act could place an unreasonable burden on individuals who may not have the necessary skills, resources, or knowledge to prevent harm. This could lead to a situation where individuals are held criminally liable for failing to act, even if they were not capable </w:t>
      </w:r>
      <w:r w:rsidR="00A021C1">
        <w:rPr>
          <w:rFonts w:ascii="Arial" w:hAnsi="Arial" w:cs="Arial"/>
          <w:sz w:val="24"/>
          <w:szCs w:val="24"/>
        </w:rPr>
        <w:t>of preventing</w:t>
      </w:r>
      <w:r>
        <w:rPr>
          <w:rFonts w:ascii="Arial" w:hAnsi="Arial" w:cs="Arial"/>
          <w:sz w:val="24"/>
          <w:szCs w:val="24"/>
        </w:rPr>
        <w:t xml:space="preserve"> the harm. </w:t>
      </w:r>
      <w:r>
        <w:rPr>
          <w:rFonts w:ascii="Arial" w:hAnsi="Arial" w:cs="Arial"/>
          <w:noProof/>
          <w:sz w:val="24"/>
          <w:szCs w:val="24"/>
        </w:rPr>
        <mc:AlternateContent>
          <mc:Choice Requires="wps">
            <w:drawing>
              <wp:inline distT="0" distB="0" distL="0" distR="0" wp14:anchorId="0D849082" wp14:editId="31A87F9A">
                <wp:extent cx="304166" cy="304166"/>
                <wp:effectExtent l="0" t="0" r="634" b="634"/>
                <wp:docPr id="1" name="Rectangle 2"/>
                <wp:cNvGraphicFramePr/>
                <a:graphic xmlns:a="http://schemas.openxmlformats.org/drawingml/2006/main">
                  <a:graphicData uri="http://schemas.microsoft.com/office/word/2010/wordprocessingShape">
                    <wps:wsp>
                      <wps:cNvSpPr/>
                      <wps:spPr>
                        <a:xfrm>
                          <a:off x="0" y="0"/>
                          <a:ext cx="304166" cy="304166"/>
                        </a:xfrm>
                        <a:prstGeom prst="rect">
                          <a:avLst/>
                        </a:prstGeom>
                        <a:noFill/>
                        <a:ln cap="flat">
                          <a:noFill/>
                          <a:prstDash val="solid"/>
                        </a:ln>
                      </wps:spPr>
                      <wps:bodyPr lIns="0" tIns="0" rIns="0" bIns="0"/>
                    </wps:wsp>
                  </a:graphicData>
                </a:graphic>
              </wp:inline>
            </w:drawing>
          </mc:Choice>
          <mc:Fallback>
            <w:pict>
              <v:rect w14:anchorId="349BC061" id="Rectangle 2" o:spid="_x0000_s1026" style="width:23.95pt;height: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" filled="f" stroked="f">
                <v:textbox inset="0,0,0,0"/>
                <w10:anchorlock/>
              </v:rect>
            </w:pict>
          </mc:Fallback>
        </mc:AlternateContent>
      </w:r>
      <w:r>
        <w:rPr>
          <w:rFonts w:ascii="Arial" w:hAnsi="Arial" w:cs="Arial"/>
          <w:noProof/>
          <w:sz w:val="24"/>
          <w:szCs w:val="24"/>
        </w:rPr>
        <mc:AlternateContent>
          <mc:Choice Requires="wps">
            <w:drawing>
              <wp:inline distT="0" distB="0" distL="0" distR="0" wp14:anchorId="28340F83" wp14:editId="7043E2E3">
                <wp:extent cx="304166" cy="304166"/>
                <wp:effectExtent l="0" t="0" r="634" b="634"/>
                <wp:docPr id="2" name="Rectangle 1" descr="iman13@live.com"/>
                <wp:cNvGraphicFramePr/>
                <a:graphic xmlns:a="http://schemas.openxmlformats.org/drawingml/2006/main">
                  <a:graphicData uri="http://schemas.microsoft.com/office/word/2010/wordprocessingShape">
                    <wps:wsp>
                      <wps:cNvSpPr/>
                      <wps:spPr>
                        <a:xfrm>
                          <a:off x="0" y="0"/>
                          <a:ext cx="304166" cy="304166"/>
                        </a:xfrm>
                        <a:prstGeom prst="rect">
                          <a:avLst/>
                        </a:prstGeom>
                        <a:noFill/>
                        <a:ln cap="flat">
                          <a:noFill/>
                          <a:prstDash val="solid"/>
                        </a:ln>
                      </wps:spPr>
                      <wps:bodyPr lIns="0" tIns="0" rIns="0" bIns="0"/>
                    </wps:wsp>
                  </a:graphicData>
                </a:graphic>
              </wp:inline>
            </w:drawing>
          </mc:Choice>
          <mc:Fallback>
            <w:pict>
              <v:rect w14:anchorId="05E689C1" id="Rectangle 1" o:spid="_x0000_s1026" alt="iman13@live.com" style="width:23.95pt;height: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" filled="f" stroked="f">
                <v:textbox inset="0,0,0,0"/>
                <w10:anchorlock/>
              </v:rect>
            </w:pict>
          </mc:Fallback>
        </mc:AlternateContent>
      </w:r>
    </w:p>
    <w:p w14:paraId="6E3EB62D" w14:textId="77777777" w:rsidR="006A7EA2" w:rsidRDefault="00371537">
      <w:pPr>
        <w:rPr>
          <w:rFonts w:ascii="Arial" w:hAnsi="Arial" w:cs="Arial"/>
          <w:b/>
          <w:bCs/>
          <w:sz w:val="24"/>
          <w:szCs w:val="24"/>
        </w:rPr>
      </w:pPr>
      <w:r>
        <w:rPr>
          <w:rFonts w:ascii="Arial" w:hAnsi="Arial" w:cs="Arial"/>
          <w:b/>
          <w:bCs/>
          <w:sz w:val="24"/>
          <w:szCs w:val="24"/>
        </w:rPr>
        <w:t>is this something which is likely to be introduced in future?</w:t>
      </w:r>
    </w:p>
    <w:p w14:paraId="76DFC385" w14:textId="77777777" w:rsidR="006A7EA2" w:rsidRDefault="00371537">
      <w:pPr>
        <w:rPr>
          <w:rFonts w:ascii="Arial" w:hAnsi="Arial" w:cs="Arial"/>
          <w:sz w:val="24"/>
          <w:szCs w:val="24"/>
        </w:rPr>
      </w:pPr>
      <w:r>
        <w:rPr>
          <w:rFonts w:ascii="Arial" w:hAnsi="Arial" w:cs="Arial"/>
          <w:sz w:val="24"/>
          <w:szCs w:val="24"/>
        </w:rPr>
        <w:t>It's difficult to predict whether a general duty to act will be introduced in the future. The decision to introduce such a duty would require careful consideration of a range of factors, including the potential benefits and drawbacks, the specific circumstances in which it would apply, and the views of stakeholders such as legal practitioners, academics, and the public.</w:t>
      </w:r>
    </w:p>
    <w:p w14:paraId="015CCA2B" w14:textId="77777777" w:rsidR="006A7EA2" w:rsidRDefault="00371537">
      <w:pPr>
        <w:rPr>
          <w:rFonts w:ascii="Arial" w:hAnsi="Arial" w:cs="Arial"/>
          <w:sz w:val="24"/>
          <w:szCs w:val="24"/>
        </w:rPr>
      </w:pPr>
      <w:r>
        <w:rPr>
          <w:rFonts w:ascii="Arial" w:hAnsi="Arial" w:cs="Arial"/>
          <w:sz w:val="24"/>
          <w:szCs w:val="24"/>
        </w:rPr>
        <w:t>It's worth noting that there have been calls for the introduction of a general duty to act in some contexts, such as in cases involving child abuse or neglect, but there is currently no consensus on whether such a duty is necessary or appropriate in other areas of criminal law.</w:t>
      </w:r>
    </w:p>
    <w:p w14:paraId="5FC4890B" w14:textId="77777777" w:rsidR="006A7EA2" w:rsidRDefault="00371537">
      <w:pPr>
        <w:rPr>
          <w:rFonts w:ascii="Arial" w:hAnsi="Arial" w:cs="Arial"/>
          <w:sz w:val="24"/>
          <w:szCs w:val="24"/>
        </w:rPr>
      </w:pPr>
      <w:r>
        <w:rPr>
          <w:rFonts w:ascii="Arial" w:hAnsi="Arial" w:cs="Arial"/>
          <w:sz w:val="24"/>
          <w:szCs w:val="24"/>
        </w:rPr>
        <w:t>In any case, any significant changes to the law are typically the result of lengthy and complex processes involving consultation, legislative drafting, and parliamentary scrutiny.</w:t>
      </w:r>
    </w:p>
    <w:p w14:paraId="11CA5865" w14:textId="77777777" w:rsidR="006A7EA2" w:rsidRDefault="006A7EA2">
      <w:pPr>
        <w:rPr>
          <w:rFonts w:ascii="Arial" w:hAnsi="Arial" w:cs="Arial"/>
          <w:sz w:val="24"/>
          <w:szCs w:val="24"/>
        </w:rPr>
      </w:pPr>
    </w:p>
    <w:p w14:paraId="1AADE120" w14:textId="77777777" w:rsidR="006A7EA2" w:rsidRDefault="006A7EA2">
      <w:pPr>
        <w:rPr>
          <w:rFonts w:ascii="Arial" w:hAnsi="Arial" w:cs="Arial"/>
          <w:b/>
          <w:bCs/>
          <w:sz w:val="28"/>
          <w:szCs w:val="28"/>
        </w:rPr>
      </w:pPr>
    </w:p>
    <w:p w14:paraId="1BA25893" w14:textId="77777777" w:rsidR="006A7EA2" w:rsidRDefault="006A7EA2">
      <w:pPr>
        <w:rPr>
          <w:rFonts w:ascii="Arial" w:hAnsi="Arial" w:cs="Arial"/>
          <w:b/>
          <w:bCs/>
          <w:sz w:val="28"/>
          <w:szCs w:val="28"/>
        </w:rPr>
      </w:pPr>
    </w:p>
    <w:p w14:paraId="3E2CD1F9" w14:textId="77777777" w:rsidR="006A7EA2" w:rsidRDefault="006A7EA2">
      <w:pPr>
        <w:rPr>
          <w:rFonts w:ascii="Arial" w:hAnsi="Arial" w:cs="Arial"/>
          <w:b/>
          <w:bCs/>
          <w:sz w:val="28"/>
          <w:szCs w:val="28"/>
        </w:rPr>
      </w:pPr>
    </w:p>
    <w:p w14:paraId="58801DBD" w14:textId="77777777" w:rsidR="006A7EA2" w:rsidRDefault="006A7EA2">
      <w:pPr>
        <w:rPr>
          <w:rFonts w:ascii="Arial" w:hAnsi="Arial" w:cs="Arial"/>
          <w:b/>
          <w:bCs/>
          <w:sz w:val="28"/>
          <w:szCs w:val="28"/>
        </w:rPr>
      </w:pPr>
    </w:p>
    <w:p w14:paraId="4601C529" w14:textId="77777777" w:rsidR="006A7EA2" w:rsidRDefault="006A7EA2">
      <w:pPr>
        <w:rPr>
          <w:rFonts w:ascii="Arial" w:hAnsi="Arial" w:cs="Arial"/>
          <w:b/>
          <w:bCs/>
          <w:sz w:val="28"/>
          <w:szCs w:val="28"/>
        </w:rPr>
      </w:pPr>
    </w:p>
    <w:p w14:paraId="4CF58624" w14:textId="77777777" w:rsidR="006A7EA2" w:rsidRDefault="006A7EA2">
      <w:pPr>
        <w:rPr>
          <w:rFonts w:ascii="Arial" w:hAnsi="Arial" w:cs="Arial"/>
          <w:b/>
          <w:bCs/>
          <w:sz w:val="28"/>
          <w:szCs w:val="28"/>
        </w:rPr>
      </w:pPr>
    </w:p>
    <w:p w14:paraId="02280187" w14:textId="77777777" w:rsidR="006A7EA2" w:rsidRDefault="006A7EA2">
      <w:pPr>
        <w:rPr>
          <w:rFonts w:ascii="Arial" w:hAnsi="Arial" w:cs="Arial"/>
          <w:b/>
          <w:bCs/>
          <w:sz w:val="28"/>
          <w:szCs w:val="28"/>
        </w:rPr>
      </w:pPr>
    </w:p>
    <w:p w14:paraId="53CF417A" w14:textId="77777777" w:rsidR="006A7EA2" w:rsidRDefault="006A7EA2">
      <w:pPr>
        <w:rPr>
          <w:rFonts w:ascii="Arial" w:hAnsi="Arial" w:cs="Arial"/>
          <w:b/>
          <w:bCs/>
          <w:sz w:val="28"/>
          <w:szCs w:val="28"/>
        </w:rPr>
      </w:pPr>
    </w:p>
    <w:p w14:paraId="510FD052" w14:textId="77777777" w:rsidR="006A7EA2" w:rsidRDefault="00371537">
      <w:pPr>
        <w:rPr>
          <w:rFonts w:ascii="Arial" w:hAnsi="Arial" w:cs="Arial"/>
          <w:b/>
          <w:bCs/>
          <w:sz w:val="28"/>
          <w:szCs w:val="28"/>
        </w:rPr>
      </w:pPr>
      <w:r>
        <w:rPr>
          <w:rFonts w:ascii="Arial" w:hAnsi="Arial" w:cs="Arial"/>
          <w:b/>
          <w:bCs/>
          <w:sz w:val="28"/>
          <w:szCs w:val="28"/>
        </w:rPr>
        <w:t>Conclusion:</w:t>
      </w:r>
    </w:p>
    <w:p w14:paraId="66B7B2F4" w14:textId="77777777" w:rsidR="006A7EA2" w:rsidRDefault="00371537">
      <w:pPr>
        <w:rPr>
          <w:rFonts w:ascii="Arial" w:hAnsi="Arial" w:cs="Arial"/>
          <w:sz w:val="24"/>
          <w:szCs w:val="24"/>
        </w:rPr>
      </w:pPr>
      <w:r>
        <w:rPr>
          <w:rFonts w:ascii="Arial" w:hAnsi="Arial" w:cs="Arial"/>
          <w:sz w:val="24"/>
          <w:szCs w:val="24"/>
        </w:rPr>
        <w:t>The law surrounding criminal liability by omission is complex, and whether a legal duty to act exists depends on the specific circumstances of the case. Generally, there is no general duty to act in criminal law, and individuals are only held criminally liable for their own actions, not for failing to act. However, in certain situations, a legal duty to act may arise, such as in cases involving a special relationship between the parties, a contractual duty, or a statutory duty. The failure to act in such situations can result in criminal liability. It is important to carefully consider the specific facts and circumstances of each case to determine whether a legal duty to act exists and whether criminal liability by omission can arise.</w:t>
      </w:r>
    </w:p>
    <w:p w14:paraId="30591A53" w14:textId="77777777" w:rsidR="006A7EA2" w:rsidRDefault="006A7EA2">
      <w:pPr>
        <w:rPr>
          <w:rFonts w:ascii="Arial" w:hAnsi="Arial" w:cs="Arial"/>
          <w:sz w:val="24"/>
          <w:szCs w:val="24"/>
        </w:rPr>
      </w:pPr>
    </w:p>
    <w:p w14:paraId="6553BA44" w14:textId="77777777" w:rsidR="006A7EA2" w:rsidRDefault="006A7EA2">
      <w:pPr>
        <w:rPr>
          <w:rFonts w:ascii="Arial" w:hAnsi="Arial" w:cs="Arial"/>
          <w:sz w:val="24"/>
          <w:szCs w:val="24"/>
        </w:rPr>
      </w:pPr>
    </w:p>
    <w:p w14:paraId="581DB3EB" w14:textId="77777777" w:rsidR="006A7EA2" w:rsidRDefault="006A7EA2">
      <w:pPr>
        <w:rPr>
          <w:rFonts w:ascii="Arial" w:hAnsi="Arial" w:cs="Arial"/>
          <w:sz w:val="24"/>
          <w:szCs w:val="24"/>
        </w:rPr>
      </w:pPr>
    </w:p>
    <w:p w14:paraId="068C29D2" w14:textId="77777777" w:rsidR="006A7EA2" w:rsidRDefault="006A7EA2">
      <w:pPr>
        <w:rPr>
          <w:rFonts w:ascii="Arial" w:hAnsi="Arial" w:cs="Arial"/>
          <w:sz w:val="24"/>
          <w:szCs w:val="24"/>
        </w:rPr>
      </w:pPr>
    </w:p>
    <w:p w14:paraId="4A2D22E6" w14:textId="77777777" w:rsidR="006A7EA2" w:rsidRDefault="006A7EA2">
      <w:pPr>
        <w:rPr>
          <w:rFonts w:ascii="Arial" w:hAnsi="Arial" w:cs="Arial"/>
          <w:sz w:val="24"/>
          <w:szCs w:val="24"/>
        </w:rPr>
      </w:pPr>
    </w:p>
    <w:p w14:paraId="40A0A194" w14:textId="77777777" w:rsidR="006A7EA2" w:rsidRDefault="006A7EA2">
      <w:pPr>
        <w:rPr>
          <w:rFonts w:ascii="Arial" w:hAnsi="Arial" w:cs="Arial"/>
          <w:sz w:val="24"/>
          <w:szCs w:val="24"/>
        </w:rPr>
      </w:pPr>
    </w:p>
    <w:p w14:paraId="6D63844D" w14:textId="77777777" w:rsidR="006A7EA2" w:rsidRDefault="00371537">
      <w:pPr>
        <w:rPr>
          <w:rFonts w:ascii="Arial" w:hAnsi="Arial" w:cs="Arial"/>
          <w:b/>
          <w:bCs/>
          <w:sz w:val="28"/>
          <w:szCs w:val="28"/>
        </w:rPr>
      </w:pPr>
      <w:r>
        <w:rPr>
          <w:rFonts w:ascii="Arial" w:hAnsi="Arial" w:cs="Arial"/>
          <w:b/>
          <w:bCs/>
          <w:sz w:val="28"/>
          <w:szCs w:val="28"/>
        </w:rPr>
        <w:t>References:</w:t>
      </w:r>
    </w:p>
    <w:p w14:paraId="1DD78080" w14:textId="21E55AAA" w:rsidR="006A7EA2" w:rsidRDefault="00371537">
      <w:pPr>
        <w:numPr>
          <w:ilvl w:val="0"/>
          <w:numId w:val="5"/>
        </w:numPr>
        <w:rPr>
          <w:rFonts w:ascii="Arial" w:hAnsi="Arial" w:cs="Arial"/>
          <w:sz w:val="24"/>
          <w:szCs w:val="24"/>
        </w:rPr>
      </w:pPr>
      <w:r>
        <w:rPr>
          <w:rFonts w:ascii="Arial" w:hAnsi="Arial" w:cs="Arial"/>
          <w:sz w:val="24"/>
          <w:szCs w:val="24"/>
        </w:rPr>
        <w:t xml:space="preserve">Ashworth, </w:t>
      </w:r>
      <w:r w:rsidR="00A021C1">
        <w:rPr>
          <w:rFonts w:ascii="Arial" w:hAnsi="Arial" w:cs="Arial"/>
          <w:sz w:val="24"/>
          <w:szCs w:val="24"/>
        </w:rPr>
        <w:t>A. (</w:t>
      </w:r>
      <w:r>
        <w:rPr>
          <w:rFonts w:ascii="Arial" w:hAnsi="Arial" w:cs="Arial"/>
          <w:sz w:val="24"/>
          <w:szCs w:val="24"/>
        </w:rPr>
        <w:t xml:space="preserve">2019). Principles of criminal </w:t>
      </w:r>
      <w:r w:rsidR="00A021C1">
        <w:rPr>
          <w:rFonts w:ascii="Arial" w:hAnsi="Arial" w:cs="Arial"/>
          <w:sz w:val="24"/>
          <w:szCs w:val="24"/>
        </w:rPr>
        <w:t>law (</w:t>
      </w:r>
      <w:r>
        <w:rPr>
          <w:rFonts w:ascii="Arial" w:hAnsi="Arial" w:cs="Arial"/>
          <w:sz w:val="24"/>
          <w:szCs w:val="24"/>
        </w:rPr>
        <w:t>8th ed.</w:t>
      </w:r>
      <w:proofErr w:type="gramStart"/>
      <w:r>
        <w:rPr>
          <w:rFonts w:ascii="Arial" w:hAnsi="Arial" w:cs="Arial"/>
          <w:sz w:val="24"/>
          <w:szCs w:val="24"/>
        </w:rPr>
        <w:t>).Oxford</w:t>
      </w:r>
      <w:proofErr w:type="gramEnd"/>
      <w:r>
        <w:rPr>
          <w:rFonts w:ascii="Arial" w:hAnsi="Arial" w:cs="Arial"/>
          <w:sz w:val="24"/>
          <w:szCs w:val="24"/>
        </w:rPr>
        <w:t>: Oxford University Press.</w:t>
      </w:r>
    </w:p>
    <w:p w14:paraId="6F697228" w14:textId="27DE80D5" w:rsidR="006A7EA2" w:rsidRDefault="00371537">
      <w:pPr>
        <w:numPr>
          <w:ilvl w:val="0"/>
          <w:numId w:val="5"/>
        </w:numPr>
        <w:rPr>
          <w:rFonts w:ascii="Arial" w:hAnsi="Arial" w:cs="Arial"/>
          <w:sz w:val="24"/>
          <w:szCs w:val="24"/>
        </w:rPr>
      </w:pPr>
      <w:r>
        <w:rPr>
          <w:rFonts w:ascii="Arial" w:hAnsi="Arial" w:cs="Arial"/>
          <w:sz w:val="24"/>
          <w:szCs w:val="24"/>
        </w:rPr>
        <w:t xml:space="preserve">Clarkson, C. M. V.&amp; Keating, H. M. </w:t>
      </w:r>
      <w:r w:rsidR="00A021C1">
        <w:rPr>
          <w:rFonts w:ascii="Arial" w:hAnsi="Arial" w:cs="Arial"/>
          <w:sz w:val="24"/>
          <w:szCs w:val="24"/>
        </w:rPr>
        <w:t>A. (</w:t>
      </w:r>
      <w:r>
        <w:rPr>
          <w:rFonts w:ascii="Arial" w:hAnsi="Arial" w:cs="Arial"/>
          <w:sz w:val="24"/>
          <w:szCs w:val="24"/>
        </w:rPr>
        <w:t>2018). Criminal law: Text and materials (9th ed.). London: Sweet &amp; Maxwell.</w:t>
      </w:r>
    </w:p>
    <w:p w14:paraId="3B4D698F" w14:textId="77777777" w:rsidR="006A7EA2" w:rsidRDefault="006A7EA2">
      <w:pPr>
        <w:rPr>
          <w:rFonts w:ascii="Arial" w:hAnsi="Arial" w:cs="Arial"/>
          <w:sz w:val="24"/>
          <w:szCs w:val="24"/>
        </w:rPr>
      </w:pPr>
    </w:p>
    <w:p w14:paraId="23D764B3" w14:textId="264FA0DF" w:rsidR="006A7EA2" w:rsidRDefault="00371537">
      <w:pPr>
        <w:numPr>
          <w:ilvl w:val="0"/>
          <w:numId w:val="6"/>
        </w:numPr>
        <w:rPr>
          <w:rFonts w:ascii="Arial" w:hAnsi="Arial" w:cs="Arial"/>
          <w:sz w:val="24"/>
          <w:szCs w:val="24"/>
        </w:rPr>
      </w:pPr>
      <w:r>
        <w:rPr>
          <w:rFonts w:ascii="Arial" w:hAnsi="Arial" w:cs="Arial"/>
          <w:sz w:val="24"/>
          <w:szCs w:val="24"/>
        </w:rPr>
        <w:t xml:space="preserve">Duff, R. A. (2017). Criminalization by </w:t>
      </w:r>
      <w:r w:rsidR="00A021C1">
        <w:rPr>
          <w:rFonts w:ascii="Arial" w:hAnsi="Arial" w:cs="Arial"/>
          <w:sz w:val="24"/>
          <w:szCs w:val="24"/>
        </w:rPr>
        <w:t>omission. The</w:t>
      </w:r>
      <w:r>
        <w:rPr>
          <w:rFonts w:ascii="Arial" w:hAnsi="Arial" w:cs="Arial"/>
          <w:sz w:val="24"/>
          <w:szCs w:val="24"/>
        </w:rPr>
        <w:t xml:space="preserve"> Journal of Ethics, 21(4), 365-384.</w:t>
      </w:r>
    </w:p>
    <w:p w14:paraId="193EE106" w14:textId="2DB1683A" w:rsidR="006A7EA2" w:rsidRDefault="00371537">
      <w:pPr>
        <w:numPr>
          <w:ilvl w:val="0"/>
          <w:numId w:val="6"/>
        </w:numPr>
        <w:rPr>
          <w:rFonts w:ascii="Arial" w:hAnsi="Arial" w:cs="Arial"/>
          <w:sz w:val="24"/>
          <w:szCs w:val="24"/>
        </w:rPr>
      </w:pPr>
      <w:proofErr w:type="spellStart"/>
      <w:r>
        <w:rPr>
          <w:rFonts w:ascii="Arial" w:hAnsi="Arial" w:cs="Arial"/>
          <w:sz w:val="24"/>
          <w:szCs w:val="24"/>
        </w:rPr>
        <w:t>Horder</w:t>
      </w:r>
      <w:proofErr w:type="spellEnd"/>
      <w:r>
        <w:rPr>
          <w:rFonts w:ascii="Arial" w:hAnsi="Arial" w:cs="Arial"/>
          <w:sz w:val="24"/>
          <w:szCs w:val="24"/>
        </w:rPr>
        <w:t xml:space="preserve">, J. (2018). Acts and </w:t>
      </w:r>
      <w:r w:rsidR="00A021C1">
        <w:rPr>
          <w:rFonts w:ascii="Arial" w:hAnsi="Arial" w:cs="Arial"/>
          <w:sz w:val="24"/>
          <w:szCs w:val="24"/>
        </w:rPr>
        <w:t>omissions: The</w:t>
      </w:r>
      <w:r>
        <w:rPr>
          <w:rFonts w:ascii="Arial" w:hAnsi="Arial" w:cs="Arial"/>
          <w:sz w:val="24"/>
          <w:szCs w:val="24"/>
        </w:rPr>
        <w:t xml:space="preserve"> metaphysics and morality of criminal liability. Criminal Law and Philosophy, 12(2), 195-217.</w:t>
      </w:r>
    </w:p>
    <w:p w14:paraId="1C4B6D49" w14:textId="77777777" w:rsidR="006A7EA2" w:rsidRDefault="00371537">
      <w:pPr>
        <w:numPr>
          <w:ilvl w:val="0"/>
          <w:numId w:val="6"/>
        </w:numPr>
        <w:rPr>
          <w:rFonts w:ascii="Arial" w:hAnsi="Arial" w:cs="Arial"/>
          <w:sz w:val="24"/>
          <w:szCs w:val="24"/>
        </w:rPr>
      </w:pPr>
      <w:r>
        <w:rPr>
          <w:rFonts w:ascii="Arial" w:hAnsi="Arial" w:cs="Arial"/>
          <w:sz w:val="24"/>
          <w:szCs w:val="24"/>
        </w:rPr>
        <w:t>McSherry, B., &amp; Norrie, A. (2018). Criminalisation and criminal responsibility in Australia. Australian &amp; New Zealand Journal of Criminology, 51(1), 3-20.</w:t>
      </w:r>
    </w:p>
    <w:p w14:paraId="14AC55A6" w14:textId="77777777" w:rsidR="006A7EA2" w:rsidRDefault="00371537">
      <w:pPr>
        <w:numPr>
          <w:ilvl w:val="0"/>
          <w:numId w:val="6"/>
        </w:numPr>
        <w:rPr>
          <w:rFonts w:ascii="Arial" w:hAnsi="Arial" w:cs="Arial"/>
          <w:sz w:val="24"/>
          <w:szCs w:val="24"/>
        </w:rPr>
      </w:pPr>
      <w:r>
        <w:rPr>
          <w:rFonts w:ascii="Arial" w:hAnsi="Arial" w:cs="Arial"/>
          <w:sz w:val="24"/>
          <w:szCs w:val="24"/>
        </w:rPr>
        <w:t>Ormerod, D., &amp; Laird, G. (2020). Smith and Hogan's criminal law (15th ed.). Oxford: Oxford University Press.</w:t>
      </w:r>
    </w:p>
    <w:p w14:paraId="325E89C3" w14:textId="77777777" w:rsidR="006A7EA2" w:rsidRDefault="00371537">
      <w:pPr>
        <w:numPr>
          <w:ilvl w:val="0"/>
          <w:numId w:val="6"/>
        </w:numPr>
        <w:rPr>
          <w:rFonts w:ascii="Arial" w:hAnsi="Arial" w:cs="Arial"/>
          <w:sz w:val="24"/>
          <w:szCs w:val="24"/>
        </w:rPr>
      </w:pPr>
      <w:r>
        <w:rPr>
          <w:rFonts w:ascii="Arial" w:hAnsi="Arial" w:cs="Arial"/>
          <w:sz w:val="24"/>
          <w:szCs w:val="24"/>
        </w:rPr>
        <w:t>R v Gibbons and Proctor [1918] 13 Cr App R 134</w:t>
      </w:r>
    </w:p>
    <w:p w14:paraId="6FD7CA1D" w14:textId="77777777" w:rsidR="006A7EA2" w:rsidRDefault="00371537">
      <w:pPr>
        <w:numPr>
          <w:ilvl w:val="0"/>
          <w:numId w:val="6"/>
        </w:numPr>
        <w:rPr>
          <w:rFonts w:ascii="Arial" w:hAnsi="Arial" w:cs="Arial"/>
          <w:sz w:val="24"/>
          <w:szCs w:val="24"/>
        </w:rPr>
      </w:pPr>
      <w:r>
        <w:rPr>
          <w:rFonts w:ascii="Arial" w:hAnsi="Arial" w:cs="Arial"/>
          <w:sz w:val="24"/>
          <w:szCs w:val="24"/>
        </w:rPr>
        <w:t>R v Miller [1983] 2 AC 161</w:t>
      </w:r>
    </w:p>
    <w:p w14:paraId="4471B74A" w14:textId="77777777" w:rsidR="006A7EA2" w:rsidRDefault="00371537">
      <w:pPr>
        <w:numPr>
          <w:ilvl w:val="0"/>
          <w:numId w:val="6"/>
        </w:numPr>
        <w:rPr>
          <w:rFonts w:ascii="Arial" w:hAnsi="Arial" w:cs="Arial"/>
          <w:sz w:val="24"/>
          <w:szCs w:val="24"/>
        </w:rPr>
      </w:pPr>
      <w:r>
        <w:rPr>
          <w:rFonts w:ascii="Arial" w:hAnsi="Arial" w:cs="Arial"/>
          <w:sz w:val="24"/>
          <w:szCs w:val="24"/>
        </w:rPr>
        <w:t xml:space="preserve">R v </w:t>
      </w:r>
      <w:proofErr w:type="spellStart"/>
      <w:r>
        <w:rPr>
          <w:rFonts w:ascii="Arial" w:hAnsi="Arial" w:cs="Arial"/>
          <w:sz w:val="24"/>
          <w:szCs w:val="24"/>
        </w:rPr>
        <w:t>Instan</w:t>
      </w:r>
      <w:proofErr w:type="spellEnd"/>
      <w:r>
        <w:rPr>
          <w:rFonts w:ascii="Arial" w:hAnsi="Arial" w:cs="Arial"/>
          <w:sz w:val="24"/>
          <w:szCs w:val="24"/>
        </w:rPr>
        <w:t xml:space="preserve"> [1893] 1 QB 450</w:t>
      </w:r>
    </w:p>
    <w:p w14:paraId="59917C5B" w14:textId="77777777" w:rsidR="006A7EA2" w:rsidRDefault="00371537">
      <w:pPr>
        <w:numPr>
          <w:ilvl w:val="0"/>
          <w:numId w:val="6"/>
        </w:numPr>
        <w:rPr>
          <w:rFonts w:ascii="Arial" w:hAnsi="Arial" w:cs="Arial"/>
          <w:sz w:val="24"/>
          <w:szCs w:val="24"/>
        </w:rPr>
      </w:pPr>
      <w:r>
        <w:rPr>
          <w:rFonts w:ascii="Arial" w:hAnsi="Arial" w:cs="Arial"/>
          <w:sz w:val="24"/>
          <w:szCs w:val="24"/>
        </w:rPr>
        <w:t>R v Stone and Dobinson [1977] QB 354</w:t>
      </w:r>
    </w:p>
    <w:p w14:paraId="3D5C8D2B" w14:textId="77777777" w:rsidR="006A7EA2" w:rsidRDefault="006A7EA2">
      <w:pPr>
        <w:rPr>
          <w:rFonts w:ascii="Arial" w:hAnsi="Arial" w:cs="Arial"/>
          <w:sz w:val="24"/>
          <w:szCs w:val="24"/>
        </w:rPr>
      </w:pPr>
    </w:p>
    <w:p w14:paraId="22A089DB" w14:textId="77777777" w:rsidR="006A7EA2" w:rsidRDefault="00371537">
      <w:pPr>
        <w:numPr>
          <w:ilvl w:val="0"/>
          <w:numId w:val="6"/>
        </w:numPr>
        <w:rPr>
          <w:rFonts w:ascii="Arial" w:hAnsi="Arial" w:cs="Arial"/>
          <w:sz w:val="24"/>
          <w:szCs w:val="24"/>
        </w:rPr>
      </w:pPr>
      <w:r>
        <w:rPr>
          <w:rFonts w:ascii="Arial" w:hAnsi="Arial" w:cs="Arial"/>
          <w:sz w:val="24"/>
          <w:szCs w:val="24"/>
        </w:rPr>
        <w:t xml:space="preserve">R v </w:t>
      </w:r>
      <w:proofErr w:type="spellStart"/>
      <w:r>
        <w:rPr>
          <w:rFonts w:ascii="Arial" w:hAnsi="Arial" w:cs="Arial"/>
          <w:sz w:val="24"/>
          <w:szCs w:val="24"/>
        </w:rPr>
        <w:t>Pittwood</w:t>
      </w:r>
      <w:proofErr w:type="spellEnd"/>
      <w:r>
        <w:rPr>
          <w:rFonts w:ascii="Arial" w:hAnsi="Arial" w:cs="Arial"/>
          <w:sz w:val="24"/>
          <w:szCs w:val="24"/>
        </w:rPr>
        <w:t xml:space="preserve"> (1902) 19 TLR 37</w:t>
      </w:r>
    </w:p>
    <w:p w14:paraId="03D56B3B" w14:textId="77777777" w:rsidR="006A7EA2" w:rsidRDefault="00371537">
      <w:pPr>
        <w:numPr>
          <w:ilvl w:val="0"/>
          <w:numId w:val="6"/>
        </w:numPr>
        <w:rPr>
          <w:rFonts w:ascii="Arial" w:hAnsi="Arial" w:cs="Arial"/>
          <w:sz w:val="24"/>
          <w:szCs w:val="24"/>
        </w:rPr>
      </w:pPr>
      <w:r>
        <w:rPr>
          <w:rFonts w:ascii="Arial" w:hAnsi="Arial" w:cs="Arial"/>
          <w:sz w:val="24"/>
          <w:szCs w:val="24"/>
        </w:rPr>
        <w:t xml:space="preserve">R v </w:t>
      </w:r>
      <w:proofErr w:type="spellStart"/>
      <w:r>
        <w:rPr>
          <w:rFonts w:ascii="Arial" w:hAnsi="Arial" w:cs="Arial"/>
          <w:sz w:val="24"/>
          <w:szCs w:val="24"/>
        </w:rPr>
        <w:t>Dytham</w:t>
      </w:r>
      <w:proofErr w:type="spellEnd"/>
      <w:r>
        <w:rPr>
          <w:rFonts w:ascii="Arial" w:hAnsi="Arial" w:cs="Arial"/>
          <w:sz w:val="24"/>
          <w:szCs w:val="24"/>
        </w:rPr>
        <w:t xml:space="preserve"> [1979] QB 722</w:t>
      </w:r>
    </w:p>
    <w:p w14:paraId="2D7F73A7" w14:textId="77777777" w:rsidR="006A7EA2" w:rsidRDefault="006A7EA2">
      <w:pPr>
        <w:rPr>
          <w:rFonts w:ascii="Arial" w:hAnsi="Arial" w:cs="Arial"/>
          <w:sz w:val="24"/>
          <w:szCs w:val="24"/>
        </w:rPr>
      </w:pPr>
    </w:p>
    <w:sectPr w:rsidR="006A7EA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D6331" w14:textId="77777777" w:rsidR="000024D0" w:rsidRDefault="000024D0">
      <w:pPr>
        <w:spacing w:after="0" w:line="240" w:lineRule="auto"/>
      </w:pPr>
      <w:r>
        <w:separator/>
      </w:r>
    </w:p>
  </w:endnote>
  <w:endnote w:type="continuationSeparator" w:id="0">
    <w:p w14:paraId="453F635D" w14:textId="77777777" w:rsidR="000024D0" w:rsidRDefault="00002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13789" w14:textId="77777777" w:rsidR="000024D0" w:rsidRDefault="000024D0">
      <w:pPr>
        <w:spacing w:after="0" w:line="240" w:lineRule="auto"/>
      </w:pPr>
      <w:r>
        <w:rPr>
          <w:color w:val="000000"/>
        </w:rPr>
        <w:separator/>
      </w:r>
    </w:p>
  </w:footnote>
  <w:footnote w:type="continuationSeparator" w:id="0">
    <w:p w14:paraId="73CC6DA8" w14:textId="77777777" w:rsidR="000024D0" w:rsidRDefault="00002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C22B0"/>
    <w:multiLevelType w:val="multilevel"/>
    <w:tmpl w:val="E516FBB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55FB4442"/>
    <w:multiLevelType w:val="multilevel"/>
    <w:tmpl w:val="ACD266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63E34399"/>
    <w:multiLevelType w:val="multilevel"/>
    <w:tmpl w:val="27AA0ED4"/>
    <w:lvl w:ilvl="0">
      <w:start w:val="1"/>
      <w:numFmt w:val="decimal"/>
      <w:lvlText w:val="%1."/>
      <w:lvlJc w:val="left"/>
      <w:pPr>
        <w:ind w:left="720" w:hanging="360"/>
      </w:pPr>
      <w:rPr>
        <w:rFonts w:ascii="Arial" w:eastAsia="DengXian"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790426D"/>
    <w:multiLevelType w:val="multilevel"/>
    <w:tmpl w:val="3DEE3F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67AB5C6A"/>
    <w:multiLevelType w:val="multilevel"/>
    <w:tmpl w:val="362CBF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77634DB"/>
    <w:multiLevelType w:val="multilevel"/>
    <w:tmpl w:val="F4BA45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48294954">
    <w:abstractNumId w:val="4"/>
  </w:num>
  <w:num w:numId="2" w16cid:durableId="284121647">
    <w:abstractNumId w:val="2"/>
  </w:num>
  <w:num w:numId="3" w16cid:durableId="1630168380">
    <w:abstractNumId w:val="5"/>
  </w:num>
  <w:num w:numId="4" w16cid:durableId="1086881188">
    <w:abstractNumId w:val="1"/>
  </w:num>
  <w:num w:numId="5" w16cid:durableId="1097599388">
    <w:abstractNumId w:val="0"/>
  </w:num>
  <w:num w:numId="6" w16cid:durableId="1271086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EA2"/>
    <w:rsid w:val="000024D0"/>
    <w:rsid w:val="001F7A56"/>
    <w:rsid w:val="00270C1B"/>
    <w:rsid w:val="002A5C23"/>
    <w:rsid w:val="002E2823"/>
    <w:rsid w:val="00371537"/>
    <w:rsid w:val="00444424"/>
    <w:rsid w:val="004B6E27"/>
    <w:rsid w:val="004D26C7"/>
    <w:rsid w:val="004E2053"/>
    <w:rsid w:val="006A7EA2"/>
    <w:rsid w:val="009B6004"/>
    <w:rsid w:val="009E6AE2"/>
    <w:rsid w:val="00A021C1"/>
    <w:rsid w:val="00C32D42"/>
    <w:rsid w:val="00D407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CE28F"/>
  <w15:docId w15:val="{9D91CA22-4257-4282-AFFE-FD111315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1761</Words>
  <Characters>10038</Characters>
  <Application>Microsoft Office Word</Application>
  <DocSecurity>0</DocSecurity>
  <Lines>83</Lines>
  <Paragraphs>23</Paragraphs>
  <ScaleCrop>false</ScaleCrop>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Adeel Fakhr (2211521)</dc:creator>
  <dc:description/>
  <cp:lastModifiedBy>Daniel Tutu</cp:lastModifiedBy>
  <cp:revision>12</cp:revision>
  <cp:lastPrinted>2023-03-05T15:04:00Z</cp:lastPrinted>
  <dcterms:created xsi:type="dcterms:W3CDTF">2023-03-05T15:21:00Z</dcterms:created>
  <dcterms:modified xsi:type="dcterms:W3CDTF">2023-03-10T11:42:00Z</dcterms:modified>
</cp:coreProperties>
</file>