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E49BF7" w14:textId="4F757BB6" w:rsidR="004809E5" w:rsidRPr="00F2129E" w:rsidRDefault="00CC0677" w:rsidP="00350C31">
      <w:pPr>
        <w:spacing w:line="480" w:lineRule="auto"/>
        <w:rPr>
          <w:rFonts w:ascii="Times New Roman" w:hAnsi="Times New Roman" w:cs="Times New Roman"/>
        </w:rPr>
      </w:pPr>
      <w:r w:rsidRPr="00F2129E">
        <w:rPr>
          <w:rFonts w:ascii="Times New Roman" w:hAnsi="Times New Roman" w:cs="Times New Roman"/>
        </w:rPr>
        <w:t>This review of Shaye Cohen’s first chapter of his book ‘</w:t>
      </w:r>
      <w:r w:rsidRPr="00F2129E">
        <w:rPr>
          <w:rFonts w:ascii="Times New Roman" w:hAnsi="Times New Roman" w:cs="Times New Roman"/>
          <w:i/>
          <w:iCs/>
        </w:rPr>
        <w:t xml:space="preserve">From the Maccabees to the Mishnah’ </w:t>
      </w:r>
      <w:r w:rsidRPr="00F2129E">
        <w:rPr>
          <w:rFonts w:ascii="Times New Roman" w:hAnsi="Times New Roman" w:cs="Times New Roman"/>
        </w:rPr>
        <w:t xml:space="preserve">aims to evaluate the content of the first chapter and analyse the </w:t>
      </w:r>
      <w:r w:rsidR="00B14D49" w:rsidRPr="00F2129E">
        <w:rPr>
          <w:rFonts w:ascii="Times New Roman" w:hAnsi="Times New Roman" w:cs="Times New Roman"/>
        </w:rPr>
        <w:t xml:space="preserve">relevance of its content in both its academic discussion and its place in wider scholarship of its times. The review will analyse if Cohen discusses all the points raised his thesis and if the discussions had </w:t>
      </w:r>
      <w:r w:rsidR="00934CDA" w:rsidRPr="00F2129E">
        <w:rPr>
          <w:rFonts w:ascii="Times New Roman" w:hAnsi="Times New Roman" w:cs="Times New Roman"/>
        </w:rPr>
        <w:t>been</w:t>
      </w:r>
      <w:r w:rsidR="00B14D49" w:rsidRPr="00F2129E">
        <w:rPr>
          <w:rFonts w:ascii="Times New Roman" w:hAnsi="Times New Roman" w:cs="Times New Roman"/>
        </w:rPr>
        <w:t xml:space="preserve"> fully developed perspectives, and why they may be lacking in some areas. This review will therefore consider the historical relevance of the points discussed, analyse the use of sources and evidence within the chapter, as well as the overall relevance and importance of Cohens discussions to wider scholarly discussions.</w:t>
      </w:r>
    </w:p>
    <w:p w14:paraId="637C36C8" w14:textId="2F4E907E" w:rsidR="00B14D49" w:rsidRPr="00F2129E" w:rsidRDefault="00B14D49" w:rsidP="00350C31">
      <w:pPr>
        <w:spacing w:line="480" w:lineRule="auto"/>
        <w:rPr>
          <w:rFonts w:ascii="Times New Roman" w:hAnsi="Times New Roman" w:cs="Times New Roman"/>
        </w:rPr>
      </w:pPr>
    </w:p>
    <w:p w14:paraId="7409F295" w14:textId="47D18300" w:rsidR="00B14D49" w:rsidRPr="00F2129E" w:rsidRDefault="00B14D49" w:rsidP="00350C31">
      <w:pPr>
        <w:spacing w:line="480" w:lineRule="auto"/>
        <w:rPr>
          <w:rFonts w:ascii="Times New Roman" w:hAnsi="Times New Roman" w:cs="Times New Roman"/>
        </w:rPr>
      </w:pPr>
      <w:r w:rsidRPr="00F2129E">
        <w:rPr>
          <w:rFonts w:ascii="Times New Roman" w:hAnsi="Times New Roman" w:cs="Times New Roman"/>
        </w:rPr>
        <w:t xml:space="preserve">Cohen himself clearly set outs his aims at the very beginning of is chapter, where he states the main </w:t>
      </w:r>
      <w:r w:rsidR="00F82279" w:rsidRPr="00F2129E">
        <w:rPr>
          <w:rFonts w:ascii="Times New Roman" w:hAnsi="Times New Roman" w:cs="Times New Roman"/>
        </w:rPr>
        <w:t>concerns</w:t>
      </w:r>
      <w:r w:rsidRPr="00F2129E">
        <w:rPr>
          <w:rFonts w:ascii="Times New Roman" w:hAnsi="Times New Roman" w:cs="Times New Roman"/>
        </w:rPr>
        <w:t xml:space="preserve"> of the chapter are to </w:t>
      </w:r>
      <w:r w:rsidR="00D70C9E" w:rsidRPr="00F2129E">
        <w:rPr>
          <w:rFonts w:ascii="Times New Roman" w:hAnsi="Times New Roman" w:cs="Times New Roman"/>
        </w:rPr>
        <w:t>pinpoint</w:t>
      </w:r>
      <w:r w:rsidRPr="00F2129E">
        <w:rPr>
          <w:rFonts w:ascii="Times New Roman" w:hAnsi="Times New Roman" w:cs="Times New Roman"/>
        </w:rPr>
        <w:t xml:space="preserve"> Judaism’s major ideas, </w:t>
      </w:r>
      <w:r w:rsidR="00D70C9E" w:rsidRPr="00F2129E">
        <w:rPr>
          <w:rFonts w:ascii="Times New Roman" w:hAnsi="Times New Roman" w:cs="Times New Roman"/>
        </w:rPr>
        <w:t>define</w:t>
      </w:r>
      <w:r w:rsidRPr="00F2129E">
        <w:rPr>
          <w:rFonts w:ascii="Times New Roman" w:hAnsi="Times New Roman" w:cs="Times New Roman"/>
        </w:rPr>
        <w:t xml:space="preserve"> its silent practices, and to </w:t>
      </w:r>
      <w:r w:rsidR="00815FC3" w:rsidRPr="00F2129E">
        <w:rPr>
          <w:rFonts w:ascii="Times New Roman" w:hAnsi="Times New Roman" w:cs="Times New Roman"/>
        </w:rPr>
        <w:t>interpret</w:t>
      </w:r>
      <w:r w:rsidRPr="00F2129E">
        <w:rPr>
          <w:rFonts w:ascii="Times New Roman" w:hAnsi="Times New Roman" w:cs="Times New Roman"/>
        </w:rPr>
        <w:t xml:space="preserve"> its </w:t>
      </w:r>
      <w:r w:rsidR="00815FC3" w:rsidRPr="00F2129E">
        <w:rPr>
          <w:rFonts w:ascii="Times New Roman" w:hAnsi="Times New Roman" w:cs="Times New Roman"/>
        </w:rPr>
        <w:t>coalescing</w:t>
      </w:r>
      <w:r w:rsidRPr="00F2129E">
        <w:rPr>
          <w:rFonts w:ascii="Times New Roman" w:hAnsi="Times New Roman" w:cs="Times New Roman"/>
        </w:rPr>
        <w:t xml:space="preserve"> patterns</w:t>
      </w:r>
      <w:r w:rsidR="00815FC3" w:rsidRPr="00F2129E">
        <w:rPr>
          <w:rFonts w:ascii="Times New Roman" w:hAnsi="Times New Roman" w:cs="Times New Roman"/>
        </w:rPr>
        <w:t xml:space="preserve"> to Israelite society and religion</w:t>
      </w:r>
      <w:r w:rsidR="001F6429">
        <w:rPr>
          <w:rStyle w:val="FootnoteReference"/>
          <w:rFonts w:ascii="Times New Roman" w:hAnsi="Times New Roman" w:cs="Times New Roman"/>
        </w:rPr>
        <w:footnoteReference w:id="1"/>
      </w:r>
      <w:r w:rsidR="00815FC3" w:rsidRPr="00F2129E">
        <w:rPr>
          <w:rFonts w:ascii="Times New Roman" w:hAnsi="Times New Roman" w:cs="Times New Roman"/>
        </w:rPr>
        <w:t xml:space="preserve">. These </w:t>
      </w:r>
      <w:r w:rsidR="00F82279" w:rsidRPr="00F2129E">
        <w:rPr>
          <w:rFonts w:ascii="Times New Roman" w:hAnsi="Times New Roman" w:cs="Times New Roman"/>
        </w:rPr>
        <w:t>terms</w:t>
      </w:r>
      <w:r w:rsidR="00815FC3" w:rsidRPr="00F2129E">
        <w:rPr>
          <w:rFonts w:ascii="Times New Roman" w:hAnsi="Times New Roman" w:cs="Times New Roman"/>
        </w:rPr>
        <w:t xml:space="preserve"> seem to be general discussion which he intends to address, and do not establish the breakdown and organisation of his argument. Instead Cohen states that he will provide a chronological account of Judaic history, interweaving theological and religious debates into the chapter itself. These act as the more focused themes through which Cohen focuses his argument and are presented as </w:t>
      </w:r>
      <w:r w:rsidR="00D86323" w:rsidRPr="00F2129E">
        <w:rPr>
          <w:rFonts w:ascii="Times New Roman" w:hAnsi="Times New Roman" w:cs="Times New Roman"/>
        </w:rPr>
        <w:t xml:space="preserve">chronology, </w:t>
      </w:r>
      <w:r w:rsidR="00815FC3" w:rsidRPr="00F2129E">
        <w:rPr>
          <w:rFonts w:ascii="Times New Roman" w:hAnsi="Times New Roman" w:cs="Times New Roman"/>
        </w:rPr>
        <w:t>issues surround periodisation, pre-exilic and second temple Judaism and discussions of unity and diversity.</w:t>
      </w:r>
    </w:p>
    <w:p w14:paraId="41035745" w14:textId="67805362" w:rsidR="004809E5" w:rsidRPr="00F2129E" w:rsidRDefault="004809E5" w:rsidP="00350C31">
      <w:pPr>
        <w:spacing w:line="480" w:lineRule="auto"/>
        <w:rPr>
          <w:rFonts w:ascii="Times New Roman" w:hAnsi="Times New Roman" w:cs="Times New Roman"/>
        </w:rPr>
      </w:pPr>
    </w:p>
    <w:p w14:paraId="3C50BBE9" w14:textId="202AE2A5" w:rsidR="004809E5" w:rsidRPr="00F2129E" w:rsidRDefault="00F82279" w:rsidP="00350C31">
      <w:pPr>
        <w:spacing w:line="480" w:lineRule="auto"/>
        <w:rPr>
          <w:rFonts w:ascii="Times New Roman" w:hAnsi="Times New Roman" w:cs="Times New Roman"/>
        </w:rPr>
      </w:pPr>
      <w:r w:rsidRPr="00F2129E">
        <w:rPr>
          <w:rFonts w:ascii="Times New Roman" w:hAnsi="Times New Roman" w:cs="Times New Roman"/>
        </w:rPr>
        <w:t>Cohen</w:t>
      </w:r>
      <w:r w:rsidR="00D86323" w:rsidRPr="00F2129E">
        <w:rPr>
          <w:rFonts w:ascii="Times New Roman" w:hAnsi="Times New Roman" w:cs="Times New Roman"/>
        </w:rPr>
        <w:t xml:space="preserve"> gives</w:t>
      </w:r>
      <w:r w:rsidR="00693B9C" w:rsidRPr="00F2129E">
        <w:rPr>
          <w:rFonts w:ascii="Times New Roman" w:hAnsi="Times New Roman" w:cs="Times New Roman"/>
        </w:rPr>
        <w:t xml:space="preserve"> precise dates for the events discussed making the material accessible to those who are reading on Judaism for the first time</w:t>
      </w:r>
      <w:r w:rsidR="00251437" w:rsidRPr="00F2129E">
        <w:rPr>
          <w:rFonts w:ascii="Times New Roman" w:hAnsi="Times New Roman" w:cs="Times New Roman"/>
        </w:rPr>
        <w:t xml:space="preserve">, and </w:t>
      </w:r>
      <w:r w:rsidR="004809E5" w:rsidRPr="00F2129E">
        <w:rPr>
          <w:rFonts w:ascii="Times New Roman" w:hAnsi="Times New Roman" w:cs="Times New Roman"/>
        </w:rPr>
        <w:t xml:space="preserve">explains the </w:t>
      </w:r>
      <w:r w:rsidR="00693B9C" w:rsidRPr="00F2129E">
        <w:rPr>
          <w:rFonts w:ascii="Times New Roman" w:hAnsi="Times New Roman" w:cs="Times New Roman"/>
        </w:rPr>
        <w:t>categorisation</w:t>
      </w:r>
      <w:r w:rsidR="004809E5" w:rsidRPr="00F2129E">
        <w:rPr>
          <w:rFonts w:ascii="Times New Roman" w:hAnsi="Times New Roman" w:cs="Times New Roman"/>
        </w:rPr>
        <w:t xml:space="preserve"> and usage of BCE and CE, which helps the reader establish a dating system that is separate from </w:t>
      </w:r>
      <w:r w:rsidR="00251437" w:rsidRPr="00F2129E">
        <w:rPr>
          <w:rFonts w:ascii="Times New Roman" w:hAnsi="Times New Roman" w:cs="Times New Roman"/>
        </w:rPr>
        <w:t xml:space="preserve">a </w:t>
      </w:r>
      <w:r w:rsidR="004809E5" w:rsidRPr="00F2129E">
        <w:rPr>
          <w:rFonts w:ascii="Times New Roman" w:hAnsi="Times New Roman" w:cs="Times New Roman"/>
        </w:rPr>
        <w:t xml:space="preserve">Christian </w:t>
      </w:r>
      <w:r w:rsidR="00251437" w:rsidRPr="00F2129E">
        <w:rPr>
          <w:rFonts w:ascii="Times New Roman" w:hAnsi="Times New Roman" w:cs="Times New Roman"/>
        </w:rPr>
        <w:t>perspective</w:t>
      </w:r>
      <w:r w:rsidR="00251437" w:rsidRPr="00F2129E">
        <w:rPr>
          <w:rStyle w:val="FootnoteReference"/>
          <w:rFonts w:ascii="Times New Roman" w:hAnsi="Times New Roman" w:cs="Times New Roman"/>
        </w:rPr>
        <w:footnoteReference w:id="2"/>
      </w:r>
      <w:r w:rsidR="00251437" w:rsidRPr="00F2129E">
        <w:rPr>
          <w:rFonts w:ascii="Times New Roman" w:hAnsi="Times New Roman" w:cs="Times New Roman"/>
        </w:rPr>
        <w:t xml:space="preserve">. There is however a lack of direct sourcing throughout the article, with </w:t>
      </w:r>
      <w:r w:rsidR="00251437" w:rsidRPr="00F2129E">
        <w:rPr>
          <w:rFonts w:ascii="Times New Roman" w:hAnsi="Times New Roman" w:cs="Times New Roman"/>
        </w:rPr>
        <w:lastRenderedPageBreak/>
        <w:t>the few given often being religious texts or authors, who are only named or loosely referenced</w:t>
      </w:r>
      <w:r w:rsidR="00251437" w:rsidRPr="00F2129E">
        <w:rPr>
          <w:rStyle w:val="FootnoteReference"/>
          <w:rFonts w:ascii="Times New Roman" w:hAnsi="Times New Roman" w:cs="Times New Roman"/>
        </w:rPr>
        <w:footnoteReference w:id="3"/>
      </w:r>
      <w:r w:rsidR="00251437" w:rsidRPr="00F2129E">
        <w:rPr>
          <w:rFonts w:ascii="Times New Roman" w:hAnsi="Times New Roman" w:cs="Times New Roman"/>
        </w:rPr>
        <w:t>.This lack of sourcing direct excerpts from the tests appears to be a theme of religious scholarship, and should therefore not be viewed as abnormal within its wider scholarly position</w:t>
      </w:r>
      <w:r w:rsidR="00251437" w:rsidRPr="00F2129E">
        <w:rPr>
          <w:rStyle w:val="FootnoteReference"/>
          <w:rFonts w:ascii="Times New Roman" w:hAnsi="Times New Roman" w:cs="Times New Roman"/>
        </w:rPr>
        <w:footnoteReference w:id="4"/>
      </w:r>
      <w:r w:rsidR="00251437" w:rsidRPr="00F2129E">
        <w:rPr>
          <w:rFonts w:ascii="Times New Roman" w:hAnsi="Times New Roman" w:cs="Times New Roman"/>
        </w:rPr>
        <w:t>, however not all religious scholarship sticks to these confides, as Himmelfarb</w:t>
      </w:r>
      <w:r w:rsidR="00251437" w:rsidRPr="00F2129E">
        <w:rPr>
          <w:rStyle w:val="FootnoteReference"/>
          <w:rFonts w:ascii="Times New Roman" w:hAnsi="Times New Roman" w:cs="Times New Roman"/>
        </w:rPr>
        <w:footnoteReference w:id="5"/>
      </w:r>
      <w:r w:rsidR="00251437" w:rsidRPr="00F2129E">
        <w:rPr>
          <w:rFonts w:ascii="Times New Roman" w:hAnsi="Times New Roman" w:cs="Times New Roman"/>
        </w:rPr>
        <w:t xml:space="preserve"> references both modern and ancient directly throughout their article</w:t>
      </w:r>
      <w:r w:rsidR="00D86323" w:rsidRPr="00F2129E">
        <w:rPr>
          <w:rFonts w:ascii="Times New Roman" w:hAnsi="Times New Roman" w:cs="Times New Roman"/>
        </w:rPr>
        <w:t>. Cohen does address his lack of bibliographic sighting, so the decision is clearly not made to hinder its readers understanding</w:t>
      </w:r>
      <w:r w:rsidR="00D86323" w:rsidRPr="00F2129E">
        <w:rPr>
          <w:rStyle w:val="FootnoteReference"/>
          <w:rFonts w:ascii="Times New Roman" w:hAnsi="Times New Roman" w:cs="Times New Roman"/>
        </w:rPr>
        <w:footnoteReference w:id="6"/>
      </w:r>
      <w:r w:rsidR="00D86323" w:rsidRPr="00F2129E">
        <w:rPr>
          <w:rFonts w:ascii="Times New Roman" w:hAnsi="Times New Roman" w:cs="Times New Roman"/>
        </w:rPr>
        <w:t>.</w:t>
      </w:r>
    </w:p>
    <w:p w14:paraId="4FF726DB" w14:textId="77777777" w:rsidR="00995B60" w:rsidRPr="00F2129E" w:rsidRDefault="00995B60" w:rsidP="00350C31">
      <w:pPr>
        <w:spacing w:line="480" w:lineRule="auto"/>
        <w:rPr>
          <w:rFonts w:ascii="Times New Roman" w:hAnsi="Times New Roman" w:cs="Times New Roman"/>
        </w:rPr>
      </w:pPr>
    </w:p>
    <w:p w14:paraId="458EC0A1" w14:textId="6179CDE7" w:rsidR="00DB69B5" w:rsidRPr="00F2129E" w:rsidRDefault="00F10FCB" w:rsidP="00350C31">
      <w:pPr>
        <w:spacing w:line="480" w:lineRule="auto"/>
        <w:rPr>
          <w:rFonts w:ascii="Times New Roman" w:hAnsi="Times New Roman" w:cs="Times New Roman"/>
        </w:rPr>
      </w:pPr>
      <w:r w:rsidRPr="00F2129E">
        <w:rPr>
          <w:rFonts w:ascii="Times New Roman" w:hAnsi="Times New Roman" w:cs="Times New Roman"/>
        </w:rPr>
        <w:t>Throughout the</w:t>
      </w:r>
      <w:r w:rsidR="00D86323" w:rsidRPr="00F2129E">
        <w:rPr>
          <w:rFonts w:ascii="Times New Roman" w:hAnsi="Times New Roman" w:cs="Times New Roman"/>
        </w:rPr>
        <w:t xml:space="preserve"> chronological discussions of the</w:t>
      </w:r>
      <w:r w:rsidRPr="00F2129E">
        <w:rPr>
          <w:rFonts w:ascii="Times New Roman" w:hAnsi="Times New Roman" w:cs="Times New Roman"/>
        </w:rPr>
        <w:t xml:space="preserve"> article </w:t>
      </w:r>
      <w:r w:rsidR="00251437" w:rsidRPr="00F2129E">
        <w:rPr>
          <w:rFonts w:ascii="Times New Roman" w:hAnsi="Times New Roman" w:cs="Times New Roman"/>
        </w:rPr>
        <w:t>Cohen</w:t>
      </w:r>
      <w:r w:rsidRPr="00F2129E">
        <w:rPr>
          <w:rFonts w:ascii="Times New Roman" w:hAnsi="Times New Roman" w:cs="Times New Roman"/>
        </w:rPr>
        <w:t xml:space="preserve"> </w:t>
      </w:r>
      <w:r w:rsidR="00D86323" w:rsidRPr="00F2129E">
        <w:rPr>
          <w:rFonts w:ascii="Times New Roman" w:hAnsi="Times New Roman" w:cs="Times New Roman"/>
        </w:rPr>
        <w:t>appears to</w:t>
      </w:r>
      <w:r w:rsidRPr="00F2129E">
        <w:rPr>
          <w:rFonts w:ascii="Times New Roman" w:hAnsi="Times New Roman" w:cs="Times New Roman"/>
        </w:rPr>
        <w:t xml:space="preserve"> </w:t>
      </w:r>
      <w:r w:rsidR="00CF46B5" w:rsidRPr="00F2129E">
        <w:rPr>
          <w:rFonts w:ascii="Times New Roman" w:hAnsi="Times New Roman" w:cs="Times New Roman"/>
        </w:rPr>
        <w:t xml:space="preserve">analyse </w:t>
      </w:r>
      <w:r w:rsidRPr="00F2129E">
        <w:rPr>
          <w:rFonts w:ascii="Times New Roman" w:hAnsi="Times New Roman" w:cs="Times New Roman"/>
        </w:rPr>
        <w:t>Jewish history</w:t>
      </w:r>
      <w:r w:rsidR="00CF46B5" w:rsidRPr="00F2129E">
        <w:rPr>
          <w:rFonts w:ascii="Times New Roman" w:hAnsi="Times New Roman" w:cs="Times New Roman"/>
        </w:rPr>
        <w:t xml:space="preserve"> subjectively</w:t>
      </w:r>
      <w:r w:rsidRPr="00F2129E">
        <w:rPr>
          <w:rFonts w:ascii="Times New Roman" w:hAnsi="Times New Roman" w:cs="Times New Roman"/>
        </w:rPr>
        <w:t xml:space="preserve">. </w:t>
      </w:r>
      <w:r w:rsidR="00D86323" w:rsidRPr="00F2129E">
        <w:rPr>
          <w:rFonts w:ascii="Times New Roman" w:hAnsi="Times New Roman" w:cs="Times New Roman"/>
        </w:rPr>
        <w:t>One example of this, is t</w:t>
      </w:r>
      <w:r w:rsidR="00CF46B5" w:rsidRPr="00F2129E">
        <w:rPr>
          <w:rFonts w:ascii="Times New Roman" w:hAnsi="Times New Roman" w:cs="Times New Roman"/>
        </w:rPr>
        <w:t xml:space="preserve">he identification of </w:t>
      </w:r>
      <w:r w:rsidR="00251437" w:rsidRPr="00F2129E">
        <w:rPr>
          <w:rFonts w:ascii="Times New Roman" w:hAnsi="Times New Roman" w:cs="Times New Roman"/>
        </w:rPr>
        <w:t>Ezra and Nehemiah</w:t>
      </w:r>
      <w:r w:rsidR="00CF46B5" w:rsidRPr="00F2129E">
        <w:rPr>
          <w:rFonts w:ascii="Times New Roman" w:hAnsi="Times New Roman" w:cs="Times New Roman"/>
        </w:rPr>
        <w:t>’s “</w:t>
      </w:r>
      <w:r w:rsidR="00CF46B5" w:rsidRPr="00F2129E">
        <w:rPr>
          <w:rFonts w:ascii="Times New Roman" w:hAnsi="Times New Roman" w:cs="Times New Roman"/>
          <w:i/>
          <w:iCs/>
        </w:rPr>
        <w:t>activities</w:t>
      </w:r>
      <w:r w:rsidR="00CF46B5" w:rsidRPr="00F2129E">
        <w:rPr>
          <w:rFonts w:ascii="Times New Roman" w:hAnsi="Times New Roman" w:cs="Times New Roman"/>
        </w:rPr>
        <w:t xml:space="preserve">” </w:t>
      </w:r>
      <w:r w:rsidR="00251437" w:rsidRPr="00F2129E">
        <w:rPr>
          <w:rFonts w:ascii="Times New Roman" w:hAnsi="Times New Roman" w:cs="Times New Roman"/>
        </w:rPr>
        <w:t xml:space="preserve">as the </w:t>
      </w:r>
      <w:r w:rsidR="004809E5" w:rsidRPr="00F2129E">
        <w:rPr>
          <w:rFonts w:ascii="Times New Roman" w:hAnsi="Times New Roman" w:cs="Times New Roman"/>
        </w:rPr>
        <w:t>“</w:t>
      </w:r>
      <w:r w:rsidR="004809E5" w:rsidRPr="00F2129E">
        <w:rPr>
          <w:rFonts w:ascii="Times New Roman" w:hAnsi="Times New Roman" w:cs="Times New Roman"/>
          <w:i/>
          <w:iCs/>
        </w:rPr>
        <w:t>most important achievement</w:t>
      </w:r>
      <w:r w:rsidR="004809E5" w:rsidRPr="00F2129E">
        <w:rPr>
          <w:rFonts w:ascii="Times New Roman" w:hAnsi="Times New Roman" w:cs="Times New Roman"/>
        </w:rPr>
        <w:t>”</w:t>
      </w:r>
      <w:r w:rsidR="00251437" w:rsidRPr="00F2129E">
        <w:rPr>
          <w:rFonts w:ascii="Times New Roman" w:hAnsi="Times New Roman" w:cs="Times New Roman"/>
        </w:rPr>
        <w:t xml:space="preserve"> of the Persian period</w:t>
      </w:r>
      <w:r w:rsidR="00251437" w:rsidRPr="00F2129E">
        <w:rPr>
          <w:rStyle w:val="FootnoteReference"/>
          <w:rFonts w:ascii="Times New Roman" w:hAnsi="Times New Roman" w:cs="Times New Roman"/>
        </w:rPr>
        <w:footnoteReference w:id="7"/>
      </w:r>
      <w:r w:rsidR="00D86323" w:rsidRPr="00F2129E">
        <w:rPr>
          <w:rFonts w:ascii="Times New Roman" w:hAnsi="Times New Roman" w:cs="Times New Roman"/>
        </w:rPr>
        <w:t xml:space="preserve">. </w:t>
      </w:r>
      <w:r w:rsidR="00CF46B5" w:rsidRPr="00F2129E">
        <w:rPr>
          <w:rFonts w:ascii="Times New Roman" w:hAnsi="Times New Roman" w:cs="Times New Roman"/>
        </w:rPr>
        <w:t xml:space="preserve"> </w:t>
      </w:r>
      <w:r w:rsidR="00D86323" w:rsidRPr="00F2129E">
        <w:rPr>
          <w:rFonts w:ascii="Times New Roman" w:hAnsi="Times New Roman" w:cs="Times New Roman"/>
        </w:rPr>
        <w:t>Due to the lack of direct evidence given for this evaluation, this can appear subjective as a claim</w:t>
      </w:r>
      <w:r w:rsidR="00CF46B5" w:rsidRPr="00F2129E">
        <w:rPr>
          <w:rFonts w:ascii="Times New Roman" w:hAnsi="Times New Roman" w:cs="Times New Roman"/>
        </w:rPr>
        <w:t xml:space="preserve">. </w:t>
      </w:r>
      <w:r w:rsidR="00934CDA" w:rsidRPr="00F2129E">
        <w:rPr>
          <w:rFonts w:ascii="Times New Roman" w:hAnsi="Times New Roman" w:cs="Times New Roman"/>
        </w:rPr>
        <w:t>However,</w:t>
      </w:r>
      <w:r w:rsidR="00D86323" w:rsidRPr="00F2129E">
        <w:rPr>
          <w:rFonts w:ascii="Times New Roman" w:hAnsi="Times New Roman" w:cs="Times New Roman"/>
        </w:rPr>
        <w:t xml:space="preserve"> when further researched, t</w:t>
      </w:r>
      <w:r w:rsidR="00CF46B5" w:rsidRPr="00F2129E">
        <w:rPr>
          <w:rFonts w:ascii="Times New Roman" w:hAnsi="Times New Roman" w:cs="Times New Roman"/>
        </w:rPr>
        <w:t>his</w:t>
      </w:r>
      <w:r w:rsidR="00A533E5" w:rsidRPr="00F2129E">
        <w:rPr>
          <w:rFonts w:ascii="Times New Roman" w:hAnsi="Times New Roman" w:cs="Times New Roman"/>
        </w:rPr>
        <w:t xml:space="preserve"> </w:t>
      </w:r>
      <w:r w:rsidR="00CF46B5" w:rsidRPr="00F2129E">
        <w:rPr>
          <w:rFonts w:ascii="Times New Roman" w:hAnsi="Times New Roman" w:cs="Times New Roman"/>
        </w:rPr>
        <w:t xml:space="preserve">importance is linked to </w:t>
      </w:r>
      <w:r w:rsidR="00D86323" w:rsidRPr="00F2129E">
        <w:rPr>
          <w:rFonts w:ascii="Times New Roman" w:hAnsi="Times New Roman" w:cs="Times New Roman"/>
        </w:rPr>
        <w:t xml:space="preserve">both </w:t>
      </w:r>
      <w:r w:rsidR="00CF46B5" w:rsidRPr="00F2129E">
        <w:rPr>
          <w:rFonts w:ascii="Times New Roman" w:hAnsi="Times New Roman" w:cs="Times New Roman"/>
        </w:rPr>
        <w:t>the b</w:t>
      </w:r>
      <w:r w:rsidR="00A533E5" w:rsidRPr="00F2129E">
        <w:rPr>
          <w:rFonts w:ascii="Times New Roman" w:hAnsi="Times New Roman" w:cs="Times New Roman"/>
        </w:rPr>
        <w:t>ook of Ezra record</w:t>
      </w:r>
      <w:r w:rsidR="00CF46B5" w:rsidRPr="00F2129E">
        <w:rPr>
          <w:rFonts w:ascii="Times New Roman" w:hAnsi="Times New Roman" w:cs="Times New Roman"/>
        </w:rPr>
        <w:t>ing</w:t>
      </w:r>
      <w:r w:rsidR="00A533E5" w:rsidRPr="00F2129E">
        <w:rPr>
          <w:rFonts w:ascii="Times New Roman" w:hAnsi="Times New Roman" w:cs="Times New Roman"/>
        </w:rPr>
        <w:t xml:space="preserve"> the building of the Temple in </w:t>
      </w:r>
      <w:r w:rsidR="00F3005E" w:rsidRPr="00F2129E">
        <w:rPr>
          <w:rFonts w:ascii="Times New Roman" w:hAnsi="Times New Roman" w:cs="Times New Roman"/>
        </w:rPr>
        <w:t>Jerusalem</w:t>
      </w:r>
      <w:r w:rsidR="00CF46B5" w:rsidRPr="00F2129E">
        <w:rPr>
          <w:rFonts w:ascii="Times New Roman" w:hAnsi="Times New Roman" w:cs="Times New Roman"/>
        </w:rPr>
        <w:t xml:space="preserve">, </w:t>
      </w:r>
      <w:r w:rsidR="00251437" w:rsidRPr="00F2129E">
        <w:rPr>
          <w:rFonts w:ascii="Times New Roman" w:hAnsi="Times New Roman" w:cs="Times New Roman"/>
        </w:rPr>
        <w:t>mark</w:t>
      </w:r>
      <w:r w:rsidR="00CF46B5" w:rsidRPr="00F2129E">
        <w:rPr>
          <w:rFonts w:ascii="Times New Roman" w:hAnsi="Times New Roman" w:cs="Times New Roman"/>
        </w:rPr>
        <w:t>ing</w:t>
      </w:r>
      <w:r w:rsidR="00A533E5" w:rsidRPr="00F2129E">
        <w:rPr>
          <w:rFonts w:ascii="Times New Roman" w:hAnsi="Times New Roman" w:cs="Times New Roman"/>
        </w:rPr>
        <w:t xml:space="preserve"> the beginning of the second temple era</w:t>
      </w:r>
      <w:r w:rsidR="00952590" w:rsidRPr="00F2129E">
        <w:rPr>
          <w:rStyle w:val="FootnoteReference"/>
          <w:rFonts w:ascii="Times New Roman" w:hAnsi="Times New Roman" w:cs="Times New Roman"/>
        </w:rPr>
        <w:footnoteReference w:id="8"/>
      </w:r>
      <w:r w:rsidR="00CF46B5" w:rsidRPr="00F2129E">
        <w:rPr>
          <w:rFonts w:ascii="Times New Roman" w:hAnsi="Times New Roman" w:cs="Times New Roman"/>
        </w:rPr>
        <w:t>, as well as the changes and restrictions</w:t>
      </w:r>
      <w:r w:rsidR="002A6F8C" w:rsidRPr="00F2129E">
        <w:rPr>
          <w:rFonts w:ascii="Times New Roman" w:hAnsi="Times New Roman" w:cs="Times New Roman"/>
        </w:rPr>
        <w:t xml:space="preserve"> </w:t>
      </w:r>
      <w:r w:rsidR="00CF46B5" w:rsidRPr="00F2129E">
        <w:rPr>
          <w:rFonts w:ascii="Times New Roman" w:hAnsi="Times New Roman" w:cs="Times New Roman"/>
        </w:rPr>
        <w:t>Ezra himself added to</w:t>
      </w:r>
      <w:r w:rsidR="00952590" w:rsidRPr="00F2129E">
        <w:rPr>
          <w:rFonts w:ascii="Times New Roman" w:hAnsi="Times New Roman" w:cs="Times New Roman"/>
        </w:rPr>
        <w:t xml:space="preserve"> Jewish</w:t>
      </w:r>
      <w:r w:rsidR="00CF46B5" w:rsidRPr="00F2129E">
        <w:rPr>
          <w:rFonts w:ascii="Times New Roman" w:hAnsi="Times New Roman" w:cs="Times New Roman"/>
        </w:rPr>
        <w:t xml:space="preserve"> social life and marriage</w:t>
      </w:r>
      <w:r w:rsidR="00952590" w:rsidRPr="00F2129E">
        <w:rPr>
          <w:rStyle w:val="FootnoteReference"/>
          <w:rFonts w:ascii="Times New Roman" w:hAnsi="Times New Roman" w:cs="Times New Roman"/>
        </w:rPr>
        <w:footnoteReference w:id="9"/>
      </w:r>
      <w:r w:rsidR="00952590" w:rsidRPr="00F2129E">
        <w:rPr>
          <w:rFonts w:ascii="Times New Roman" w:hAnsi="Times New Roman" w:cs="Times New Roman"/>
        </w:rPr>
        <w:t>.</w:t>
      </w:r>
      <w:r w:rsidR="00CF46B5" w:rsidRPr="00F2129E">
        <w:rPr>
          <w:rFonts w:ascii="Times New Roman" w:hAnsi="Times New Roman" w:cs="Times New Roman"/>
        </w:rPr>
        <w:t xml:space="preserve"> Despite Cohens argument being well founded and having supporting evidence, the lack of attention given to this evidence ultimately weakens his argument</w:t>
      </w:r>
      <w:r w:rsidR="00D86323" w:rsidRPr="00F2129E">
        <w:rPr>
          <w:rFonts w:ascii="Times New Roman" w:hAnsi="Times New Roman" w:cs="Times New Roman"/>
        </w:rPr>
        <w:t xml:space="preserve"> to a reader unfamiliar with Jewish history and </w:t>
      </w:r>
      <w:r w:rsidR="00BB09FF" w:rsidRPr="00F2129E">
        <w:rPr>
          <w:rFonts w:ascii="Times New Roman" w:hAnsi="Times New Roman" w:cs="Times New Roman"/>
        </w:rPr>
        <w:t>figures. This</w:t>
      </w:r>
      <w:r w:rsidR="00CF46B5" w:rsidRPr="00F2129E">
        <w:rPr>
          <w:rFonts w:ascii="Times New Roman" w:hAnsi="Times New Roman" w:cs="Times New Roman"/>
        </w:rPr>
        <w:t xml:space="preserve"> is notable later in the article as well Cohen often states the thoughts and feelings of the ancient </w:t>
      </w:r>
      <w:r w:rsidR="007E26D7" w:rsidRPr="00F2129E">
        <w:rPr>
          <w:rFonts w:ascii="Times New Roman" w:hAnsi="Times New Roman" w:cs="Times New Roman"/>
        </w:rPr>
        <w:t>J</w:t>
      </w:r>
      <w:r w:rsidR="00CF46B5" w:rsidRPr="00F2129E">
        <w:rPr>
          <w:rFonts w:ascii="Times New Roman" w:hAnsi="Times New Roman" w:cs="Times New Roman"/>
        </w:rPr>
        <w:t>ewish communities he is describing</w:t>
      </w:r>
      <w:r w:rsidR="00D86323" w:rsidRPr="00F2129E">
        <w:rPr>
          <w:rFonts w:ascii="Times New Roman" w:hAnsi="Times New Roman" w:cs="Times New Roman"/>
        </w:rPr>
        <w:t>, without giving formal evidence of these insights</w:t>
      </w:r>
      <w:r w:rsidR="00CF46B5" w:rsidRPr="00F2129E">
        <w:rPr>
          <w:rStyle w:val="FootnoteReference"/>
          <w:rFonts w:ascii="Times New Roman" w:hAnsi="Times New Roman" w:cs="Times New Roman"/>
        </w:rPr>
        <w:footnoteReference w:id="10"/>
      </w:r>
      <w:r w:rsidR="00D86323" w:rsidRPr="00F2129E">
        <w:rPr>
          <w:rFonts w:ascii="Times New Roman" w:hAnsi="Times New Roman" w:cs="Times New Roman"/>
        </w:rPr>
        <w:t>. It is likely that Cohen’s statements are grounded in some form of evidence, but his lack of bibliography can make such statements doubtful.</w:t>
      </w:r>
      <w:r w:rsidR="00BB09FF" w:rsidRPr="00F2129E">
        <w:rPr>
          <w:rFonts w:ascii="Times New Roman" w:hAnsi="Times New Roman" w:cs="Times New Roman"/>
        </w:rPr>
        <w:t xml:space="preserve"> </w:t>
      </w:r>
    </w:p>
    <w:p w14:paraId="3356D2C3" w14:textId="77777777" w:rsidR="00DB69B5" w:rsidRPr="00F2129E" w:rsidRDefault="00DB69B5" w:rsidP="00350C31">
      <w:pPr>
        <w:spacing w:line="480" w:lineRule="auto"/>
        <w:rPr>
          <w:rFonts w:ascii="Times New Roman" w:hAnsi="Times New Roman" w:cs="Times New Roman"/>
        </w:rPr>
      </w:pPr>
    </w:p>
    <w:p w14:paraId="0F7E972F" w14:textId="1080AC18" w:rsidR="00BE3239" w:rsidRPr="00F2129E" w:rsidRDefault="00BB09FF" w:rsidP="00350C31">
      <w:pPr>
        <w:spacing w:line="480" w:lineRule="auto"/>
        <w:rPr>
          <w:rFonts w:ascii="Times New Roman" w:hAnsi="Times New Roman" w:cs="Times New Roman"/>
        </w:rPr>
      </w:pPr>
      <w:r w:rsidRPr="00F2129E">
        <w:rPr>
          <w:rFonts w:ascii="Times New Roman" w:hAnsi="Times New Roman" w:cs="Times New Roman"/>
        </w:rPr>
        <w:t xml:space="preserve">Similar issues of lacking historical evidence within </w:t>
      </w:r>
      <w:r w:rsidR="00995B60" w:rsidRPr="00F2129E">
        <w:rPr>
          <w:rFonts w:ascii="Times New Roman" w:hAnsi="Times New Roman" w:cs="Times New Roman"/>
        </w:rPr>
        <w:t>Cohen</w:t>
      </w:r>
      <w:r w:rsidRPr="00F2129E">
        <w:rPr>
          <w:rFonts w:ascii="Times New Roman" w:hAnsi="Times New Roman" w:cs="Times New Roman"/>
        </w:rPr>
        <w:t>’s</w:t>
      </w:r>
      <w:r w:rsidR="00BE3239" w:rsidRPr="00F2129E">
        <w:rPr>
          <w:rFonts w:ascii="Times New Roman" w:hAnsi="Times New Roman" w:cs="Times New Roman"/>
        </w:rPr>
        <w:t xml:space="preserve"> </w:t>
      </w:r>
      <w:r w:rsidRPr="00F2129E">
        <w:rPr>
          <w:rFonts w:ascii="Times New Roman" w:hAnsi="Times New Roman" w:cs="Times New Roman"/>
        </w:rPr>
        <w:t>chronology are seen throughout the article, although he does often give dates for time periods</w:t>
      </w:r>
      <w:r w:rsidR="0048233B" w:rsidRPr="00F2129E">
        <w:rPr>
          <w:rFonts w:ascii="Times New Roman" w:hAnsi="Times New Roman" w:cs="Times New Roman"/>
        </w:rPr>
        <w:t>, wars</w:t>
      </w:r>
      <w:r w:rsidRPr="00F2129E">
        <w:rPr>
          <w:rFonts w:ascii="Times New Roman" w:hAnsi="Times New Roman" w:cs="Times New Roman"/>
        </w:rPr>
        <w:t xml:space="preserve"> or important political rulers</w:t>
      </w:r>
      <w:r w:rsidRPr="00F2129E">
        <w:rPr>
          <w:rStyle w:val="FootnoteReference"/>
          <w:rFonts w:ascii="Times New Roman" w:hAnsi="Times New Roman" w:cs="Times New Roman"/>
        </w:rPr>
        <w:footnoteReference w:id="11"/>
      </w:r>
      <w:r w:rsidR="00BE3239" w:rsidRPr="00F2129E">
        <w:rPr>
          <w:rFonts w:ascii="Times New Roman" w:hAnsi="Times New Roman" w:cs="Times New Roman"/>
        </w:rPr>
        <w:t>.</w:t>
      </w:r>
      <w:r w:rsidR="00995B60" w:rsidRPr="00F2129E">
        <w:rPr>
          <w:rFonts w:ascii="Times New Roman" w:hAnsi="Times New Roman" w:cs="Times New Roman"/>
        </w:rPr>
        <w:t xml:space="preserve"> This </w:t>
      </w:r>
      <w:r w:rsidR="0048233B" w:rsidRPr="00F2129E">
        <w:rPr>
          <w:rFonts w:ascii="Times New Roman" w:hAnsi="Times New Roman" w:cs="Times New Roman"/>
        </w:rPr>
        <w:t>lick of direct evidence is not prevalent in all</w:t>
      </w:r>
      <w:r w:rsidR="00995B60" w:rsidRPr="00F2129E">
        <w:rPr>
          <w:rFonts w:ascii="Times New Roman" w:hAnsi="Times New Roman" w:cs="Times New Roman"/>
        </w:rPr>
        <w:t xml:space="preserve"> religious </w:t>
      </w:r>
      <w:r w:rsidR="0048233B" w:rsidRPr="00F2129E">
        <w:rPr>
          <w:rFonts w:ascii="Times New Roman" w:hAnsi="Times New Roman" w:cs="Times New Roman"/>
        </w:rPr>
        <w:t>scholarship</w:t>
      </w:r>
      <w:r w:rsidR="00995B60" w:rsidRPr="00F2129E">
        <w:rPr>
          <w:rFonts w:ascii="Times New Roman" w:hAnsi="Times New Roman" w:cs="Times New Roman"/>
        </w:rPr>
        <w:t>, Himmelfarb</w:t>
      </w:r>
      <w:r w:rsidR="001A5082" w:rsidRPr="00F2129E">
        <w:rPr>
          <w:rStyle w:val="FootnoteReference"/>
          <w:rFonts w:ascii="Times New Roman" w:hAnsi="Times New Roman" w:cs="Times New Roman"/>
        </w:rPr>
        <w:footnoteReference w:id="12"/>
      </w:r>
      <w:r w:rsidR="00995B60" w:rsidRPr="00F2129E">
        <w:rPr>
          <w:rFonts w:ascii="Times New Roman" w:hAnsi="Times New Roman" w:cs="Times New Roman"/>
        </w:rPr>
        <w:t xml:space="preserve"> offers an analysis of Maccabees 2 </w:t>
      </w:r>
      <w:r w:rsidR="0048233B" w:rsidRPr="00F2129E">
        <w:rPr>
          <w:rFonts w:ascii="Times New Roman" w:hAnsi="Times New Roman" w:cs="Times New Roman"/>
        </w:rPr>
        <w:t>through</w:t>
      </w:r>
      <w:r w:rsidR="00995B60" w:rsidRPr="00F2129E">
        <w:rPr>
          <w:rFonts w:ascii="Times New Roman" w:hAnsi="Times New Roman" w:cs="Times New Roman"/>
        </w:rPr>
        <w:t xml:space="preserve"> both a social and historical </w:t>
      </w:r>
      <w:r w:rsidR="0048233B" w:rsidRPr="00F2129E">
        <w:rPr>
          <w:rFonts w:ascii="Times New Roman" w:hAnsi="Times New Roman" w:cs="Times New Roman"/>
        </w:rPr>
        <w:t>evidence</w:t>
      </w:r>
      <w:r w:rsidR="00F80F8F" w:rsidRPr="00F2129E">
        <w:rPr>
          <w:rFonts w:ascii="Times New Roman" w:hAnsi="Times New Roman" w:cs="Times New Roman"/>
        </w:rPr>
        <w:t xml:space="preserve">. However, Cohen’s lack of </w:t>
      </w:r>
      <w:r w:rsidR="0048233B" w:rsidRPr="00F2129E">
        <w:rPr>
          <w:rFonts w:ascii="Times New Roman" w:hAnsi="Times New Roman" w:cs="Times New Roman"/>
        </w:rPr>
        <w:t>bibliographic references</w:t>
      </w:r>
      <w:r w:rsidR="00F80F8F" w:rsidRPr="00F2129E">
        <w:rPr>
          <w:rFonts w:ascii="Times New Roman" w:hAnsi="Times New Roman" w:cs="Times New Roman"/>
        </w:rPr>
        <w:t xml:space="preserve"> for the texts used is </w:t>
      </w:r>
      <w:r w:rsidR="001A5082" w:rsidRPr="00F2129E">
        <w:rPr>
          <w:rFonts w:ascii="Times New Roman" w:hAnsi="Times New Roman" w:cs="Times New Roman"/>
        </w:rPr>
        <w:t>likely</w:t>
      </w:r>
      <w:r w:rsidR="00F80F8F" w:rsidRPr="00F2129E">
        <w:rPr>
          <w:rFonts w:ascii="Times New Roman" w:hAnsi="Times New Roman" w:cs="Times New Roman"/>
        </w:rPr>
        <w:t xml:space="preserve"> </w:t>
      </w:r>
      <w:r w:rsidR="0048233B" w:rsidRPr="00F2129E">
        <w:rPr>
          <w:rFonts w:ascii="Times New Roman" w:hAnsi="Times New Roman" w:cs="Times New Roman"/>
        </w:rPr>
        <w:t>a side effect of</w:t>
      </w:r>
      <w:r w:rsidR="00F80F8F" w:rsidRPr="00F2129E">
        <w:rPr>
          <w:rFonts w:ascii="Times New Roman" w:hAnsi="Times New Roman" w:cs="Times New Roman"/>
        </w:rPr>
        <w:t xml:space="preserve"> his interest in identifying major ideas and texts within ancient Judaic communities</w:t>
      </w:r>
      <w:r w:rsidR="0048233B" w:rsidRPr="00F2129E">
        <w:rPr>
          <w:rFonts w:ascii="Times New Roman" w:hAnsi="Times New Roman" w:cs="Times New Roman"/>
        </w:rPr>
        <w:t xml:space="preserve"> for theological discussions</w:t>
      </w:r>
      <w:r w:rsidR="00F80F8F" w:rsidRPr="00F2129E">
        <w:rPr>
          <w:rFonts w:ascii="Times New Roman" w:hAnsi="Times New Roman" w:cs="Times New Roman"/>
        </w:rPr>
        <w:t xml:space="preserve">, rather than </w:t>
      </w:r>
      <w:r w:rsidR="0048233B" w:rsidRPr="00F2129E">
        <w:rPr>
          <w:rFonts w:ascii="Times New Roman" w:hAnsi="Times New Roman" w:cs="Times New Roman"/>
        </w:rPr>
        <w:t>for a historiographical one. This focus on religious discussion over a full chronology creates gaps within the timeline Cohen creates.</w:t>
      </w:r>
      <w:r w:rsidR="007835F7" w:rsidRPr="00F2129E">
        <w:rPr>
          <w:rFonts w:ascii="Times New Roman" w:hAnsi="Times New Roman" w:cs="Times New Roman"/>
        </w:rPr>
        <w:t xml:space="preserve"> The most notable </w:t>
      </w:r>
      <w:r w:rsidR="001A5082" w:rsidRPr="00F2129E">
        <w:rPr>
          <w:rFonts w:ascii="Times New Roman" w:hAnsi="Times New Roman" w:cs="Times New Roman"/>
        </w:rPr>
        <w:t>omissions</w:t>
      </w:r>
      <w:r w:rsidR="007835F7" w:rsidRPr="00F2129E">
        <w:rPr>
          <w:rFonts w:ascii="Times New Roman" w:hAnsi="Times New Roman" w:cs="Times New Roman"/>
        </w:rPr>
        <w:t xml:space="preserve"> the destruction of the first temple in the sixth century BCE</w:t>
      </w:r>
      <w:r w:rsidR="007835F7" w:rsidRPr="00F2129E">
        <w:rPr>
          <w:rStyle w:val="FootnoteReference"/>
          <w:rFonts w:ascii="Times New Roman" w:hAnsi="Times New Roman" w:cs="Times New Roman"/>
        </w:rPr>
        <w:footnoteReference w:id="13"/>
      </w:r>
      <w:r w:rsidR="007835F7" w:rsidRPr="00F2129E">
        <w:rPr>
          <w:rFonts w:ascii="Times New Roman" w:hAnsi="Times New Roman" w:cs="Times New Roman"/>
        </w:rPr>
        <w:t xml:space="preserve"> by the Assyrian King </w:t>
      </w:r>
      <w:r w:rsidR="00251437" w:rsidRPr="00F2129E">
        <w:rPr>
          <w:rFonts w:ascii="Times New Roman" w:hAnsi="Times New Roman" w:cs="Times New Roman"/>
        </w:rPr>
        <w:t>Nebuchadnezzar</w:t>
      </w:r>
      <w:r w:rsidR="00251437" w:rsidRPr="00F2129E">
        <w:rPr>
          <w:rStyle w:val="FootnoteReference"/>
          <w:rFonts w:ascii="Times New Roman" w:hAnsi="Times New Roman" w:cs="Times New Roman"/>
        </w:rPr>
        <w:footnoteReference w:id="14"/>
      </w:r>
      <w:r w:rsidR="001A5082" w:rsidRPr="00F2129E">
        <w:rPr>
          <w:rFonts w:ascii="Times New Roman" w:hAnsi="Times New Roman" w:cs="Times New Roman"/>
        </w:rPr>
        <w:t xml:space="preserve">. </w:t>
      </w:r>
      <w:r w:rsidR="0048233B" w:rsidRPr="00F2129E">
        <w:rPr>
          <w:rFonts w:ascii="Times New Roman" w:hAnsi="Times New Roman" w:cs="Times New Roman"/>
        </w:rPr>
        <w:t>It is possible that this event, as well as much of the beginning of the second temple era are removed from the chronology, as they retract from the discussions that Cohen wishes to adress. However,</w:t>
      </w:r>
      <w:r w:rsidR="001A5082" w:rsidRPr="00F2129E">
        <w:rPr>
          <w:rFonts w:ascii="Times New Roman" w:hAnsi="Times New Roman" w:cs="Times New Roman"/>
        </w:rPr>
        <w:t xml:space="preserve"> </w:t>
      </w:r>
      <w:r w:rsidR="0048233B" w:rsidRPr="00F2129E">
        <w:rPr>
          <w:rFonts w:ascii="Times New Roman" w:hAnsi="Times New Roman" w:cs="Times New Roman"/>
        </w:rPr>
        <w:t>it</w:t>
      </w:r>
      <w:r w:rsidR="001A5082" w:rsidRPr="00F2129E">
        <w:rPr>
          <w:rFonts w:ascii="Times New Roman" w:hAnsi="Times New Roman" w:cs="Times New Roman"/>
        </w:rPr>
        <w:t xml:space="preserve"> is most likely due to the fact that this chapter is introductory </w:t>
      </w:r>
      <w:r w:rsidR="0048233B" w:rsidRPr="00F2129E">
        <w:rPr>
          <w:rFonts w:ascii="Times New Roman" w:hAnsi="Times New Roman" w:cs="Times New Roman"/>
        </w:rPr>
        <w:t>in nature</w:t>
      </w:r>
      <w:r w:rsidR="001A5082" w:rsidRPr="00F2129E">
        <w:rPr>
          <w:rFonts w:ascii="Times New Roman" w:hAnsi="Times New Roman" w:cs="Times New Roman"/>
        </w:rPr>
        <w:t xml:space="preserve"> and that these subjects are discussed in more detail later</w:t>
      </w:r>
      <w:r w:rsidR="001A5082" w:rsidRPr="00F2129E">
        <w:rPr>
          <w:rStyle w:val="FootnoteReference"/>
          <w:rFonts w:ascii="Times New Roman" w:hAnsi="Times New Roman" w:cs="Times New Roman"/>
        </w:rPr>
        <w:footnoteReference w:id="15"/>
      </w:r>
    </w:p>
    <w:p w14:paraId="219BEC33" w14:textId="77777777" w:rsidR="001A5082" w:rsidRPr="00F2129E" w:rsidRDefault="001A5082" w:rsidP="00350C31">
      <w:pPr>
        <w:spacing w:line="480" w:lineRule="auto"/>
        <w:rPr>
          <w:rFonts w:ascii="Times New Roman" w:hAnsi="Times New Roman" w:cs="Times New Roman"/>
        </w:rPr>
      </w:pPr>
    </w:p>
    <w:p w14:paraId="368B8C65" w14:textId="73710194" w:rsidR="00002073" w:rsidRPr="00F2129E" w:rsidRDefault="001A5082" w:rsidP="00350C31">
      <w:pPr>
        <w:spacing w:line="480" w:lineRule="auto"/>
        <w:rPr>
          <w:rFonts w:ascii="Times New Roman" w:hAnsi="Times New Roman" w:cs="Times New Roman"/>
        </w:rPr>
      </w:pPr>
      <w:r w:rsidRPr="00F2129E">
        <w:rPr>
          <w:rFonts w:ascii="Times New Roman" w:hAnsi="Times New Roman" w:cs="Times New Roman"/>
        </w:rPr>
        <w:t xml:space="preserve">Cohens discussion </w:t>
      </w:r>
      <w:r w:rsidR="00002073" w:rsidRPr="00F2129E">
        <w:rPr>
          <w:rFonts w:ascii="Times New Roman" w:hAnsi="Times New Roman" w:cs="Times New Roman"/>
        </w:rPr>
        <w:t>surrounding</w:t>
      </w:r>
      <w:r w:rsidR="00DB69B5" w:rsidRPr="00F2129E">
        <w:rPr>
          <w:rFonts w:ascii="Times New Roman" w:hAnsi="Times New Roman" w:cs="Times New Roman"/>
        </w:rPr>
        <w:t xml:space="preserve"> issues of periodisation, particularly</w:t>
      </w:r>
      <w:r w:rsidR="00002073" w:rsidRPr="00F2129E">
        <w:rPr>
          <w:rFonts w:ascii="Times New Roman" w:hAnsi="Times New Roman" w:cs="Times New Roman"/>
        </w:rPr>
        <w:t xml:space="preserve"> the ‘Hellenistic’ period</w:t>
      </w:r>
      <w:r w:rsidR="00DB69B5" w:rsidRPr="00F2129E">
        <w:rPr>
          <w:rFonts w:ascii="Times New Roman" w:hAnsi="Times New Roman" w:cs="Times New Roman"/>
        </w:rPr>
        <w:t xml:space="preserve"> </w:t>
      </w:r>
      <w:r w:rsidR="00934CDA" w:rsidRPr="00F2129E">
        <w:rPr>
          <w:rFonts w:ascii="Times New Roman" w:hAnsi="Times New Roman" w:cs="Times New Roman"/>
        </w:rPr>
        <w:t>is</w:t>
      </w:r>
      <w:r w:rsidR="00DB69B5" w:rsidRPr="00F2129E">
        <w:rPr>
          <w:rFonts w:ascii="Times New Roman" w:hAnsi="Times New Roman" w:cs="Times New Roman"/>
        </w:rPr>
        <w:t xml:space="preserve"> nuanced and highly informative</w:t>
      </w:r>
      <w:r w:rsidR="00002073" w:rsidRPr="00F2129E">
        <w:rPr>
          <w:rStyle w:val="FootnoteReference"/>
          <w:rFonts w:ascii="Times New Roman" w:hAnsi="Times New Roman" w:cs="Times New Roman"/>
        </w:rPr>
        <w:footnoteReference w:id="16"/>
      </w:r>
      <w:r w:rsidR="00002073" w:rsidRPr="00F2129E">
        <w:rPr>
          <w:rFonts w:ascii="Times New Roman" w:hAnsi="Times New Roman" w:cs="Times New Roman"/>
        </w:rPr>
        <w:t xml:space="preserve">. Here Cohen </w:t>
      </w:r>
      <w:r w:rsidR="00DB69B5" w:rsidRPr="00F2129E">
        <w:rPr>
          <w:rFonts w:ascii="Times New Roman" w:hAnsi="Times New Roman" w:cs="Times New Roman"/>
        </w:rPr>
        <w:t>states</w:t>
      </w:r>
      <w:r w:rsidR="00002073" w:rsidRPr="00F2129E">
        <w:rPr>
          <w:rFonts w:ascii="Times New Roman" w:hAnsi="Times New Roman" w:cs="Times New Roman"/>
        </w:rPr>
        <w:t xml:space="preserve"> the problematic definition of the term, </w:t>
      </w:r>
      <w:r w:rsidR="00DB69B5" w:rsidRPr="00F2129E">
        <w:rPr>
          <w:rFonts w:ascii="Times New Roman" w:hAnsi="Times New Roman" w:cs="Times New Roman"/>
        </w:rPr>
        <w:t>highlighting that</w:t>
      </w:r>
      <w:r w:rsidR="00002073" w:rsidRPr="00F2129E">
        <w:rPr>
          <w:rFonts w:ascii="Times New Roman" w:hAnsi="Times New Roman" w:cs="Times New Roman"/>
        </w:rPr>
        <w:t xml:space="preserve"> different cultural groups </w:t>
      </w:r>
      <w:r w:rsidR="00DB69B5" w:rsidRPr="00F2129E">
        <w:rPr>
          <w:rFonts w:ascii="Times New Roman" w:hAnsi="Times New Roman" w:cs="Times New Roman"/>
        </w:rPr>
        <w:t>identify</w:t>
      </w:r>
      <w:r w:rsidR="00002073" w:rsidRPr="00F2129E">
        <w:rPr>
          <w:rFonts w:ascii="Times New Roman" w:hAnsi="Times New Roman" w:cs="Times New Roman"/>
        </w:rPr>
        <w:t xml:space="preserve"> the Hellenistic periods using different dates and cultural events. </w:t>
      </w:r>
      <w:r w:rsidR="00DB69B5" w:rsidRPr="00F2129E">
        <w:rPr>
          <w:rFonts w:ascii="Times New Roman" w:hAnsi="Times New Roman" w:cs="Times New Roman"/>
        </w:rPr>
        <w:t xml:space="preserve">This allows the reader to understandi why the implementation period defined by an external group is problematic for determining Jewish history, as it doesn’t account for internal cultural events. </w:t>
      </w:r>
      <w:r w:rsidR="00002073" w:rsidRPr="00F2129E">
        <w:rPr>
          <w:rFonts w:ascii="Times New Roman" w:hAnsi="Times New Roman" w:cs="Times New Roman"/>
        </w:rPr>
        <w:t xml:space="preserve">Despite this discussion, Cohen fails to establish </w:t>
      </w:r>
      <w:r w:rsidR="00DB69B5" w:rsidRPr="00F2129E">
        <w:rPr>
          <w:rFonts w:ascii="Times New Roman" w:hAnsi="Times New Roman" w:cs="Times New Roman"/>
        </w:rPr>
        <w:t xml:space="preserve">exactly </w:t>
      </w:r>
      <w:r w:rsidR="00002073" w:rsidRPr="00F2129E">
        <w:rPr>
          <w:rFonts w:ascii="Times New Roman" w:hAnsi="Times New Roman" w:cs="Times New Roman"/>
        </w:rPr>
        <w:t>which version he uses for the rest of the article</w:t>
      </w:r>
      <w:r w:rsidR="00DB69B5" w:rsidRPr="00F2129E">
        <w:rPr>
          <w:rFonts w:ascii="Times New Roman" w:hAnsi="Times New Roman" w:cs="Times New Roman"/>
        </w:rPr>
        <w:t>.</w:t>
      </w:r>
      <w:r w:rsidR="00002073" w:rsidRPr="00F2129E">
        <w:rPr>
          <w:rFonts w:ascii="Times New Roman" w:hAnsi="Times New Roman" w:cs="Times New Roman"/>
        </w:rPr>
        <w:t xml:space="preserve"> </w:t>
      </w:r>
      <w:r w:rsidR="00DB69B5" w:rsidRPr="00F2129E">
        <w:rPr>
          <w:rFonts w:ascii="Times New Roman" w:hAnsi="Times New Roman" w:cs="Times New Roman"/>
        </w:rPr>
        <w:t>A</w:t>
      </w:r>
      <w:r w:rsidR="00002073" w:rsidRPr="00F2129E">
        <w:rPr>
          <w:rFonts w:ascii="Times New Roman" w:hAnsi="Times New Roman" w:cs="Times New Roman"/>
        </w:rPr>
        <w:t xml:space="preserve">lthough as the Jewish version is </w:t>
      </w:r>
      <w:r w:rsidR="00002073" w:rsidRPr="00F2129E">
        <w:rPr>
          <w:rFonts w:ascii="Times New Roman" w:hAnsi="Times New Roman" w:cs="Times New Roman"/>
        </w:rPr>
        <w:lastRenderedPageBreak/>
        <w:t xml:space="preserve">mentioned last, and </w:t>
      </w:r>
      <w:r w:rsidR="00DB69B5" w:rsidRPr="00F2129E">
        <w:rPr>
          <w:rFonts w:ascii="Times New Roman" w:hAnsi="Times New Roman" w:cs="Times New Roman"/>
        </w:rPr>
        <w:t>is the most</w:t>
      </w:r>
      <w:r w:rsidR="00002073" w:rsidRPr="00F2129E">
        <w:rPr>
          <w:rFonts w:ascii="Times New Roman" w:hAnsi="Times New Roman" w:cs="Times New Roman"/>
        </w:rPr>
        <w:t xml:space="preserve"> pertinent to the discussions of the article, the reader would have to presume this </w:t>
      </w:r>
      <w:r w:rsidR="00DB69B5" w:rsidRPr="00F2129E">
        <w:rPr>
          <w:rFonts w:ascii="Times New Roman" w:hAnsi="Times New Roman" w:cs="Times New Roman"/>
        </w:rPr>
        <w:t>is</w:t>
      </w:r>
      <w:r w:rsidR="00002073" w:rsidRPr="00F2129E">
        <w:rPr>
          <w:rFonts w:ascii="Times New Roman" w:hAnsi="Times New Roman" w:cs="Times New Roman"/>
        </w:rPr>
        <w:t xml:space="preserve"> the one </w:t>
      </w:r>
      <w:r w:rsidR="00DB69B5" w:rsidRPr="00F2129E">
        <w:rPr>
          <w:rFonts w:ascii="Times New Roman" w:hAnsi="Times New Roman" w:cs="Times New Roman"/>
        </w:rPr>
        <w:t>being referenced</w:t>
      </w:r>
      <w:r w:rsidR="00002073" w:rsidRPr="00F2129E">
        <w:rPr>
          <w:rFonts w:ascii="Times New Roman" w:hAnsi="Times New Roman" w:cs="Times New Roman"/>
        </w:rPr>
        <w:t>.</w:t>
      </w:r>
      <w:r w:rsidR="00F10FCB" w:rsidRPr="00F2129E">
        <w:rPr>
          <w:rFonts w:ascii="Times New Roman" w:hAnsi="Times New Roman" w:cs="Times New Roman"/>
        </w:rPr>
        <w:t xml:space="preserve"> Despite Cohen’s </w:t>
      </w:r>
      <w:r w:rsidR="00DB69B5" w:rsidRPr="00F2129E">
        <w:rPr>
          <w:rFonts w:ascii="Times New Roman" w:hAnsi="Times New Roman" w:cs="Times New Roman"/>
        </w:rPr>
        <w:t>own use</w:t>
      </w:r>
      <w:r w:rsidR="00F10FCB" w:rsidRPr="00F2129E">
        <w:rPr>
          <w:rFonts w:ascii="Times New Roman" w:hAnsi="Times New Roman" w:cs="Times New Roman"/>
        </w:rPr>
        <w:t xml:space="preserve"> of </w:t>
      </w:r>
      <w:r w:rsidR="00DB69B5" w:rsidRPr="00F2129E">
        <w:rPr>
          <w:rFonts w:ascii="Times New Roman" w:hAnsi="Times New Roman" w:cs="Times New Roman"/>
        </w:rPr>
        <w:t>periodisation within the article being unclear</w:t>
      </w:r>
      <w:r w:rsidR="00F10FCB" w:rsidRPr="00F2129E">
        <w:rPr>
          <w:rFonts w:ascii="Times New Roman" w:hAnsi="Times New Roman" w:cs="Times New Roman"/>
        </w:rPr>
        <w:t xml:space="preserve">, the </w:t>
      </w:r>
      <w:r w:rsidR="00DB69B5" w:rsidRPr="00F2129E">
        <w:rPr>
          <w:rFonts w:ascii="Times New Roman" w:hAnsi="Times New Roman" w:cs="Times New Roman"/>
        </w:rPr>
        <w:t>criticisms</w:t>
      </w:r>
      <w:r w:rsidR="00F10FCB" w:rsidRPr="00F2129E">
        <w:rPr>
          <w:rFonts w:ascii="Times New Roman" w:hAnsi="Times New Roman" w:cs="Times New Roman"/>
        </w:rPr>
        <w:t xml:space="preserve"> </w:t>
      </w:r>
      <w:r w:rsidR="00DB69B5" w:rsidRPr="00F2129E">
        <w:rPr>
          <w:rFonts w:ascii="Times New Roman" w:hAnsi="Times New Roman" w:cs="Times New Roman"/>
        </w:rPr>
        <w:t>are</w:t>
      </w:r>
      <w:r w:rsidR="00F10FCB" w:rsidRPr="00F2129E">
        <w:rPr>
          <w:rFonts w:ascii="Times New Roman" w:hAnsi="Times New Roman" w:cs="Times New Roman"/>
        </w:rPr>
        <w:t xml:space="preserve"> unlike other discussion seen within scholarship of the time. Issues surrounding the periodisation of Jewish history are more commonly found in the most recent scholarship</w:t>
      </w:r>
      <w:r w:rsidR="00F10FCB" w:rsidRPr="00F2129E">
        <w:rPr>
          <w:rStyle w:val="FootnoteReference"/>
          <w:rFonts w:ascii="Times New Roman" w:hAnsi="Times New Roman" w:cs="Times New Roman"/>
        </w:rPr>
        <w:footnoteReference w:id="17"/>
      </w:r>
      <w:r w:rsidR="00F10FCB" w:rsidRPr="00F2129E">
        <w:rPr>
          <w:rFonts w:ascii="Times New Roman" w:hAnsi="Times New Roman" w:cs="Times New Roman"/>
        </w:rPr>
        <w:t xml:space="preserve">, so Cohens discussions here are clearly </w:t>
      </w:r>
      <w:r w:rsidR="00DB69B5" w:rsidRPr="00F2129E">
        <w:rPr>
          <w:rFonts w:ascii="Times New Roman" w:hAnsi="Times New Roman" w:cs="Times New Roman"/>
        </w:rPr>
        <w:t>significant</w:t>
      </w:r>
      <w:r w:rsidR="00F10FCB" w:rsidRPr="00F2129E">
        <w:rPr>
          <w:rFonts w:ascii="Times New Roman" w:hAnsi="Times New Roman" w:cs="Times New Roman"/>
        </w:rPr>
        <w:t xml:space="preserve"> and </w:t>
      </w:r>
      <w:r w:rsidR="00DB69B5" w:rsidRPr="00F2129E">
        <w:rPr>
          <w:rFonts w:ascii="Times New Roman" w:hAnsi="Times New Roman" w:cs="Times New Roman"/>
        </w:rPr>
        <w:t xml:space="preserve">the </w:t>
      </w:r>
      <w:r w:rsidR="00F10FCB" w:rsidRPr="00F2129E">
        <w:rPr>
          <w:rFonts w:ascii="Times New Roman" w:hAnsi="Times New Roman" w:cs="Times New Roman"/>
        </w:rPr>
        <w:t>indicate greater importance</w:t>
      </w:r>
      <w:r w:rsidR="00DB69B5" w:rsidRPr="00F2129E">
        <w:rPr>
          <w:rFonts w:ascii="Times New Roman" w:hAnsi="Times New Roman" w:cs="Times New Roman"/>
        </w:rPr>
        <w:t xml:space="preserve"> of this chapter</w:t>
      </w:r>
      <w:r w:rsidR="00F10FCB" w:rsidRPr="00F2129E">
        <w:rPr>
          <w:rFonts w:ascii="Times New Roman" w:hAnsi="Times New Roman" w:cs="Times New Roman"/>
        </w:rPr>
        <w:t xml:space="preserve"> within its scholarly surroundings.</w:t>
      </w:r>
    </w:p>
    <w:p w14:paraId="6592F9C3" w14:textId="77777777" w:rsidR="00002073" w:rsidRPr="00F2129E" w:rsidRDefault="00002073" w:rsidP="00350C31">
      <w:pPr>
        <w:spacing w:line="480" w:lineRule="auto"/>
        <w:rPr>
          <w:rFonts w:ascii="Times New Roman" w:hAnsi="Times New Roman" w:cs="Times New Roman"/>
        </w:rPr>
      </w:pPr>
    </w:p>
    <w:p w14:paraId="4AC89AE4" w14:textId="77777777" w:rsidR="00DB69B5" w:rsidRPr="00F2129E" w:rsidRDefault="00DB69B5" w:rsidP="00350C31">
      <w:pPr>
        <w:spacing w:line="480" w:lineRule="auto"/>
        <w:rPr>
          <w:rFonts w:ascii="Times New Roman" w:hAnsi="Times New Roman" w:cs="Times New Roman"/>
        </w:rPr>
      </w:pPr>
    </w:p>
    <w:p w14:paraId="2DFA24CD" w14:textId="77777777" w:rsidR="00DB69B5" w:rsidRPr="00F2129E" w:rsidRDefault="00DB69B5" w:rsidP="00350C31">
      <w:pPr>
        <w:spacing w:line="480" w:lineRule="auto"/>
        <w:rPr>
          <w:rFonts w:ascii="Times New Roman" w:hAnsi="Times New Roman" w:cs="Times New Roman"/>
        </w:rPr>
      </w:pPr>
    </w:p>
    <w:p w14:paraId="3FE6EF3C" w14:textId="19726545" w:rsidR="00B62A30" w:rsidRPr="00F2129E" w:rsidRDefault="00934CDA" w:rsidP="00350C31">
      <w:pPr>
        <w:spacing w:line="480" w:lineRule="auto"/>
        <w:rPr>
          <w:rFonts w:ascii="Times New Roman" w:hAnsi="Times New Roman" w:cs="Times New Roman"/>
        </w:rPr>
      </w:pPr>
      <w:r w:rsidRPr="00F2129E">
        <w:rPr>
          <w:rFonts w:ascii="Times New Roman" w:hAnsi="Times New Roman" w:cs="Times New Roman"/>
        </w:rPr>
        <w:t>Cohen’s</w:t>
      </w:r>
      <w:r w:rsidR="00AE5A95" w:rsidRPr="00F2129E">
        <w:rPr>
          <w:rFonts w:ascii="Times New Roman" w:hAnsi="Times New Roman" w:cs="Times New Roman"/>
        </w:rPr>
        <w:t xml:space="preserve"> discussions of the </w:t>
      </w:r>
      <w:r w:rsidRPr="00F2129E">
        <w:rPr>
          <w:rFonts w:ascii="Times New Roman" w:hAnsi="Times New Roman" w:cs="Times New Roman"/>
        </w:rPr>
        <w:t>diaspora’s</w:t>
      </w:r>
      <w:r w:rsidR="00AE5A95" w:rsidRPr="00F2129E">
        <w:rPr>
          <w:rFonts w:ascii="Times New Roman" w:hAnsi="Times New Roman" w:cs="Times New Roman"/>
        </w:rPr>
        <w:t xml:space="preserve"> reflection in </w:t>
      </w:r>
      <w:r w:rsidRPr="00F2129E">
        <w:rPr>
          <w:rFonts w:ascii="Times New Roman" w:hAnsi="Times New Roman" w:cs="Times New Roman"/>
        </w:rPr>
        <w:t>Israelite</w:t>
      </w:r>
      <w:r w:rsidR="00AE5A95" w:rsidRPr="00F2129E">
        <w:rPr>
          <w:rFonts w:ascii="Times New Roman" w:hAnsi="Times New Roman" w:cs="Times New Roman"/>
        </w:rPr>
        <w:t xml:space="preserve"> society and community, perfectly fits within his discussions of unity and diversity of Jewish communities. Cohen</w:t>
      </w:r>
      <w:r w:rsidR="00B05A15" w:rsidRPr="00F2129E">
        <w:rPr>
          <w:rFonts w:ascii="Times New Roman" w:hAnsi="Times New Roman" w:cs="Times New Roman"/>
        </w:rPr>
        <w:t xml:space="preserve"> clearly explains the religious changes linked to the diaspora </w:t>
      </w:r>
      <w:r w:rsidR="00B62A30" w:rsidRPr="00F2129E">
        <w:rPr>
          <w:rFonts w:ascii="Times New Roman" w:hAnsi="Times New Roman" w:cs="Times New Roman"/>
        </w:rPr>
        <w:t>became</w:t>
      </w:r>
      <w:r w:rsidR="00B05A15" w:rsidRPr="00F2129E">
        <w:rPr>
          <w:rFonts w:ascii="Times New Roman" w:hAnsi="Times New Roman" w:cs="Times New Roman"/>
        </w:rPr>
        <w:t xml:space="preserve"> an integral part of post exilic Judaism</w:t>
      </w:r>
      <w:r w:rsidR="00B05A15" w:rsidRPr="00F2129E">
        <w:rPr>
          <w:rStyle w:val="FootnoteReference"/>
          <w:rFonts w:ascii="Times New Roman" w:hAnsi="Times New Roman" w:cs="Times New Roman"/>
        </w:rPr>
        <w:footnoteReference w:id="18"/>
      </w:r>
      <w:r w:rsidR="00B05A15" w:rsidRPr="00F2129E">
        <w:rPr>
          <w:rFonts w:ascii="Times New Roman" w:hAnsi="Times New Roman" w:cs="Times New Roman"/>
        </w:rPr>
        <w:t>.</w:t>
      </w:r>
      <w:r w:rsidR="00B62A30" w:rsidRPr="00F2129E">
        <w:rPr>
          <w:rFonts w:ascii="Times New Roman" w:hAnsi="Times New Roman" w:cs="Times New Roman"/>
        </w:rPr>
        <w:t xml:space="preserve"> Cohen describes how the diaspora, rather than hindering Jewish identity, inspired the production of a rich literary tradition, that unified Jewish communities despite their separation</w:t>
      </w:r>
      <w:r w:rsidR="00B62A30" w:rsidRPr="00F2129E">
        <w:rPr>
          <w:rStyle w:val="FootnoteReference"/>
          <w:rFonts w:ascii="Times New Roman" w:hAnsi="Times New Roman" w:cs="Times New Roman"/>
        </w:rPr>
        <w:footnoteReference w:id="19"/>
      </w:r>
      <w:r w:rsidR="00B62A30" w:rsidRPr="00F2129E">
        <w:rPr>
          <w:rFonts w:ascii="Times New Roman" w:hAnsi="Times New Roman" w:cs="Times New Roman"/>
        </w:rPr>
        <w:t>. Cohen aptly emphasises how the relationship between Israelite religion and society is demonstrated through literary and cultural outputs</w:t>
      </w:r>
      <w:r w:rsidR="00B62A30" w:rsidRPr="00F2129E">
        <w:rPr>
          <w:rStyle w:val="FootnoteReference"/>
          <w:rFonts w:ascii="Times New Roman" w:hAnsi="Times New Roman" w:cs="Times New Roman"/>
        </w:rPr>
        <w:footnoteReference w:id="20"/>
      </w:r>
      <w:r w:rsidR="00B62A30" w:rsidRPr="00F2129E">
        <w:rPr>
          <w:rFonts w:ascii="Times New Roman" w:hAnsi="Times New Roman" w:cs="Times New Roman"/>
        </w:rPr>
        <w:t xml:space="preserve">. This relationship between </w:t>
      </w:r>
      <w:r w:rsidR="00FA546C" w:rsidRPr="00F2129E">
        <w:rPr>
          <w:rFonts w:ascii="Times New Roman" w:hAnsi="Times New Roman" w:cs="Times New Roman"/>
        </w:rPr>
        <w:t>region</w:t>
      </w:r>
      <w:r w:rsidR="00B62A30" w:rsidRPr="00F2129E">
        <w:rPr>
          <w:rFonts w:ascii="Times New Roman" w:hAnsi="Times New Roman" w:cs="Times New Roman"/>
        </w:rPr>
        <w:t xml:space="preserve"> and cultural changes is al</w:t>
      </w:r>
      <w:r w:rsidR="00FA546C" w:rsidRPr="00F2129E">
        <w:rPr>
          <w:rFonts w:ascii="Times New Roman" w:hAnsi="Times New Roman" w:cs="Times New Roman"/>
        </w:rPr>
        <w:t>s</w:t>
      </w:r>
      <w:r w:rsidR="00B62A30" w:rsidRPr="00F2129E">
        <w:rPr>
          <w:rFonts w:ascii="Times New Roman" w:hAnsi="Times New Roman" w:cs="Times New Roman"/>
        </w:rPr>
        <w:t>o made clear int the etymological discussion of the term “</w:t>
      </w:r>
      <w:r w:rsidR="00B62A30" w:rsidRPr="00F2129E">
        <w:rPr>
          <w:rFonts w:ascii="Times New Roman" w:hAnsi="Times New Roman" w:cs="Times New Roman"/>
          <w:i/>
          <w:iCs/>
        </w:rPr>
        <w:t xml:space="preserve">rabbi” </w:t>
      </w:r>
      <w:r w:rsidR="00B62A30" w:rsidRPr="00F2129E">
        <w:rPr>
          <w:rFonts w:ascii="Times New Roman" w:hAnsi="Times New Roman" w:cs="Times New Roman"/>
        </w:rPr>
        <w:t>and it changes meaning on Jewish religion becomes de-centralised</w:t>
      </w:r>
      <w:r w:rsidR="00B62A30" w:rsidRPr="00F2129E">
        <w:rPr>
          <w:rStyle w:val="FootnoteReference"/>
          <w:rFonts w:ascii="Times New Roman" w:hAnsi="Times New Roman" w:cs="Times New Roman"/>
        </w:rPr>
        <w:footnoteReference w:id="21"/>
      </w:r>
      <w:r w:rsidR="00B62A30" w:rsidRPr="00F2129E">
        <w:rPr>
          <w:rFonts w:ascii="Times New Roman" w:hAnsi="Times New Roman" w:cs="Times New Roman"/>
        </w:rPr>
        <w:t>.</w:t>
      </w:r>
    </w:p>
    <w:p w14:paraId="2D2770DA" w14:textId="77777777" w:rsidR="00B62A30" w:rsidRPr="00F2129E" w:rsidRDefault="00B62A30" w:rsidP="00350C31">
      <w:pPr>
        <w:spacing w:line="480" w:lineRule="auto"/>
        <w:rPr>
          <w:rFonts w:ascii="Times New Roman" w:hAnsi="Times New Roman" w:cs="Times New Roman"/>
        </w:rPr>
      </w:pPr>
    </w:p>
    <w:p w14:paraId="01EF45BA" w14:textId="319DDEA8" w:rsidR="00F01A20" w:rsidRPr="00F2129E" w:rsidRDefault="00FA546C" w:rsidP="00350C31">
      <w:pPr>
        <w:spacing w:line="480" w:lineRule="auto"/>
        <w:rPr>
          <w:rFonts w:ascii="Times New Roman" w:hAnsi="Times New Roman" w:cs="Times New Roman"/>
        </w:rPr>
      </w:pPr>
      <w:r w:rsidRPr="00F2129E">
        <w:rPr>
          <w:rFonts w:ascii="Times New Roman" w:hAnsi="Times New Roman" w:cs="Times New Roman"/>
        </w:rPr>
        <w:t xml:space="preserve">This is not to say that </w:t>
      </w:r>
      <w:r w:rsidR="00B05A15" w:rsidRPr="00F2129E">
        <w:rPr>
          <w:rFonts w:ascii="Times New Roman" w:hAnsi="Times New Roman" w:cs="Times New Roman"/>
        </w:rPr>
        <w:t>Cohen</w:t>
      </w:r>
      <w:r w:rsidRPr="00F2129E">
        <w:rPr>
          <w:rFonts w:ascii="Times New Roman" w:hAnsi="Times New Roman" w:cs="Times New Roman"/>
        </w:rPr>
        <w:t xml:space="preserve">’s representations of Jewish culture and religion are infallible. Often the </w:t>
      </w:r>
      <w:r w:rsidR="00B05A15" w:rsidRPr="00F2129E">
        <w:rPr>
          <w:rFonts w:ascii="Times New Roman" w:hAnsi="Times New Roman" w:cs="Times New Roman"/>
        </w:rPr>
        <w:t xml:space="preserve">language used is rooted within hindsight, </w:t>
      </w:r>
      <w:r w:rsidRPr="00F2129E">
        <w:rPr>
          <w:rFonts w:ascii="Times New Roman" w:hAnsi="Times New Roman" w:cs="Times New Roman"/>
        </w:rPr>
        <w:t>with terms such</w:t>
      </w:r>
      <w:r w:rsidR="00F01A20" w:rsidRPr="00F2129E">
        <w:rPr>
          <w:rFonts w:ascii="Times New Roman" w:hAnsi="Times New Roman" w:cs="Times New Roman"/>
        </w:rPr>
        <w:t xml:space="preserve"> as “nationalist”</w:t>
      </w:r>
      <w:r w:rsidRPr="00F2129E">
        <w:rPr>
          <w:rFonts w:ascii="Times New Roman" w:hAnsi="Times New Roman" w:cs="Times New Roman"/>
        </w:rPr>
        <w:t xml:space="preserve"> being </w:t>
      </w:r>
      <w:r w:rsidRPr="00F2129E">
        <w:rPr>
          <w:rFonts w:ascii="Times New Roman" w:hAnsi="Times New Roman" w:cs="Times New Roman"/>
        </w:rPr>
        <w:lastRenderedPageBreak/>
        <w:t>used to describe the Maccabees</w:t>
      </w:r>
      <w:r w:rsidR="00F01A20" w:rsidRPr="00F2129E">
        <w:rPr>
          <w:rFonts w:ascii="Times New Roman" w:hAnsi="Times New Roman" w:cs="Times New Roman"/>
        </w:rPr>
        <w:t xml:space="preserve"> and “imperial”</w:t>
      </w:r>
      <w:r w:rsidRPr="00F2129E">
        <w:rPr>
          <w:rFonts w:ascii="Times New Roman" w:hAnsi="Times New Roman" w:cs="Times New Roman"/>
        </w:rPr>
        <w:t xml:space="preserve"> for the Romans</w:t>
      </w:r>
      <w:r w:rsidR="00F01A20" w:rsidRPr="00F2129E">
        <w:rPr>
          <w:rStyle w:val="FootnoteReference"/>
          <w:rFonts w:ascii="Times New Roman" w:hAnsi="Times New Roman" w:cs="Times New Roman"/>
        </w:rPr>
        <w:footnoteReference w:id="22"/>
      </w:r>
      <w:r w:rsidR="00F01A20" w:rsidRPr="00F2129E">
        <w:rPr>
          <w:rFonts w:ascii="Times New Roman" w:hAnsi="Times New Roman" w:cs="Times New Roman"/>
        </w:rPr>
        <w:t xml:space="preserve">. These terms are not </w:t>
      </w:r>
      <w:r w:rsidRPr="00F2129E">
        <w:rPr>
          <w:rFonts w:ascii="Times New Roman" w:hAnsi="Times New Roman" w:cs="Times New Roman"/>
        </w:rPr>
        <w:t>fully</w:t>
      </w:r>
      <w:r w:rsidR="00F01A20" w:rsidRPr="00F2129E">
        <w:rPr>
          <w:rFonts w:ascii="Times New Roman" w:hAnsi="Times New Roman" w:cs="Times New Roman"/>
        </w:rPr>
        <w:t xml:space="preserve"> applicable as, during the period Cohen discusses, Rome is not yet an Empire, but a republic</w:t>
      </w:r>
      <w:r w:rsidR="00F01A20" w:rsidRPr="00F2129E">
        <w:rPr>
          <w:rStyle w:val="FootnoteReference"/>
          <w:rFonts w:ascii="Times New Roman" w:hAnsi="Times New Roman" w:cs="Times New Roman"/>
        </w:rPr>
        <w:footnoteReference w:id="23"/>
      </w:r>
      <w:r w:rsidR="00F01A20" w:rsidRPr="00F2129E">
        <w:rPr>
          <w:rFonts w:ascii="Times New Roman" w:hAnsi="Times New Roman" w:cs="Times New Roman"/>
        </w:rPr>
        <w:t>, and the Maccabees, although clearly proud of being a Judaic state, shouldn’t be described as nationalistic</w:t>
      </w:r>
      <w:r w:rsidRPr="00F2129E">
        <w:rPr>
          <w:rFonts w:ascii="Times New Roman" w:hAnsi="Times New Roman" w:cs="Times New Roman"/>
        </w:rPr>
        <w:t xml:space="preserve"> without full explanations</w:t>
      </w:r>
      <w:r w:rsidR="00F01A20" w:rsidRPr="00F2129E">
        <w:rPr>
          <w:rFonts w:ascii="Times New Roman" w:hAnsi="Times New Roman" w:cs="Times New Roman"/>
        </w:rPr>
        <w:t xml:space="preserve">, as the term is a modern </w:t>
      </w:r>
      <w:r w:rsidRPr="00F2129E">
        <w:rPr>
          <w:rFonts w:ascii="Times New Roman" w:hAnsi="Times New Roman" w:cs="Times New Roman"/>
        </w:rPr>
        <w:t>idiom</w:t>
      </w:r>
      <w:r w:rsidR="006E518B" w:rsidRPr="00F2129E">
        <w:rPr>
          <w:rFonts w:ascii="Times New Roman" w:hAnsi="Times New Roman" w:cs="Times New Roman"/>
        </w:rPr>
        <w:t xml:space="preserve"> created</w:t>
      </w:r>
      <w:r w:rsidR="00F01A20" w:rsidRPr="00F2129E">
        <w:rPr>
          <w:rFonts w:ascii="Times New Roman" w:hAnsi="Times New Roman" w:cs="Times New Roman"/>
        </w:rPr>
        <w:t xml:space="preserve"> to describe groups of the twentieth and twenty-first centuries</w:t>
      </w:r>
      <w:r w:rsidR="006E518B" w:rsidRPr="00F2129E">
        <w:rPr>
          <w:rStyle w:val="FootnoteReference"/>
          <w:rFonts w:ascii="Times New Roman" w:hAnsi="Times New Roman" w:cs="Times New Roman"/>
        </w:rPr>
        <w:footnoteReference w:id="24"/>
      </w:r>
      <w:r w:rsidR="00F01A20" w:rsidRPr="00F2129E">
        <w:rPr>
          <w:rFonts w:ascii="Times New Roman" w:hAnsi="Times New Roman" w:cs="Times New Roman"/>
        </w:rPr>
        <w:t>, not pre-exilic Judah.</w:t>
      </w:r>
      <w:r w:rsidRPr="00F2129E">
        <w:rPr>
          <w:rFonts w:ascii="Times New Roman" w:hAnsi="Times New Roman" w:cs="Times New Roman"/>
        </w:rPr>
        <w:t xml:space="preserve"> There are also some descriptions of the changes structure the diaspora created when Jews returned to Babylonia, however these terms are not fully explained, and can seem confusion to those who do not understand the application of the term’s “tribe” and “clan” within Judaic communities</w:t>
      </w:r>
      <w:r w:rsidRPr="00F2129E">
        <w:rPr>
          <w:rStyle w:val="FootnoteReference"/>
          <w:rFonts w:ascii="Times New Roman" w:hAnsi="Times New Roman" w:cs="Times New Roman"/>
        </w:rPr>
        <w:footnoteReference w:id="25"/>
      </w:r>
      <w:r w:rsidRPr="00F2129E">
        <w:rPr>
          <w:rFonts w:ascii="Times New Roman" w:hAnsi="Times New Roman" w:cs="Times New Roman"/>
        </w:rPr>
        <w:t>.</w:t>
      </w:r>
    </w:p>
    <w:p w14:paraId="367B9BF2" w14:textId="35E962BC" w:rsidR="00E83B48" w:rsidRPr="00F2129E" w:rsidRDefault="00E83B48" w:rsidP="00350C31">
      <w:pPr>
        <w:spacing w:line="480" w:lineRule="auto"/>
        <w:rPr>
          <w:rFonts w:ascii="Times New Roman" w:hAnsi="Times New Roman" w:cs="Times New Roman"/>
        </w:rPr>
      </w:pPr>
    </w:p>
    <w:p w14:paraId="557D9D5D" w14:textId="6F7A5EC0" w:rsidR="00E83B48" w:rsidRPr="00F2129E" w:rsidRDefault="00E83B48" w:rsidP="00350C31">
      <w:pPr>
        <w:spacing w:line="480" w:lineRule="auto"/>
        <w:rPr>
          <w:rFonts w:ascii="Times New Roman" w:hAnsi="Times New Roman" w:cs="Times New Roman"/>
        </w:rPr>
      </w:pPr>
      <w:r w:rsidRPr="00F2129E">
        <w:rPr>
          <w:rFonts w:ascii="Times New Roman" w:hAnsi="Times New Roman" w:cs="Times New Roman"/>
        </w:rPr>
        <w:t xml:space="preserve">Cohen is </w:t>
      </w:r>
      <w:r w:rsidR="00FA546C" w:rsidRPr="00F2129E">
        <w:rPr>
          <w:rFonts w:ascii="Times New Roman" w:hAnsi="Times New Roman" w:cs="Times New Roman"/>
        </w:rPr>
        <w:t xml:space="preserve">clearly focused on </w:t>
      </w:r>
      <w:r w:rsidRPr="00F2129E">
        <w:rPr>
          <w:rFonts w:ascii="Times New Roman" w:hAnsi="Times New Roman" w:cs="Times New Roman"/>
        </w:rPr>
        <w:t>religious and theological deba</w:t>
      </w:r>
      <w:r w:rsidR="007E26D7" w:rsidRPr="00F2129E">
        <w:rPr>
          <w:rFonts w:ascii="Times New Roman" w:hAnsi="Times New Roman" w:cs="Times New Roman"/>
        </w:rPr>
        <w:t>t</w:t>
      </w:r>
      <w:r w:rsidRPr="00F2129E">
        <w:rPr>
          <w:rFonts w:ascii="Times New Roman" w:hAnsi="Times New Roman" w:cs="Times New Roman"/>
        </w:rPr>
        <w:t xml:space="preserve">es within this chapter. </w:t>
      </w:r>
      <w:r w:rsidR="005A5E27" w:rsidRPr="00F2129E">
        <w:rPr>
          <w:rFonts w:ascii="Times New Roman" w:hAnsi="Times New Roman" w:cs="Times New Roman"/>
        </w:rPr>
        <w:t>Discussions</w:t>
      </w:r>
      <w:r w:rsidRPr="00F2129E">
        <w:rPr>
          <w:rFonts w:ascii="Times New Roman" w:hAnsi="Times New Roman" w:cs="Times New Roman"/>
        </w:rPr>
        <w:t xml:space="preserve"> into the </w:t>
      </w:r>
      <w:r w:rsidR="00FA546C" w:rsidRPr="00F2129E">
        <w:rPr>
          <w:rFonts w:ascii="Times New Roman" w:hAnsi="Times New Roman" w:cs="Times New Roman"/>
        </w:rPr>
        <w:t>political and social</w:t>
      </w:r>
      <w:r w:rsidRPr="00F2129E">
        <w:rPr>
          <w:rFonts w:ascii="Times New Roman" w:hAnsi="Times New Roman" w:cs="Times New Roman"/>
        </w:rPr>
        <w:t xml:space="preserve"> changes to fait</w:t>
      </w:r>
      <w:r w:rsidR="00CC4FF3" w:rsidRPr="00F2129E">
        <w:rPr>
          <w:rFonts w:ascii="Times New Roman" w:hAnsi="Times New Roman" w:cs="Times New Roman"/>
        </w:rPr>
        <w:t>h</w:t>
      </w:r>
      <w:r w:rsidRPr="00F2129E">
        <w:rPr>
          <w:rFonts w:ascii="Times New Roman" w:hAnsi="Times New Roman" w:cs="Times New Roman"/>
        </w:rPr>
        <w:t xml:space="preserve"> are well discussed and thought out</w:t>
      </w:r>
      <w:r w:rsidR="00CC4FF3" w:rsidRPr="00F2129E">
        <w:rPr>
          <w:rFonts w:ascii="Times New Roman" w:hAnsi="Times New Roman" w:cs="Times New Roman"/>
        </w:rPr>
        <w:t>.</w:t>
      </w:r>
      <w:r w:rsidRPr="00F2129E">
        <w:rPr>
          <w:rFonts w:ascii="Times New Roman" w:hAnsi="Times New Roman" w:cs="Times New Roman"/>
        </w:rPr>
        <w:t xml:space="preserve"> </w:t>
      </w:r>
      <w:r w:rsidR="00FA546C" w:rsidRPr="00F2129E">
        <w:rPr>
          <w:rFonts w:ascii="Times New Roman" w:hAnsi="Times New Roman" w:cs="Times New Roman"/>
        </w:rPr>
        <w:t>Cohen lacks this detail w</w:t>
      </w:r>
      <w:r w:rsidRPr="00F2129E">
        <w:rPr>
          <w:rFonts w:ascii="Times New Roman" w:hAnsi="Times New Roman" w:cs="Times New Roman"/>
        </w:rPr>
        <w:t xml:space="preserve">hen considering the historical </w:t>
      </w:r>
      <w:r w:rsidR="00FA546C" w:rsidRPr="00F2129E">
        <w:rPr>
          <w:rFonts w:ascii="Times New Roman" w:hAnsi="Times New Roman" w:cs="Times New Roman"/>
        </w:rPr>
        <w:t>chronology</w:t>
      </w:r>
      <w:r w:rsidRPr="00F2129E">
        <w:rPr>
          <w:rFonts w:ascii="Times New Roman" w:hAnsi="Times New Roman" w:cs="Times New Roman"/>
        </w:rPr>
        <w:t xml:space="preserve"> of </w:t>
      </w:r>
      <w:r w:rsidR="003E539C" w:rsidRPr="00F2129E">
        <w:rPr>
          <w:rFonts w:ascii="Times New Roman" w:hAnsi="Times New Roman" w:cs="Times New Roman"/>
        </w:rPr>
        <w:t>Judaism</w:t>
      </w:r>
      <w:r w:rsidRPr="00F2129E">
        <w:rPr>
          <w:rFonts w:ascii="Times New Roman" w:hAnsi="Times New Roman" w:cs="Times New Roman"/>
        </w:rPr>
        <w:t xml:space="preserve">. There is little </w:t>
      </w:r>
      <w:r w:rsidR="00CC4FF3" w:rsidRPr="00F2129E">
        <w:rPr>
          <w:rFonts w:ascii="Times New Roman" w:hAnsi="Times New Roman" w:cs="Times New Roman"/>
        </w:rPr>
        <w:t xml:space="preserve">direct </w:t>
      </w:r>
      <w:r w:rsidR="003909FC" w:rsidRPr="00F2129E">
        <w:rPr>
          <w:rFonts w:ascii="Times New Roman" w:hAnsi="Times New Roman" w:cs="Times New Roman"/>
        </w:rPr>
        <w:t xml:space="preserve">referencing to ancient or modern sources for evidence, which makes the chapter appear as opinions rather than a scholarly discussion of a history. </w:t>
      </w:r>
      <w:r w:rsidR="00F82279" w:rsidRPr="00F2129E">
        <w:rPr>
          <w:rFonts w:ascii="Times New Roman" w:hAnsi="Times New Roman" w:cs="Times New Roman"/>
        </w:rPr>
        <w:t xml:space="preserve">However, in later editions of the book Cohen </w:t>
      </w:r>
      <w:r w:rsidR="003E539C" w:rsidRPr="00F2129E">
        <w:rPr>
          <w:rFonts w:ascii="Times New Roman" w:hAnsi="Times New Roman" w:cs="Times New Roman"/>
        </w:rPr>
        <w:t>acknowledges</w:t>
      </w:r>
      <w:r w:rsidR="00F82279" w:rsidRPr="00F2129E">
        <w:rPr>
          <w:rFonts w:ascii="Times New Roman" w:hAnsi="Times New Roman" w:cs="Times New Roman"/>
        </w:rPr>
        <w:t xml:space="preserve"> this lack of direct </w:t>
      </w:r>
      <w:r w:rsidR="003E539C" w:rsidRPr="00F2129E">
        <w:rPr>
          <w:rFonts w:ascii="Times New Roman" w:hAnsi="Times New Roman" w:cs="Times New Roman"/>
        </w:rPr>
        <w:t>referencing</w:t>
      </w:r>
      <w:r w:rsidR="00F82279" w:rsidRPr="00F2129E">
        <w:rPr>
          <w:rFonts w:ascii="Times New Roman" w:hAnsi="Times New Roman" w:cs="Times New Roman"/>
        </w:rPr>
        <w:t xml:space="preserve"> and amends it where necessary </w:t>
      </w:r>
      <w:r w:rsidR="003E539C" w:rsidRPr="00F2129E">
        <w:rPr>
          <w:rFonts w:ascii="Times New Roman" w:hAnsi="Times New Roman" w:cs="Times New Roman"/>
        </w:rPr>
        <w:t>or</w:t>
      </w:r>
      <w:r w:rsidR="00F82279" w:rsidRPr="00F2129E">
        <w:rPr>
          <w:rFonts w:ascii="Times New Roman" w:hAnsi="Times New Roman" w:cs="Times New Roman"/>
        </w:rPr>
        <w:t xml:space="preserve"> explains his reasons for </w:t>
      </w:r>
      <w:r w:rsidR="003E539C" w:rsidRPr="00F2129E">
        <w:rPr>
          <w:rFonts w:ascii="Times New Roman" w:hAnsi="Times New Roman" w:cs="Times New Roman"/>
        </w:rPr>
        <w:t>their exclusion</w:t>
      </w:r>
      <w:r w:rsidR="00F82279" w:rsidRPr="00F2129E">
        <w:rPr>
          <w:rStyle w:val="FootnoteReference"/>
          <w:rFonts w:ascii="Times New Roman" w:hAnsi="Times New Roman" w:cs="Times New Roman"/>
        </w:rPr>
        <w:footnoteReference w:id="26"/>
      </w:r>
      <w:r w:rsidR="00F82279" w:rsidRPr="00F2129E">
        <w:rPr>
          <w:rFonts w:ascii="Times New Roman" w:hAnsi="Times New Roman" w:cs="Times New Roman"/>
        </w:rPr>
        <w:t>. T</w:t>
      </w:r>
      <w:r w:rsidR="003909FC" w:rsidRPr="00F2129E">
        <w:rPr>
          <w:rFonts w:ascii="Times New Roman" w:hAnsi="Times New Roman" w:cs="Times New Roman"/>
        </w:rPr>
        <w:t>here</w:t>
      </w:r>
      <w:r w:rsidRPr="00F2129E">
        <w:rPr>
          <w:rFonts w:ascii="Times New Roman" w:hAnsi="Times New Roman" w:cs="Times New Roman"/>
        </w:rPr>
        <w:t xml:space="preserve"> </w:t>
      </w:r>
      <w:r w:rsidR="00934CDA" w:rsidRPr="00F2129E">
        <w:rPr>
          <w:rFonts w:ascii="Times New Roman" w:hAnsi="Times New Roman" w:cs="Times New Roman"/>
        </w:rPr>
        <w:t>are</w:t>
      </w:r>
      <w:r w:rsidR="00F82279" w:rsidRPr="00F2129E">
        <w:rPr>
          <w:rFonts w:ascii="Times New Roman" w:hAnsi="Times New Roman" w:cs="Times New Roman"/>
        </w:rPr>
        <w:t xml:space="preserve"> </w:t>
      </w:r>
      <w:r w:rsidRPr="00F2129E">
        <w:rPr>
          <w:rFonts w:ascii="Times New Roman" w:hAnsi="Times New Roman" w:cs="Times New Roman"/>
        </w:rPr>
        <w:t xml:space="preserve">relevant, pertinent and </w:t>
      </w:r>
      <w:r w:rsidR="003909FC" w:rsidRPr="00F2129E">
        <w:rPr>
          <w:rFonts w:ascii="Times New Roman" w:hAnsi="Times New Roman" w:cs="Times New Roman"/>
        </w:rPr>
        <w:t>valuable</w:t>
      </w:r>
      <w:r w:rsidRPr="00F2129E">
        <w:rPr>
          <w:rFonts w:ascii="Times New Roman" w:hAnsi="Times New Roman" w:cs="Times New Roman"/>
        </w:rPr>
        <w:t xml:space="preserve"> theological and religious </w:t>
      </w:r>
      <w:r w:rsidR="003E539C" w:rsidRPr="00F2129E">
        <w:rPr>
          <w:rFonts w:ascii="Times New Roman" w:hAnsi="Times New Roman" w:cs="Times New Roman"/>
        </w:rPr>
        <w:t>discussions concerning periodisation</w:t>
      </w:r>
      <w:r w:rsidRPr="00F2129E">
        <w:rPr>
          <w:rFonts w:ascii="Times New Roman" w:hAnsi="Times New Roman" w:cs="Times New Roman"/>
        </w:rPr>
        <w:t xml:space="preserve">, </w:t>
      </w:r>
      <w:r w:rsidR="003E539C" w:rsidRPr="00F2129E">
        <w:rPr>
          <w:rFonts w:ascii="Times New Roman" w:hAnsi="Times New Roman" w:cs="Times New Roman"/>
        </w:rPr>
        <w:t>addressing the</w:t>
      </w:r>
      <w:r w:rsidRPr="00F2129E">
        <w:rPr>
          <w:rFonts w:ascii="Times New Roman" w:hAnsi="Times New Roman" w:cs="Times New Roman"/>
        </w:rPr>
        <w:t xml:space="preserve"> confusion and </w:t>
      </w:r>
      <w:r w:rsidR="005A5E27" w:rsidRPr="00F2129E">
        <w:rPr>
          <w:rFonts w:ascii="Times New Roman" w:hAnsi="Times New Roman" w:cs="Times New Roman"/>
        </w:rPr>
        <w:t>insensitivities</w:t>
      </w:r>
      <w:r w:rsidRPr="00F2129E">
        <w:rPr>
          <w:rFonts w:ascii="Times New Roman" w:hAnsi="Times New Roman" w:cs="Times New Roman"/>
        </w:rPr>
        <w:t xml:space="preserve"> caused by the use of these terms. </w:t>
      </w:r>
      <w:r w:rsidR="003E539C" w:rsidRPr="00F2129E">
        <w:rPr>
          <w:rFonts w:ascii="Times New Roman" w:hAnsi="Times New Roman" w:cs="Times New Roman"/>
        </w:rPr>
        <w:t xml:space="preserve"> Cohen’s revision of periodisation is not </w:t>
      </w:r>
      <w:r w:rsidR="003909FC" w:rsidRPr="00F2129E">
        <w:rPr>
          <w:rFonts w:ascii="Times New Roman" w:hAnsi="Times New Roman" w:cs="Times New Roman"/>
        </w:rPr>
        <w:t xml:space="preserve">fully incorporated </w:t>
      </w:r>
      <w:r w:rsidRPr="00F2129E">
        <w:rPr>
          <w:rFonts w:ascii="Times New Roman" w:hAnsi="Times New Roman" w:cs="Times New Roman"/>
        </w:rPr>
        <w:t>within the chapter</w:t>
      </w:r>
      <w:r w:rsidR="003909FC" w:rsidRPr="00F2129E">
        <w:rPr>
          <w:rFonts w:ascii="Times New Roman" w:hAnsi="Times New Roman" w:cs="Times New Roman"/>
        </w:rPr>
        <w:t>,</w:t>
      </w:r>
      <w:r w:rsidR="003E539C" w:rsidRPr="00F2129E">
        <w:rPr>
          <w:rFonts w:ascii="Times New Roman" w:hAnsi="Times New Roman" w:cs="Times New Roman"/>
        </w:rPr>
        <w:t xml:space="preserve"> although this is likely due to this being an introductory chapter of the book, rather than an exhaustive analysis of these </w:t>
      </w:r>
      <w:r w:rsidR="00934CDA" w:rsidRPr="00F2129E">
        <w:rPr>
          <w:rFonts w:ascii="Times New Roman" w:hAnsi="Times New Roman" w:cs="Times New Roman"/>
        </w:rPr>
        <w:t>issues. There</w:t>
      </w:r>
      <w:r w:rsidR="00CD4FDD" w:rsidRPr="00F2129E">
        <w:rPr>
          <w:rFonts w:ascii="Times New Roman" w:hAnsi="Times New Roman" w:cs="Times New Roman"/>
        </w:rPr>
        <w:t xml:space="preserve"> is a clear </w:t>
      </w:r>
      <w:r w:rsidR="003909FC" w:rsidRPr="00F2129E">
        <w:rPr>
          <w:rFonts w:ascii="Times New Roman" w:hAnsi="Times New Roman" w:cs="Times New Roman"/>
        </w:rPr>
        <w:t>focus</w:t>
      </w:r>
      <w:r w:rsidR="00CD4FDD" w:rsidRPr="00F2129E">
        <w:rPr>
          <w:rFonts w:ascii="Times New Roman" w:hAnsi="Times New Roman" w:cs="Times New Roman"/>
        </w:rPr>
        <w:t xml:space="preserve"> on religious documentation, particularly </w:t>
      </w:r>
      <w:r w:rsidR="00C30DBB" w:rsidRPr="00F2129E">
        <w:rPr>
          <w:rFonts w:ascii="Times New Roman" w:hAnsi="Times New Roman" w:cs="Times New Roman"/>
        </w:rPr>
        <w:t xml:space="preserve">1 and 2 </w:t>
      </w:r>
      <w:r w:rsidR="00693B9C" w:rsidRPr="00F2129E">
        <w:rPr>
          <w:rFonts w:ascii="Times New Roman" w:hAnsi="Times New Roman" w:cs="Times New Roman"/>
        </w:rPr>
        <w:t>Maccabees</w:t>
      </w:r>
      <w:r w:rsidR="003909FC" w:rsidRPr="00F2129E">
        <w:rPr>
          <w:rFonts w:ascii="Times New Roman" w:hAnsi="Times New Roman" w:cs="Times New Roman"/>
        </w:rPr>
        <w:t>,</w:t>
      </w:r>
      <w:r w:rsidR="00CD4FDD" w:rsidRPr="00F2129E">
        <w:rPr>
          <w:rFonts w:ascii="Times New Roman" w:hAnsi="Times New Roman" w:cs="Times New Roman"/>
        </w:rPr>
        <w:t xml:space="preserve"> </w:t>
      </w:r>
      <w:r w:rsidR="003909FC" w:rsidRPr="00F2129E">
        <w:rPr>
          <w:rFonts w:ascii="Times New Roman" w:hAnsi="Times New Roman" w:cs="Times New Roman"/>
        </w:rPr>
        <w:t>h</w:t>
      </w:r>
      <w:r w:rsidR="00693B9C" w:rsidRPr="00F2129E">
        <w:rPr>
          <w:rFonts w:ascii="Times New Roman" w:hAnsi="Times New Roman" w:cs="Times New Roman"/>
        </w:rPr>
        <w:t>owever, the</w:t>
      </w:r>
      <w:r w:rsidR="003E539C" w:rsidRPr="00F2129E">
        <w:rPr>
          <w:rFonts w:ascii="Times New Roman" w:hAnsi="Times New Roman" w:cs="Times New Roman"/>
        </w:rPr>
        <w:t>y</w:t>
      </w:r>
      <w:r w:rsidR="00693B9C" w:rsidRPr="00F2129E">
        <w:rPr>
          <w:rFonts w:ascii="Times New Roman" w:hAnsi="Times New Roman" w:cs="Times New Roman"/>
        </w:rPr>
        <w:t xml:space="preserve"> are </w:t>
      </w:r>
      <w:r w:rsidR="003E539C" w:rsidRPr="00F2129E">
        <w:rPr>
          <w:rFonts w:ascii="Times New Roman" w:hAnsi="Times New Roman" w:cs="Times New Roman"/>
        </w:rPr>
        <w:t>not</w:t>
      </w:r>
      <w:r w:rsidR="00693B9C" w:rsidRPr="00F2129E">
        <w:rPr>
          <w:rFonts w:ascii="Times New Roman" w:hAnsi="Times New Roman" w:cs="Times New Roman"/>
        </w:rPr>
        <w:t xml:space="preserve"> referenced</w:t>
      </w:r>
      <w:r w:rsidR="003909FC" w:rsidRPr="00F2129E">
        <w:rPr>
          <w:rFonts w:ascii="Times New Roman" w:hAnsi="Times New Roman" w:cs="Times New Roman"/>
        </w:rPr>
        <w:t xml:space="preserve"> directly</w:t>
      </w:r>
      <w:r w:rsidR="003E539C" w:rsidRPr="00F2129E">
        <w:rPr>
          <w:rFonts w:ascii="Times New Roman" w:hAnsi="Times New Roman" w:cs="Times New Roman"/>
        </w:rPr>
        <w:t>, nor are the biases and perspectives of these sources taken into account</w:t>
      </w:r>
      <w:r w:rsidR="003909FC" w:rsidRPr="00F2129E">
        <w:rPr>
          <w:rFonts w:ascii="Times New Roman" w:hAnsi="Times New Roman" w:cs="Times New Roman"/>
        </w:rPr>
        <w:t xml:space="preserve">. </w:t>
      </w:r>
      <w:r w:rsidR="001148EA" w:rsidRPr="00F2129E">
        <w:rPr>
          <w:rFonts w:ascii="Times New Roman" w:hAnsi="Times New Roman" w:cs="Times New Roman"/>
        </w:rPr>
        <w:t xml:space="preserve">Overall </w:t>
      </w:r>
      <w:r w:rsidR="001148EA" w:rsidRPr="00F2129E">
        <w:rPr>
          <w:rFonts w:ascii="Times New Roman" w:hAnsi="Times New Roman" w:cs="Times New Roman"/>
        </w:rPr>
        <w:lastRenderedPageBreak/>
        <w:t>Cohen produced a detailed discussion on the religious and theological debates of Judaic history, but does not provide a full and detailed history of the first and second Temple eras</w:t>
      </w:r>
      <w:r w:rsidR="00350C31" w:rsidRPr="00F2129E">
        <w:rPr>
          <w:rFonts w:ascii="Times New Roman" w:hAnsi="Times New Roman" w:cs="Times New Roman"/>
        </w:rPr>
        <w:t>, however he manages to discuss all of his key concern of the chapter, with only minor issues within these arguments.</w:t>
      </w:r>
    </w:p>
    <w:p w14:paraId="4491D1A7" w14:textId="2924CEB5" w:rsidR="007D4A91" w:rsidRPr="00F2129E" w:rsidRDefault="007D4A91" w:rsidP="00350C31">
      <w:pPr>
        <w:spacing w:line="480" w:lineRule="auto"/>
        <w:rPr>
          <w:rFonts w:ascii="Times New Roman" w:hAnsi="Times New Roman" w:cs="Times New Roman"/>
        </w:rPr>
      </w:pPr>
    </w:p>
    <w:p w14:paraId="041AC3D5" w14:textId="11D78033" w:rsidR="007D4A91" w:rsidRPr="00F2129E" w:rsidRDefault="007D4A91">
      <w:pPr>
        <w:rPr>
          <w:rFonts w:ascii="Times New Roman" w:hAnsi="Times New Roman" w:cs="Times New Roman"/>
        </w:rPr>
      </w:pPr>
      <w:r w:rsidRPr="00F2129E">
        <w:rPr>
          <w:rFonts w:ascii="Times New Roman" w:hAnsi="Times New Roman" w:cs="Times New Roman"/>
        </w:rPr>
        <w:br w:type="page"/>
      </w:r>
    </w:p>
    <w:p w14:paraId="675E173C" w14:textId="07B0CD3F" w:rsidR="00D66208" w:rsidRPr="00F2129E" w:rsidRDefault="00D66208" w:rsidP="00F2129E">
      <w:pPr>
        <w:spacing w:line="276" w:lineRule="auto"/>
        <w:rPr>
          <w:rFonts w:ascii="Times New Roman" w:hAnsi="Times New Roman" w:cs="Times New Roman"/>
          <w:sz w:val="28"/>
          <w:szCs w:val="28"/>
          <w:u w:val="single"/>
        </w:rPr>
      </w:pPr>
      <w:r w:rsidRPr="00F2129E">
        <w:rPr>
          <w:rFonts w:ascii="Times New Roman" w:hAnsi="Times New Roman" w:cs="Times New Roman"/>
          <w:sz w:val="28"/>
          <w:szCs w:val="28"/>
          <w:u w:val="single"/>
        </w:rPr>
        <w:lastRenderedPageBreak/>
        <w:t>Bibliography</w:t>
      </w:r>
    </w:p>
    <w:p w14:paraId="24BEA827" w14:textId="77777777" w:rsidR="00F2129E" w:rsidRPr="00F2129E" w:rsidRDefault="00F2129E" w:rsidP="00F2129E">
      <w:pPr>
        <w:spacing w:line="276" w:lineRule="auto"/>
        <w:rPr>
          <w:rFonts w:ascii="Times New Roman" w:hAnsi="Times New Roman" w:cs="Times New Roman"/>
          <w:sz w:val="28"/>
          <w:szCs w:val="28"/>
          <w:u w:val="single"/>
        </w:rPr>
      </w:pPr>
    </w:p>
    <w:p w14:paraId="7D8AF2D3" w14:textId="4145B7D6" w:rsidR="00D66208" w:rsidRPr="00F2129E" w:rsidRDefault="00D66208" w:rsidP="00F2129E">
      <w:pPr>
        <w:spacing w:line="276" w:lineRule="auto"/>
        <w:rPr>
          <w:rFonts w:ascii="Times New Roman" w:hAnsi="Times New Roman" w:cs="Times New Roman"/>
          <w:sz w:val="28"/>
          <w:szCs w:val="28"/>
          <w:u w:val="single"/>
        </w:rPr>
      </w:pPr>
      <w:r w:rsidRPr="00F2129E">
        <w:rPr>
          <w:rFonts w:ascii="Times New Roman" w:hAnsi="Times New Roman" w:cs="Times New Roman"/>
          <w:sz w:val="28"/>
          <w:szCs w:val="28"/>
          <w:u w:val="single"/>
        </w:rPr>
        <w:t>Modern sources</w:t>
      </w:r>
    </w:p>
    <w:p w14:paraId="2AAA5427" w14:textId="77777777" w:rsidR="00F2129E" w:rsidRPr="00F2129E" w:rsidRDefault="00F2129E" w:rsidP="00F2129E">
      <w:pPr>
        <w:spacing w:line="276" w:lineRule="auto"/>
        <w:rPr>
          <w:rFonts w:ascii="Times New Roman" w:hAnsi="Times New Roman" w:cs="Times New Roman"/>
          <w:sz w:val="28"/>
          <w:szCs w:val="28"/>
          <w:u w:val="single"/>
        </w:rPr>
      </w:pPr>
    </w:p>
    <w:p w14:paraId="4687354C" w14:textId="797C4D05" w:rsidR="00F2129E" w:rsidRPr="00F2129E" w:rsidRDefault="00F2129E" w:rsidP="00F2129E">
      <w:pPr>
        <w:pStyle w:val="NormalWeb"/>
        <w:spacing w:before="0" w:beforeAutospacing="0" w:after="240" w:afterAutospacing="0" w:line="276" w:lineRule="auto"/>
        <w:rPr>
          <w:color w:val="000000"/>
        </w:rPr>
      </w:pPr>
      <w:r w:rsidRPr="00F2129E">
        <w:rPr>
          <w:color w:val="000000"/>
        </w:rPr>
        <w:t>Cohen, S.J.D. (1987a). Ancient Judaism: Chronology and Definitions. In: </w:t>
      </w:r>
      <w:r w:rsidRPr="00F2129E">
        <w:rPr>
          <w:i/>
          <w:iCs/>
          <w:color w:val="000000"/>
        </w:rPr>
        <w:t>From the Maccabees to the Mishnah</w:t>
      </w:r>
      <w:r w:rsidRPr="00F2129E">
        <w:rPr>
          <w:color w:val="000000"/>
        </w:rPr>
        <w:t>.</w:t>
      </w:r>
      <w:r w:rsidR="00834379">
        <w:rPr>
          <w:color w:val="000000"/>
        </w:rPr>
        <w:t xml:space="preserve"> 1</w:t>
      </w:r>
      <w:r w:rsidR="00834379" w:rsidRPr="00834379">
        <w:rPr>
          <w:color w:val="000000"/>
          <w:vertAlign w:val="superscript"/>
        </w:rPr>
        <w:t>st</w:t>
      </w:r>
      <w:r w:rsidR="00834379">
        <w:rPr>
          <w:color w:val="000000"/>
        </w:rPr>
        <w:t xml:space="preserve"> ed.</w:t>
      </w:r>
      <w:r w:rsidRPr="00F2129E">
        <w:rPr>
          <w:color w:val="000000"/>
        </w:rPr>
        <w:t xml:space="preserve"> Louisville, Kentucky: Westminster John Knox Press.</w:t>
      </w:r>
    </w:p>
    <w:p w14:paraId="4C1470A9"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Cohen, S.J.D. (1987b). </w:t>
      </w:r>
      <w:r w:rsidRPr="00F2129E">
        <w:rPr>
          <w:i/>
          <w:iCs/>
          <w:color w:val="000000"/>
        </w:rPr>
        <w:t>From the Maccabees to the Mishnah</w:t>
      </w:r>
      <w:r w:rsidRPr="00F2129E">
        <w:rPr>
          <w:color w:val="000000"/>
        </w:rPr>
        <w:t>. 2nd ed. Louisville, Kentucky: Westminster John Knox Press.</w:t>
      </w:r>
    </w:p>
    <w:p w14:paraId="4732EB3F"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Grabbe, L.L. (2010). </w:t>
      </w:r>
      <w:r w:rsidRPr="00F2129E">
        <w:rPr>
          <w:i/>
          <w:iCs/>
          <w:color w:val="000000"/>
        </w:rPr>
        <w:t>An introduction to first century Judaism : Jewish religion and history in the Second Temple period</w:t>
      </w:r>
      <w:r w:rsidRPr="00F2129E">
        <w:rPr>
          <w:color w:val="000000"/>
        </w:rPr>
        <w:t>. London: T&amp;T Clark.</w:t>
      </w:r>
    </w:p>
    <w:p w14:paraId="0777A04A"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Himmelfarb, M. (1998). Judaism and Hellenism in 2 Maccabees. </w:t>
      </w:r>
      <w:r w:rsidRPr="00F2129E">
        <w:rPr>
          <w:i/>
          <w:iCs/>
          <w:color w:val="000000"/>
        </w:rPr>
        <w:t>Poetics Today</w:t>
      </w:r>
      <w:r w:rsidRPr="00F2129E">
        <w:rPr>
          <w:color w:val="000000"/>
        </w:rPr>
        <w:t>, [online] 19(1), pp.19–40. Available at: https://www.jstor.org/stable/1773110.</w:t>
      </w:r>
    </w:p>
    <w:p w14:paraId="134CE68A"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Honigman, S. (2014). 2 Maccabees as Dynastic History. In: </w:t>
      </w:r>
      <w:r w:rsidRPr="00F2129E">
        <w:rPr>
          <w:i/>
          <w:iCs/>
          <w:color w:val="000000"/>
        </w:rPr>
        <w:t xml:space="preserve">Tales of High Priests and Taxes: The Books of the Maccabees and the Judean Rebellion against </w:t>
      </w:r>
      <w:proofErr w:type="spellStart"/>
      <w:r w:rsidRPr="00F2129E">
        <w:rPr>
          <w:i/>
          <w:iCs/>
          <w:color w:val="000000"/>
        </w:rPr>
        <w:t>Antiochos</w:t>
      </w:r>
      <w:proofErr w:type="spellEnd"/>
      <w:r w:rsidRPr="00F2129E">
        <w:rPr>
          <w:i/>
          <w:iCs/>
          <w:color w:val="000000"/>
        </w:rPr>
        <w:t xml:space="preserve"> IV</w:t>
      </w:r>
      <w:r w:rsidRPr="00F2129E">
        <w:rPr>
          <w:color w:val="000000"/>
        </w:rPr>
        <w:t>. California: University of California Press.</w:t>
      </w:r>
    </w:p>
    <w:p w14:paraId="083503B1"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Rich, N. (1970). </w:t>
      </w:r>
      <w:r w:rsidRPr="00F2129E">
        <w:rPr>
          <w:i/>
          <w:iCs/>
          <w:color w:val="000000"/>
        </w:rPr>
        <w:t>The Age of Nationalism and Reform, 1850-1890</w:t>
      </w:r>
      <w:r w:rsidRPr="00F2129E">
        <w:rPr>
          <w:color w:val="000000"/>
        </w:rPr>
        <w:t>. New York ; London: W. W. Norton.</w:t>
      </w:r>
    </w:p>
    <w:p w14:paraId="74DB62AE"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Richard, A. (2015). </w:t>
      </w:r>
      <w:r w:rsidRPr="00F2129E">
        <w:rPr>
          <w:i/>
          <w:iCs/>
          <w:color w:val="000000"/>
        </w:rPr>
        <w:t>ROME’S REVOLUTION : death of the republic and birth of the empire</w:t>
      </w:r>
      <w:r w:rsidRPr="00F2129E">
        <w:rPr>
          <w:color w:val="000000"/>
        </w:rPr>
        <w:t>. Oxford University Press.</w:t>
      </w:r>
    </w:p>
    <w:p w14:paraId="1F65B50F"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Sicker, M. (2007). </w:t>
      </w:r>
      <w:r w:rsidRPr="00F2129E">
        <w:rPr>
          <w:i/>
          <w:iCs/>
          <w:color w:val="000000"/>
        </w:rPr>
        <w:t>An Introduction to Judaic Thought and Rabbinic Literature</w:t>
      </w:r>
      <w:r w:rsidRPr="00F2129E">
        <w:rPr>
          <w:color w:val="000000"/>
        </w:rPr>
        <w:t>. Westport, Conn.: Praeger.</w:t>
      </w:r>
    </w:p>
    <w:p w14:paraId="1BDFC011"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Vanderkam, J.C. (2001). </w:t>
      </w:r>
      <w:r w:rsidRPr="00F2129E">
        <w:rPr>
          <w:i/>
          <w:iCs/>
          <w:color w:val="000000"/>
        </w:rPr>
        <w:t>An Introduction to Early Judaism</w:t>
      </w:r>
      <w:r w:rsidRPr="00F2129E">
        <w:rPr>
          <w:color w:val="000000"/>
        </w:rPr>
        <w:t>. Grand Rapids, Mich.: William B. Eerdmans.</w:t>
      </w:r>
    </w:p>
    <w:p w14:paraId="71D807D1" w14:textId="77777777" w:rsidR="00F2129E" w:rsidRPr="00F2129E" w:rsidRDefault="00F2129E" w:rsidP="00F2129E">
      <w:pPr>
        <w:pStyle w:val="NormalWeb"/>
        <w:rPr>
          <w:color w:val="000000"/>
        </w:rPr>
      </w:pPr>
      <w:r w:rsidRPr="00F2129E">
        <w:rPr>
          <w:color w:val="000000"/>
        </w:rPr>
        <w:t>‌</w:t>
      </w:r>
    </w:p>
    <w:p w14:paraId="4A025CDB" w14:textId="77777777" w:rsidR="00D66208" w:rsidRPr="00F2129E" w:rsidRDefault="00D66208" w:rsidP="00350C31">
      <w:pPr>
        <w:spacing w:line="480" w:lineRule="auto"/>
        <w:rPr>
          <w:rFonts w:ascii="Times New Roman" w:hAnsi="Times New Roman" w:cs="Times New Roman"/>
        </w:rPr>
      </w:pPr>
    </w:p>
    <w:p w14:paraId="2D6FFD61" w14:textId="77777777" w:rsidR="00D66208" w:rsidRDefault="00D66208" w:rsidP="00350C31">
      <w:pPr>
        <w:spacing w:line="480" w:lineRule="auto"/>
      </w:pPr>
    </w:p>
    <w:sectPr w:rsidR="00D66208"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41C311" w14:textId="77777777" w:rsidR="00D0602A" w:rsidRDefault="00D0602A" w:rsidP="007835F7">
      <w:r>
        <w:separator/>
      </w:r>
    </w:p>
  </w:endnote>
  <w:endnote w:type="continuationSeparator" w:id="0">
    <w:p w14:paraId="3723D980" w14:textId="77777777" w:rsidR="00D0602A" w:rsidRDefault="00D0602A" w:rsidP="007835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2A5781" w14:textId="77777777" w:rsidR="00D0602A" w:rsidRDefault="00D0602A" w:rsidP="007835F7">
      <w:r>
        <w:separator/>
      </w:r>
    </w:p>
  </w:footnote>
  <w:footnote w:type="continuationSeparator" w:id="0">
    <w:p w14:paraId="1371BD46" w14:textId="77777777" w:rsidR="00D0602A" w:rsidRDefault="00D0602A" w:rsidP="007835F7">
      <w:r>
        <w:continuationSeparator/>
      </w:r>
    </w:p>
  </w:footnote>
  <w:footnote w:id="1">
    <w:p w14:paraId="4F087D81" w14:textId="26C142F9" w:rsidR="001F6429" w:rsidRPr="001F6429" w:rsidRDefault="001F6429">
      <w:pPr>
        <w:pStyle w:val="FootnoteText"/>
        <w:rPr>
          <w:rFonts w:ascii="Times New Roman" w:hAnsi="Times New Roman" w:cs="Times New Roman"/>
        </w:rPr>
      </w:pPr>
      <w:r>
        <w:rPr>
          <w:rStyle w:val="FootnoteReference"/>
        </w:rPr>
        <w:footnoteRef/>
      </w:r>
      <w:r>
        <w:t xml:space="preserve"> </w:t>
      </w:r>
      <w:r w:rsidRPr="001F6429">
        <w:rPr>
          <w:rFonts w:ascii="Times New Roman" w:hAnsi="Times New Roman" w:cs="Times New Roman"/>
        </w:rPr>
        <w:t>Cohen. 1987. 13</w:t>
      </w:r>
    </w:p>
  </w:footnote>
  <w:footnote w:id="2">
    <w:p w14:paraId="4F517134" w14:textId="197AC74D" w:rsidR="00AE5A95" w:rsidRPr="00F2129E" w:rsidRDefault="00AE5A95">
      <w:pPr>
        <w:pStyle w:val="FootnoteText"/>
        <w:rPr>
          <w:rFonts w:ascii="Times New Roman" w:hAnsi="Times New Roman" w:cs="Times New Roman"/>
        </w:rPr>
      </w:pPr>
      <w:r w:rsidRPr="001F6429">
        <w:rPr>
          <w:rStyle w:val="FootnoteReference"/>
          <w:rFonts w:ascii="Times New Roman" w:hAnsi="Times New Roman" w:cs="Times New Roman"/>
        </w:rPr>
        <w:footnoteRef/>
      </w:r>
      <w:r w:rsidRPr="001F6429">
        <w:rPr>
          <w:rFonts w:ascii="Times New Roman" w:hAnsi="Times New Roman" w:cs="Times New Roman"/>
        </w:rPr>
        <w:t xml:space="preserve"> Cohen. 1987. 13.</w:t>
      </w:r>
    </w:p>
  </w:footnote>
  <w:footnote w:id="3">
    <w:p w14:paraId="0D0D0FCF" w14:textId="756797DA"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w:t>
      </w:r>
      <w:r w:rsidR="00FA546C" w:rsidRPr="00F2129E">
        <w:rPr>
          <w:rFonts w:ascii="Times New Roman" w:hAnsi="Times New Roman" w:cs="Times New Roman"/>
        </w:rPr>
        <w:t>Ibid</w:t>
      </w:r>
    </w:p>
  </w:footnote>
  <w:footnote w:id="4">
    <w:p w14:paraId="5F655A81" w14:textId="37895AAE"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Grabbe. 2010. 17.</w:t>
      </w:r>
    </w:p>
  </w:footnote>
  <w:footnote w:id="5">
    <w:p w14:paraId="66D2F118" w14:textId="481372C6"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Himmelfarb. 1998.</w:t>
      </w:r>
    </w:p>
  </w:footnote>
  <w:footnote w:id="6">
    <w:p w14:paraId="2845A9E3" w14:textId="0E76E7CB"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ix-xii.</w:t>
      </w:r>
    </w:p>
  </w:footnote>
  <w:footnote w:id="7">
    <w:p w14:paraId="47BD9A5C" w14:textId="6999D1E5"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14.</w:t>
      </w:r>
    </w:p>
  </w:footnote>
  <w:footnote w:id="8">
    <w:p w14:paraId="57090CEC" w14:textId="51568A71" w:rsidR="00AE5A95" w:rsidRPr="00F2129E" w:rsidRDefault="00AE5A95" w:rsidP="00952590">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Vande</w:t>
      </w:r>
      <w:r w:rsidR="00934CDA" w:rsidRPr="00F2129E">
        <w:rPr>
          <w:rFonts w:ascii="Times New Roman" w:hAnsi="Times New Roman" w:cs="Times New Roman"/>
        </w:rPr>
        <w:t>r</w:t>
      </w:r>
      <w:r w:rsidRPr="00F2129E">
        <w:rPr>
          <w:rFonts w:ascii="Times New Roman" w:hAnsi="Times New Roman" w:cs="Times New Roman"/>
        </w:rPr>
        <w:t>kam. 2001. 3.</w:t>
      </w:r>
    </w:p>
  </w:footnote>
  <w:footnote w:id="9">
    <w:p w14:paraId="55471315" w14:textId="3F755EFB"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Vanderkam. 2001. 4.</w:t>
      </w:r>
    </w:p>
  </w:footnote>
  <w:footnote w:id="10">
    <w:p w14:paraId="02137061" w14:textId="5EA7C596"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14; (16. “supported them wholeheartedly”, “felt insecure about his rule”).</w:t>
      </w:r>
    </w:p>
  </w:footnote>
  <w:footnote w:id="11">
    <w:p w14:paraId="10689813" w14:textId="53751393"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14; 17; 26.</w:t>
      </w:r>
    </w:p>
  </w:footnote>
  <w:footnote w:id="12">
    <w:p w14:paraId="51D4B6FA" w14:textId="14C992D6"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1998. 21.</w:t>
      </w:r>
    </w:p>
  </w:footnote>
  <w:footnote w:id="13">
    <w:p w14:paraId="19800D6F" w14:textId="56CD6745"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Sicker. 2007. 71.</w:t>
      </w:r>
    </w:p>
  </w:footnote>
  <w:footnote w:id="14">
    <w:p w14:paraId="3B9A6EDE" w14:textId="34C51203"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Grabbe. 2010. 23.</w:t>
      </w:r>
    </w:p>
  </w:footnote>
  <w:footnote w:id="15">
    <w:p w14:paraId="759E182B" w14:textId="44B5F9EF"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14.</w:t>
      </w:r>
    </w:p>
  </w:footnote>
  <w:footnote w:id="16">
    <w:p w14:paraId="1E5C0AE1" w14:textId="23BB71C8"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w:t>
      </w:r>
      <w:r w:rsidR="00FA546C" w:rsidRPr="00F2129E">
        <w:rPr>
          <w:rFonts w:ascii="Times New Roman" w:hAnsi="Times New Roman" w:cs="Times New Roman"/>
        </w:rPr>
        <w:t>Ibid</w:t>
      </w:r>
    </w:p>
  </w:footnote>
  <w:footnote w:id="17">
    <w:p w14:paraId="08F2EA39" w14:textId="3FEC713D"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Honigman. 2014. 86.</w:t>
      </w:r>
    </w:p>
  </w:footnote>
  <w:footnote w:id="18">
    <w:p w14:paraId="053E6661" w14:textId="53352263"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15.</w:t>
      </w:r>
    </w:p>
  </w:footnote>
  <w:footnote w:id="19">
    <w:p w14:paraId="0C790B9A" w14:textId="6F3598CE" w:rsidR="00B62A30" w:rsidRPr="00F2129E" w:rsidRDefault="00B62A30">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17.</w:t>
      </w:r>
    </w:p>
  </w:footnote>
  <w:footnote w:id="20">
    <w:p w14:paraId="090EADB5" w14:textId="77777777" w:rsidR="00B62A30" w:rsidRPr="00F2129E" w:rsidRDefault="00B62A30" w:rsidP="00B62A30">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1987.18.</w:t>
      </w:r>
    </w:p>
  </w:footnote>
  <w:footnote w:id="21">
    <w:p w14:paraId="3E7519F8" w14:textId="7734536E" w:rsidR="00B62A30" w:rsidRPr="00F2129E" w:rsidRDefault="00B62A30">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w:t>
      </w:r>
      <w:r w:rsidR="00FA546C" w:rsidRPr="00F2129E">
        <w:rPr>
          <w:rFonts w:ascii="Times New Roman" w:hAnsi="Times New Roman" w:cs="Times New Roman"/>
        </w:rPr>
        <w:t>Ibid.</w:t>
      </w:r>
    </w:p>
  </w:footnote>
  <w:footnote w:id="22">
    <w:p w14:paraId="49017CE6" w14:textId="7B026061"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16.</w:t>
      </w:r>
    </w:p>
  </w:footnote>
  <w:footnote w:id="23">
    <w:p w14:paraId="3098CEC0" w14:textId="502035BE"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Alston. 2015. 244. The emperor was established by the victory of Augustus’ Triumvirate in 27 B.C.E.</w:t>
      </w:r>
    </w:p>
  </w:footnote>
  <w:footnote w:id="24">
    <w:p w14:paraId="06A86B86" w14:textId="4E39A9CD"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Rich. 1970.</w:t>
      </w:r>
    </w:p>
  </w:footnote>
  <w:footnote w:id="25">
    <w:p w14:paraId="0ADB38A3" w14:textId="2E601A65" w:rsidR="00FA546C" w:rsidRPr="00F2129E" w:rsidRDefault="00FA546C">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21</w:t>
      </w:r>
    </w:p>
  </w:footnote>
  <w:footnote w:id="26">
    <w:p w14:paraId="15202A31" w14:textId="37D3FFF5" w:rsidR="00AE5A95" w:rsidRDefault="00AE5A95">
      <w:pPr>
        <w:pStyle w:val="FootnoteText"/>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ix-xii. (second edition, 2005 print)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57422A"/>
    <w:multiLevelType w:val="hybridMultilevel"/>
    <w:tmpl w:val="0D8AE582"/>
    <w:lvl w:ilvl="0" w:tplc="5F62B5A4">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9E5"/>
    <w:rsid w:val="00002073"/>
    <w:rsid w:val="00053235"/>
    <w:rsid w:val="00111E26"/>
    <w:rsid w:val="001148EA"/>
    <w:rsid w:val="001264DB"/>
    <w:rsid w:val="001A5082"/>
    <w:rsid w:val="001A5363"/>
    <w:rsid w:val="001F6429"/>
    <w:rsid w:val="00251437"/>
    <w:rsid w:val="002A6F8C"/>
    <w:rsid w:val="00350C31"/>
    <w:rsid w:val="00360F80"/>
    <w:rsid w:val="003909FC"/>
    <w:rsid w:val="003E539C"/>
    <w:rsid w:val="0041780A"/>
    <w:rsid w:val="00476384"/>
    <w:rsid w:val="004809E5"/>
    <w:rsid w:val="0048233B"/>
    <w:rsid w:val="004C5EA5"/>
    <w:rsid w:val="00503BDE"/>
    <w:rsid w:val="005374CE"/>
    <w:rsid w:val="005916FB"/>
    <w:rsid w:val="005A5E27"/>
    <w:rsid w:val="005B0AF3"/>
    <w:rsid w:val="005E7A75"/>
    <w:rsid w:val="005F0DF1"/>
    <w:rsid w:val="00612F57"/>
    <w:rsid w:val="00636380"/>
    <w:rsid w:val="00693B9C"/>
    <w:rsid w:val="006A1BA0"/>
    <w:rsid w:val="006E518B"/>
    <w:rsid w:val="006F1D03"/>
    <w:rsid w:val="007835F7"/>
    <w:rsid w:val="007D4A91"/>
    <w:rsid w:val="007E26D7"/>
    <w:rsid w:val="00815FC3"/>
    <w:rsid w:val="00833207"/>
    <w:rsid w:val="00834379"/>
    <w:rsid w:val="00877134"/>
    <w:rsid w:val="00934CDA"/>
    <w:rsid w:val="00952590"/>
    <w:rsid w:val="00995B60"/>
    <w:rsid w:val="00A533E5"/>
    <w:rsid w:val="00AE5A95"/>
    <w:rsid w:val="00B05A15"/>
    <w:rsid w:val="00B14D49"/>
    <w:rsid w:val="00B62A30"/>
    <w:rsid w:val="00BB09FF"/>
    <w:rsid w:val="00BB15E8"/>
    <w:rsid w:val="00BE3239"/>
    <w:rsid w:val="00BE7ED6"/>
    <w:rsid w:val="00C02FF2"/>
    <w:rsid w:val="00C30DBB"/>
    <w:rsid w:val="00C42466"/>
    <w:rsid w:val="00C538A4"/>
    <w:rsid w:val="00CC0677"/>
    <w:rsid w:val="00CC4FF3"/>
    <w:rsid w:val="00CD4FDD"/>
    <w:rsid w:val="00CF46B5"/>
    <w:rsid w:val="00D0602A"/>
    <w:rsid w:val="00D36D12"/>
    <w:rsid w:val="00D56220"/>
    <w:rsid w:val="00D64FBC"/>
    <w:rsid w:val="00D66208"/>
    <w:rsid w:val="00D70C9E"/>
    <w:rsid w:val="00D86323"/>
    <w:rsid w:val="00DB69B5"/>
    <w:rsid w:val="00DC6DF0"/>
    <w:rsid w:val="00E83B48"/>
    <w:rsid w:val="00EF00E0"/>
    <w:rsid w:val="00EF5E09"/>
    <w:rsid w:val="00F01A20"/>
    <w:rsid w:val="00F10FCB"/>
    <w:rsid w:val="00F2129E"/>
    <w:rsid w:val="00F3005E"/>
    <w:rsid w:val="00F751EE"/>
    <w:rsid w:val="00F80F8F"/>
    <w:rsid w:val="00F82279"/>
    <w:rsid w:val="00FA5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5BFBCE"/>
  <w14:defaultImageDpi w14:val="32767"/>
  <w15:chartTrackingRefBased/>
  <w15:docId w15:val="{F6D01F16-FAAC-324F-A37A-7E538F56E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09E5"/>
    <w:pPr>
      <w:ind w:left="720"/>
      <w:contextualSpacing/>
    </w:pPr>
  </w:style>
  <w:style w:type="paragraph" w:styleId="FootnoteText">
    <w:name w:val="footnote text"/>
    <w:basedOn w:val="Normal"/>
    <w:link w:val="FootnoteTextChar"/>
    <w:uiPriority w:val="99"/>
    <w:semiHidden/>
    <w:unhideWhenUsed/>
    <w:rsid w:val="007835F7"/>
    <w:rPr>
      <w:sz w:val="20"/>
      <w:szCs w:val="20"/>
    </w:rPr>
  </w:style>
  <w:style w:type="character" w:customStyle="1" w:styleId="FootnoteTextChar">
    <w:name w:val="Footnote Text Char"/>
    <w:basedOn w:val="DefaultParagraphFont"/>
    <w:link w:val="FootnoteText"/>
    <w:uiPriority w:val="99"/>
    <w:semiHidden/>
    <w:rsid w:val="007835F7"/>
    <w:rPr>
      <w:sz w:val="20"/>
      <w:szCs w:val="20"/>
    </w:rPr>
  </w:style>
  <w:style w:type="character" w:styleId="FootnoteReference">
    <w:name w:val="footnote reference"/>
    <w:basedOn w:val="DefaultParagraphFont"/>
    <w:uiPriority w:val="99"/>
    <w:semiHidden/>
    <w:unhideWhenUsed/>
    <w:rsid w:val="007835F7"/>
    <w:rPr>
      <w:vertAlign w:val="superscript"/>
    </w:rPr>
  </w:style>
  <w:style w:type="paragraph" w:styleId="NormalWeb">
    <w:name w:val="Normal (Web)"/>
    <w:basedOn w:val="Normal"/>
    <w:uiPriority w:val="99"/>
    <w:semiHidden/>
    <w:unhideWhenUsed/>
    <w:rsid w:val="00F2129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508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933268-2584-5C49-980C-20C2A4C00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441</TotalTime>
  <Pages>7</Pages>
  <Words>1554</Words>
  <Characters>8861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34</cp:revision>
  <dcterms:created xsi:type="dcterms:W3CDTF">2020-05-25T14:13:00Z</dcterms:created>
  <dcterms:modified xsi:type="dcterms:W3CDTF">2020-05-29T14:08:00Z</dcterms:modified>
</cp:coreProperties>
</file>