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199CFB83" w:rsidP="0E97B6E9" w:rsidRDefault="199CFB83" w14:paraId="1A0E9279" w14:textId="28B0E96D">
      <w:r>
        <w:rPr>
          <w:noProof/>
        </w:rPr>
        <w:drawing>
          <wp:inline distT="0" distB="0" distL="0" distR="0" wp14:anchorId="3F79C373" wp14:editId="06136560">
            <wp:extent cx="1810669" cy="725487"/>
            <wp:effectExtent l="0" t="0" r="0" b="0"/>
            <wp:docPr id="18062790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050494" name="Picture 1195050494"/>
                    <pic:cNvPicPr/>
                  </pic:nvPicPr>
                  <pic:blipFill>
                    <a:blip r:embed="rId5">
                      <a:extLst>
                        <a:ext uri="{28A0092B-C50C-407E-A947-70E740481C1C}">
                          <a14:useLocalDpi xmlns:a14="http://schemas.microsoft.com/office/drawing/2010/main"/>
                        </a:ext>
                      </a:extLst>
                    </a:blip>
                    <a:stretch>
                      <a:fillRect/>
                    </a:stretch>
                  </pic:blipFill>
                  <pic:spPr>
                    <a:xfrm>
                      <a:off x="0" y="0"/>
                      <a:ext cx="1810669" cy="725487"/>
                    </a:xfrm>
                    <a:prstGeom prst="rect">
                      <a:avLst/>
                    </a:prstGeom>
                  </pic:spPr>
                </pic:pic>
              </a:graphicData>
            </a:graphic>
          </wp:inline>
        </w:drawing>
      </w:r>
    </w:p>
    <w:p w:rsidR="0E97B6E9" w:rsidP="0E97B6E9" w:rsidRDefault="0E97B6E9" w14:paraId="11C084FE" w14:textId="4CDADF61"/>
    <w:p w:rsidR="525D3F22" w:rsidP="0E97B6E9" w:rsidRDefault="6461517D" w14:paraId="4AE76842" w14:textId="42565D02">
      <w:pPr>
        <w:pStyle w:val="Heading3"/>
        <w:jc w:val="center"/>
        <w:rPr>
          <w:rFonts w:ascii="Arial" w:hAnsi="Arial" w:eastAsia="Arial" w:cs="Arial"/>
          <w:sz w:val="40"/>
          <w:szCs w:val="40"/>
        </w:rPr>
      </w:pPr>
      <w:bookmarkStart w:name="_Toc412472636" w:id="814881386"/>
      <w:r w:rsidRPr="756EA358" w:rsidR="6461517D">
        <w:rPr>
          <w:rFonts w:ascii="Arial" w:hAnsi="Arial" w:eastAsia="Arial" w:cs="Arial"/>
          <w:sz w:val="40"/>
          <w:szCs w:val="40"/>
        </w:rPr>
        <w:t xml:space="preserve">Title: </w:t>
      </w:r>
      <w:r w:rsidRPr="756EA358" w:rsidR="7EEBC06F">
        <w:rPr>
          <w:rFonts w:ascii="Arial" w:hAnsi="Arial" w:eastAsia="Arial" w:cs="Arial"/>
          <w:sz w:val="40"/>
          <w:szCs w:val="40"/>
        </w:rPr>
        <w:t>International Marketing Principles and Practices</w:t>
      </w:r>
      <w:bookmarkEnd w:id="814881386"/>
      <w:r w:rsidRPr="756EA358" w:rsidR="7EEBC06F">
        <w:rPr>
          <w:rFonts w:ascii="Arial" w:hAnsi="Arial" w:eastAsia="Arial" w:cs="Arial"/>
          <w:sz w:val="40"/>
          <w:szCs w:val="40"/>
        </w:rPr>
        <w:t xml:space="preserve"> </w:t>
      </w:r>
    </w:p>
    <w:p w:rsidR="0E97B6E9" w:rsidP="0E97B6E9" w:rsidRDefault="0E97B6E9" w14:paraId="5BA3B5EA" w14:textId="767F3BB1">
      <w:pPr>
        <w:jc w:val="center"/>
      </w:pPr>
    </w:p>
    <w:p w:rsidR="0E97B6E9" w:rsidP="0E97B6E9" w:rsidRDefault="0E97B6E9" w14:paraId="592608D9" w14:textId="5A690B2D">
      <w:pPr>
        <w:jc w:val="center"/>
      </w:pPr>
    </w:p>
    <w:p w:rsidR="00166B55" w:rsidP="749E6BA4" w:rsidRDefault="03E50C2D" w14:paraId="10722AB3" w14:textId="56384C57">
      <w:pPr>
        <w:jc w:val="center"/>
      </w:pPr>
      <w:r>
        <w:rPr>
          <w:noProof/>
        </w:rPr>
        <w:drawing>
          <wp:inline distT="0" distB="0" distL="0" distR="0" wp14:anchorId="5E92D942" wp14:editId="6460B2BE">
            <wp:extent cx="5943600" cy="2647950"/>
            <wp:effectExtent l="0" t="0" r="0" b="0"/>
            <wp:docPr id="78881429" name="drawing" descr="Cadbury owner Mondelez International ‘paid no UK tax’ for five yea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81429" name="Picture 78881429"/>
                    <pic:cNvPicPr/>
                  </pic:nvPicPr>
                  <pic:blipFill>
                    <a:blip r:embed="rId6">
                      <a:extLst>
                        <a:ext uri="{28A0092B-C50C-407E-A947-70E740481C1C}">
                          <a14:useLocalDpi xmlns:a14="http://schemas.microsoft.com/office/drawing/2010/main"/>
                        </a:ext>
                      </a:extLst>
                    </a:blip>
                    <a:stretch>
                      <a:fillRect/>
                    </a:stretch>
                  </pic:blipFill>
                  <pic:spPr>
                    <a:xfrm>
                      <a:off x="0" y="0"/>
                      <a:ext cx="5943600" cy="2647950"/>
                    </a:xfrm>
                    <a:prstGeom prst="rect">
                      <a:avLst/>
                    </a:prstGeom>
                  </pic:spPr>
                </pic:pic>
              </a:graphicData>
            </a:graphic>
          </wp:inline>
        </w:drawing>
      </w:r>
    </w:p>
    <w:p w:rsidR="6E003B14" w:rsidP="6E003B14" w:rsidRDefault="6E003B14" w14:paraId="097158AA" w14:textId="28A2F025">
      <w:pPr>
        <w:jc w:val="center"/>
        <w:rPr>
          <w:rFonts w:ascii="Arial" w:hAnsi="Arial" w:eastAsia="Arial" w:cs="Arial"/>
          <w:sz w:val="40"/>
          <w:szCs w:val="40"/>
        </w:rPr>
      </w:pPr>
    </w:p>
    <w:p w:rsidR="0E97B6E9" w:rsidP="0E97B6E9" w:rsidRDefault="0E97B6E9" w14:paraId="147A3929" w14:textId="03C46FF9">
      <w:pPr>
        <w:jc w:val="center"/>
        <w:rPr>
          <w:rFonts w:ascii="Arial" w:hAnsi="Arial" w:eastAsia="Arial" w:cs="Arial"/>
          <w:sz w:val="40"/>
          <w:szCs w:val="40"/>
        </w:rPr>
      </w:pPr>
    </w:p>
    <w:p w:rsidR="0E97B6E9" w:rsidP="0E97B6E9" w:rsidRDefault="0E97B6E9" w14:paraId="63F1566A" w14:textId="75FF8B63">
      <w:pPr>
        <w:jc w:val="center"/>
        <w:rPr>
          <w:rFonts w:ascii="Arial" w:hAnsi="Arial" w:eastAsia="Arial" w:cs="Arial"/>
          <w:sz w:val="40"/>
          <w:szCs w:val="40"/>
        </w:rPr>
      </w:pPr>
    </w:p>
    <w:p w:rsidR="6E003B14" w:rsidP="6E003B14" w:rsidRDefault="6E003B14" w14:paraId="25F3D2E4" w14:textId="0E6ED6AA">
      <w:pPr>
        <w:jc w:val="center"/>
        <w:rPr>
          <w:rFonts w:ascii="Arial" w:hAnsi="Arial" w:eastAsia="Arial" w:cs="Arial"/>
          <w:sz w:val="40"/>
          <w:szCs w:val="40"/>
        </w:rPr>
      </w:pPr>
    </w:p>
    <w:p w:rsidR="6E003B14" w:rsidP="6E003B14" w:rsidRDefault="6E003B14" w14:paraId="706A7019" w14:textId="23497DF7">
      <w:pPr>
        <w:jc w:val="center"/>
        <w:rPr>
          <w:rFonts w:ascii="Arial" w:hAnsi="Arial" w:eastAsia="Arial" w:cs="Arial"/>
          <w:sz w:val="40"/>
          <w:szCs w:val="40"/>
        </w:rPr>
      </w:pPr>
    </w:p>
    <w:p w:rsidR="0E97B6E9" w:rsidP="0E97B6E9" w:rsidRDefault="0E97B6E9" w14:paraId="0B49FB29" w14:textId="048CED7B">
      <w:pPr>
        <w:jc w:val="center"/>
        <w:rPr>
          <w:rFonts w:ascii="Arial" w:hAnsi="Arial" w:eastAsia="Arial" w:cs="Arial"/>
          <w:sz w:val="40"/>
          <w:szCs w:val="40"/>
        </w:rPr>
      </w:pPr>
    </w:p>
    <w:p w:rsidR="00166B55" w:rsidP="0E97B6E9" w:rsidRDefault="2F05E724" w14:paraId="54A43F1A" w14:textId="598CAD6A">
      <w:pPr>
        <w:jc w:val="center"/>
        <w:rPr>
          <w:rFonts w:ascii="Arial" w:hAnsi="Arial" w:eastAsia="Arial" w:cs="Arial"/>
          <w:sz w:val="40"/>
          <w:szCs w:val="40"/>
        </w:rPr>
      </w:pPr>
      <w:r w:rsidRPr="0E97B6E9">
        <w:rPr>
          <w:rFonts w:ascii="Arial" w:hAnsi="Arial" w:eastAsia="Arial" w:cs="Arial"/>
          <w:sz w:val="40"/>
          <w:szCs w:val="40"/>
        </w:rPr>
        <w:t>Student name: Alicia Naomi Blake</w:t>
      </w:r>
    </w:p>
    <w:p w:rsidR="00166B55" w:rsidP="0E97B6E9" w:rsidRDefault="62A54422" w14:paraId="2594A158" w14:textId="74D706C3">
      <w:pPr>
        <w:jc w:val="center"/>
        <w:rPr>
          <w:rFonts w:ascii="Arial" w:hAnsi="Arial" w:eastAsia="Arial" w:cs="Arial"/>
          <w:sz w:val="40"/>
          <w:szCs w:val="40"/>
        </w:rPr>
      </w:pPr>
      <w:r w:rsidRPr="0E97B6E9">
        <w:rPr>
          <w:rFonts w:ascii="Arial" w:hAnsi="Arial" w:eastAsia="Arial" w:cs="Arial"/>
          <w:sz w:val="40"/>
          <w:szCs w:val="40"/>
        </w:rPr>
        <w:t>Student number: 2208796</w:t>
      </w:r>
    </w:p>
    <w:p w:rsidR="00166B55" w:rsidP="0E97B6E9" w:rsidRDefault="0E944D73" w14:paraId="2C078E63" w14:textId="114803F9">
      <w:pPr>
        <w:jc w:val="center"/>
        <w:rPr>
          <w:rFonts w:ascii="Arial" w:hAnsi="Arial" w:eastAsia="Arial" w:cs="Arial"/>
          <w:sz w:val="40"/>
          <w:szCs w:val="40"/>
        </w:rPr>
      </w:pPr>
      <w:r w:rsidRPr="0E97B6E9">
        <w:rPr>
          <w:rFonts w:ascii="Arial" w:hAnsi="Arial" w:eastAsia="Arial" w:cs="Arial"/>
          <w:sz w:val="40"/>
          <w:szCs w:val="40"/>
        </w:rPr>
        <w:t xml:space="preserve">Module: </w:t>
      </w:r>
      <w:r w:rsidRPr="0E97B6E9" w:rsidR="2F9EAE77">
        <w:rPr>
          <w:rFonts w:ascii="Arial" w:hAnsi="Arial" w:eastAsia="Arial" w:cs="Arial"/>
          <w:sz w:val="40"/>
          <w:szCs w:val="40"/>
        </w:rPr>
        <w:t>International Marketing Principles and Practices</w:t>
      </w:r>
    </w:p>
    <w:p w:rsidRPr="00AC5F7B" w:rsidR="2639370E" w:rsidP="0E97B6E9" w:rsidRDefault="2639370E" w14:paraId="27FB37C4" w14:textId="6997825A">
      <w:pPr>
        <w:jc w:val="center"/>
        <w:rPr>
          <w:rFonts w:ascii="Arial" w:hAnsi="Arial" w:eastAsia="Arial" w:cs="Arial"/>
          <w:sz w:val="40"/>
          <w:szCs w:val="40"/>
          <w:lang w:val="en-GB"/>
        </w:rPr>
      </w:pPr>
      <w:r w:rsidRPr="00AC5F7B">
        <w:rPr>
          <w:rFonts w:ascii="Arial" w:hAnsi="Arial" w:eastAsia="Arial" w:cs="Arial"/>
          <w:sz w:val="40"/>
          <w:szCs w:val="40"/>
          <w:lang w:val="en-GB"/>
        </w:rPr>
        <w:t xml:space="preserve">Module </w:t>
      </w:r>
      <w:r w:rsidRPr="00AC5F7B" w:rsidR="3B1C6CEE">
        <w:rPr>
          <w:rFonts w:ascii="Arial" w:hAnsi="Arial" w:eastAsia="Arial" w:cs="Arial"/>
          <w:sz w:val="40"/>
          <w:szCs w:val="40"/>
          <w:lang w:val="en-GB"/>
        </w:rPr>
        <w:t>code :</w:t>
      </w:r>
      <w:r w:rsidRPr="00AC5F7B">
        <w:rPr>
          <w:rFonts w:ascii="Arial" w:hAnsi="Arial" w:eastAsia="Arial" w:cs="Arial"/>
          <w:sz w:val="40"/>
          <w:szCs w:val="40"/>
          <w:lang w:val="en-GB"/>
        </w:rPr>
        <w:t xml:space="preserve"> LCMB7026</w:t>
      </w:r>
    </w:p>
    <w:p w:rsidRPr="00AC5F7B" w:rsidR="2639370E" w:rsidP="0E97B6E9" w:rsidRDefault="2639370E" w14:paraId="4B5BA2E8" w14:textId="3A8B0430">
      <w:pPr>
        <w:jc w:val="center"/>
        <w:rPr>
          <w:rFonts w:ascii="Arial" w:hAnsi="Arial" w:eastAsia="Arial" w:cs="Arial"/>
          <w:sz w:val="40"/>
          <w:szCs w:val="40"/>
          <w:lang w:val="en-GB"/>
        </w:rPr>
      </w:pPr>
      <w:r w:rsidRPr="00AC5F7B">
        <w:rPr>
          <w:rFonts w:ascii="Arial" w:hAnsi="Arial" w:eastAsia="Arial" w:cs="Arial"/>
          <w:sz w:val="40"/>
          <w:szCs w:val="40"/>
          <w:lang w:val="en-GB"/>
        </w:rPr>
        <w:t>Lecturer: Dian Mayasari</w:t>
      </w:r>
      <w:r w:rsidRPr="00AC5F7B" w:rsidR="1E545F53">
        <w:rPr>
          <w:rFonts w:ascii="Arial" w:hAnsi="Arial" w:eastAsia="Arial" w:cs="Arial"/>
          <w:sz w:val="40"/>
          <w:szCs w:val="40"/>
          <w:lang w:val="en-GB"/>
        </w:rPr>
        <w:t xml:space="preserve"> &amp;</w:t>
      </w:r>
      <w:r w:rsidRPr="00AC5F7B" w:rsidR="569DCADD">
        <w:rPr>
          <w:rFonts w:ascii="Arial" w:hAnsi="Arial" w:eastAsia="Arial" w:cs="Arial"/>
          <w:sz w:val="40"/>
          <w:szCs w:val="40"/>
          <w:lang w:val="en-GB"/>
        </w:rPr>
        <w:t xml:space="preserve"> Aso Abdullah</w:t>
      </w:r>
    </w:p>
    <w:p w:rsidR="3C139AA6" w:rsidP="0E97B6E9" w:rsidRDefault="3C139AA6" w14:paraId="4A206DCE" w14:textId="7521CEEC">
      <w:pPr>
        <w:jc w:val="center"/>
        <w:rPr>
          <w:rFonts w:ascii="Arial" w:hAnsi="Arial" w:eastAsia="Arial" w:cs="Arial"/>
          <w:sz w:val="40"/>
          <w:szCs w:val="40"/>
        </w:rPr>
      </w:pPr>
      <w:r w:rsidRPr="0E97B6E9">
        <w:rPr>
          <w:rFonts w:ascii="Arial" w:hAnsi="Arial" w:eastAsia="Arial" w:cs="Arial"/>
          <w:sz w:val="40"/>
          <w:szCs w:val="40"/>
        </w:rPr>
        <w:t xml:space="preserve">Submission deadline: Friday </w:t>
      </w:r>
      <w:r w:rsidRPr="0E97B6E9" w:rsidR="42248D07">
        <w:rPr>
          <w:rFonts w:ascii="Arial" w:hAnsi="Arial" w:eastAsia="Arial" w:cs="Arial"/>
          <w:sz w:val="40"/>
          <w:szCs w:val="40"/>
        </w:rPr>
        <w:t>31st July</w:t>
      </w:r>
      <w:r w:rsidRPr="0E97B6E9">
        <w:rPr>
          <w:rFonts w:ascii="Arial" w:hAnsi="Arial" w:eastAsia="Arial" w:cs="Arial"/>
          <w:sz w:val="40"/>
          <w:szCs w:val="40"/>
        </w:rPr>
        <w:t xml:space="preserve"> 2</w:t>
      </w:r>
      <w:r w:rsidRPr="0E97B6E9" w:rsidR="4A899DC6">
        <w:rPr>
          <w:rFonts w:ascii="Arial" w:hAnsi="Arial" w:eastAsia="Arial" w:cs="Arial"/>
          <w:sz w:val="40"/>
          <w:szCs w:val="40"/>
        </w:rPr>
        <w:t>026</w:t>
      </w:r>
    </w:p>
    <w:p w:rsidR="749E6BA4" w:rsidP="749E6BA4" w:rsidRDefault="749E6BA4" w14:paraId="2BE1C0BF" w14:textId="07610BB7">
      <w:pPr>
        <w:spacing w:before="120" w:after="120" w:line="360" w:lineRule="auto"/>
        <w:jc w:val="center"/>
        <w:rPr>
          <w:rFonts w:ascii="Arial" w:hAnsi="Arial" w:eastAsia="Arial" w:cs="Arial"/>
        </w:rPr>
      </w:pPr>
    </w:p>
    <w:p w:rsidR="749E6BA4" w:rsidP="6C70F8FB" w:rsidRDefault="749E6BA4" w14:paraId="7B205E5F" w14:textId="7724B65E">
      <w:pPr>
        <w:spacing w:before="120" w:after="120" w:line="360" w:lineRule="auto"/>
        <w:rPr>
          <w:rFonts w:ascii="Arial" w:hAnsi="Arial" w:eastAsia="Arial" w:cs="Arial"/>
        </w:rPr>
      </w:pPr>
    </w:p>
    <w:p w:rsidR="749E6BA4" w:rsidP="6C70F8FB" w:rsidRDefault="749E6BA4" w14:paraId="2EF1F6FA" w14:textId="36D0B99D">
      <w:pPr>
        <w:spacing w:before="120" w:after="120" w:line="360" w:lineRule="auto"/>
        <w:rPr>
          <w:rFonts w:ascii="Arial" w:hAnsi="Arial" w:eastAsia="Arial" w:cs="Arial"/>
        </w:rPr>
      </w:pPr>
    </w:p>
    <w:p w:rsidR="749E6BA4" w:rsidP="6C70F8FB" w:rsidRDefault="749E6BA4" w14:paraId="22CEAC94" w14:textId="5D0FDE1D">
      <w:pPr>
        <w:spacing w:before="120" w:after="120" w:line="360" w:lineRule="auto"/>
        <w:rPr>
          <w:rFonts w:ascii="Arial" w:hAnsi="Arial" w:eastAsia="Arial" w:cs="Arial"/>
        </w:rPr>
      </w:pPr>
    </w:p>
    <w:p w:rsidR="749E6BA4" w:rsidP="6C70F8FB" w:rsidRDefault="749E6BA4" w14:paraId="14EF0F84" w14:textId="660AF7F3">
      <w:pPr>
        <w:spacing w:before="120" w:after="120" w:line="360" w:lineRule="auto"/>
        <w:rPr>
          <w:rFonts w:ascii="Arial" w:hAnsi="Arial" w:eastAsia="Arial" w:cs="Arial"/>
        </w:rPr>
      </w:pPr>
    </w:p>
    <w:p w:rsidR="749E6BA4" w:rsidP="6C70F8FB" w:rsidRDefault="749E6BA4" w14:paraId="02B789DF" w14:textId="59075416">
      <w:pPr>
        <w:spacing w:before="120" w:after="120" w:line="360" w:lineRule="auto"/>
        <w:rPr>
          <w:rFonts w:ascii="Arial" w:hAnsi="Arial" w:eastAsia="Arial" w:cs="Arial"/>
        </w:rPr>
      </w:pPr>
    </w:p>
    <w:p w:rsidR="6C70F8FB" w:rsidP="6E003B14" w:rsidRDefault="6C70F8FB" w14:paraId="7B0329F5" w14:textId="789BBB25">
      <w:pPr>
        <w:spacing w:before="120" w:after="120" w:line="360" w:lineRule="auto"/>
        <w:rPr>
          <w:rFonts w:ascii="Arial" w:hAnsi="Arial" w:eastAsia="Arial" w:cs="Arial"/>
        </w:rPr>
      </w:pPr>
    </w:p>
    <w:p w:rsidR="6C70F8FB" w:rsidP="6E003B14" w:rsidRDefault="6C70F8FB" w14:paraId="3D553387" w14:textId="68BFF0B2">
      <w:pPr>
        <w:spacing w:before="120" w:after="120" w:line="360" w:lineRule="auto"/>
        <w:rPr>
          <w:rFonts w:ascii="Arial" w:hAnsi="Arial" w:eastAsia="Arial" w:cs="Arial"/>
        </w:rPr>
      </w:pPr>
    </w:p>
    <w:p w:rsidR="6C70F8FB" w:rsidP="6E003B14" w:rsidRDefault="6C70F8FB" w14:paraId="3A24B7E9" w14:textId="022819B5">
      <w:pPr>
        <w:spacing w:before="120" w:after="120" w:line="360" w:lineRule="auto"/>
        <w:rPr>
          <w:rFonts w:ascii="Arial" w:hAnsi="Arial" w:eastAsia="Arial" w:cs="Arial"/>
        </w:rPr>
      </w:pPr>
    </w:p>
    <w:p w:rsidR="6C70F8FB" w:rsidP="6E003B14" w:rsidRDefault="6C70F8FB" w14:paraId="1C665B87" w14:textId="2BF68235">
      <w:pPr>
        <w:spacing w:before="120" w:after="120" w:line="360" w:lineRule="auto"/>
        <w:rPr>
          <w:rFonts w:ascii="Arial" w:hAnsi="Arial" w:eastAsia="Arial" w:cs="Arial"/>
        </w:rPr>
      </w:pPr>
    </w:p>
    <w:p w:rsidR="6C70F8FB" w:rsidP="6E003B14" w:rsidRDefault="6C70F8FB" w14:paraId="267FC3B1" w14:textId="58669E53">
      <w:pPr>
        <w:spacing w:before="120" w:after="120" w:line="360" w:lineRule="auto"/>
        <w:rPr>
          <w:rFonts w:ascii="Arial" w:hAnsi="Arial" w:eastAsia="Arial" w:cs="Arial"/>
        </w:rPr>
      </w:pPr>
    </w:p>
    <w:p w:rsidR="6C70F8FB" w:rsidP="6E003B14" w:rsidRDefault="6C70F8FB" w14:paraId="1DAD09B0" w14:textId="02ACCFF6">
      <w:pPr>
        <w:spacing w:before="120" w:after="120" w:line="360" w:lineRule="auto"/>
        <w:rPr>
          <w:rFonts w:ascii="Arial" w:hAnsi="Arial" w:eastAsia="Arial" w:cs="Arial"/>
        </w:rPr>
      </w:pPr>
    </w:p>
    <w:p w:rsidR="6C70F8FB" w:rsidP="6E003B14" w:rsidRDefault="6C70F8FB" w14:paraId="6F301ED2" w14:textId="50BE97A2">
      <w:pPr>
        <w:spacing w:before="120" w:after="120" w:line="360" w:lineRule="auto"/>
        <w:rPr>
          <w:rFonts w:ascii="Arial" w:hAnsi="Arial" w:eastAsia="Arial" w:cs="Arial"/>
        </w:rPr>
      </w:pPr>
    </w:p>
    <w:p w:rsidR="6C70F8FB" w:rsidP="6E003B14" w:rsidRDefault="6C70F8FB" w14:paraId="18E15CAA" w14:textId="13FA835B">
      <w:pPr>
        <w:spacing w:before="120" w:after="120" w:line="360" w:lineRule="auto"/>
        <w:rPr>
          <w:rFonts w:ascii="Arial" w:hAnsi="Arial" w:eastAsia="Arial" w:cs="Arial"/>
        </w:rPr>
      </w:pPr>
    </w:p>
    <w:p w:rsidR="6C70F8FB" w:rsidP="6E003B14" w:rsidRDefault="6C70F8FB" w14:paraId="7B11F9E0" w14:textId="6496EB82">
      <w:pPr>
        <w:spacing w:before="120" w:after="120" w:line="360" w:lineRule="auto"/>
        <w:rPr>
          <w:rFonts w:ascii="Arial" w:hAnsi="Arial" w:eastAsia="Arial" w:cs="Arial"/>
        </w:rPr>
      </w:pPr>
    </w:p>
    <w:p w:rsidR="6C70F8FB" w:rsidP="6E003B14" w:rsidRDefault="6C70F8FB" w14:paraId="36D11C7F" w14:textId="562C8C73">
      <w:pPr>
        <w:spacing w:before="120" w:after="120" w:line="360" w:lineRule="auto"/>
        <w:rPr>
          <w:rFonts w:ascii="Arial" w:hAnsi="Arial" w:eastAsia="Arial" w:cs="Arial"/>
        </w:rPr>
      </w:pPr>
    </w:p>
    <w:p w:rsidR="6C70F8FB" w:rsidP="6E003B14" w:rsidRDefault="784FCE44" w14:paraId="31CB811F" w14:textId="167573A2">
      <w:pPr>
        <w:pStyle w:val="Heading2"/>
        <w:rPr>
          <w:rFonts w:ascii="Arial" w:hAnsi="Arial" w:eastAsia="Arial" w:cs="Arial"/>
          <w:b w:val="1"/>
          <w:bCs w:val="1"/>
          <w:sz w:val="24"/>
          <w:szCs w:val="24"/>
        </w:rPr>
      </w:pPr>
      <w:bookmarkStart w:name="_Toc1033753264" w:id="1606813634"/>
      <w:r w:rsidR="784FCE44">
        <w:rPr/>
        <w:t>Executive Summary</w:t>
      </w:r>
      <w:bookmarkEnd w:id="1606813634"/>
    </w:p>
    <w:p w:rsidR="6C70F8FB" w:rsidP="756EA358" w:rsidRDefault="6C70F8FB" w14:paraId="773CC750" w14:textId="0607A24D">
      <w:pPr>
        <w:spacing w:before="240" w:beforeAutospacing="off" w:after="240" w:afterAutospacing="off" w:line="360" w:lineRule="auto"/>
      </w:pPr>
      <w:r w:rsidRPr="756EA358" w:rsidR="07E7807A">
        <w:rPr>
          <w:rFonts w:ascii="Arial" w:hAnsi="Arial" w:eastAsia="Arial" w:cs="Arial"/>
          <w:noProof w:val="0"/>
          <w:sz w:val="24"/>
          <w:szCs w:val="24"/>
          <w:lang w:val="en-US"/>
        </w:rPr>
        <w:t>International marketing requires multinational enterprises to balance global integration with responsiveness to differences in national environments, consumer behaviour and stakeholder expectations (Diallo, Djelassi and Kumar, 2021). This report critically evaluates Cadbury’s international marketing strategy in the United Kingdom (UK) and India, two markets differing substantially in economic maturity, regulatory conditions, cultural values and consumption practices. Its central argument is that Cadbury’s international competitive advantage is best explained by selective localisation: maintaining globally recognisable brand assets and quality standards while adapting market-facing decisions to local cultural, economic and institutional conditions.</w:t>
      </w:r>
    </w:p>
    <w:p w:rsidR="6C70F8FB" w:rsidP="756EA358" w:rsidRDefault="6C70F8FB" w14:paraId="3E29A829" w14:textId="4F7913FD">
      <w:pPr>
        <w:spacing w:before="240" w:beforeAutospacing="off" w:after="240" w:afterAutospacing="off" w:line="360" w:lineRule="auto"/>
      </w:pPr>
      <w:r w:rsidRPr="756EA358" w:rsidR="07E7807A">
        <w:rPr>
          <w:rFonts w:ascii="Arial" w:hAnsi="Arial" w:eastAsia="Arial" w:cs="Arial"/>
          <w:noProof w:val="0"/>
          <w:sz w:val="24"/>
          <w:szCs w:val="24"/>
          <w:lang w:val="en-US"/>
        </w:rPr>
        <w:t>The comparative PESTEL analysis indicates that the UK provides strong heritage and established brand equity but represents a mature and highly competitive market increasingly shaped by health, sustainability and regulatory pressures. India offers greater market-development potential through urbanisation and culturally embedded consumption occasions, but presents greater income diversity, distribution complexity and reputational risks. Hofstede’s framework provides a useful starting point for comparing cultural tendencies, although national averages cannot fully explain regional, generational and socio-economic diversity.</w:t>
      </w:r>
    </w:p>
    <w:p w:rsidR="6C70F8FB" w:rsidP="756EA358" w:rsidRDefault="6C70F8FB" w14:paraId="0DD6FDA8" w14:textId="26C9A4F7">
      <w:pPr>
        <w:spacing w:before="240" w:beforeAutospacing="off" w:after="240" w:afterAutospacing="off" w:line="360" w:lineRule="auto"/>
      </w:pPr>
      <w:r w:rsidRPr="756EA358" w:rsidR="07E7807A">
        <w:rPr>
          <w:rFonts w:ascii="Arial" w:hAnsi="Arial" w:eastAsia="Arial" w:cs="Arial"/>
          <w:noProof w:val="0"/>
          <w:sz w:val="24"/>
          <w:szCs w:val="24"/>
          <w:lang w:val="en-US"/>
        </w:rPr>
        <w:t>The report evaluates how these differences influence Cadbury’s STP and expanded 7Ps marketing mix, including Product, Price, Place, Promotion, People, Process and Physical Evidence. The Uppsala Model and Dunning’s OLI Paradigm explain Cadbury’s internationalisation and market embeddedness in India, while the transnational perspective evaluates the balance between global integration and local responsiveness. Ethical analysis further demonstrates that food safety, consumer trust, responsible sourcing and sustainability directly influence brand legitimacy and long-term competitiveness.</w:t>
      </w:r>
    </w:p>
    <w:p w:rsidR="6C70F8FB" w:rsidP="756EA358" w:rsidRDefault="6C70F8FB" w14:paraId="3C45D60F" w14:textId="0C0F46E7">
      <w:pPr>
        <w:spacing w:before="240" w:beforeAutospacing="off" w:after="240" w:afterAutospacing="off" w:line="360" w:lineRule="auto"/>
      </w:pPr>
      <w:r w:rsidRPr="756EA358" w:rsidR="07E7807A">
        <w:rPr>
          <w:rFonts w:ascii="Arial" w:hAnsi="Arial" w:eastAsia="Arial" w:cs="Arial"/>
          <w:noProof w:val="0"/>
          <w:sz w:val="24"/>
          <w:szCs w:val="24"/>
          <w:lang w:val="en-US"/>
        </w:rPr>
        <w:t xml:space="preserve">The report concludes that neither complete </w:t>
      </w:r>
      <w:r w:rsidRPr="756EA358" w:rsidR="07E7807A">
        <w:rPr>
          <w:rFonts w:ascii="Arial" w:hAnsi="Arial" w:eastAsia="Arial" w:cs="Arial"/>
          <w:noProof w:val="0"/>
          <w:sz w:val="24"/>
          <w:szCs w:val="24"/>
          <w:lang w:val="en-US"/>
        </w:rPr>
        <w:t>standardisation</w:t>
      </w:r>
      <w:r w:rsidRPr="756EA358" w:rsidR="07E7807A">
        <w:rPr>
          <w:rFonts w:ascii="Arial" w:hAnsi="Arial" w:eastAsia="Arial" w:cs="Arial"/>
          <w:noProof w:val="0"/>
          <w:sz w:val="24"/>
          <w:szCs w:val="24"/>
          <w:lang w:val="en-US"/>
        </w:rPr>
        <w:t xml:space="preserve"> nor unrestricted </w:t>
      </w:r>
      <w:r w:rsidRPr="756EA358" w:rsidR="07E7807A">
        <w:rPr>
          <w:rFonts w:ascii="Arial" w:hAnsi="Arial" w:eastAsia="Arial" w:cs="Arial"/>
          <w:noProof w:val="0"/>
          <w:sz w:val="24"/>
          <w:szCs w:val="24"/>
          <w:lang w:val="en-US"/>
        </w:rPr>
        <w:t>localisation</w:t>
      </w:r>
      <w:r w:rsidRPr="756EA358" w:rsidR="07E7807A">
        <w:rPr>
          <w:rFonts w:ascii="Arial" w:hAnsi="Arial" w:eastAsia="Arial" w:cs="Arial"/>
          <w:noProof w:val="0"/>
          <w:sz w:val="24"/>
          <w:szCs w:val="24"/>
          <w:lang w:val="en-US"/>
        </w:rPr>
        <w:t xml:space="preserve"> is </w:t>
      </w:r>
      <w:r w:rsidRPr="756EA358" w:rsidR="07E7807A">
        <w:rPr>
          <w:rFonts w:ascii="Arial" w:hAnsi="Arial" w:eastAsia="Arial" w:cs="Arial"/>
          <w:noProof w:val="0"/>
          <w:sz w:val="24"/>
          <w:szCs w:val="24"/>
          <w:lang w:val="en-US"/>
        </w:rPr>
        <w:t>optimal</w:t>
      </w:r>
      <w:r w:rsidRPr="756EA358" w:rsidR="07E7807A">
        <w:rPr>
          <w:rFonts w:ascii="Arial" w:hAnsi="Arial" w:eastAsia="Arial" w:cs="Arial"/>
          <w:noProof w:val="0"/>
          <w:sz w:val="24"/>
          <w:szCs w:val="24"/>
          <w:lang w:val="en-US"/>
        </w:rPr>
        <w:t xml:space="preserve">. Cadbury should pursue disciplined selective adaptation while </w:t>
      </w:r>
      <w:r w:rsidRPr="756EA358" w:rsidR="07E7807A">
        <w:rPr>
          <w:rFonts w:ascii="Arial" w:hAnsi="Arial" w:eastAsia="Arial" w:cs="Arial"/>
          <w:noProof w:val="0"/>
          <w:sz w:val="24"/>
          <w:szCs w:val="24"/>
          <w:lang w:val="en-US"/>
        </w:rPr>
        <w:t>maintaining</w:t>
      </w:r>
      <w:r w:rsidRPr="756EA358" w:rsidR="07E7807A">
        <w:rPr>
          <w:rFonts w:ascii="Arial" w:hAnsi="Arial" w:eastAsia="Arial" w:cs="Arial"/>
          <w:noProof w:val="0"/>
          <w:sz w:val="24"/>
          <w:szCs w:val="24"/>
          <w:lang w:val="en-US"/>
        </w:rPr>
        <w:t xml:space="preserve"> consistent global standards of brand integrity, quality, ethical </w:t>
      </w:r>
      <w:r w:rsidRPr="756EA358" w:rsidR="07E7807A">
        <w:rPr>
          <w:rFonts w:ascii="Arial" w:hAnsi="Arial" w:eastAsia="Arial" w:cs="Arial"/>
          <w:noProof w:val="0"/>
          <w:sz w:val="24"/>
          <w:szCs w:val="24"/>
          <w:lang w:val="en-US"/>
        </w:rPr>
        <w:t>responsibility</w:t>
      </w:r>
      <w:r w:rsidRPr="756EA358" w:rsidR="07E7807A">
        <w:rPr>
          <w:rFonts w:ascii="Arial" w:hAnsi="Arial" w:eastAsia="Arial" w:cs="Arial"/>
          <w:noProof w:val="0"/>
          <w:sz w:val="24"/>
          <w:szCs w:val="24"/>
          <w:lang w:val="en-US"/>
        </w:rPr>
        <w:t xml:space="preserve"> and sustainability.</w:t>
      </w:r>
    </w:p>
    <w:p w:rsidR="6C70F8FB" w:rsidP="6E003B14" w:rsidRDefault="6C70F8FB" w14:paraId="135007EB" w14:textId="00E8543F">
      <w:pPr>
        <w:spacing w:before="240" w:after="240" w:line="360" w:lineRule="auto"/>
        <w:rPr>
          <w:rFonts w:ascii="Arial" w:hAnsi="Arial" w:eastAsia="Arial" w:cs="Arial"/>
        </w:rPr>
      </w:pPr>
    </w:p>
    <w:p w:rsidR="6C70F8FB" w:rsidP="6E003B14" w:rsidRDefault="6C70F8FB" w14:paraId="5C286E82" w14:textId="179DD63B">
      <w:pPr>
        <w:spacing w:before="240" w:after="240" w:line="360" w:lineRule="auto"/>
        <w:rPr>
          <w:rFonts w:ascii="Arial" w:hAnsi="Arial" w:eastAsia="Arial" w:cs="Arial"/>
        </w:rPr>
      </w:pPr>
    </w:p>
    <w:p w:rsidR="6C70F8FB" w:rsidP="6E003B14" w:rsidRDefault="6C70F8FB" w14:paraId="79009375" w14:textId="53E4E980">
      <w:pPr>
        <w:spacing w:before="240" w:after="240" w:line="360" w:lineRule="auto"/>
        <w:rPr>
          <w:rFonts w:ascii="Arial" w:hAnsi="Arial" w:eastAsia="Arial" w:cs="Arial"/>
        </w:rPr>
      </w:pPr>
    </w:p>
    <w:p w:rsidR="756EA358" w:rsidP="756EA358" w:rsidRDefault="756EA358" w14:paraId="2AE938FC" w14:textId="5306994A">
      <w:pPr>
        <w:spacing w:before="240" w:after="240" w:line="360" w:lineRule="auto"/>
        <w:rPr>
          <w:rFonts w:ascii="Arial" w:hAnsi="Arial" w:eastAsia="Arial" w:cs="Arial"/>
        </w:rPr>
      </w:pPr>
    </w:p>
    <w:p w:rsidR="756EA358" w:rsidP="756EA358" w:rsidRDefault="756EA358" w14:paraId="2ED3851B" w14:textId="6FA9ED5C">
      <w:pPr>
        <w:spacing w:before="240" w:after="240" w:line="360" w:lineRule="auto"/>
        <w:rPr>
          <w:rFonts w:ascii="Arial" w:hAnsi="Arial" w:eastAsia="Arial" w:cs="Arial"/>
        </w:rPr>
      </w:pPr>
    </w:p>
    <w:p w:rsidR="756EA358" w:rsidP="756EA358" w:rsidRDefault="756EA358" w14:paraId="0D395E93" w14:textId="22F2EEE2">
      <w:pPr>
        <w:spacing w:before="240" w:after="240" w:line="360" w:lineRule="auto"/>
        <w:rPr>
          <w:rFonts w:ascii="Arial" w:hAnsi="Arial" w:eastAsia="Arial" w:cs="Arial"/>
        </w:rPr>
      </w:pPr>
    </w:p>
    <w:p w:rsidR="756EA358" w:rsidP="756EA358" w:rsidRDefault="756EA358" w14:paraId="6FA1412B" w14:textId="487DC121">
      <w:pPr>
        <w:spacing w:before="240" w:after="240" w:line="360" w:lineRule="auto"/>
        <w:rPr>
          <w:rFonts w:ascii="Arial" w:hAnsi="Arial" w:eastAsia="Arial" w:cs="Arial"/>
        </w:rPr>
      </w:pPr>
    </w:p>
    <w:p w:rsidR="756EA358" w:rsidP="756EA358" w:rsidRDefault="756EA358" w14:paraId="3CCAB0C8" w14:textId="4805F2E6">
      <w:pPr>
        <w:spacing w:before="240" w:after="240" w:line="360" w:lineRule="auto"/>
        <w:rPr>
          <w:rFonts w:ascii="Arial" w:hAnsi="Arial" w:eastAsia="Arial" w:cs="Arial"/>
        </w:rPr>
      </w:pPr>
    </w:p>
    <w:p w:rsidR="756EA358" w:rsidP="756EA358" w:rsidRDefault="756EA358" w14:paraId="050531FC" w14:textId="6A17C4B1">
      <w:pPr>
        <w:spacing w:before="240" w:after="240" w:line="360" w:lineRule="auto"/>
        <w:rPr>
          <w:rFonts w:ascii="Arial" w:hAnsi="Arial" w:eastAsia="Arial" w:cs="Arial"/>
        </w:rPr>
      </w:pPr>
    </w:p>
    <w:p w:rsidR="756EA358" w:rsidP="756EA358" w:rsidRDefault="756EA358" w14:paraId="1D78CA6D" w14:textId="34656FB3">
      <w:pPr>
        <w:spacing w:before="240" w:after="240" w:line="360" w:lineRule="auto"/>
        <w:rPr>
          <w:rFonts w:ascii="Arial" w:hAnsi="Arial" w:eastAsia="Arial" w:cs="Arial"/>
        </w:rPr>
      </w:pPr>
    </w:p>
    <w:p w:rsidR="756EA358" w:rsidP="756EA358" w:rsidRDefault="756EA358" w14:paraId="2F3A8323" w14:textId="47A903FE">
      <w:pPr>
        <w:spacing w:before="240" w:after="240" w:line="360" w:lineRule="auto"/>
        <w:rPr>
          <w:rFonts w:ascii="Arial" w:hAnsi="Arial" w:eastAsia="Arial" w:cs="Arial"/>
        </w:rPr>
      </w:pPr>
    </w:p>
    <w:p w:rsidR="756EA358" w:rsidP="756EA358" w:rsidRDefault="756EA358" w14:paraId="30D1C04F" w14:textId="0107B063">
      <w:pPr>
        <w:spacing w:before="240" w:after="240" w:line="360" w:lineRule="auto"/>
        <w:rPr>
          <w:rFonts w:ascii="Arial" w:hAnsi="Arial" w:eastAsia="Arial" w:cs="Arial"/>
        </w:rPr>
      </w:pPr>
    </w:p>
    <w:p w:rsidR="756EA358" w:rsidP="756EA358" w:rsidRDefault="756EA358" w14:paraId="1F22785A" w14:textId="34413D1C">
      <w:pPr>
        <w:spacing w:before="240" w:after="240" w:line="360" w:lineRule="auto"/>
        <w:rPr>
          <w:rFonts w:ascii="Arial" w:hAnsi="Arial" w:eastAsia="Arial" w:cs="Arial"/>
        </w:rPr>
      </w:pPr>
    </w:p>
    <w:p w:rsidR="756EA358" w:rsidP="756EA358" w:rsidRDefault="756EA358" w14:paraId="41DB02FE" w14:textId="78CCF359">
      <w:pPr>
        <w:spacing w:before="240" w:after="240" w:line="360" w:lineRule="auto"/>
        <w:rPr>
          <w:rFonts w:ascii="Arial" w:hAnsi="Arial" w:eastAsia="Arial" w:cs="Arial"/>
        </w:rPr>
      </w:pPr>
    </w:p>
    <w:p w:rsidR="756EA358" w:rsidP="756EA358" w:rsidRDefault="756EA358" w14:paraId="2AE58762" w14:textId="6C6ECA58">
      <w:pPr>
        <w:spacing w:before="240" w:after="240" w:line="360" w:lineRule="auto"/>
        <w:rPr>
          <w:rFonts w:ascii="Arial" w:hAnsi="Arial" w:eastAsia="Arial" w:cs="Arial"/>
        </w:rPr>
      </w:pPr>
    </w:p>
    <w:p w:rsidR="756EA358" w:rsidP="756EA358" w:rsidRDefault="756EA358" w14:paraId="4503E1FD" w14:textId="1A314292">
      <w:pPr>
        <w:spacing w:before="240" w:after="240" w:line="360" w:lineRule="auto"/>
        <w:rPr>
          <w:rFonts w:ascii="Arial" w:hAnsi="Arial" w:eastAsia="Arial" w:cs="Arial"/>
        </w:rPr>
      </w:pPr>
    </w:p>
    <w:p w:rsidR="756EA358" w:rsidP="756EA358" w:rsidRDefault="756EA358" w14:paraId="2E7C91F3" w14:textId="1289CDF2">
      <w:pPr>
        <w:spacing w:before="240" w:after="240" w:line="360" w:lineRule="auto"/>
        <w:rPr>
          <w:rFonts w:ascii="Arial" w:hAnsi="Arial" w:eastAsia="Arial" w:cs="Arial"/>
        </w:rPr>
      </w:pPr>
    </w:p>
    <w:sdt>
      <w:sdtPr>
        <w:id w:val="1203864230"/>
        <w:docPartObj>
          <w:docPartGallery w:val="Table of Contents"/>
          <w:docPartUnique/>
        </w:docPartObj>
      </w:sdtPr>
      <w:sdtContent>
        <w:p w:rsidR="756EA358" w:rsidP="756EA358" w:rsidRDefault="756EA358" w14:paraId="6BCC0671" w14:textId="00BB79D1">
          <w:pPr>
            <w:pStyle w:val="TOC3"/>
            <w:tabs>
              <w:tab w:val="right" w:leader="dot" w:pos="9360"/>
            </w:tabs>
            <w:bidi w:val="0"/>
          </w:pPr>
          <w:r>
            <w:fldChar w:fldCharType="begin"/>
          </w:r>
          <w:r>
            <w:instrText xml:space="preserve">TOC \o "1-9" \z \u \h</w:instrText>
          </w:r>
          <w:r>
            <w:fldChar w:fldCharType="separate"/>
          </w:r>
          <w:hyperlink w:anchor="_Toc412472636">
            <w:r w:rsidRPr="756EA358" w:rsidR="756EA358">
              <w:rPr>
                <w:rStyle w:val="Hyperlink"/>
              </w:rPr>
              <w:t>Title: International Marketing Principles and Practices</w:t>
            </w:r>
            <w:r>
              <w:tab/>
            </w:r>
            <w:r>
              <w:fldChar w:fldCharType="begin"/>
            </w:r>
            <w:r>
              <w:instrText xml:space="preserve">PAGEREF _Toc412472636 \h</w:instrText>
            </w:r>
            <w:r>
              <w:fldChar w:fldCharType="separate"/>
            </w:r>
            <w:r w:rsidRPr="756EA358" w:rsidR="756EA358">
              <w:rPr>
                <w:rStyle w:val="Hyperlink"/>
              </w:rPr>
              <w:t>1</w:t>
            </w:r>
            <w:r>
              <w:fldChar w:fldCharType="end"/>
            </w:r>
          </w:hyperlink>
        </w:p>
        <w:p w:rsidR="756EA358" w:rsidP="756EA358" w:rsidRDefault="756EA358" w14:paraId="493FA296" w14:textId="5927A296">
          <w:pPr>
            <w:pStyle w:val="TOC2"/>
            <w:tabs>
              <w:tab w:val="right" w:leader="dot" w:pos="9360"/>
            </w:tabs>
            <w:bidi w:val="0"/>
          </w:pPr>
          <w:hyperlink w:anchor="_Toc1033753264">
            <w:r w:rsidRPr="756EA358" w:rsidR="756EA358">
              <w:rPr>
                <w:rStyle w:val="Hyperlink"/>
              </w:rPr>
              <w:t>Executive Summary</w:t>
            </w:r>
            <w:r>
              <w:tab/>
            </w:r>
            <w:r>
              <w:fldChar w:fldCharType="begin"/>
            </w:r>
            <w:r>
              <w:instrText xml:space="preserve">PAGEREF _Toc1033753264 \h</w:instrText>
            </w:r>
            <w:r>
              <w:fldChar w:fldCharType="separate"/>
            </w:r>
            <w:r w:rsidRPr="756EA358" w:rsidR="756EA358">
              <w:rPr>
                <w:rStyle w:val="Hyperlink"/>
              </w:rPr>
              <w:t>3</w:t>
            </w:r>
            <w:r>
              <w:fldChar w:fldCharType="end"/>
            </w:r>
          </w:hyperlink>
        </w:p>
        <w:p w:rsidR="756EA358" w:rsidP="756EA358" w:rsidRDefault="756EA358" w14:paraId="42441B71" w14:textId="11530F1E">
          <w:pPr>
            <w:pStyle w:val="TOC2"/>
            <w:tabs>
              <w:tab w:val="right" w:leader="dot" w:pos="9360"/>
            </w:tabs>
            <w:bidi w:val="0"/>
          </w:pPr>
          <w:hyperlink w:anchor="_Toc170391834">
            <w:r w:rsidRPr="756EA358" w:rsidR="756EA358">
              <w:rPr>
                <w:rStyle w:val="Hyperlink"/>
              </w:rPr>
              <w:t>An Evaluation of Cadbury’s International Market Entry Strategy and Marketing Mix: A Comparative Analysis of the United Kingdom and India</w:t>
            </w:r>
            <w:r>
              <w:tab/>
            </w:r>
            <w:r>
              <w:fldChar w:fldCharType="begin"/>
            </w:r>
            <w:r>
              <w:instrText xml:space="preserve">PAGEREF _Toc170391834 \h</w:instrText>
            </w:r>
            <w:r>
              <w:fldChar w:fldCharType="separate"/>
            </w:r>
            <w:r w:rsidRPr="756EA358" w:rsidR="756EA358">
              <w:rPr>
                <w:rStyle w:val="Hyperlink"/>
              </w:rPr>
              <w:t>5</w:t>
            </w:r>
            <w:r>
              <w:fldChar w:fldCharType="end"/>
            </w:r>
          </w:hyperlink>
        </w:p>
        <w:p w:rsidR="756EA358" w:rsidP="756EA358" w:rsidRDefault="756EA358" w14:paraId="1ED7FE1F" w14:textId="02A4ECF4">
          <w:pPr>
            <w:pStyle w:val="TOC2"/>
            <w:tabs>
              <w:tab w:val="right" w:leader="dot" w:pos="9360"/>
            </w:tabs>
            <w:bidi w:val="0"/>
          </w:pPr>
          <w:hyperlink w:anchor="_Toc1280338745">
            <w:r w:rsidRPr="756EA358" w:rsidR="756EA358">
              <w:rPr>
                <w:rStyle w:val="Hyperlink"/>
              </w:rPr>
              <w:t>1. Introduction</w:t>
            </w:r>
            <w:r>
              <w:tab/>
            </w:r>
            <w:r>
              <w:fldChar w:fldCharType="begin"/>
            </w:r>
            <w:r>
              <w:instrText xml:space="preserve">PAGEREF _Toc1280338745 \h</w:instrText>
            </w:r>
            <w:r>
              <w:fldChar w:fldCharType="separate"/>
            </w:r>
            <w:r w:rsidRPr="756EA358" w:rsidR="756EA358">
              <w:rPr>
                <w:rStyle w:val="Hyperlink"/>
              </w:rPr>
              <w:t>5</w:t>
            </w:r>
            <w:r>
              <w:fldChar w:fldCharType="end"/>
            </w:r>
          </w:hyperlink>
        </w:p>
        <w:p w:rsidR="756EA358" w:rsidP="756EA358" w:rsidRDefault="756EA358" w14:paraId="7F76EF8F" w14:textId="3252A5A0">
          <w:pPr>
            <w:pStyle w:val="TOC2"/>
            <w:tabs>
              <w:tab w:val="right" w:leader="dot" w:pos="9360"/>
            </w:tabs>
            <w:bidi w:val="0"/>
          </w:pPr>
          <w:hyperlink w:anchor="_Toc1782385705">
            <w:r w:rsidRPr="756EA358" w:rsidR="756EA358">
              <w:rPr>
                <w:rStyle w:val="Hyperlink"/>
              </w:rPr>
              <w:t>2. Cadbury: Company Background and International Strategic Context</w:t>
            </w:r>
            <w:r>
              <w:tab/>
            </w:r>
            <w:r>
              <w:fldChar w:fldCharType="begin"/>
            </w:r>
            <w:r>
              <w:instrText xml:space="preserve">PAGEREF _Toc1782385705 \h</w:instrText>
            </w:r>
            <w:r>
              <w:fldChar w:fldCharType="separate"/>
            </w:r>
            <w:r w:rsidRPr="756EA358" w:rsidR="756EA358">
              <w:rPr>
                <w:rStyle w:val="Hyperlink"/>
              </w:rPr>
              <w:t>6</w:t>
            </w:r>
            <w:r>
              <w:fldChar w:fldCharType="end"/>
            </w:r>
          </w:hyperlink>
        </w:p>
        <w:p w:rsidR="756EA358" w:rsidP="756EA358" w:rsidRDefault="756EA358" w14:paraId="321E751A" w14:textId="2E08D460">
          <w:pPr>
            <w:pStyle w:val="TOC2"/>
            <w:tabs>
              <w:tab w:val="right" w:leader="dot" w:pos="9360"/>
            </w:tabs>
            <w:bidi w:val="0"/>
          </w:pPr>
          <w:hyperlink w:anchor="_Toc422737972">
            <w:r w:rsidRPr="756EA358" w:rsidR="756EA358">
              <w:rPr>
                <w:rStyle w:val="Hyperlink"/>
              </w:rPr>
              <w:t>3. Comparative Macro-Environmental Analysis</w:t>
            </w:r>
            <w:r>
              <w:tab/>
            </w:r>
            <w:r>
              <w:fldChar w:fldCharType="begin"/>
            </w:r>
            <w:r>
              <w:instrText xml:space="preserve">PAGEREF _Toc422737972 \h</w:instrText>
            </w:r>
            <w:r>
              <w:fldChar w:fldCharType="separate"/>
            </w:r>
            <w:r w:rsidRPr="756EA358" w:rsidR="756EA358">
              <w:rPr>
                <w:rStyle w:val="Hyperlink"/>
              </w:rPr>
              <w:t>7</w:t>
            </w:r>
            <w:r>
              <w:fldChar w:fldCharType="end"/>
            </w:r>
          </w:hyperlink>
        </w:p>
        <w:p w:rsidR="756EA358" w:rsidP="756EA358" w:rsidRDefault="756EA358" w14:paraId="6B3C240D" w14:textId="798EF968">
          <w:pPr>
            <w:pStyle w:val="TOC2"/>
            <w:tabs>
              <w:tab w:val="right" w:leader="dot" w:pos="9360"/>
            </w:tabs>
            <w:bidi w:val="0"/>
          </w:pPr>
          <w:hyperlink w:anchor="_Toc2138802661">
            <w:r w:rsidRPr="756EA358" w:rsidR="756EA358">
              <w:rPr>
                <w:rStyle w:val="Hyperlink"/>
              </w:rPr>
              <w:t>4. Socio-Cultural Analysis: Hofstede’s Cultural Dimensions and Consumer Behaviour</w:t>
            </w:r>
            <w:r>
              <w:tab/>
            </w:r>
            <w:r>
              <w:fldChar w:fldCharType="begin"/>
            </w:r>
            <w:r>
              <w:instrText xml:space="preserve">PAGEREF _Toc2138802661 \h</w:instrText>
            </w:r>
            <w:r>
              <w:fldChar w:fldCharType="separate"/>
            </w:r>
            <w:r w:rsidRPr="756EA358" w:rsidR="756EA358">
              <w:rPr>
                <w:rStyle w:val="Hyperlink"/>
              </w:rPr>
              <w:t>11</w:t>
            </w:r>
            <w:r>
              <w:fldChar w:fldCharType="end"/>
            </w:r>
          </w:hyperlink>
        </w:p>
        <w:p w:rsidR="756EA358" w:rsidP="756EA358" w:rsidRDefault="756EA358" w14:paraId="09E98C1A" w14:textId="2D4FE906">
          <w:pPr>
            <w:pStyle w:val="TOC2"/>
            <w:tabs>
              <w:tab w:val="right" w:leader="dot" w:pos="9360"/>
            </w:tabs>
            <w:bidi w:val="0"/>
          </w:pPr>
          <w:hyperlink w:anchor="_Toc1116375175">
            <w:r w:rsidRPr="756EA358" w:rsidR="756EA358">
              <w:rPr>
                <w:rStyle w:val="Hyperlink"/>
              </w:rPr>
              <w:t>5. Comparative STP Strategy Analysis</w:t>
            </w:r>
            <w:r>
              <w:tab/>
            </w:r>
            <w:r>
              <w:fldChar w:fldCharType="begin"/>
            </w:r>
            <w:r>
              <w:instrText xml:space="preserve">PAGEREF _Toc1116375175 \h</w:instrText>
            </w:r>
            <w:r>
              <w:fldChar w:fldCharType="separate"/>
            </w:r>
            <w:r w:rsidRPr="756EA358" w:rsidR="756EA358">
              <w:rPr>
                <w:rStyle w:val="Hyperlink"/>
              </w:rPr>
              <w:t>13</w:t>
            </w:r>
            <w:r>
              <w:fldChar w:fldCharType="end"/>
            </w:r>
          </w:hyperlink>
        </w:p>
        <w:p w:rsidR="756EA358" w:rsidP="756EA358" w:rsidRDefault="756EA358" w14:paraId="0F6C5816" w14:textId="37075B0F">
          <w:pPr>
            <w:pStyle w:val="TOC2"/>
            <w:tabs>
              <w:tab w:val="right" w:leader="dot" w:pos="9360"/>
            </w:tabs>
            <w:bidi w:val="0"/>
          </w:pPr>
          <w:hyperlink w:anchor="_Toc1840495782">
            <w:r w:rsidRPr="756EA358" w:rsidR="756EA358">
              <w:rPr>
                <w:rStyle w:val="Hyperlink"/>
              </w:rPr>
              <w:t>6. Comparative International Marketing Mix Evaluation: Selected 4Ps Marketing Mix</w:t>
            </w:r>
            <w:r>
              <w:tab/>
            </w:r>
            <w:r>
              <w:fldChar w:fldCharType="begin"/>
            </w:r>
            <w:r>
              <w:instrText xml:space="preserve">PAGEREF _Toc1840495782 \h</w:instrText>
            </w:r>
            <w:r>
              <w:fldChar w:fldCharType="separate"/>
            </w:r>
            <w:r w:rsidRPr="756EA358" w:rsidR="756EA358">
              <w:rPr>
                <w:rStyle w:val="Hyperlink"/>
              </w:rPr>
              <w:t>16</w:t>
            </w:r>
            <w:r>
              <w:fldChar w:fldCharType="end"/>
            </w:r>
          </w:hyperlink>
        </w:p>
        <w:p w:rsidR="756EA358" w:rsidP="756EA358" w:rsidRDefault="756EA358" w14:paraId="58419AE0" w14:textId="0FD97AD8">
          <w:pPr>
            <w:pStyle w:val="TOC2"/>
            <w:tabs>
              <w:tab w:val="right" w:leader="dot" w:pos="9360"/>
            </w:tabs>
            <w:bidi w:val="0"/>
          </w:pPr>
          <w:hyperlink w:anchor="_Toc1145566642">
            <w:r w:rsidRPr="756EA358" w:rsidR="756EA358">
              <w:rPr>
                <w:rStyle w:val="Hyperlink"/>
              </w:rPr>
              <w:t>7. Market Entry Strategy: Cadbury in India</w:t>
            </w:r>
            <w:r>
              <w:tab/>
            </w:r>
            <w:r>
              <w:fldChar w:fldCharType="begin"/>
            </w:r>
            <w:r>
              <w:instrText xml:space="preserve">PAGEREF _Toc1145566642 \h</w:instrText>
            </w:r>
            <w:r>
              <w:fldChar w:fldCharType="separate"/>
            </w:r>
            <w:r w:rsidRPr="756EA358" w:rsidR="756EA358">
              <w:rPr>
                <w:rStyle w:val="Hyperlink"/>
              </w:rPr>
              <w:t>19</w:t>
            </w:r>
            <w:r>
              <w:fldChar w:fldCharType="end"/>
            </w:r>
          </w:hyperlink>
        </w:p>
        <w:p w:rsidR="756EA358" w:rsidP="756EA358" w:rsidRDefault="756EA358" w14:paraId="00940B06" w14:textId="13171DF5">
          <w:pPr>
            <w:pStyle w:val="TOC2"/>
            <w:tabs>
              <w:tab w:val="right" w:leader="dot" w:pos="9360"/>
            </w:tabs>
            <w:bidi w:val="0"/>
          </w:pPr>
          <w:hyperlink w:anchor="_Toc1680940617">
            <w:r w:rsidRPr="756EA358" w:rsidR="756EA358">
              <w:rPr>
                <w:rStyle w:val="Hyperlink"/>
              </w:rPr>
              <w:t>8. Conclusion</w:t>
            </w:r>
            <w:r>
              <w:tab/>
            </w:r>
            <w:r>
              <w:fldChar w:fldCharType="begin"/>
            </w:r>
            <w:r>
              <w:instrText xml:space="preserve">PAGEREF _Toc1680940617 \h</w:instrText>
            </w:r>
            <w:r>
              <w:fldChar w:fldCharType="separate"/>
            </w:r>
            <w:r w:rsidRPr="756EA358" w:rsidR="756EA358">
              <w:rPr>
                <w:rStyle w:val="Hyperlink"/>
              </w:rPr>
              <w:t>21</w:t>
            </w:r>
            <w:r>
              <w:fldChar w:fldCharType="end"/>
            </w:r>
          </w:hyperlink>
        </w:p>
        <w:p w:rsidR="756EA358" w:rsidP="756EA358" w:rsidRDefault="756EA358" w14:paraId="269D9B24" w14:textId="2E3773CA">
          <w:pPr>
            <w:pStyle w:val="TOC2"/>
            <w:tabs>
              <w:tab w:val="right" w:leader="dot" w:pos="9360"/>
            </w:tabs>
            <w:bidi w:val="0"/>
          </w:pPr>
          <w:hyperlink w:anchor="_Toc1252066898">
            <w:r w:rsidRPr="756EA358" w:rsidR="756EA358">
              <w:rPr>
                <w:rStyle w:val="Hyperlink"/>
              </w:rPr>
              <w:t>9. Recommendations</w:t>
            </w:r>
            <w:r>
              <w:tab/>
            </w:r>
            <w:r>
              <w:fldChar w:fldCharType="begin"/>
            </w:r>
            <w:r>
              <w:instrText xml:space="preserve">PAGEREF _Toc1252066898 \h</w:instrText>
            </w:r>
            <w:r>
              <w:fldChar w:fldCharType="separate"/>
            </w:r>
            <w:r w:rsidRPr="756EA358" w:rsidR="756EA358">
              <w:rPr>
                <w:rStyle w:val="Hyperlink"/>
              </w:rPr>
              <w:t>22</w:t>
            </w:r>
            <w:r>
              <w:fldChar w:fldCharType="end"/>
            </w:r>
          </w:hyperlink>
        </w:p>
        <w:p w:rsidR="756EA358" w:rsidP="756EA358" w:rsidRDefault="756EA358" w14:paraId="43227F30" w14:textId="662B9ECF">
          <w:pPr>
            <w:pStyle w:val="TOC2"/>
            <w:tabs>
              <w:tab w:val="right" w:leader="dot" w:pos="9360"/>
            </w:tabs>
            <w:bidi w:val="0"/>
          </w:pPr>
          <w:hyperlink w:anchor="_Toc442362456">
            <w:r w:rsidRPr="756EA358" w:rsidR="756EA358">
              <w:rPr>
                <w:rStyle w:val="Hyperlink"/>
              </w:rPr>
              <w:t>10. Reflection</w:t>
            </w:r>
            <w:r>
              <w:tab/>
            </w:r>
            <w:r>
              <w:fldChar w:fldCharType="begin"/>
            </w:r>
            <w:r>
              <w:instrText xml:space="preserve">PAGEREF _Toc442362456 \h</w:instrText>
            </w:r>
            <w:r>
              <w:fldChar w:fldCharType="separate"/>
            </w:r>
            <w:r w:rsidRPr="756EA358" w:rsidR="756EA358">
              <w:rPr>
                <w:rStyle w:val="Hyperlink"/>
              </w:rPr>
              <w:t>23</w:t>
            </w:r>
            <w:r>
              <w:fldChar w:fldCharType="end"/>
            </w:r>
          </w:hyperlink>
        </w:p>
        <w:p w:rsidR="756EA358" w:rsidP="756EA358" w:rsidRDefault="756EA358" w14:paraId="2C871A95" w14:textId="3212EC26">
          <w:pPr>
            <w:pStyle w:val="TOC2"/>
            <w:tabs>
              <w:tab w:val="right" w:leader="dot" w:pos="9360"/>
            </w:tabs>
            <w:bidi w:val="0"/>
          </w:pPr>
          <w:hyperlink w:anchor="_Toc840594930">
            <w:r w:rsidRPr="756EA358" w:rsidR="756EA358">
              <w:rPr>
                <w:rStyle w:val="Hyperlink"/>
              </w:rPr>
              <w:t>References</w:t>
            </w:r>
            <w:r>
              <w:tab/>
            </w:r>
            <w:r>
              <w:fldChar w:fldCharType="begin"/>
            </w:r>
            <w:r>
              <w:instrText xml:space="preserve">PAGEREF _Toc840594930 \h</w:instrText>
            </w:r>
            <w:r>
              <w:fldChar w:fldCharType="separate"/>
            </w:r>
            <w:r w:rsidRPr="756EA358" w:rsidR="756EA358">
              <w:rPr>
                <w:rStyle w:val="Hyperlink"/>
              </w:rPr>
              <w:t>26</w:t>
            </w:r>
            <w:r>
              <w:fldChar w:fldCharType="end"/>
            </w:r>
          </w:hyperlink>
        </w:p>
        <w:p w:rsidR="756EA358" w:rsidP="756EA358" w:rsidRDefault="756EA358" w14:paraId="331D0614" w14:textId="4E1F8975">
          <w:pPr>
            <w:pStyle w:val="TOC2"/>
            <w:tabs>
              <w:tab w:val="right" w:leader="dot" w:pos="9360"/>
            </w:tabs>
            <w:bidi w:val="0"/>
          </w:pPr>
          <w:hyperlink w:anchor="_Toc358064125">
            <w:r w:rsidRPr="756EA358" w:rsidR="756EA358">
              <w:rPr>
                <w:rStyle w:val="Hyperlink"/>
              </w:rPr>
              <w:t>Appendix A</w:t>
            </w:r>
            <w:r>
              <w:tab/>
            </w:r>
            <w:r>
              <w:fldChar w:fldCharType="begin"/>
            </w:r>
            <w:r>
              <w:instrText xml:space="preserve">PAGEREF _Toc358064125 \h</w:instrText>
            </w:r>
            <w:r>
              <w:fldChar w:fldCharType="separate"/>
            </w:r>
            <w:r w:rsidRPr="756EA358" w:rsidR="756EA358">
              <w:rPr>
                <w:rStyle w:val="Hyperlink"/>
              </w:rPr>
              <w:t>31</w:t>
            </w:r>
            <w:r>
              <w:fldChar w:fldCharType="end"/>
            </w:r>
          </w:hyperlink>
        </w:p>
        <w:p w:rsidR="756EA358" w:rsidP="756EA358" w:rsidRDefault="756EA358" w14:paraId="6635CD4F" w14:textId="6CC2F1B7">
          <w:pPr>
            <w:pStyle w:val="TOC2"/>
            <w:tabs>
              <w:tab w:val="right" w:leader="dot" w:pos="9360"/>
            </w:tabs>
            <w:bidi w:val="0"/>
          </w:pPr>
          <w:hyperlink w:anchor="_Toc894959191">
            <w:r w:rsidRPr="756EA358" w:rsidR="756EA358">
              <w:rPr>
                <w:rStyle w:val="Hyperlink"/>
              </w:rPr>
              <w:t>Table 1: Cadbury’s Transnational Strategy Position</w:t>
            </w:r>
            <w:r>
              <w:tab/>
            </w:r>
            <w:r>
              <w:fldChar w:fldCharType="begin"/>
            </w:r>
            <w:r>
              <w:instrText xml:space="preserve">PAGEREF _Toc894959191 \h</w:instrText>
            </w:r>
            <w:r>
              <w:fldChar w:fldCharType="separate"/>
            </w:r>
            <w:r w:rsidRPr="756EA358" w:rsidR="756EA358">
              <w:rPr>
                <w:rStyle w:val="Hyperlink"/>
              </w:rPr>
              <w:t>31</w:t>
            </w:r>
            <w:r>
              <w:fldChar w:fldCharType="end"/>
            </w:r>
          </w:hyperlink>
        </w:p>
        <w:p w:rsidR="756EA358" w:rsidP="756EA358" w:rsidRDefault="756EA358" w14:paraId="509526FE" w14:textId="767AE69F">
          <w:pPr>
            <w:pStyle w:val="TOC2"/>
            <w:tabs>
              <w:tab w:val="right" w:leader="dot" w:pos="9360"/>
            </w:tabs>
            <w:bidi w:val="0"/>
          </w:pPr>
          <w:hyperlink w:anchor="_Toc1192789482">
            <w:r w:rsidRPr="756EA358" w:rsidR="756EA358">
              <w:rPr>
                <w:rStyle w:val="Hyperlink"/>
              </w:rPr>
              <w:t>Low Local</w:t>
            </w:r>
            <w:r>
              <w:tab/>
            </w:r>
            <w:r>
              <w:fldChar w:fldCharType="begin"/>
            </w:r>
            <w:r>
              <w:instrText xml:space="preserve">PAGEREF _Toc1192789482 \h</w:instrText>
            </w:r>
            <w:r>
              <w:fldChar w:fldCharType="separate"/>
            </w:r>
            <w:r w:rsidRPr="756EA358" w:rsidR="756EA358">
              <w:rPr>
                <w:rStyle w:val="Hyperlink"/>
              </w:rPr>
              <w:t>31</w:t>
            </w:r>
            <w:r>
              <w:fldChar w:fldCharType="end"/>
            </w:r>
          </w:hyperlink>
        </w:p>
        <w:p w:rsidR="756EA358" w:rsidP="756EA358" w:rsidRDefault="756EA358" w14:paraId="73098B29" w14:textId="1A167231">
          <w:pPr>
            <w:pStyle w:val="TOC2"/>
            <w:tabs>
              <w:tab w:val="right" w:leader="dot" w:pos="9360"/>
            </w:tabs>
            <w:bidi w:val="0"/>
          </w:pPr>
          <w:hyperlink w:anchor="_Toc1737405138">
            <w:r w:rsidRPr="756EA358" w:rsidR="756EA358">
              <w:rPr>
                <w:rStyle w:val="Hyperlink"/>
              </w:rPr>
              <w:t>Hight Local Responsiveness</w:t>
            </w:r>
            <w:r>
              <w:tab/>
            </w:r>
            <w:r>
              <w:fldChar w:fldCharType="begin"/>
            </w:r>
            <w:r>
              <w:instrText xml:space="preserve">PAGEREF _Toc1737405138 \h</w:instrText>
            </w:r>
            <w:r>
              <w:fldChar w:fldCharType="separate"/>
            </w:r>
            <w:r w:rsidRPr="756EA358" w:rsidR="756EA358">
              <w:rPr>
                <w:rStyle w:val="Hyperlink"/>
              </w:rPr>
              <w:t>31</w:t>
            </w:r>
            <w:r>
              <w:fldChar w:fldCharType="end"/>
            </w:r>
          </w:hyperlink>
        </w:p>
        <w:p w:rsidR="756EA358" w:rsidP="756EA358" w:rsidRDefault="756EA358" w14:paraId="0A492D30" w14:textId="43C8BFEA">
          <w:pPr>
            <w:pStyle w:val="TOC2"/>
            <w:tabs>
              <w:tab w:val="right" w:leader="dot" w:pos="9360"/>
            </w:tabs>
            <w:bidi w:val="0"/>
          </w:pPr>
          <w:hyperlink w:anchor="_Toc1259410810">
            <w:r w:rsidRPr="756EA358" w:rsidR="756EA358">
              <w:rPr>
                <w:rStyle w:val="Hyperlink"/>
              </w:rPr>
              <w:t>Table 2: Comparative PESTEL Analysis of Cadbury’s UK and Indian Markets</w:t>
            </w:r>
            <w:r>
              <w:tab/>
            </w:r>
            <w:r>
              <w:fldChar w:fldCharType="begin"/>
            </w:r>
            <w:r>
              <w:instrText xml:space="preserve">PAGEREF _Toc1259410810 \h</w:instrText>
            </w:r>
            <w:r>
              <w:fldChar w:fldCharType="separate"/>
            </w:r>
            <w:r w:rsidRPr="756EA358" w:rsidR="756EA358">
              <w:rPr>
                <w:rStyle w:val="Hyperlink"/>
              </w:rPr>
              <w:t>31</w:t>
            </w:r>
            <w:r>
              <w:fldChar w:fldCharType="end"/>
            </w:r>
          </w:hyperlink>
        </w:p>
        <w:p w:rsidR="756EA358" w:rsidP="756EA358" w:rsidRDefault="756EA358" w14:paraId="1D451125" w14:textId="6B2F45A9">
          <w:pPr>
            <w:pStyle w:val="TOC2"/>
            <w:tabs>
              <w:tab w:val="right" w:leader="dot" w:pos="9360"/>
            </w:tabs>
            <w:bidi w:val="0"/>
          </w:pPr>
          <w:hyperlink w:anchor="_Toc546664546">
            <w:r w:rsidRPr="756EA358" w:rsidR="756EA358">
              <w:rPr>
                <w:rStyle w:val="Hyperlink"/>
              </w:rPr>
              <w:t>Table 3: Supporting Cultural Dimension Comparison between the United Kingdom and India</w:t>
            </w:r>
            <w:r>
              <w:tab/>
            </w:r>
            <w:r>
              <w:fldChar w:fldCharType="begin"/>
            </w:r>
            <w:r>
              <w:instrText xml:space="preserve">PAGEREF _Toc546664546 \h</w:instrText>
            </w:r>
            <w:r>
              <w:fldChar w:fldCharType="separate"/>
            </w:r>
            <w:r w:rsidRPr="756EA358" w:rsidR="756EA358">
              <w:rPr>
                <w:rStyle w:val="Hyperlink"/>
              </w:rPr>
              <w:t>32</w:t>
            </w:r>
            <w:r>
              <w:fldChar w:fldCharType="end"/>
            </w:r>
          </w:hyperlink>
        </w:p>
        <w:p w:rsidR="756EA358" w:rsidP="756EA358" w:rsidRDefault="756EA358" w14:paraId="1EB97EF2" w14:textId="5BB6B690">
          <w:pPr>
            <w:pStyle w:val="TOC2"/>
            <w:tabs>
              <w:tab w:val="right" w:leader="dot" w:pos="9360"/>
            </w:tabs>
            <w:bidi w:val="0"/>
          </w:pPr>
          <w:hyperlink w:anchor="_Toc1740719472">
            <w:r w:rsidRPr="756EA358" w:rsidR="756EA358">
              <w:rPr>
                <w:rStyle w:val="Hyperlink"/>
              </w:rPr>
              <w:t>Table 4: Comparative STP Strategy of Cadbury in the United Kingdom and India</w:t>
            </w:r>
            <w:r>
              <w:tab/>
            </w:r>
            <w:r>
              <w:fldChar w:fldCharType="begin"/>
            </w:r>
            <w:r>
              <w:instrText xml:space="preserve">PAGEREF _Toc1740719472 \h</w:instrText>
            </w:r>
            <w:r>
              <w:fldChar w:fldCharType="separate"/>
            </w:r>
            <w:r w:rsidRPr="756EA358" w:rsidR="756EA358">
              <w:rPr>
                <w:rStyle w:val="Hyperlink"/>
              </w:rPr>
              <w:t>33</w:t>
            </w:r>
            <w:r>
              <w:fldChar w:fldCharType="end"/>
            </w:r>
          </w:hyperlink>
        </w:p>
        <w:p w:rsidR="756EA358" w:rsidP="756EA358" w:rsidRDefault="756EA358" w14:paraId="220AE357" w14:textId="71A11C18">
          <w:pPr>
            <w:pStyle w:val="TOC2"/>
            <w:tabs>
              <w:tab w:val="right" w:leader="dot" w:pos="9360"/>
            </w:tabs>
            <w:bidi w:val="0"/>
          </w:pPr>
          <w:hyperlink w:anchor="_Toc843128287">
            <w:r w:rsidRPr="756EA358" w:rsidR="756EA358">
              <w:rPr>
                <w:rStyle w:val="Hyperlink"/>
              </w:rPr>
              <w:t>Table 5: Comparative International Marketing Mix: Selected 4Ps</w:t>
            </w:r>
            <w:r>
              <w:tab/>
            </w:r>
            <w:r>
              <w:fldChar w:fldCharType="begin"/>
            </w:r>
            <w:r>
              <w:instrText xml:space="preserve">PAGEREF _Toc843128287 \h</w:instrText>
            </w:r>
            <w:r>
              <w:fldChar w:fldCharType="separate"/>
            </w:r>
            <w:r w:rsidRPr="756EA358" w:rsidR="756EA358">
              <w:rPr>
                <w:rStyle w:val="Hyperlink"/>
              </w:rPr>
              <w:t>34</w:t>
            </w:r>
            <w:r>
              <w:fldChar w:fldCharType="end"/>
            </w:r>
          </w:hyperlink>
        </w:p>
        <w:p w:rsidR="756EA358" w:rsidRDefault="756EA358" w14:paraId="3262E1E4" w14:textId="5C1F00B7">
          <w:r>
            <w:fldChar w:fldCharType="end"/>
          </w:r>
        </w:p>
      </w:sdtContent>
    </w:sdt>
    <w:p w:rsidR="756EA358" w:rsidP="756EA358" w:rsidRDefault="756EA358" w14:paraId="5CFEAF40" w14:textId="61E30364">
      <w:pPr>
        <w:spacing w:before="240" w:after="240" w:line="360" w:lineRule="auto"/>
        <w:rPr>
          <w:rFonts w:ascii="Arial" w:hAnsi="Arial" w:eastAsia="Arial" w:cs="Arial"/>
        </w:rPr>
      </w:pPr>
    </w:p>
    <w:p w:rsidR="756EA358" w:rsidP="756EA358" w:rsidRDefault="756EA358" w14:paraId="457E23D0" w14:textId="123F6705">
      <w:pPr>
        <w:spacing w:before="240" w:after="240" w:line="360" w:lineRule="auto"/>
        <w:rPr>
          <w:rFonts w:ascii="Arial" w:hAnsi="Arial" w:eastAsia="Arial" w:cs="Arial"/>
        </w:rPr>
      </w:pPr>
    </w:p>
    <w:p w:rsidR="6C70F8FB" w:rsidP="756EA358" w:rsidRDefault="6C70F8FB" w14:paraId="216C7FC2" w14:textId="3592C2DA">
      <w:pPr>
        <w:pStyle w:val="Normal"/>
        <w:spacing w:before="240" w:after="240" w:line="360" w:lineRule="auto"/>
        <w:rPr>
          <w:rFonts w:ascii="Arial" w:hAnsi="Arial" w:eastAsia="Arial" w:cs="Arial"/>
        </w:rPr>
      </w:pPr>
    </w:p>
    <w:p w:rsidR="45B3D348" w:rsidP="756EA358" w:rsidRDefault="615FB156" w14:paraId="22FE0A79" w14:textId="7FDFF32D">
      <w:pPr>
        <w:pStyle w:val="Heading2"/>
        <w:spacing w:before="240" w:after="240" w:line="360" w:lineRule="auto"/>
        <w:rPr>
          <w:rFonts w:ascii="Arial" w:hAnsi="Arial" w:eastAsia="Arial" w:cs="Arial"/>
          <w:sz w:val="24"/>
          <w:szCs w:val="24"/>
        </w:rPr>
      </w:pPr>
      <w:bookmarkStart w:name="_Toc170391834" w:id="1296705189"/>
      <w:r w:rsidRPr="756EA358" w:rsidR="1E9871E5">
        <w:rPr>
          <w:rFonts w:ascii="Arial" w:hAnsi="Arial" w:eastAsia="Arial" w:cs="Arial"/>
          <w:sz w:val="24"/>
          <w:szCs w:val="24"/>
        </w:rPr>
        <w:t>An Evaluation of Cadbury’s International Market Entry Strategy and Marketing Mix: A Comparative Analysis of the United Kingdom and India</w:t>
      </w:r>
      <w:bookmarkEnd w:id="1296705189"/>
    </w:p>
    <w:p w:rsidR="45B3D348" w:rsidP="756EA358" w:rsidRDefault="615FB156" w14:paraId="1D5BC51C" w14:textId="3DA49BDD">
      <w:pPr>
        <w:pStyle w:val="Heading2"/>
        <w:spacing w:before="240" w:after="240" w:line="360" w:lineRule="auto"/>
        <w:rPr>
          <w:rFonts w:ascii="Arial" w:hAnsi="Arial" w:eastAsia="Arial" w:cs="Arial"/>
          <w:sz w:val="24"/>
          <w:szCs w:val="24"/>
        </w:rPr>
      </w:pPr>
      <w:bookmarkStart w:name="_Toc1280338745" w:id="1407828912"/>
      <w:r w:rsidRPr="756EA358" w:rsidR="1E9871E5">
        <w:rPr>
          <w:rFonts w:ascii="Arial" w:hAnsi="Arial" w:eastAsia="Arial" w:cs="Arial"/>
          <w:sz w:val="24"/>
          <w:szCs w:val="24"/>
        </w:rPr>
        <w:t>1. Introduction</w:t>
      </w:r>
      <w:bookmarkEnd w:id="1407828912"/>
    </w:p>
    <w:p w:rsidR="45B3D348" w:rsidP="756EA358" w:rsidRDefault="615FB156" w14:paraId="55156FE7" w14:textId="2A92A6C8">
      <w:pPr>
        <w:spacing w:before="240" w:beforeAutospacing="off" w:after="240" w:afterAutospacing="off" w:line="360" w:lineRule="auto"/>
        <w:rPr>
          <w:rFonts w:ascii="Arial" w:hAnsi="Arial" w:eastAsia="Arial" w:cs="Arial"/>
          <w:noProof w:val="0"/>
          <w:sz w:val="24"/>
          <w:szCs w:val="24"/>
          <w:lang w:val="en-US"/>
        </w:rPr>
      </w:pPr>
      <w:r w:rsidRPr="756EA358" w:rsidR="7209E842">
        <w:rPr>
          <w:rFonts w:ascii="Arial" w:hAnsi="Arial" w:eastAsia="Arial" w:cs="Arial"/>
          <w:noProof w:val="0"/>
          <w:sz w:val="24"/>
          <w:szCs w:val="24"/>
          <w:lang w:val="en-US"/>
        </w:rPr>
        <w:t>Globalisation creates opportunities for multinational enterprises (MNEs), but international expansion does not eliminate national differences. Firms must determine which capabilities and brand assets can transfer across markets and which activities require adaptation to cultural, economic, institutional and regulatory conditions (Czinkota, 2011; Keegan and Green, 2013).</w:t>
      </w:r>
    </w:p>
    <w:p w:rsidR="45B3D348" w:rsidP="756EA358" w:rsidRDefault="615FB156" w14:paraId="4AE4E2DE" w14:textId="16E81977">
      <w:pPr>
        <w:spacing w:before="240" w:beforeAutospacing="off" w:after="240" w:afterAutospacing="off" w:line="360" w:lineRule="auto"/>
        <w:rPr>
          <w:rFonts w:ascii="Arial" w:hAnsi="Arial" w:eastAsia="Arial" w:cs="Arial"/>
          <w:noProof w:val="0"/>
          <w:sz w:val="24"/>
          <w:szCs w:val="24"/>
          <w:lang w:val="en-US"/>
        </w:rPr>
      </w:pPr>
      <w:r w:rsidRPr="756EA358" w:rsidR="7209E842">
        <w:rPr>
          <w:rFonts w:ascii="Arial" w:hAnsi="Arial" w:eastAsia="Arial" w:cs="Arial"/>
          <w:noProof w:val="0"/>
          <w:sz w:val="24"/>
          <w:szCs w:val="24"/>
          <w:lang w:val="en-US"/>
        </w:rPr>
        <w:t>This report critically evaluates Cadbury’s international marketing strategy in the United Kingdom (UK) and India. The UK represents a mature heritage market with established brand equity, intense competition and changing consumer expectations. India provides a contrasting growth environment in which income diversity, cultural traditions, gifting and social relationships influence chocolate consumption. The comparison demonstrates why international strategies must respond to national market conditions rather than treat consumers as a homogeneous global market (De Búrca, Fletcher and Brown, 2004; Mathur, 2008).</w:t>
      </w:r>
    </w:p>
    <w:p w:rsidR="45B3D348" w:rsidP="756EA358" w:rsidRDefault="615FB156" w14:paraId="77FCE3DB" w14:textId="509F4392">
      <w:pPr>
        <w:spacing w:before="240" w:beforeAutospacing="off" w:after="240" w:afterAutospacing="off" w:line="360" w:lineRule="auto"/>
        <w:rPr>
          <w:rFonts w:ascii="Arial" w:hAnsi="Arial" w:eastAsia="Arial" w:cs="Arial"/>
          <w:noProof w:val="0"/>
          <w:sz w:val="24"/>
          <w:szCs w:val="24"/>
          <w:lang w:val="en-US"/>
        </w:rPr>
      </w:pPr>
      <w:r w:rsidRPr="756EA358" w:rsidR="7209E842">
        <w:rPr>
          <w:rFonts w:ascii="Arial" w:hAnsi="Arial" w:eastAsia="Arial" w:cs="Arial"/>
          <w:noProof w:val="0"/>
          <w:sz w:val="24"/>
          <w:szCs w:val="24"/>
          <w:lang w:val="en-US"/>
        </w:rPr>
        <w:t>The report applies PESTEL and Hofstede’s cultural dimensions to examine environmental and socio-cultural differences, followed by segmentation, targeting and positioning (STP). The marketing mix evaluates all seven Ps—Product, Price, Place, Promotion, People, Process and Physical Evidence—to compare Cadbury’s market adaptation in both countries (Baack, 2018; Doole and Lowe, 2012). A separate market-entry analysis evaluates Cadbury’s expansion into India using the Uppsala Model and Dunning’s OLI paradigm, while comparing alternative entry strategies (Johanson and Vahlne, 1977; Dunning, 1979).</w:t>
      </w:r>
    </w:p>
    <w:p w:rsidR="45B3D348" w:rsidP="756EA358" w:rsidRDefault="615FB156" w14:paraId="56869B8E" w14:textId="764C5E5B">
      <w:pPr>
        <w:spacing w:before="240" w:beforeAutospacing="off" w:after="240" w:afterAutospacing="off" w:line="360" w:lineRule="auto"/>
        <w:rPr>
          <w:rFonts w:ascii="Arial" w:hAnsi="Arial" w:eastAsia="Arial" w:cs="Arial"/>
          <w:noProof w:val="0"/>
          <w:sz w:val="24"/>
          <w:szCs w:val="24"/>
          <w:lang w:val="en-US"/>
        </w:rPr>
      </w:pPr>
      <w:r w:rsidRPr="756EA358" w:rsidR="7209E842">
        <w:rPr>
          <w:rFonts w:ascii="Arial" w:hAnsi="Arial" w:eastAsia="Arial" w:cs="Arial"/>
          <w:noProof w:val="0"/>
          <w:sz w:val="24"/>
          <w:szCs w:val="24"/>
          <w:lang w:val="en-US"/>
        </w:rPr>
        <w:t xml:space="preserve">The central argument is that Cadbury’s competitive advantage depends on selective </w:t>
      </w:r>
      <w:r w:rsidRPr="756EA358" w:rsidR="7209E842">
        <w:rPr>
          <w:rFonts w:ascii="Arial" w:hAnsi="Arial" w:eastAsia="Arial" w:cs="Arial"/>
          <w:noProof w:val="0"/>
          <w:sz w:val="24"/>
          <w:szCs w:val="24"/>
          <w:lang w:val="en-US"/>
        </w:rPr>
        <w:t>localisation</w:t>
      </w:r>
      <w:r w:rsidRPr="756EA358" w:rsidR="7209E842">
        <w:rPr>
          <w:rFonts w:ascii="Arial" w:hAnsi="Arial" w:eastAsia="Arial" w:cs="Arial"/>
          <w:noProof w:val="0"/>
          <w:sz w:val="24"/>
          <w:szCs w:val="24"/>
          <w:lang w:val="en-US"/>
        </w:rPr>
        <w:t xml:space="preserve">. Global brand assets, quality </w:t>
      </w:r>
      <w:r w:rsidRPr="756EA358" w:rsidR="7209E842">
        <w:rPr>
          <w:rFonts w:ascii="Arial" w:hAnsi="Arial" w:eastAsia="Arial" w:cs="Arial"/>
          <w:noProof w:val="0"/>
          <w:sz w:val="24"/>
          <w:szCs w:val="24"/>
          <w:lang w:val="en-US"/>
        </w:rPr>
        <w:t>standards</w:t>
      </w:r>
      <w:r w:rsidRPr="756EA358" w:rsidR="7209E842">
        <w:rPr>
          <w:rFonts w:ascii="Arial" w:hAnsi="Arial" w:eastAsia="Arial" w:cs="Arial"/>
          <w:noProof w:val="0"/>
          <w:sz w:val="24"/>
          <w:szCs w:val="24"/>
          <w:lang w:val="en-US"/>
        </w:rPr>
        <w:t xml:space="preserve"> and operational capabilities support efficiency, while adapting consumption occasions, affordability, distribution, </w:t>
      </w:r>
      <w:r w:rsidRPr="756EA358" w:rsidR="7209E842">
        <w:rPr>
          <w:rFonts w:ascii="Arial" w:hAnsi="Arial" w:eastAsia="Arial" w:cs="Arial"/>
          <w:noProof w:val="0"/>
          <w:sz w:val="24"/>
          <w:szCs w:val="24"/>
          <w:lang w:val="en-US"/>
        </w:rPr>
        <w:t>communication</w:t>
      </w:r>
      <w:r w:rsidRPr="756EA358" w:rsidR="7209E842">
        <w:rPr>
          <w:rFonts w:ascii="Arial" w:hAnsi="Arial" w:eastAsia="Arial" w:cs="Arial"/>
          <w:noProof w:val="0"/>
          <w:sz w:val="24"/>
          <w:szCs w:val="24"/>
          <w:lang w:val="en-US"/>
        </w:rPr>
        <w:t xml:space="preserve"> and customer-facing activities </w:t>
      </w:r>
      <w:r w:rsidRPr="756EA358" w:rsidR="7209E842">
        <w:rPr>
          <w:rFonts w:ascii="Arial" w:hAnsi="Arial" w:eastAsia="Arial" w:cs="Arial"/>
          <w:noProof w:val="0"/>
          <w:sz w:val="24"/>
          <w:szCs w:val="24"/>
          <w:lang w:val="en-US"/>
        </w:rPr>
        <w:t>improves</w:t>
      </w:r>
      <w:r w:rsidRPr="756EA358" w:rsidR="7209E842">
        <w:rPr>
          <w:rFonts w:ascii="Arial" w:hAnsi="Arial" w:eastAsia="Arial" w:cs="Arial"/>
          <w:noProof w:val="0"/>
          <w:sz w:val="24"/>
          <w:szCs w:val="24"/>
          <w:lang w:val="en-US"/>
        </w:rPr>
        <w:t xml:space="preserve"> local relevance. However, </w:t>
      </w:r>
      <w:r w:rsidRPr="756EA358" w:rsidR="7209E842">
        <w:rPr>
          <w:rFonts w:ascii="Arial" w:hAnsi="Arial" w:eastAsia="Arial" w:cs="Arial"/>
          <w:noProof w:val="0"/>
          <w:sz w:val="24"/>
          <w:szCs w:val="24"/>
          <w:lang w:val="en-US"/>
        </w:rPr>
        <w:t>localisation</w:t>
      </w:r>
      <w:r w:rsidRPr="756EA358" w:rsidR="7209E842">
        <w:rPr>
          <w:rFonts w:ascii="Arial" w:hAnsi="Arial" w:eastAsia="Arial" w:cs="Arial"/>
          <w:noProof w:val="0"/>
          <w:sz w:val="24"/>
          <w:szCs w:val="24"/>
          <w:lang w:val="en-US"/>
        </w:rPr>
        <w:t xml:space="preserve"> also creates costs, </w:t>
      </w:r>
      <w:r w:rsidRPr="756EA358" w:rsidR="7209E842">
        <w:rPr>
          <w:rFonts w:ascii="Arial" w:hAnsi="Arial" w:eastAsia="Arial" w:cs="Arial"/>
          <w:noProof w:val="0"/>
          <w:sz w:val="24"/>
          <w:szCs w:val="24"/>
          <w:lang w:val="en-US"/>
        </w:rPr>
        <w:t>complexity</w:t>
      </w:r>
      <w:r w:rsidRPr="756EA358" w:rsidR="7209E842">
        <w:rPr>
          <w:rFonts w:ascii="Arial" w:hAnsi="Arial" w:eastAsia="Arial" w:cs="Arial"/>
          <w:noProof w:val="0"/>
          <w:sz w:val="24"/>
          <w:szCs w:val="24"/>
          <w:lang w:val="en-US"/>
        </w:rPr>
        <w:t xml:space="preserve"> and reputational risks. Sustainable international marketing therefore requires Cadbury to combine global capabilities with evidence-based local responsiveness and responsible strategic decision-making (</w:t>
      </w:r>
      <w:r w:rsidRPr="756EA358" w:rsidR="7209E842">
        <w:rPr>
          <w:rFonts w:ascii="Arial" w:hAnsi="Arial" w:eastAsia="Arial" w:cs="Arial"/>
          <w:noProof w:val="0"/>
          <w:sz w:val="24"/>
          <w:szCs w:val="24"/>
          <w:lang w:val="en-US"/>
        </w:rPr>
        <w:t>Cavusgil</w:t>
      </w:r>
      <w:r w:rsidRPr="756EA358" w:rsidR="7209E842">
        <w:rPr>
          <w:rFonts w:ascii="Arial" w:hAnsi="Arial" w:eastAsia="Arial" w:cs="Arial"/>
          <w:noProof w:val="0"/>
          <w:sz w:val="24"/>
          <w:szCs w:val="24"/>
          <w:lang w:val="en-US"/>
        </w:rPr>
        <w:t xml:space="preserve"> and </w:t>
      </w:r>
      <w:r w:rsidRPr="756EA358" w:rsidR="7209E842">
        <w:rPr>
          <w:rFonts w:ascii="Arial" w:hAnsi="Arial" w:eastAsia="Arial" w:cs="Arial"/>
          <w:noProof w:val="0"/>
          <w:sz w:val="24"/>
          <w:szCs w:val="24"/>
          <w:lang w:val="en-US"/>
        </w:rPr>
        <w:t>Cavusgil</w:t>
      </w:r>
      <w:r w:rsidRPr="756EA358" w:rsidR="7209E842">
        <w:rPr>
          <w:rFonts w:ascii="Arial" w:hAnsi="Arial" w:eastAsia="Arial" w:cs="Arial"/>
          <w:noProof w:val="0"/>
          <w:sz w:val="24"/>
          <w:szCs w:val="24"/>
          <w:lang w:val="en-US"/>
        </w:rPr>
        <w:t>, 2011; Keegan and Green, 2013).</w:t>
      </w:r>
    </w:p>
    <w:p w:rsidR="45B3D348" w:rsidP="756EA358" w:rsidRDefault="615FB156" w14:paraId="246A72A8" w14:textId="48E5DB13">
      <w:pPr>
        <w:pStyle w:val="Heading2"/>
        <w:spacing w:before="120" w:after="120" w:line="360" w:lineRule="auto"/>
        <w:rPr>
          <w:rFonts w:ascii="Arial" w:hAnsi="Arial" w:eastAsia="Arial" w:cs="Arial"/>
          <w:sz w:val="24"/>
          <w:szCs w:val="24"/>
        </w:rPr>
      </w:pPr>
      <w:bookmarkStart w:name="_Toc1782385705" w:id="1857572440"/>
      <w:r w:rsidRPr="756EA358" w:rsidR="5D787D47">
        <w:rPr>
          <w:rFonts w:ascii="Arial" w:hAnsi="Arial" w:eastAsia="Arial" w:cs="Arial"/>
          <w:sz w:val="24"/>
          <w:szCs w:val="24"/>
        </w:rPr>
        <w:t>2. Cadbury: Company Background and International Strategic Context</w:t>
      </w:r>
      <w:bookmarkEnd w:id="1857572440"/>
    </w:p>
    <w:p w:rsidR="45B3D348" w:rsidP="756EA358" w:rsidRDefault="615FB156" w14:paraId="6E5124EA" w14:textId="443F11C0">
      <w:pPr>
        <w:spacing w:before="240" w:beforeAutospacing="off" w:after="240" w:afterAutospacing="off" w:line="360" w:lineRule="auto"/>
        <w:rPr>
          <w:rFonts w:ascii="Arial" w:hAnsi="Arial" w:eastAsia="Arial" w:cs="Arial"/>
          <w:noProof w:val="0"/>
          <w:sz w:val="24"/>
          <w:szCs w:val="24"/>
          <w:lang w:val="en-US"/>
        </w:rPr>
      </w:pPr>
      <w:r w:rsidRPr="756EA358" w:rsidR="3FFACA07">
        <w:rPr>
          <w:rFonts w:ascii="Arial" w:hAnsi="Arial" w:eastAsia="Arial" w:cs="Arial"/>
          <w:noProof w:val="0"/>
          <w:sz w:val="24"/>
          <w:szCs w:val="24"/>
          <w:lang w:val="en-US"/>
        </w:rPr>
        <w:t>Cadbury’s international development demonstrates how historically embedded resources can become global competitive capabilities. Founded in Birmingham in 1824, Cadbury evolved from a British chocolate manufacturer into an internationally recognised confectionery brand. Its integration into Kraft Foods and subsequent ownership by Mondelēz International placed the brand within a global confectionery portfolio while retaining strong associations with its British heritage (Bovill, 2024; Mondelēz International, 2023).</w:t>
      </w:r>
    </w:p>
    <w:p w:rsidR="45B3D348" w:rsidP="756EA358" w:rsidRDefault="615FB156" w14:paraId="6CE8D311" w14:textId="5D977A55">
      <w:pPr>
        <w:spacing w:before="240" w:beforeAutospacing="off" w:after="240" w:afterAutospacing="off" w:line="360" w:lineRule="auto"/>
        <w:rPr>
          <w:rFonts w:ascii="Arial" w:hAnsi="Arial" w:eastAsia="Arial" w:cs="Arial"/>
          <w:noProof w:val="0"/>
          <w:sz w:val="24"/>
          <w:szCs w:val="24"/>
          <w:lang w:val="en-US"/>
        </w:rPr>
      </w:pPr>
      <w:r w:rsidRPr="756EA358" w:rsidR="3FFACA07">
        <w:rPr>
          <w:rFonts w:ascii="Arial" w:hAnsi="Arial" w:eastAsia="Arial" w:cs="Arial"/>
          <w:noProof w:val="0"/>
          <w:sz w:val="24"/>
          <w:szCs w:val="24"/>
          <w:lang w:val="en-US"/>
        </w:rPr>
        <w:t>The Resource-Based View (RBV) argues that sustainable competitive advantage depends on resources that are valuable, rare, difficult to imitate and effectively organised (Barney, 1991). Cadbury’s heritage, consumer recognition, emotional associations and accumulated market knowledge therefore represent important intangible resources. However, their value depends on how effectively these capabilities are applied across different markets (Keller, 2013; Cavusgil and Cavusgil, 2011).</w:t>
      </w:r>
    </w:p>
    <w:p w:rsidR="45B3D348" w:rsidP="756EA358" w:rsidRDefault="615FB156" w14:paraId="6E07D8A0" w14:textId="57BCEE37">
      <w:pPr>
        <w:spacing w:before="240" w:beforeAutospacing="off" w:after="240" w:afterAutospacing="off" w:line="360" w:lineRule="auto"/>
        <w:rPr>
          <w:rFonts w:ascii="Arial" w:hAnsi="Arial" w:eastAsia="Arial" w:cs="Arial"/>
          <w:noProof w:val="0"/>
          <w:sz w:val="24"/>
          <w:szCs w:val="24"/>
          <w:lang w:val="en-US"/>
        </w:rPr>
      </w:pPr>
      <w:r w:rsidRPr="756EA358" w:rsidR="3FFACA07">
        <w:rPr>
          <w:rFonts w:ascii="Arial" w:hAnsi="Arial" w:eastAsia="Arial" w:cs="Arial"/>
          <w:noProof w:val="0"/>
          <w:sz w:val="24"/>
          <w:szCs w:val="24"/>
          <w:lang w:val="en-US"/>
        </w:rPr>
        <w:t>The UK–India comparison illustrates this challenge. The UK is Cadbury’s established heritage market, where strong brand familiarity supports loyalty but market maturity, intense competition, health concerns and changing expectations constrain growth (Cadbury, 2024; Baack, 2018). India offers greater market-development potential because Cadbury has connected chocolate with celebration, gifting and social relationships. However, differences in purchasing power, consumer behaviour and market conditions require adaptation in product formats, pricing, distribution and communication. Although localisation can improve market access and consumer relevance, it can also increase operational complexity, coordination costs and the risk of inconsistent brand experiences (Czinkota, 2011; Mathur, 2008).</w:t>
      </w:r>
    </w:p>
    <w:p w:rsidR="45B3D348" w:rsidP="756EA358" w:rsidRDefault="615FB156" w14:paraId="30DB8B49" w14:textId="7AC41CE3">
      <w:pPr>
        <w:spacing w:before="240" w:beforeAutospacing="off" w:after="240" w:afterAutospacing="off" w:line="360" w:lineRule="auto"/>
        <w:rPr>
          <w:rFonts w:ascii="Arial" w:hAnsi="Arial" w:eastAsia="Arial" w:cs="Arial"/>
          <w:noProof w:val="0"/>
          <w:sz w:val="24"/>
          <w:szCs w:val="24"/>
          <w:lang w:val="en-US"/>
        </w:rPr>
      </w:pPr>
      <w:r w:rsidRPr="756EA358" w:rsidR="3FFACA07">
        <w:rPr>
          <w:rFonts w:ascii="Arial" w:hAnsi="Arial" w:eastAsia="Arial" w:cs="Arial"/>
          <w:noProof w:val="0"/>
          <w:sz w:val="24"/>
          <w:szCs w:val="24"/>
          <w:lang w:val="en-US"/>
        </w:rPr>
        <w:t xml:space="preserve">Cadbury’s international strategy therefore reflects a transnational approach, balancing global integration with local responsiveness (Leong and Tan, 1993). Maintaining brand identity, </w:t>
      </w:r>
      <w:r w:rsidRPr="756EA358" w:rsidR="3FFACA07">
        <w:rPr>
          <w:rFonts w:ascii="Arial" w:hAnsi="Arial" w:eastAsia="Arial" w:cs="Arial"/>
          <w:noProof w:val="0"/>
          <w:sz w:val="24"/>
          <w:szCs w:val="24"/>
          <w:lang w:val="en-US"/>
        </w:rPr>
        <w:t>quality</w:t>
      </w:r>
      <w:r w:rsidRPr="756EA358" w:rsidR="3FFACA07">
        <w:rPr>
          <w:rFonts w:ascii="Arial" w:hAnsi="Arial" w:eastAsia="Arial" w:cs="Arial"/>
          <w:noProof w:val="0"/>
          <w:sz w:val="24"/>
          <w:szCs w:val="24"/>
          <w:lang w:val="en-US"/>
        </w:rPr>
        <w:t xml:space="preserve"> and economies of scale </w:t>
      </w:r>
      <w:r w:rsidRPr="756EA358" w:rsidR="3FFACA07">
        <w:rPr>
          <w:rFonts w:ascii="Arial" w:hAnsi="Arial" w:eastAsia="Arial" w:cs="Arial"/>
          <w:noProof w:val="0"/>
          <w:sz w:val="24"/>
          <w:szCs w:val="24"/>
          <w:lang w:val="en-US"/>
        </w:rPr>
        <w:t>supports</w:t>
      </w:r>
      <w:r w:rsidRPr="756EA358" w:rsidR="3FFACA07">
        <w:rPr>
          <w:rFonts w:ascii="Arial" w:hAnsi="Arial" w:eastAsia="Arial" w:cs="Arial"/>
          <w:noProof w:val="0"/>
          <w:sz w:val="24"/>
          <w:szCs w:val="24"/>
          <w:lang w:val="en-US"/>
        </w:rPr>
        <w:t xml:space="preserve"> efficiency, while selective adaptation creates local value (Doole and Lowe, 2012). However, strong brand visibility also increases exposure to reputational, </w:t>
      </w:r>
      <w:r w:rsidRPr="756EA358" w:rsidR="3FFACA07">
        <w:rPr>
          <w:rFonts w:ascii="Arial" w:hAnsi="Arial" w:eastAsia="Arial" w:cs="Arial"/>
          <w:noProof w:val="0"/>
          <w:sz w:val="24"/>
          <w:szCs w:val="24"/>
          <w:lang w:val="en-US"/>
        </w:rPr>
        <w:t xml:space="preserve">food-safety </w:t>
      </w:r>
      <w:r w:rsidRPr="756EA358" w:rsidR="3FFACA07">
        <w:rPr>
          <w:rFonts w:ascii="Arial" w:hAnsi="Arial" w:eastAsia="Arial" w:cs="Arial"/>
          <w:noProof w:val="0"/>
          <w:sz w:val="24"/>
          <w:szCs w:val="24"/>
          <w:lang w:val="en-US"/>
        </w:rPr>
        <w:t xml:space="preserve">and sustainability risks. Long-term competitiveness </w:t>
      </w:r>
      <w:r w:rsidRPr="756EA358" w:rsidR="3FFACA07">
        <w:rPr>
          <w:rFonts w:ascii="Arial" w:hAnsi="Arial" w:eastAsia="Arial" w:cs="Arial"/>
          <w:noProof w:val="0"/>
          <w:sz w:val="24"/>
          <w:szCs w:val="24"/>
          <w:lang w:val="en-US"/>
        </w:rPr>
        <w:t>consequently</w:t>
      </w:r>
      <w:r w:rsidRPr="756EA358" w:rsidR="3FFACA07">
        <w:rPr>
          <w:rFonts w:ascii="Arial" w:hAnsi="Arial" w:eastAsia="Arial" w:cs="Arial"/>
          <w:noProof w:val="0"/>
          <w:sz w:val="24"/>
          <w:szCs w:val="24"/>
          <w:lang w:val="en-US"/>
        </w:rPr>
        <w:t xml:space="preserve"> depends on converting historical brand equity into contemporary capabilities through culturally relevant innovation, responsible </w:t>
      </w:r>
      <w:r w:rsidRPr="756EA358" w:rsidR="3FFACA07">
        <w:rPr>
          <w:rFonts w:ascii="Arial" w:hAnsi="Arial" w:eastAsia="Arial" w:cs="Arial"/>
          <w:noProof w:val="0"/>
          <w:sz w:val="24"/>
          <w:szCs w:val="24"/>
          <w:lang w:val="en-US"/>
        </w:rPr>
        <w:t>marketing</w:t>
      </w:r>
      <w:r w:rsidRPr="756EA358" w:rsidR="3FFACA07">
        <w:rPr>
          <w:rFonts w:ascii="Arial" w:hAnsi="Arial" w:eastAsia="Arial" w:cs="Arial"/>
          <w:noProof w:val="0"/>
          <w:sz w:val="24"/>
          <w:szCs w:val="24"/>
          <w:lang w:val="en-US"/>
        </w:rPr>
        <w:t xml:space="preserve"> and credible sustainability practices. The following PESTEL analysis examines the external factors shaping Cadbury’s UK and Indian markets (Makos, 2022).</w:t>
      </w:r>
    </w:p>
    <w:p w:rsidR="45B3D348" w:rsidP="756EA358" w:rsidRDefault="615FB156" w14:paraId="6D98CB5E" w14:textId="11B4FACD">
      <w:pPr>
        <w:pStyle w:val="Heading2"/>
        <w:spacing w:line="360" w:lineRule="auto"/>
        <w:rPr>
          <w:rFonts w:ascii="Arial" w:hAnsi="Arial" w:eastAsia="Arial" w:cs="Arial"/>
          <w:b w:val="1"/>
          <w:bCs w:val="1"/>
          <w:sz w:val="24"/>
          <w:szCs w:val="24"/>
        </w:rPr>
      </w:pPr>
      <w:bookmarkStart w:name="_Toc422737972" w:id="1319969725"/>
      <w:r w:rsidRPr="756EA358" w:rsidR="615FB156">
        <w:rPr>
          <w:rFonts w:ascii="Arial" w:hAnsi="Arial" w:eastAsia="Arial" w:cs="Arial"/>
          <w:sz w:val="24"/>
          <w:szCs w:val="24"/>
        </w:rPr>
        <w:t>3. Comparative Macro-Environmental Analysis</w:t>
      </w:r>
      <w:bookmarkEnd w:id="1319969725"/>
    </w:p>
    <w:p w:rsidR="0D547E40" w:rsidP="756EA358" w:rsidRDefault="0D547E40" w14:paraId="7B82EFB8" w14:textId="777AD1DF">
      <w:pPr>
        <w:spacing w:before="240" w:beforeAutospacing="off" w:after="240" w:afterAutospacing="off" w:line="360" w:lineRule="auto"/>
        <w:rPr>
          <w:rFonts w:ascii="Arial" w:hAnsi="Arial" w:eastAsia="Arial" w:cs="Arial"/>
          <w:noProof w:val="0"/>
          <w:sz w:val="24"/>
          <w:szCs w:val="24"/>
          <w:lang w:val="en-US"/>
        </w:rPr>
      </w:pPr>
      <w:r w:rsidRPr="756EA358" w:rsidR="0D547E40">
        <w:rPr>
          <w:rFonts w:ascii="Arial" w:hAnsi="Arial" w:eastAsia="Arial" w:cs="Arial"/>
          <w:noProof w:val="0"/>
          <w:sz w:val="24"/>
          <w:szCs w:val="24"/>
          <w:lang w:val="en-US"/>
        </w:rPr>
        <w:t>Cadbury’s ability to convert brand equity and global capabilities into competitive advantage is shaped by the external environments in which it operates. PESTEL evaluates how political, economic, social, technological, environmental and legal factors influence international marketing strategy (Makos, 2022; Doole and Lowe, 2012; Mathur, 2008). Comparing the UK and India demonstrates that Cadbury cannot transfer a standardised strategy without modification. The comparative analysis is summarised in Appendix A, Table 2.</w:t>
      </w:r>
    </w:p>
    <w:p w:rsidR="0D547E40" w:rsidP="756EA358" w:rsidRDefault="0D547E40" w14:paraId="2AFB4218" w14:textId="3739B6E4">
      <w:pPr>
        <w:pStyle w:val="Normal"/>
        <w:rPr>
          <w:rFonts w:ascii="Arial" w:hAnsi="Arial" w:eastAsia="Arial" w:cs="Arial"/>
          <w:b w:val="1"/>
          <w:bCs w:val="1"/>
          <w:noProof w:val="0"/>
          <w:sz w:val="24"/>
          <w:szCs w:val="24"/>
          <w:lang w:val="en-US"/>
        </w:rPr>
      </w:pPr>
      <w:r w:rsidRPr="756EA358" w:rsidR="0D547E40">
        <w:rPr>
          <w:rFonts w:ascii="Arial" w:hAnsi="Arial" w:eastAsia="Arial" w:cs="Arial"/>
          <w:b w:val="1"/>
          <w:bCs w:val="1"/>
          <w:noProof w:val="0"/>
          <w:sz w:val="24"/>
          <w:szCs w:val="24"/>
          <w:lang w:val="en-US"/>
        </w:rPr>
        <w:t>3.1 Political and Legal Environment</w:t>
      </w:r>
    </w:p>
    <w:p w:rsidR="0D547E40" w:rsidP="756EA358" w:rsidRDefault="0D547E40" w14:paraId="4EFFA2C3" w14:textId="281A4311">
      <w:pPr>
        <w:spacing w:before="240" w:beforeAutospacing="off" w:after="240" w:afterAutospacing="off" w:line="360" w:lineRule="auto"/>
        <w:rPr>
          <w:rFonts w:ascii="Arial" w:hAnsi="Arial" w:eastAsia="Arial" w:cs="Arial"/>
          <w:noProof w:val="0"/>
          <w:sz w:val="24"/>
          <w:szCs w:val="24"/>
          <w:lang w:val="en-US"/>
        </w:rPr>
      </w:pPr>
      <w:r w:rsidRPr="756EA358" w:rsidR="0D547E40">
        <w:rPr>
          <w:rFonts w:ascii="Arial" w:hAnsi="Arial" w:eastAsia="Arial" w:cs="Arial"/>
          <w:noProof w:val="0"/>
          <w:sz w:val="24"/>
          <w:szCs w:val="24"/>
          <w:lang w:val="en-US"/>
        </w:rPr>
        <w:t>The UK provides Cadbury with a relatively stable institutional environment but imposes increasing regulatory scrutiny. Restrictions on advertising less healthy food and drink products, alongside wider public-health concerns surrounding sugar consumption, pressure confectionery companies to reconsider promotional and product strategies (Baack, 2018). Compliance can strengthen consumer trust, encourage responsible marketing and support product innovation, creating an opportunity to protect long-term brand legitimacy through products, portion formats and communications that respond to public-health expectations.</w:t>
      </w:r>
    </w:p>
    <w:p w:rsidR="0D547E40" w:rsidP="756EA358" w:rsidRDefault="0D547E40" w14:paraId="060D0FE4" w14:textId="7AFF3A14">
      <w:pPr>
        <w:spacing w:before="240" w:beforeAutospacing="off" w:after="240" w:afterAutospacing="off" w:line="360" w:lineRule="auto"/>
        <w:rPr>
          <w:rFonts w:ascii="Arial" w:hAnsi="Arial" w:eastAsia="Arial" w:cs="Arial"/>
          <w:noProof w:val="0"/>
          <w:sz w:val="24"/>
          <w:szCs w:val="24"/>
          <w:lang w:val="en-US"/>
        </w:rPr>
      </w:pPr>
      <w:r w:rsidRPr="756EA358" w:rsidR="0D547E40">
        <w:rPr>
          <w:rFonts w:ascii="Arial" w:hAnsi="Arial" w:eastAsia="Arial" w:cs="Arial"/>
          <w:noProof w:val="0"/>
          <w:sz w:val="24"/>
          <w:szCs w:val="24"/>
          <w:lang w:val="en-US"/>
        </w:rPr>
        <w:t>India presents greater institutional complexity, with food-safety, taxation and regulatory requirements operating alongside substantial regional and infrastructural variation. Cadbury must therefore combine global commitments to product quality and ethical responsibility with locally appropriate regulatory engagement (Czinkota, 2011; Mathur, 2008). This is particularly important because food-safety failures can damage consumer trust and brand equity beyond the market in which they occur. Local adaptation can improve regulatory fit but also creates compliance costs and increases the complexity of managing consistent standards.</w:t>
      </w:r>
    </w:p>
    <w:p w:rsidR="0D547E40" w:rsidP="756EA358" w:rsidRDefault="0D547E40" w14:paraId="1DFB17EB" w14:textId="65C972C0">
      <w:pPr>
        <w:pStyle w:val="Normal"/>
        <w:rPr>
          <w:rFonts w:ascii="Arial" w:hAnsi="Arial" w:eastAsia="Arial" w:cs="Arial"/>
          <w:b w:val="1"/>
          <w:bCs w:val="1"/>
          <w:noProof w:val="0"/>
          <w:sz w:val="24"/>
          <w:szCs w:val="24"/>
          <w:lang w:val="en-US"/>
        </w:rPr>
      </w:pPr>
      <w:r w:rsidRPr="756EA358" w:rsidR="0D547E40">
        <w:rPr>
          <w:rFonts w:ascii="Arial" w:hAnsi="Arial" w:eastAsia="Arial" w:cs="Arial"/>
          <w:b w:val="1"/>
          <w:bCs w:val="1"/>
          <w:noProof w:val="0"/>
          <w:sz w:val="24"/>
          <w:szCs w:val="24"/>
          <w:lang w:val="en-US"/>
        </w:rPr>
        <w:t>3.2 Economic Environment</w:t>
      </w:r>
    </w:p>
    <w:p w:rsidR="0D547E40" w:rsidP="756EA358" w:rsidRDefault="0D547E40" w14:paraId="09B8BBA5" w14:textId="071EBEC3">
      <w:pPr>
        <w:spacing w:before="240" w:beforeAutospacing="off" w:after="240" w:afterAutospacing="off" w:line="360" w:lineRule="auto"/>
        <w:rPr>
          <w:rFonts w:ascii="Arial" w:hAnsi="Arial" w:eastAsia="Arial" w:cs="Arial"/>
          <w:noProof w:val="0"/>
          <w:sz w:val="24"/>
          <w:szCs w:val="24"/>
          <w:lang w:val="en-US"/>
        </w:rPr>
      </w:pPr>
      <w:r w:rsidRPr="756EA358" w:rsidR="0D547E40">
        <w:rPr>
          <w:rFonts w:ascii="Arial" w:hAnsi="Arial" w:eastAsia="Arial" w:cs="Arial"/>
          <w:noProof w:val="0"/>
          <w:sz w:val="24"/>
          <w:szCs w:val="24"/>
          <w:lang w:val="en-US"/>
        </w:rPr>
        <w:t>The UK is a mature confectionery market characterised by high brand penetration, intense competition and increasing price sensitivity. Inflation and rising household costs intensify competition between branded products, private labels and substitute snacks. Although Cadbury’s strong brand equity provides some protection from price competition, premium positioning cannot be assumed to remain effective when affordability becomes a greater consumer priority (Keller, 2013; Cadbury, 2024).</w:t>
      </w:r>
    </w:p>
    <w:p w:rsidR="0D547E40" w:rsidP="756EA358" w:rsidRDefault="0D547E40" w14:paraId="0D93BBB6" w14:textId="2DD53EAE">
      <w:pPr>
        <w:spacing w:before="240" w:beforeAutospacing="off" w:after="240" w:afterAutospacing="off" w:line="360" w:lineRule="auto"/>
        <w:rPr>
          <w:rFonts w:ascii="Arial" w:hAnsi="Arial" w:eastAsia="Arial" w:cs="Arial"/>
          <w:noProof w:val="0"/>
          <w:sz w:val="24"/>
          <w:szCs w:val="24"/>
          <w:lang w:val="en-US"/>
        </w:rPr>
      </w:pPr>
      <w:r w:rsidRPr="756EA358" w:rsidR="0D547E40">
        <w:rPr>
          <w:rFonts w:ascii="Arial" w:hAnsi="Arial" w:eastAsia="Arial" w:cs="Arial"/>
          <w:noProof w:val="0"/>
          <w:sz w:val="24"/>
          <w:szCs w:val="24"/>
          <w:lang w:val="en-US"/>
        </w:rPr>
        <w:t>India offers greater market-development potential through economic growth, urbanisation and expanding consumer and retail markets (Ha, 2024). However, significant differences in income and purchasing power mean that a single premium strategy could restrict market penetration. Cadbury therefore requires flexible price-pack architecture that improves accessibility while retaining premium options for higher-income segments (Diallo, Djelassi and Kumar, 2021). This can increase market access and consumption, but excessive discounting may weaken perceived value and reduce margins. Cadbury must therefore adapt pricing to local economic realities while protecting brand equity (De Búrca, Fletcher and Brown, 2004; Doole and Lowe, 2012).</w:t>
      </w:r>
    </w:p>
    <w:p w:rsidR="0D547E40" w:rsidP="756EA358" w:rsidRDefault="0D547E40" w14:paraId="73350D11" w14:textId="2BD0714D">
      <w:pPr>
        <w:pStyle w:val="Normal"/>
        <w:rPr>
          <w:rFonts w:ascii="Arial" w:hAnsi="Arial" w:eastAsia="Arial" w:cs="Arial"/>
          <w:b w:val="1"/>
          <w:bCs w:val="1"/>
          <w:noProof w:val="0"/>
          <w:sz w:val="24"/>
          <w:szCs w:val="24"/>
          <w:lang w:val="en-US"/>
        </w:rPr>
      </w:pPr>
      <w:r w:rsidRPr="756EA358" w:rsidR="0D547E40">
        <w:rPr>
          <w:rFonts w:ascii="Arial" w:hAnsi="Arial" w:eastAsia="Arial" w:cs="Arial"/>
          <w:b w:val="1"/>
          <w:bCs w:val="1"/>
          <w:noProof w:val="0"/>
          <w:sz w:val="24"/>
          <w:szCs w:val="24"/>
          <w:lang w:val="en-US"/>
        </w:rPr>
        <w:t>3.3 Social and Cultural Environment</w:t>
      </w:r>
    </w:p>
    <w:p w:rsidR="0D547E40" w:rsidP="756EA358" w:rsidRDefault="0D547E40" w14:paraId="2A86F896" w14:textId="774BDDD6">
      <w:pPr>
        <w:spacing w:before="240" w:beforeAutospacing="off" w:after="240" w:afterAutospacing="off" w:line="360" w:lineRule="auto"/>
        <w:rPr>
          <w:rFonts w:ascii="Arial" w:hAnsi="Arial" w:eastAsia="Arial" w:cs="Arial"/>
          <w:noProof w:val="0"/>
          <w:sz w:val="24"/>
          <w:szCs w:val="24"/>
          <w:lang w:val="en-US"/>
        </w:rPr>
      </w:pPr>
      <w:r w:rsidRPr="756EA358" w:rsidR="0D547E40">
        <w:rPr>
          <w:rFonts w:ascii="Arial" w:hAnsi="Arial" w:eastAsia="Arial" w:cs="Arial"/>
          <w:noProof w:val="0"/>
          <w:sz w:val="24"/>
          <w:szCs w:val="24"/>
          <w:lang w:val="en-US"/>
        </w:rPr>
        <w:t xml:space="preserve">Social and cultural differences provide one of the strongest explanations for Cadbury’s selective </w:t>
      </w:r>
      <w:r w:rsidRPr="756EA358" w:rsidR="0D547E40">
        <w:rPr>
          <w:rFonts w:ascii="Arial" w:hAnsi="Arial" w:eastAsia="Arial" w:cs="Arial"/>
          <w:noProof w:val="0"/>
          <w:sz w:val="24"/>
          <w:szCs w:val="24"/>
          <w:lang w:val="en-US"/>
        </w:rPr>
        <w:t>localisation</w:t>
      </w:r>
      <w:r w:rsidRPr="756EA358" w:rsidR="0D547E40">
        <w:rPr>
          <w:rFonts w:ascii="Arial" w:hAnsi="Arial" w:eastAsia="Arial" w:cs="Arial"/>
          <w:noProof w:val="0"/>
          <w:sz w:val="24"/>
          <w:szCs w:val="24"/>
          <w:lang w:val="en-US"/>
        </w:rPr>
        <w:t xml:space="preserve"> strategy. In the UK, chocolate consumption is associated with enjoyment, indulgence, personal </w:t>
      </w:r>
      <w:r w:rsidRPr="756EA358" w:rsidR="0D547E40">
        <w:rPr>
          <w:rFonts w:ascii="Arial" w:hAnsi="Arial" w:eastAsia="Arial" w:cs="Arial"/>
          <w:noProof w:val="0"/>
          <w:sz w:val="24"/>
          <w:szCs w:val="24"/>
          <w:lang w:val="en-US"/>
        </w:rPr>
        <w:t>choice</w:t>
      </w:r>
      <w:r w:rsidRPr="756EA358" w:rsidR="0D547E40">
        <w:rPr>
          <w:rFonts w:ascii="Arial" w:hAnsi="Arial" w:eastAsia="Arial" w:cs="Arial"/>
          <w:noProof w:val="0"/>
          <w:sz w:val="24"/>
          <w:szCs w:val="24"/>
          <w:lang w:val="en-US"/>
        </w:rPr>
        <w:t xml:space="preserve"> and nostalgia, increasingly alongside concerns </w:t>
      </w:r>
      <w:r w:rsidRPr="756EA358" w:rsidR="0D547E40">
        <w:rPr>
          <w:rFonts w:ascii="Arial" w:hAnsi="Arial" w:eastAsia="Arial" w:cs="Arial"/>
          <w:noProof w:val="0"/>
          <w:sz w:val="24"/>
          <w:szCs w:val="24"/>
          <w:lang w:val="en-US"/>
        </w:rPr>
        <w:t>regarding</w:t>
      </w:r>
      <w:r w:rsidRPr="756EA358" w:rsidR="0D547E40">
        <w:rPr>
          <w:rFonts w:ascii="Arial" w:hAnsi="Arial" w:eastAsia="Arial" w:cs="Arial"/>
          <w:noProof w:val="0"/>
          <w:sz w:val="24"/>
          <w:szCs w:val="24"/>
          <w:lang w:val="en-US"/>
        </w:rPr>
        <w:t xml:space="preserve"> health, ethical </w:t>
      </w:r>
      <w:r w:rsidRPr="756EA358" w:rsidR="0D547E40">
        <w:rPr>
          <w:rFonts w:ascii="Arial" w:hAnsi="Arial" w:eastAsia="Arial" w:cs="Arial"/>
          <w:noProof w:val="0"/>
          <w:sz w:val="24"/>
          <w:szCs w:val="24"/>
          <w:lang w:val="en-US"/>
        </w:rPr>
        <w:t>sourcing</w:t>
      </w:r>
      <w:r w:rsidRPr="756EA358" w:rsidR="0D547E40">
        <w:rPr>
          <w:rFonts w:ascii="Arial" w:hAnsi="Arial" w:eastAsia="Arial" w:cs="Arial"/>
          <w:noProof w:val="0"/>
          <w:sz w:val="24"/>
          <w:szCs w:val="24"/>
          <w:lang w:val="en-US"/>
        </w:rPr>
        <w:t xml:space="preserve"> and sustainability. Cadbury’s heritage therefore </w:t>
      </w:r>
      <w:r w:rsidRPr="756EA358" w:rsidR="0D547E40">
        <w:rPr>
          <w:rFonts w:ascii="Arial" w:hAnsi="Arial" w:eastAsia="Arial" w:cs="Arial"/>
          <w:noProof w:val="0"/>
          <w:sz w:val="24"/>
          <w:szCs w:val="24"/>
          <w:lang w:val="en-US"/>
        </w:rPr>
        <w:t>remains</w:t>
      </w:r>
      <w:r w:rsidRPr="756EA358" w:rsidR="0D547E40">
        <w:rPr>
          <w:rFonts w:ascii="Arial" w:hAnsi="Arial" w:eastAsia="Arial" w:cs="Arial"/>
          <w:noProof w:val="0"/>
          <w:sz w:val="24"/>
          <w:szCs w:val="24"/>
          <w:lang w:val="en-US"/>
        </w:rPr>
        <w:t xml:space="preserve"> a valuable strategic resource, but its future relevance depends on connecting historical brand associations with changing consumer expectations (Baack, 2018; Keller, 2013).</w:t>
      </w:r>
    </w:p>
    <w:p w:rsidR="6546E507" w:rsidP="756EA358" w:rsidRDefault="6546E507" w14:paraId="570DD199" w14:textId="3137A657">
      <w:pPr>
        <w:spacing w:before="240" w:after="240" w:line="360" w:lineRule="auto"/>
        <w:rPr>
          <w:rFonts w:ascii="Arial" w:hAnsi="Arial" w:eastAsia="Arial" w:cs="Arial"/>
          <w:b w:val="1"/>
          <w:bCs w:val="1"/>
          <w:color w:val="000000" w:themeColor="text1"/>
          <w:sz w:val="24"/>
          <w:szCs w:val="24"/>
        </w:rPr>
      </w:pPr>
      <w:r w:rsidRPr="756EA358" w:rsidR="12305BF2">
        <w:rPr>
          <w:rFonts w:ascii="Arial" w:hAnsi="Arial" w:eastAsia="Arial" w:cs="Arial"/>
          <w:sz w:val="24"/>
          <w:szCs w:val="24"/>
        </w:rPr>
        <w:t xml:space="preserve"> </w:t>
      </w:r>
      <w:r w:rsidRPr="756EA358" w:rsidR="12305BF2">
        <w:rPr>
          <w:rFonts w:ascii="Arial" w:hAnsi="Arial" w:eastAsia="Arial" w:cs="Arial"/>
          <w:b w:val="1"/>
          <w:bCs w:val="1"/>
          <w:color w:val="000000" w:themeColor="text1" w:themeTint="FF" w:themeShade="FF"/>
          <w:sz w:val="24"/>
          <w:szCs w:val="24"/>
        </w:rPr>
        <w:t>Figure 1: Image</w:t>
      </w:r>
    </w:p>
    <w:p w:rsidR="6546E507" w:rsidP="756EA358" w:rsidRDefault="6546E507" w14:paraId="2B11D0B3" w14:textId="2DC972AA">
      <w:pPr>
        <w:spacing w:before="240" w:after="240" w:line="360" w:lineRule="auto"/>
        <w:rPr>
          <w:rFonts w:ascii="Arial" w:hAnsi="Arial" w:eastAsia="Arial" w:cs="Arial"/>
          <w:sz w:val="24"/>
          <w:szCs w:val="24"/>
        </w:rPr>
      </w:pPr>
      <w:r w:rsidR="12305BF2">
        <w:drawing>
          <wp:inline wp14:editId="5EA6FD36" wp14:anchorId="4B147647">
            <wp:extent cx="5943600" cy="2438400"/>
            <wp:effectExtent l="0" t="0" r="0" b="0"/>
            <wp:docPr id="849506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9702332" name="Picture 569702332"/>
                    <pic:cNvPicPr/>
                  </pic:nvPicPr>
                  <pic:blipFill>
                    <a:blip xmlns:r="http://schemas.openxmlformats.org/officeDocument/2006/relationships" r:embed="rId7">
                      <a:extLst>
                        <a:ext uri="{28A0092B-C50C-407E-A947-70E740481C1C}">
                          <a14:useLocalDpi xmlns:a14="http://schemas.microsoft.com/office/drawing/2010/main"/>
                        </a:ext>
                      </a:extLst>
                    </a:blip>
                    <a:stretch>
                      <a:fillRect/>
                    </a:stretch>
                  </pic:blipFill>
                  <pic:spPr>
                    <a:xfrm>
                      <a:off x="0" y="0"/>
                      <a:ext cx="5943600" cy="2438400"/>
                    </a:xfrm>
                    <a:prstGeom prst="rect">
                      <a:avLst/>
                    </a:prstGeom>
                  </pic:spPr>
                </pic:pic>
              </a:graphicData>
            </a:graphic>
          </wp:inline>
        </w:drawing>
      </w:r>
      <w:r w:rsidRPr="756EA358" w:rsidR="12305BF2">
        <w:rPr>
          <w:rFonts w:ascii="Arial" w:hAnsi="Arial" w:eastAsia="Arial" w:cs="Arial"/>
          <w:sz w:val="24"/>
          <w:szCs w:val="24"/>
        </w:rPr>
        <w:t>(IBEF, 2025)</w:t>
      </w:r>
    </w:p>
    <w:p w:rsidR="7CC91032" w:rsidP="756EA358" w:rsidRDefault="7CC91032" w14:paraId="55C10426" w14:textId="5FBC4776">
      <w:pPr>
        <w:spacing w:before="240" w:beforeAutospacing="off" w:after="240" w:afterAutospacing="off" w:line="360" w:lineRule="auto"/>
        <w:rPr>
          <w:rFonts w:ascii="Arial" w:hAnsi="Arial" w:eastAsia="Arial" w:cs="Arial"/>
          <w:noProof w:val="0"/>
          <w:sz w:val="24"/>
          <w:szCs w:val="24"/>
          <w:lang w:val="en-US"/>
        </w:rPr>
      </w:pPr>
      <w:r w:rsidRPr="756EA358" w:rsidR="7CC91032">
        <w:rPr>
          <w:rFonts w:ascii="Arial" w:hAnsi="Arial" w:eastAsia="Arial" w:cs="Arial"/>
          <w:noProof w:val="0"/>
          <w:sz w:val="24"/>
          <w:szCs w:val="24"/>
          <w:lang w:val="en-US"/>
        </w:rPr>
        <w:t>In India, chocolate has increasingly become associated with family relationships, celebration and gifting. Cadbury’s marketing has helped expand these consumption occasions by positioning chocolate within contexts traditionally associated with Indian sweets, improving consumer relevance and creating new demand (Keegan and Green, 2013; Mathur, 2008). However, regional, linguistic, generational and socio-economic differences mean that national assumptions can oversimplify consumer behaviour. Cultural frameworks should therefore inform, rather than determine, marketing decisions.</w:t>
      </w:r>
    </w:p>
    <w:p w:rsidR="7CC91032" w:rsidP="756EA358" w:rsidRDefault="7CC91032" w14:paraId="540E565C" w14:textId="09148E86">
      <w:pPr>
        <w:pStyle w:val="Normal"/>
        <w:rPr>
          <w:rFonts w:ascii="Arial" w:hAnsi="Arial" w:eastAsia="Arial" w:cs="Arial"/>
          <w:b w:val="1"/>
          <w:bCs w:val="1"/>
          <w:i w:val="0"/>
          <w:iCs w:val="0"/>
          <w:noProof w:val="0"/>
          <w:sz w:val="24"/>
          <w:szCs w:val="24"/>
          <w:lang w:val="en-US"/>
        </w:rPr>
      </w:pPr>
      <w:r w:rsidRPr="756EA358" w:rsidR="7CC91032">
        <w:rPr>
          <w:rFonts w:ascii="Arial" w:hAnsi="Arial" w:eastAsia="Arial" w:cs="Arial"/>
          <w:b w:val="1"/>
          <w:bCs w:val="1"/>
          <w:noProof w:val="0"/>
          <w:sz w:val="24"/>
          <w:szCs w:val="24"/>
          <w:lang w:val="en-US"/>
        </w:rPr>
        <w:t>3.4 Technological Environment</w:t>
      </w:r>
    </w:p>
    <w:p w:rsidR="7CC91032" w:rsidP="756EA358" w:rsidRDefault="7CC91032" w14:paraId="2A5CEBA8" w14:textId="1D317E1A">
      <w:pPr>
        <w:spacing w:before="240" w:beforeAutospacing="off" w:after="240" w:afterAutospacing="off" w:line="360" w:lineRule="auto"/>
        <w:rPr>
          <w:rFonts w:ascii="Arial" w:hAnsi="Arial" w:eastAsia="Arial" w:cs="Arial"/>
          <w:noProof w:val="0"/>
          <w:sz w:val="24"/>
          <w:szCs w:val="24"/>
          <w:lang w:val="en-US"/>
        </w:rPr>
      </w:pPr>
      <w:r w:rsidRPr="756EA358" w:rsidR="7CC91032">
        <w:rPr>
          <w:rFonts w:ascii="Arial" w:hAnsi="Arial" w:eastAsia="Arial" w:cs="Arial"/>
          <w:noProof w:val="0"/>
          <w:sz w:val="24"/>
          <w:szCs w:val="24"/>
          <w:lang w:val="en-US"/>
        </w:rPr>
        <w:t>Technological development creates opportunities for global integration and local adaptation. The UK’s developed retail, e-commerce and digital infrastructure supports omnichannel marketing and data-driven engagement, while India’s growth in mobile connectivity and digital commerce enables Cadbury to reach consumers beyond traditional retail. However, differences in digital access and distribution mean that digital channels should complement rather than replace traditional retail. Effective implementation therefore requires local market knowledge (Cavusgil and Cavusgil, 2011).</w:t>
      </w:r>
    </w:p>
    <w:p w:rsidR="7CC91032" w:rsidP="756EA358" w:rsidRDefault="7CC91032" w14:paraId="576623EB" w14:textId="0C096D01">
      <w:pPr>
        <w:pStyle w:val="Normal"/>
        <w:rPr>
          <w:rFonts w:ascii="Arial" w:hAnsi="Arial" w:eastAsia="Arial" w:cs="Arial"/>
          <w:b w:val="1"/>
          <w:bCs w:val="1"/>
          <w:noProof w:val="0"/>
          <w:sz w:val="24"/>
          <w:szCs w:val="24"/>
          <w:lang w:val="en-US"/>
        </w:rPr>
      </w:pPr>
      <w:r w:rsidRPr="756EA358" w:rsidR="7CC91032">
        <w:rPr>
          <w:rFonts w:ascii="Arial" w:hAnsi="Arial" w:eastAsia="Arial" w:cs="Arial"/>
          <w:b w:val="1"/>
          <w:bCs w:val="1"/>
          <w:noProof w:val="0"/>
          <w:sz w:val="24"/>
          <w:szCs w:val="24"/>
          <w:lang w:val="en-US"/>
        </w:rPr>
        <w:t>3.5 Environmental and Sustainability Pressures</w:t>
      </w:r>
    </w:p>
    <w:p w:rsidR="7CC91032" w:rsidP="756EA358" w:rsidRDefault="7CC91032" w14:paraId="7BDA5DDA" w14:textId="1A4C5C72">
      <w:pPr>
        <w:spacing w:before="240" w:beforeAutospacing="off" w:after="240" w:afterAutospacing="off" w:line="360" w:lineRule="auto"/>
        <w:rPr>
          <w:rFonts w:ascii="Arial" w:hAnsi="Arial" w:eastAsia="Arial" w:cs="Arial"/>
          <w:noProof w:val="0"/>
          <w:sz w:val="24"/>
          <w:szCs w:val="24"/>
          <w:lang w:val="en-US"/>
        </w:rPr>
      </w:pPr>
      <w:r w:rsidRPr="756EA358" w:rsidR="7CC91032">
        <w:rPr>
          <w:rFonts w:ascii="Arial" w:hAnsi="Arial" w:eastAsia="Arial" w:cs="Arial"/>
          <w:noProof w:val="0"/>
          <w:sz w:val="24"/>
          <w:szCs w:val="24"/>
          <w:lang w:val="en-US"/>
        </w:rPr>
        <w:t>Environmental expectations increasingly influence the legitimacy and competitiveness of multinational food brands. Packaging, cocoa sourcing and wider supply-chain impacts are relevant to Cadbury in both markets. Sustainability should therefore be treated as a strategic issue rather than a peripheral CSR activity because responsible sourcing can support supply security, stakeholder relationships and brand credibility (Carroll, 1991; Crane and Matten, 2016). However, vague or inadequately evidenced sustainability claims create reputational risks. Cadbury must therefore support environmental commitments through credible organisational practices and transparent communication.</w:t>
      </w:r>
    </w:p>
    <w:p w:rsidR="7CC91032" w:rsidP="756EA358" w:rsidRDefault="7CC91032" w14:paraId="50ED599A" w14:textId="35A4C228">
      <w:pPr>
        <w:pStyle w:val="Normal"/>
        <w:rPr>
          <w:rFonts w:ascii="Arial" w:hAnsi="Arial" w:eastAsia="Arial" w:cs="Arial"/>
          <w:b w:val="1"/>
          <w:bCs w:val="1"/>
          <w:noProof w:val="0"/>
          <w:sz w:val="24"/>
          <w:szCs w:val="24"/>
          <w:lang w:val="en-US"/>
        </w:rPr>
      </w:pPr>
      <w:r w:rsidRPr="756EA358" w:rsidR="7CC91032">
        <w:rPr>
          <w:rFonts w:ascii="Arial" w:hAnsi="Arial" w:eastAsia="Arial" w:cs="Arial"/>
          <w:b w:val="1"/>
          <w:bCs w:val="1"/>
          <w:noProof w:val="0"/>
          <w:sz w:val="24"/>
          <w:szCs w:val="24"/>
          <w:lang w:val="en-US"/>
        </w:rPr>
        <w:t>3.6 Strategic Evaluation</w:t>
      </w:r>
    </w:p>
    <w:p w:rsidR="7CC91032" w:rsidP="756EA358" w:rsidRDefault="7CC91032" w14:paraId="533A5FCB" w14:textId="4AFF492F">
      <w:pPr>
        <w:spacing w:before="240" w:beforeAutospacing="off" w:after="240" w:afterAutospacing="off" w:line="360" w:lineRule="auto"/>
        <w:rPr>
          <w:rFonts w:ascii="Arial" w:hAnsi="Arial" w:eastAsia="Arial" w:cs="Arial"/>
          <w:noProof w:val="0"/>
          <w:sz w:val="24"/>
          <w:szCs w:val="24"/>
          <w:lang w:val="en-US"/>
        </w:rPr>
      </w:pPr>
      <w:r w:rsidRPr="756EA358" w:rsidR="7CC91032">
        <w:rPr>
          <w:rFonts w:ascii="Arial" w:hAnsi="Arial" w:eastAsia="Arial" w:cs="Arial"/>
          <w:noProof w:val="0"/>
          <w:sz w:val="24"/>
          <w:szCs w:val="24"/>
          <w:lang w:val="en-US"/>
        </w:rPr>
        <w:t>The PESTEL comparison reveals different combinations of opportunity and risk. The UK offers stability and strong brand equity but limited growth, whereas India offers greater market-development potential alongside greater cultural, economic and distributional complexity.</w:t>
      </w:r>
    </w:p>
    <w:p w:rsidR="7CC91032" w:rsidP="756EA358" w:rsidRDefault="7CC91032" w14:paraId="0BE88629" w14:textId="5A0A7FFA">
      <w:pPr>
        <w:spacing w:before="240" w:beforeAutospacing="off" w:after="240" w:afterAutospacing="off" w:line="360" w:lineRule="auto"/>
        <w:rPr>
          <w:rFonts w:ascii="Arial" w:hAnsi="Arial" w:eastAsia="Arial" w:cs="Arial"/>
          <w:noProof w:val="0"/>
          <w:sz w:val="24"/>
          <w:szCs w:val="24"/>
          <w:lang w:val="en-US"/>
        </w:rPr>
      </w:pPr>
      <w:r w:rsidRPr="756EA358" w:rsidR="7CC91032">
        <w:rPr>
          <w:rFonts w:ascii="Arial" w:hAnsi="Arial" w:eastAsia="Arial" w:cs="Arial"/>
          <w:noProof w:val="0"/>
          <w:sz w:val="24"/>
          <w:szCs w:val="24"/>
          <w:lang w:val="en-US"/>
        </w:rPr>
        <w:t xml:space="preserve">The strategic implication is not a choice between global integration and local responsiveness. Global consistency protects brand identity, </w:t>
      </w:r>
      <w:r w:rsidRPr="756EA358" w:rsidR="7CC91032">
        <w:rPr>
          <w:rFonts w:ascii="Arial" w:hAnsi="Arial" w:eastAsia="Arial" w:cs="Arial"/>
          <w:noProof w:val="0"/>
          <w:sz w:val="24"/>
          <w:szCs w:val="24"/>
          <w:lang w:val="en-US"/>
        </w:rPr>
        <w:t>quality</w:t>
      </w:r>
      <w:r w:rsidRPr="756EA358" w:rsidR="7CC91032">
        <w:rPr>
          <w:rFonts w:ascii="Arial" w:hAnsi="Arial" w:eastAsia="Arial" w:cs="Arial"/>
          <w:noProof w:val="0"/>
          <w:sz w:val="24"/>
          <w:szCs w:val="24"/>
          <w:lang w:val="en-US"/>
        </w:rPr>
        <w:t xml:space="preserve"> and efficiency, while local adaptation improves affordability, cultural relevance, regulatory </w:t>
      </w:r>
      <w:r w:rsidRPr="756EA358" w:rsidR="7CC91032">
        <w:rPr>
          <w:rFonts w:ascii="Arial" w:hAnsi="Arial" w:eastAsia="Arial" w:cs="Arial"/>
          <w:noProof w:val="0"/>
          <w:sz w:val="24"/>
          <w:szCs w:val="24"/>
          <w:lang w:val="en-US"/>
        </w:rPr>
        <w:t>fit</w:t>
      </w:r>
      <w:r w:rsidRPr="756EA358" w:rsidR="7CC91032">
        <w:rPr>
          <w:rFonts w:ascii="Arial" w:hAnsi="Arial" w:eastAsia="Arial" w:cs="Arial"/>
          <w:noProof w:val="0"/>
          <w:sz w:val="24"/>
          <w:szCs w:val="24"/>
          <w:lang w:val="en-US"/>
        </w:rPr>
        <w:t xml:space="preserve"> and market access. However, </w:t>
      </w:r>
      <w:r w:rsidRPr="756EA358" w:rsidR="7CC91032">
        <w:rPr>
          <w:rFonts w:ascii="Arial" w:hAnsi="Arial" w:eastAsia="Arial" w:cs="Arial"/>
          <w:noProof w:val="0"/>
          <w:sz w:val="24"/>
          <w:szCs w:val="24"/>
          <w:lang w:val="en-US"/>
        </w:rPr>
        <w:t>localisation</w:t>
      </w:r>
      <w:r w:rsidRPr="756EA358" w:rsidR="7CC91032">
        <w:rPr>
          <w:rFonts w:ascii="Arial" w:hAnsi="Arial" w:eastAsia="Arial" w:cs="Arial"/>
          <w:noProof w:val="0"/>
          <w:sz w:val="24"/>
          <w:szCs w:val="24"/>
          <w:lang w:val="en-US"/>
        </w:rPr>
        <w:t xml:space="preserve"> also increases costs, operational </w:t>
      </w:r>
      <w:r w:rsidRPr="756EA358" w:rsidR="7CC91032">
        <w:rPr>
          <w:rFonts w:ascii="Arial" w:hAnsi="Arial" w:eastAsia="Arial" w:cs="Arial"/>
          <w:noProof w:val="0"/>
          <w:sz w:val="24"/>
          <w:szCs w:val="24"/>
          <w:lang w:val="en-US"/>
        </w:rPr>
        <w:t>complexity</w:t>
      </w:r>
      <w:r w:rsidRPr="756EA358" w:rsidR="7CC91032">
        <w:rPr>
          <w:rFonts w:ascii="Arial" w:hAnsi="Arial" w:eastAsia="Arial" w:cs="Arial"/>
          <w:noProof w:val="0"/>
          <w:sz w:val="24"/>
          <w:szCs w:val="24"/>
          <w:lang w:val="en-US"/>
        </w:rPr>
        <w:t xml:space="preserve"> and the risk of inconsistent brand execution. Cadbury’s international competitiveness therefore depends on disciplined selective </w:t>
      </w:r>
      <w:r w:rsidRPr="756EA358" w:rsidR="7CC91032">
        <w:rPr>
          <w:rFonts w:ascii="Arial" w:hAnsi="Arial" w:eastAsia="Arial" w:cs="Arial"/>
          <w:noProof w:val="0"/>
          <w:sz w:val="24"/>
          <w:szCs w:val="24"/>
          <w:lang w:val="en-US"/>
        </w:rPr>
        <w:t>localisation</w:t>
      </w:r>
      <w:r w:rsidRPr="756EA358" w:rsidR="7CC91032">
        <w:rPr>
          <w:rFonts w:ascii="Arial" w:hAnsi="Arial" w:eastAsia="Arial" w:cs="Arial"/>
          <w:noProof w:val="0"/>
          <w:sz w:val="24"/>
          <w:szCs w:val="24"/>
          <w:lang w:val="en-US"/>
        </w:rPr>
        <w:t xml:space="preserve">: adapting elements that create genuine local value while </w:t>
      </w:r>
      <w:r w:rsidRPr="756EA358" w:rsidR="7CC91032">
        <w:rPr>
          <w:rFonts w:ascii="Arial" w:hAnsi="Arial" w:eastAsia="Arial" w:cs="Arial"/>
          <w:noProof w:val="0"/>
          <w:sz w:val="24"/>
          <w:szCs w:val="24"/>
          <w:lang w:val="en-US"/>
        </w:rPr>
        <w:t>maintaining</w:t>
      </w:r>
      <w:r w:rsidRPr="756EA358" w:rsidR="7CC91032">
        <w:rPr>
          <w:rFonts w:ascii="Arial" w:hAnsi="Arial" w:eastAsia="Arial" w:cs="Arial"/>
          <w:noProof w:val="0"/>
          <w:sz w:val="24"/>
          <w:szCs w:val="24"/>
          <w:lang w:val="en-US"/>
        </w:rPr>
        <w:t xml:space="preserve"> core brand, </w:t>
      </w:r>
      <w:r w:rsidRPr="756EA358" w:rsidR="7CC91032">
        <w:rPr>
          <w:rFonts w:ascii="Arial" w:hAnsi="Arial" w:eastAsia="Arial" w:cs="Arial"/>
          <w:noProof w:val="0"/>
          <w:sz w:val="24"/>
          <w:szCs w:val="24"/>
          <w:lang w:val="en-US"/>
        </w:rPr>
        <w:t>quality</w:t>
      </w:r>
      <w:r w:rsidRPr="756EA358" w:rsidR="7CC91032">
        <w:rPr>
          <w:rFonts w:ascii="Arial" w:hAnsi="Arial" w:eastAsia="Arial" w:cs="Arial"/>
          <w:noProof w:val="0"/>
          <w:sz w:val="24"/>
          <w:szCs w:val="24"/>
          <w:lang w:val="en-US"/>
        </w:rPr>
        <w:t xml:space="preserve"> and ethical standards globally (</w:t>
      </w:r>
      <w:r w:rsidRPr="756EA358" w:rsidR="7CC91032">
        <w:rPr>
          <w:rFonts w:ascii="Arial" w:hAnsi="Arial" w:eastAsia="Arial" w:cs="Arial"/>
          <w:noProof w:val="0"/>
          <w:sz w:val="24"/>
          <w:szCs w:val="24"/>
          <w:lang w:val="en-US"/>
        </w:rPr>
        <w:t>Cavusgil</w:t>
      </w:r>
      <w:r w:rsidRPr="756EA358" w:rsidR="7CC91032">
        <w:rPr>
          <w:rFonts w:ascii="Arial" w:hAnsi="Arial" w:eastAsia="Arial" w:cs="Arial"/>
          <w:noProof w:val="0"/>
          <w:sz w:val="24"/>
          <w:szCs w:val="24"/>
          <w:lang w:val="en-US"/>
        </w:rPr>
        <w:t xml:space="preserve"> and </w:t>
      </w:r>
      <w:r w:rsidRPr="756EA358" w:rsidR="7CC91032">
        <w:rPr>
          <w:rFonts w:ascii="Arial" w:hAnsi="Arial" w:eastAsia="Arial" w:cs="Arial"/>
          <w:noProof w:val="0"/>
          <w:sz w:val="24"/>
          <w:szCs w:val="24"/>
          <w:lang w:val="en-US"/>
        </w:rPr>
        <w:t>Cavusgil</w:t>
      </w:r>
      <w:r w:rsidRPr="756EA358" w:rsidR="7CC91032">
        <w:rPr>
          <w:rFonts w:ascii="Arial" w:hAnsi="Arial" w:eastAsia="Arial" w:cs="Arial"/>
          <w:noProof w:val="0"/>
          <w:sz w:val="24"/>
          <w:szCs w:val="24"/>
          <w:lang w:val="en-US"/>
        </w:rPr>
        <w:t xml:space="preserve">, 2011; Doole and Lowe, 2012). The following section examines how cultural differences influence consumer </w:t>
      </w:r>
      <w:r w:rsidRPr="756EA358" w:rsidR="7CC91032">
        <w:rPr>
          <w:rFonts w:ascii="Arial" w:hAnsi="Arial" w:eastAsia="Arial" w:cs="Arial"/>
          <w:noProof w:val="0"/>
          <w:sz w:val="24"/>
          <w:szCs w:val="24"/>
          <w:lang w:val="en-US"/>
        </w:rPr>
        <w:t>behaviour</w:t>
      </w:r>
      <w:r w:rsidRPr="756EA358" w:rsidR="7CC91032">
        <w:rPr>
          <w:rFonts w:ascii="Arial" w:hAnsi="Arial" w:eastAsia="Arial" w:cs="Arial"/>
          <w:noProof w:val="0"/>
          <w:sz w:val="24"/>
          <w:szCs w:val="24"/>
          <w:lang w:val="en-US"/>
        </w:rPr>
        <w:t xml:space="preserve"> and the meanings attached to chocolate in the UK and India.</w:t>
      </w:r>
    </w:p>
    <w:p w:rsidR="45B3D348" w:rsidP="756EA358" w:rsidRDefault="2E5BD8D9" w14:paraId="296CEEC6" w14:textId="0DB38330">
      <w:pPr>
        <w:pStyle w:val="Heading2"/>
        <w:spacing w:line="360" w:lineRule="auto"/>
        <w:rPr>
          <w:rFonts w:ascii="Arial" w:hAnsi="Arial" w:eastAsia="Arial" w:cs="Arial"/>
          <w:b w:val="1"/>
          <w:bCs w:val="1"/>
          <w:sz w:val="24"/>
          <w:szCs w:val="24"/>
        </w:rPr>
      </w:pPr>
      <w:bookmarkStart w:name="_Toc2138802661" w:id="1396983569"/>
      <w:r w:rsidRPr="756EA358" w:rsidR="2E5BD8D9">
        <w:rPr>
          <w:rFonts w:ascii="Arial" w:hAnsi="Arial" w:eastAsia="Arial" w:cs="Arial"/>
          <w:sz w:val="24"/>
          <w:szCs w:val="24"/>
        </w:rPr>
        <w:t>4. Socio-Cultural Analysis: Hofstede’s Cultural Dimensions and Consumer Behaviour</w:t>
      </w:r>
      <w:bookmarkEnd w:id="1396983569"/>
    </w:p>
    <w:p w:rsidR="08E906B6" w:rsidP="756EA358" w:rsidRDefault="08E906B6" w14:paraId="193C8325" w14:textId="37DE3C68">
      <w:pPr>
        <w:spacing w:before="240" w:beforeAutospacing="off" w:after="240" w:afterAutospacing="off" w:line="360" w:lineRule="auto"/>
        <w:rPr>
          <w:rFonts w:ascii="Arial" w:hAnsi="Arial" w:eastAsia="Arial" w:cs="Arial"/>
          <w:noProof w:val="0"/>
          <w:sz w:val="24"/>
          <w:szCs w:val="24"/>
          <w:lang w:val="en-US"/>
        </w:rPr>
      </w:pPr>
      <w:r w:rsidRPr="756EA358" w:rsidR="08E906B6">
        <w:rPr>
          <w:rFonts w:ascii="Arial" w:hAnsi="Arial" w:eastAsia="Arial" w:cs="Arial"/>
          <w:noProof w:val="0"/>
          <w:sz w:val="24"/>
          <w:szCs w:val="24"/>
          <w:lang w:val="en-US"/>
        </w:rPr>
        <w:t>The PESTEL analysis identified substantial differences between the UK and India. Socio-cultural analysis develops this comparison by examining how values, relationships and consumption traditions influence the meanings attached to chocolate. Confectionery consumption extends beyond functional value and may represent enjoyment, affection, celebration, gifting and social identity (De Mooij, 2021). Cultural analysis is therefore strategically important to Cadbury because it helps determine how a globally recognised brand remains relevant across different consumer environments.</w:t>
      </w:r>
    </w:p>
    <w:p w:rsidR="08E906B6" w:rsidP="756EA358" w:rsidRDefault="08E906B6" w14:paraId="7A316A2A" w14:textId="12917869">
      <w:pPr>
        <w:spacing w:before="240" w:beforeAutospacing="off" w:after="240" w:afterAutospacing="off" w:line="360" w:lineRule="auto"/>
        <w:rPr>
          <w:rFonts w:ascii="Arial" w:hAnsi="Arial" w:eastAsia="Arial" w:cs="Arial"/>
          <w:noProof w:val="0"/>
          <w:sz w:val="24"/>
          <w:szCs w:val="24"/>
          <w:lang w:val="en-US"/>
        </w:rPr>
      </w:pPr>
      <w:r w:rsidRPr="756EA358" w:rsidR="08E906B6">
        <w:rPr>
          <w:rFonts w:ascii="Arial" w:hAnsi="Arial" w:eastAsia="Arial" w:cs="Arial"/>
          <w:noProof w:val="0"/>
          <w:sz w:val="24"/>
          <w:szCs w:val="24"/>
          <w:lang w:val="en-US"/>
        </w:rPr>
        <w:t>Hofstede’s cultural dimensions provide a framework for comparing national differences, including individualism–collectivism, power distance, uncertainty avoidance, long-term orientation and indulgence–restraint. Comparative scores for the UK and India are presented in Appendix A, Table 3 and Figure 2 (Hofstede Insights, 2024). However, these national-level indicators should be treated as broad tendencies rather than definitive explanations of individual consumer behaviour. National averages may overlook India’s regional, generational and socio-economic diversity (Kirkman, Lowe and Gibson, 2006; McSweeney, 2002).</w:t>
      </w:r>
    </w:p>
    <w:p w:rsidR="45B3D348" w:rsidP="756EA358" w:rsidRDefault="01751A22" w14:paraId="0AAD2FB6" w14:textId="09A44BEA">
      <w:pPr>
        <w:spacing w:line="360" w:lineRule="auto"/>
        <w:rPr>
          <w:rFonts w:ascii="Arial" w:hAnsi="Arial" w:eastAsia="Arial" w:cs="Arial"/>
          <w:color w:val="000000" w:themeColor="text1"/>
          <w:sz w:val="24"/>
          <w:szCs w:val="24"/>
        </w:rPr>
      </w:pPr>
      <w:r w:rsidRPr="756EA358" w:rsidR="01751A22">
        <w:rPr>
          <w:rFonts w:ascii="Arial" w:hAnsi="Arial" w:eastAsia="Arial" w:cs="Arial"/>
          <w:b w:val="1"/>
          <w:bCs w:val="1"/>
          <w:color w:val="000000" w:themeColor="text1" w:themeTint="FF" w:themeShade="FF"/>
          <w:sz w:val="24"/>
          <w:szCs w:val="24"/>
        </w:rPr>
        <w:t xml:space="preserve">Figure </w:t>
      </w:r>
      <w:r w:rsidRPr="756EA358" w:rsidR="0BF048F2">
        <w:rPr>
          <w:rFonts w:ascii="Arial" w:hAnsi="Arial" w:eastAsia="Arial" w:cs="Arial"/>
          <w:b w:val="1"/>
          <w:bCs w:val="1"/>
          <w:color w:val="000000" w:themeColor="text1" w:themeTint="FF" w:themeShade="FF"/>
          <w:sz w:val="24"/>
          <w:szCs w:val="24"/>
        </w:rPr>
        <w:t>2</w:t>
      </w:r>
      <w:r w:rsidRPr="756EA358" w:rsidR="01751A22">
        <w:rPr>
          <w:rFonts w:ascii="Arial" w:hAnsi="Arial" w:eastAsia="Arial" w:cs="Arial"/>
          <w:b w:val="1"/>
          <w:bCs w:val="1"/>
          <w:color w:val="000000" w:themeColor="text1" w:themeTint="FF" w:themeShade="FF"/>
          <w:sz w:val="24"/>
          <w:szCs w:val="24"/>
        </w:rPr>
        <w:t>: Hofstede Cultural Dimension Comparison between the United Kingdom and India</w:t>
      </w:r>
    </w:p>
    <w:p w:rsidR="45B3D348" w:rsidP="756EA358" w:rsidRDefault="01751A22" w14:paraId="613B52A1" w14:textId="770A09BE">
      <w:pPr>
        <w:spacing w:line="360" w:lineRule="auto"/>
        <w:rPr>
          <w:rFonts w:ascii="Arial" w:hAnsi="Arial" w:eastAsia="Arial" w:cs="Arial"/>
          <w:color w:val="000000" w:themeColor="text1"/>
          <w:sz w:val="24"/>
          <w:szCs w:val="24"/>
        </w:rPr>
      </w:pPr>
      <w:r w:rsidR="01751A22">
        <w:drawing>
          <wp:inline wp14:editId="2F5E82E4" wp14:anchorId="5808C401">
            <wp:extent cx="5657850" cy="2590800"/>
            <wp:effectExtent l="0" t="0" r="0" b="0"/>
            <wp:docPr id="12930723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93072365" name="Picture 1293072365"/>
                    <pic:cNvPicPr/>
                  </pic:nvPicPr>
                  <pic:blipFill>
                    <a:blip xmlns:r="http://schemas.openxmlformats.org/officeDocument/2006/relationships" r:embed="rId8">
                      <a:extLst>
                        <a:ext uri="{28A0092B-C50C-407E-A947-70E740481C1C}">
                          <a14:useLocalDpi xmlns:a14="http://schemas.microsoft.com/office/drawing/2010/main"/>
                        </a:ext>
                      </a:extLst>
                    </a:blip>
                    <a:stretch>
                      <a:fillRect/>
                    </a:stretch>
                  </pic:blipFill>
                  <pic:spPr>
                    <a:xfrm>
                      <a:off x="0" y="0"/>
                      <a:ext cx="5657850" cy="2590800"/>
                    </a:xfrm>
                    <a:prstGeom prst="rect">
                      <a:avLst/>
                    </a:prstGeom>
                  </pic:spPr>
                </pic:pic>
              </a:graphicData>
            </a:graphic>
          </wp:inline>
        </w:drawing>
      </w:r>
      <w:r w:rsidRPr="756EA358" w:rsidR="01751A22">
        <w:rPr>
          <w:rFonts w:ascii="Arial" w:hAnsi="Arial" w:eastAsia="Arial" w:cs="Arial"/>
          <w:color w:val="000000" w:themeColor="text1" w:themeTint="FF" w:themeShade="FF"/>
          <w:sz w:val="24"/>
          <w:szCs w:val="24"/>
        </w:rPr>
        <w:t>Hofstede Insights (2024).</w:t>
      </w:r>
    </w:p>
    <w:p w:rsidR="32A15D89" w:rsidP="756EA358" w:rsidRDefault="32A15D89" w14:paraId="52B5D2CF" w14:textId="318B6648">
      <w:pPr>
        <w:spacing w:before="240" w:beforeAutospacing="off" w:after="240" w:afterAutospacing="off" w:line="360" w:lineRule="auto"/>
        <w:rPr>
          <w:rFonts w:ascii="Arial" w:hAnsi="Arial" w:eastAsia="Arial" w:cs="Arial"/>
          <w:noProof w:val="0"/>
          <w:sz w:val="24"/>
          <w:szCs w:val="24"/>
          <w:lang w:val="en-US"/>
        </w:rPr>
      </w:pPr>
      <w:r w:rsidRPr="756EA358" w:rsidR="32A15D89">
        <w:rPr>
          <w:rFonts w:ascii="Arial" w:hAnsi="Arial" w:eastAsia="Arial" w:cs="Arial"/>
          <w:noProof w:val="0"/>
          <w:sz w:val="24"/>
          <w:szCs w:val="24"/>
          <w:lang w:val="en-US"/>
        </w:rPr>
        <w:t>The most strategically relevant contrast concerns individualism and collectivism. The UK displays a stronger individualistic orientation, whereas India is comparatively more relationship-oriented. This helps explain how Cadbury can maintain a consistent global brand identity while adapting consumption meanings between markets. In the UK, chocolate can be positioned around personal enjoyment, nostalgia and individual choice. In India, consumption is more strongly connected in many contexts with family, celebration, gifting and social relationships. Cadbury’s Indian marketing demonstrates this distinction by associating chocolate with occasions traditionally linked to Indian sweets, thereby expanding consumption occasions and improving cultural relevance rather than simply translating communications (De Mooij, 2021; Keegan and Green, 2013).</w:t>
      </w:r>
    </w:p>
    <w:p w:rsidR="32A15D89" w:rsidP="756EA358" w:rsidRDefault="32A15D89" w14:paraId="0D8D7B89" w14:textId="6340081A">
      <w:pPr>
        <w:spacing w:before="240" w:beforeAutospacing="off" w:after="240" w:afterAutospacing="off" w:line="360" w:lineRule="auto"/>
        <w:rPr>
          <w:rFonts w:ascii="Arial" w:hAnsi="Arial" w:eastAsia="Arial" w:cs="Arial"/>
          <w:noProof w:val="0"/>
          <w:sz w:val="24"/>
          <w:szCs w:val="24"/>
          <w:lang w:val="en-US"/>
        </w:rPr>
      </w:pPr>
      <w:r w:rsidRPr="756EA358" w:rsidR="32A15D89">
        <w:rPr>
          <w:rFonts w:ascii="Arial" w:hAnsi="Arial" w:eastAsia="Arial" w:cs="Arial"/>
          <w:noProof w:val="0"/>
          <w:sz w:val="24"/>
          <w:szCs w:val="24"/>
          <w:lang w:val="en-US"/>
        </w:rPr>
        <w:t>These differences influence Cadbury’s STP decisions. UK segmentation can emphasise lifestyle, brand loyalty, health attitudes and ethical expectations, while Indian strategies require greater attention to income diversity, family relationships, gifting and regional variation. Cadbury can therefore retain globally recognisable emotional brand assets while adapting the social contexts through which these meanings are communicated (Keller, 2013; Cavusgil and Cavusgil, 2011).</w:t>
      </w:r>
    </w:p>
    <w:p w:rsidR="32A15D89" w:rsidP="756EA358" w:rsidRDefault="32A15D89" w14:paraId="6B0F6E24" w14:textId="30212968">
      <w:pPr>
        <w:spacing w:before="240" w:beforeAutospacing="off" w:after="240" w:afterAutospacing="off" w:line="360" w:lineRule="auto"/>
        <w:rPr>
          <w:rFonts w:ascii="Arial" w:hAnsi="Arial" w:eastAsia="Arial" w:cs="Arial"/>
          <w:noProof w:val="0"/>
          <w:sz w:val="24"/>
          <w:szCs w:val="24"/>
          <w:lang w:val="en-US"/>
        </w:rPr>
      </w:pPr>
      <w:r w:rsidRPr="756EA358" w:rsidR="32A15D89">
        <w:rPr>
          <w:rFonts w:ascii="Arial" w:hAnsi="Arial" w:eastAsia="Arial" w:cs="Arial"/>
          <w:noProof w:val="0"/>
          <w:sz w:val="24"/>
          <w:szCs w:val="24"/>
          <w:lang w:val="en-US"/>
        </w:rPr>
        <w:t>Nevertheless, excessive reliance on Hofstede may oversimplify consumer behaviour and create costly, ineffective stereotyping (McSweeney, 2002; Kirkman, Lowe and Gibson, 2006). Hofstede should therefore inform, rather than determine, marketing decisions. Overall, Cadbury’s advantage lies in selective localisation: preserving global brand equity while adapting meanings where this creates genuine consumer value. The following STP analysis examines how these insights are translated into market-specific decisions.</w:t>
      </w:r>
    </w:p>
    <w:p w:rsidR="0DDA2B9E" w:rsidP="756EA358" w:rsidRDefault="0DDA2B9E" w14:paraId="06381202" w14:textId="2082CBFB">
      <w:pPr>
        <w:pStyle w:val="Heading2"/>
        <w:spacing w:line="360" w:lineRule="auto"/>
        <w:rPr>
          <w:rFonts w:ascii="Arial" w:hAnsi="Arial" w:eastAsia="Arial" w:cs="Arial"/>
          <w:b w:val="1"/>
          <w:bCs w:val="1"/>
          <w:sz w:val="24"/>
          <w:szCs w:val="24"/>
        </w:rPr>
      </w:pPr>
      <w:bookmarkStart w:name="_Toc1116375175" w:id="1720367371"/>
      <w:r w:rsidRPr="756EA358" w:rsidR="0DDA2B9E">
        <w:rPr>
          <w:rFonts w:ascii="Arial" w:hAnsi="Arial" w:eastAsia="Arial" w:cs="Arial"/>
          <w:sz w:val="24"/>
          <w:szCs w:val="24"/>
        </w:rPr>
        <w:t>5. Comparative STP Strategy Analysis</w:t>
      </w:r>
      <w:bookmarkEnd w:id="1720367371"/>
    </w:p>
    <w:p w:rsidR="771EC853" w:rsidP="756EA358" w:rsidRDefault="771EC853" w14:paraId="6765D8BE" w14:textId="2E6DEE94">
      <w:pPr>
        <w:spacing w:before="240" w:beforeAutospacing="off" w:after="240" w:afterAutospacing="off" w:line="360" w:lineRule="auto"/>
        <w:rPr>
          <w:rFonts w:ascii="Arial" w:hAnsi="Arial" w:eastAsia="Arial" w:cs="Arial"/>
          <w:noProof w:val="0"/>
          <w:sz w:val="24"/>
          <w:szCs w:val="24"/>
          <w:lang w:val="en-US"/>
        </w:rPr>
      </w:pPr>
      <w:r w:rsidRPr="756EA358" w:rsidR="771EC853">
        <w:rPr>
          <w:rFonts w:ascii="Arial" w:hAnsi="Arial" w:eastAsia="Arial" w:cs="Arial"/>
          <w:noProof w:val="0"/>
          <w:sz w:val="24"/>
          <w:szCs w:val="24"/>
          <w:lang w:val="en-US"/>
        </w:rPr>
        <w:t xml:space="preserve">The socio-cultural analysis established that chocolate carries different social and emotional meanings in the UK and India. The strategic challenge is to convert cultural insight into commercially relevant segmentation, targeting and positioning (STP). STP enables organisations to identify meaningful consumer groups, select attractive segments and develop differentiated value propositions (Kotler et al., 2017). However, international </w:t>
      </w:r>
      <w:r w:rsidRPr="756EA358" w:rsidR="771EC853">
        <w:rPr>
          <w:rFonts w:ascii="Arial" w:hAnsi="Arial" w:eastAsia="Arial" w:cs="Arial"/>
          <w:b w:val="1"/>
          <w:bCs w:val="1"/>
          <w:noProof w:val="0"/>
          <w:sz w:val="24"/>
          <w:szCs w:val="24"/>
          <w:lang w:val="en-US"/>
        </w:rPr>
        <w:t>STP</w:t>
      </w:r>
      <w:r w:rsidRPr="756EA358" w:rsidR="771EC853">
        <w:rPr>
          <w:rFonts w:ascii="Arial" w:hAnsi="Arial" w:eastAsia="Arial" w:cs="Arial"/>
          <w:b w:val="1"/>
          <w:bCs w:val="1"/>
          <w:noProof w:val="0"/>
          <w:sz w:val="24"/>
          <w:szCs w:val="24"/>
          <w:lang w:val="en-US"/>
        </w:rPr>
        <w:t xml:space="preserve"> </w:t>
      </w:r>
      <w:r w:rsidRPr="756EA358" w:rsidR="771EC853">
        <w:rPr>
          <w:rFonts w:ascii="Arial" w:hAnsi="Arial" w:eastAsia="Arial" w:cs="Arial"/>
          <w:noProof w:val="0"/>
          <w:sz w:val="24"/>
          <w:szCs w:val="24"/>
          <w:lang w:val="en-US"/>
        </w:rPr>
        <w:t>cannot simply transfer a domestic model across national borders because consumer behaviour is shaped by different cultural, economic and institutional conditions (Cavusgil, Knight and Riesenberger, 2020). For Cadbury, selective localisation can improve consumer relevance and market access while creating additional complexity and cost. The principal differences in Cadbury’s STP strategy are summarised in Appendix A, Table 4.</w:t>
      </w:r>
    </w:p>
    <w:p w:rsidR="771EC853" w:rsidP="756EA358" w:rsidRDefault="771EC853" w14:paraId="3BD43898" w14:textId="5D4FCD9D">
      <w:pPr>
        <w:pStyle w:val="Normal"/>
        <w:rPr>
          <w:rFonts w:ascii="Arial" w:hAnsi="Arial" w:eastAsia="Arial" w:cs="Arial"/>
          <w:b w:val="1"/>
          <w:bCs w:val="1"/>
          <w:noProof w:val="0"/>
          <w:sz w:val="24"/>
          <w:szCs w:val="24"/>
          <w:lang w:val="en-US"/>
        </w:rPr>
      </w:pPr>
      <w:r w:rsidRPr="756EA358" w:rsidR="771EC853">
        <w:rPr>
          <w:rFonts w:ascii="Arial" w:hAnsi="Arial" w:eastAsia="Arial" w:cs="Arial"/>
          <w:b w:val="1"/>
          <w:bCs w:val="1"/>
          <w:noProof w:val="0"/>
          <w:sz w:val="24"/>
          <w:szCs w:val="24"/>
          <w:lang w:val="en-US"/>
        </w:rPr>
        <w:t>5.1 Segmentation: Established Demand versus Market Complexity</w:t>
      </w:r>
    </w:p>
    <w:p w:rsidR="771EC853" w:rsidP="756EA358" w:rsidRDefault="771EC853" w14:paraId="1212760C" w14:textId="74206154">
      <w:pPr>
        <w:spacing w:before="240" w:beforeAutospacing="off" w:after="240" w:afterAutospacing="off" w:line="360" w:lineRule="auto"/>
        <w:rPr>
          <w:rFonts w:ascii="Arial" w:hAnsi="Arial" w:eastAsia="Arial" w:cs="Arial"/>
          <w:noProof w:val="0"/>
          <w:sz w:val="24"/>
          <w:szCs w:val="24"/>
          <w:lang w:val="en-US"/>
        </w:rPr>
      </w:pPr>
      <w:r w:rsidRPr="756EA358" w:rsidR="771EC853">
        <w:rPr>
          <w:rFonts w:ascii="Arial" w:hAnsi="Arial" w:eastAsia="Arial" w:cs="Arial"/>
          <w:noProof w:val="0"/>
          <w:sz w:val="24"/>
          <w:szCs w:val="24"/>
          <w:lang w:val="en-US"/>
        </w:rPr>
        <w:t>In the UK, Cadbury operates in a mature confectionery market with high brand awareness and extensive product availability. Segmentation therefore focuses on differentiating consumers according to lifestyle, brand loyalty, health attitudes, ethical expectations and consumption occasions (Mintel, 2024). Cadbury’s established brand equity allows it to target consumers who value familiarity and indulgence while responding to demand for portion control, responsible sourcing and healthier consumption. This creates opportunities for premiumisation and product innovation, although excessive emphasis on health could weaken the indulgent associations central to confectionery consumption (Keller, 2013).</w:t>
      </w:r>
    </w:p>
    <w:p w:rsidR="771EC853" w:rsidP="756EA358" w:rsidRDefault="771EC853" w14:paraId="611B8AAC" w14:textId="492CFB00">
      <w:pPr>
        <w:spacing w:before="240" w:beforeAutospacing="off" w:after="240" w:afterAutospacing="off" w:line="360" w:lineRule="auto"/>
        <w:rPr>
          <w:rFonts w:ascii="Arial" w:hAnsi="Arial" w:eastAsia="Arial" w:cs="Arial"/>
          <w:noProof w:val="0"/>
          <w:sz w:val="24"/>
          <w:szCs w:val="24"/>
          <w:lang w:val="en-US"/>
        </w:rPr>
      </w:pPr>
      <w:r w:rsidRPr="756EA358" w:rsidR="771EC853">
        <w:rPr>
          <w:rFonts w:ascii="Arial" w:hAnsi="Arial" w:eastAsia="Arial" w:cs="Arial"/>
          <w:noProof w:val="0"/>
          <w:sz w:val="24"/>
          <w:szCs w:val="24"/>
          <w:lang w:val="en-US"/>
        </w:rPr>
        <w:t>India presents a more complex segmentation environment. Differences in income, urbanisation, regional identity and consumption patterns mean that a single national consumer profile would be inadequate. Segmentation must therefore consider demographics alongside family relationships, festivals, gifting occasions and the social contexts in which chocolate is consumed. Wind and Douglas (1972) argue that effective international segmentation should identify meaningful behavioural differences rather than rely solely on demographic categories. For Cadbury, the cultural context of consumption may therefore be more commercially significant than age or income alone.</w:t>
      </w:r>
    </w:p>
    <w:p w:rsidR="771EC853" w:rsidP="756EA358" w:rsidRDefault="771EC853" w14:paraId="3BC8CDB6" w14:textId="757B5A49">
      <w:pPr>
        <w:spacing w:before="240" w:beforeAutospacing="off" w:after="240" w:afterAutospacing="off" w:line="360" w:lineRule="auto"/>
        <w:rPr>
          <w:rFonts w:ascii="Arial" w:hAnsi="Arial" w:eastAsia="Arial" w:cs="Arial"/>
          <w:noProof w:val="0"/>
          <w:sz w:val="24"/>
          <w:szCs w:val="24"/>
          <w:lang w:val="en-US"/>
        </w:rPr>
      </w:pPr>
      <w:r w:rsidRPr="756EA358" w:rsidR="771EC853">
        <w:rPr>
          <w:rFonts w:ascii="Arial" w:hAnsi="Arial" w:eastAsia="Arial" w:cs="Arial"/>
          <w:noProof w:val="0"/>
          <w:sz w:val="24"/>
          <w:szCs w:val="24"/>
          <w:lang w:val="en-US"/>
        </w:rPr>
        <w:t>This approach has supported Cadbury’s ability to reach consumers beyond traditional everyday chocolate consumption. However, greater segmentation creates a strategic trade-off. Local precision can improve relevance and market access, but excessive segmentation may fragment the brand, increase marketing costs and complicate product and distribution decisions. Cadbury should therefore prioritise segments that generate clear commercial value rather than respond to every cultural variation.</w:t>
      </w:r>
    </w:p>
    <w:p w:rsidR="771EC853" w:rsidP="756EA358" w:rsidRDefault="771EC853" w14:paraId="7256E8F4" w14:textId="111BB616">
      <w:pPr>
        <w:pStyle w:val="Normal"/>
        <w:rPr>
          <w:rFonts w:ascii="Arial" w:hAnsi="Arial" w:eastAsia="Arial" w:cs="Arial"/>
          <w:b w:val="1"/>
          <w:bCs w:val="1"/>
          <w:noProof w:val="0"/>
          <w:sz w:val="24"/>
          <w:szCs w:val="24"/>
          <w:lang w:val="en-US"/>
        </w:rPr>
      </w:pPr>
      <w:r w:rsidRPr="756EA358" w:rsidR="771EC853">
        <w:rPr>
          <w:rFonts w:ascii="Arial" w:hAnsi="Arial" w:eastAsia="Arial" w:cs="Arial"/>
          <w:b w:val="1"/>
          <w:bCs w:val="1"/>
          <w:noProof w:val="0"/>
          <w:sz w:val="24"/>
          <w:szCs w:val="24"/>
          <w:lang w:val="en-US"/>
        </w:rPr>
        <w:t>5.2 Targeting: Market Defence versus Market Development</w:t>
      </w:r>
    </w:p>
    <w:p w:rsidR="771EC853" w:rsidP="756EA358" w:rsidRDefault="771EC853" w14:paraId="00CC07CF" w14:textId="44087B56">
      <w:pPr>
        <w:spacing w:before="240" w:beforeAutospacing="off" w:after="240" w:afterAutospacing="off" w:line="360" w:lineRule="auto"/>
        <w:rPr>
          <w:rFonts w:ascii="Arial" w:hAnsi="Arial" w:eastAsia="Arial" w:cs="Arial"/>
          <w:noProof w:val="0"/>
          <w:sz w:val="24"/>
          <w:szCs w:val="24"/>
          <w:lang w:val="en-US"/>
        </w:rPr>
      </w:pPr>
      <w:r w:rsidRPr="756EA358" w:rsidR="771EC853">
        <w:rPr>
          <w:rFonts w:ascii="Arial" w:hAnsi="Arial" w:eastAsia="Arial" w:cs="Arial"/>
          <w:noProof w:val="0"/>
          <w:sz w:val="24"/>
          <w:szCs w:val="24"/>
          <w:lang w:val="en-US"/>
        </w:rPr>
        <w:t>Cadbury’s UK strategy is primarily focused on defending and renewing demand within a mature market. Growth depends on strengthening loyalty, encouraging repeat purchase, developing relevant product variations and responding to changing consumer expectations. However, competition from private-label products, alternative snacks and healthier consumption choices limits the effectiveness of relying solely on established brand recognition (Mintel, 2024; World Health Organization, 2022). Cadbury must therefore target consumers through heritage, emotional familiarity, product relevance and responsible brand positioning.</w:t>
      </w:r>
    </w:p>
    <w:p w:rsidR="771EC853" w:rsidP="756EA358" w:rsidRDefault="771EC853" w14:paraId="48B09288" w14:textId="45672869">
      <w:pPr>
        <w:spacing w:before="240" w:beforeAutospacing="off" w:after="240" w:afterAutospacing="off" w:line="360" w:lineRule="auto"/>
        <w:rPr>
          <w:rFonts w:ascii="Arial" w:hAnsi="Arial" w:eastAsia="Arial" w:cs="Arial"/>
          <w:noProof w:val="0"/>
          <w:sz w:val="24"/>
          <w:szCs w:val="24"/>
          <w:lang w:val="en-US"/>
        </w:rPr>
      </w:pPr>
      <w:r w:rsidRPr="756EA358" w:rsidR="771EC853">
        <w:rPr>
          <w:rFonts w:ascii="Arial" w:hAnsi="Arial" w:eastAsia="Arial" w:cs="Arial"/>
          <w:noProof w:val="0"/>
          <w:sz w:val="24"/>
          <w:szCs w:val="24"/>
          <w:lang w:val="en-US"/>
        </w:rPr>
        <w:t>India offers greater potential for market development because Cadbury has expanded the social occasions associated with chocolate consumption. By linking chocolate with celebration, gifting and relationships, the brand has encouraged consumption in contexts traditionally associated with Indian sweets. This demonstrates how culturally relevant marketing can create new consumption occasions and increase chocolate’s relevance within social and family relationships (De Mooij, 2021).</w:t>
      </w:r>
    </w:p>
    <w:p w:rsidR="771EC853" w:rsidP="756EA358" w:rsidRDefault="771EC853" w14:paraId="1D132A3C" w14:textId="27BB6260">
      <w:pPr>
        <w:spacing w:before="240" w:beforeAutospacing="off" w:after="240" w:afterAutospacing="off" w:line="360" w:lineRule="auto"/>
        <w:rPr>
          <w:rFonts w:ascii="Arial" w:hAnsi="Arial" w:eastAsia="Arial" w:cs="Arial"/>
          <w:noProof w:val="0"/>
          <w:sz w:val="24"/>
          <w:szCs w:val="24"/>
          <w:lang w:val="en-US"/>
        </w:rPr>
      </w:pPr>
      <w:r w:rsidRPr="756EA358" w:rsidR="771EC853">
        <w:rPr>
          <w:rFonts w:ascii="Arial" w:hAnsi="Arial" w:eastAsia="Arial" w:cs="Arial"/>
          <w:noProof w:val="0"/>
          <w:sz w:val="24"/>
          <w:szCs w:val="24"/>
          <w:lang w:val="en-US"/>
        </w:rPr>
        <w:t>Nevertheless, India should not be treated as a homogeneous growth market. Income, location and consumer behaviour vary significantly across regions and social groups. Cadbury must therefore balance sufficient standardisation to achieve economies of scale with local responsiveness to diverse consumer contexts (Cavusgil, Knight and Riesenberger, 2020). The benefit is greater market relevance, although it requires continuous investment in consumer insight.</w:t>
      </w:r>
    </w:p>
    <w:p w:rsidR="771EC853" w:rsidP="756EA358" w:rsidRDefault="771EC853" w14:paraId="1A3419CD" w14:textId="42EEF0F0">
      <w:pPr>
        <w:pStyle w:val="Normal"/>
        <w:rPr>
          <w:rFonts w:ascii="Arial" w:hAnsi="Arial" w:eastAsia="Arial" w:cs="Arial"/>
          <w:b w:val="1"/>
          <w:bCs w:val="1"/>
          <w:noProof w:val="0"/>
          <w:sz w:val="24"/>
          <w:szCs w:val="24"/>
          <w:lang w:val="en-US"/>
        </w:rPr>
      </w:pPr>
      <w:r w:rsidRPr="756EA358" w:rsidR="771EC853">
        <w:rPr>
          <w:rFonts w:ascii="Arial" w:hAnsi="Arial" w:eastAsia="Arial" w:cs="Arial"/>
          <w:b w:val="1"/>
          <w:bCs w:val="1"/>
          <w:noProof w:val="0"/>
          <w:sz w:val="24"/>
          <w:szCs w:val="24"/>
          <w:lang w:val="en-US"/>
        </w:rPr>
        <w:t>5.3 Positioning: Heritage in the UK and Social Meaning in India</w:t>
      </w:r>
    </w:p>
    <w:p w:rsidR="771EC853" w:rsidP="756EA358" w:rsidRDefault="771EC853" w14:paraId="1D4EF700" w14:textId="497E9BCE">
      <w:pPr>
        <w:spacing w:before="240" w:beforeAutospacing="off" w:after="240" w:afterAutospacing="off" w:line="360" w:lineRule="auto"/>
        <w:rPr>
          <w:rFonts w:ascii="Arial" w:hAnsi="Arial" w:eastAsia="Arial" w:cs="Arial"/>
          <w:noProof w:val="0"/>
          <w:sz w:val="24"/>
          <w:szCs w:val="24"/>
          <w:lang w:val="en-US"/>
        </w:rPr>
      </w:pPr>
      <w:r w:rsidRPr="756EA358" w:rsidR="771EC853">
        <w:rPr>
          <w:rFonts w:ascii="Arial" w:hAnsi="Arial" w:eastAsia="Arial" w:cs="Arial"/>
          <w:noProof w:val="0"/>
          <w:sz w:val="24"/>
          <w:szCs w:val="24"/>
          <w:lang w:val="en-US"/>
        </w:rPr>
        <w:t>Positioning represents the clearest strategic difference between the two markets. In the UK, Cadbury draws on heritage, emotional familiarity, quality and enjoyment. These associations represent valuable brand equity because strong brands are built through distinctive and favourable consumer associations (Keller, 2013; Aaker, 1996). However, heritage alone cannot guarantee future relevance. If Cadbury fails to connect its historical identity with contemporary concerns such as health, sustainability and ethical sourcing, its emotional advantage may weaken.</w:t>
      </w:r>
    </w:p>
    <w:p w:rsidR="771EC853" w:rsidP="756EA358" w:rsidRDefault="771EC853" w14:paraId="1DC26FA6" w14:textId="5431F2A1">
      <w:pPr>
        <w:spacing w:before="240" w:beforeAutospacing="off" w:after="240" w:afterAutospacing="off" w:line="360" w:lineRule="auto"/>
        <w:rPr>
          <w:rFonts w:ascii="Arial" w:hAnsi="Arial" w:eastAsia="Arial" w:cs="Arial"/>
          <w:noProof w:val="0"/>
          <w:sz w:val="24"/>
          <w:szCs w:val="24"/>
          <w:lang w:val="en-US"/>
        </w:rPr>
      </w:pPr>
      <w:r w:rsidRPr="756EA358" w:rsidR="771EC853">
        <w:rPr>
          <w:rFonts w:ascii="Arial" w:hAnsi="Arial" w:eastAsia="Arial" w:cs="Arial"/>
          <w:noProof w:val="0"/>
          <w:sz w:val="24"/>
          <w:szCs w:val="24"/>
          <w:lang w:val="en-US"/>
        </w:rPr>
        <w:t>In India, Cadbury has positioned chocolate more strongly around celebration, affection, gifting and social relationships. Campaigns such as Kuch Meetha Ho Jaaye demonstrate how the company adapted the cultural meaning of consumption rather than simply translating a promotional message. By associating chocolate with occasions traditionally linked to sweets, Cadbury expanded the product’s social relevance and encouraged new consumption contexts (De Mooij, 2021). This illustrates how positioning can support market development by changing perceptions of when and why a product should be consumed.</w:t>
      </w:r>
    </w:p>
    <w:p w:rsidR="771EC853" w:rsidP="756EA358" w:rsidRDefault="771EC853" w14:paraId="484B5ADE" w14:textId="4469283B">
      <w:pPr>
        <w:spacing w:before="240" w:beforeAutospacing="off" w:after="240" w:afterAutospacing="off" w:line="360" w:lineRule="auto"/>
        <w:rPr>
          <w:rFonts w:ascii="Arial" w:hAnsi="Arial" w:eastAsia="Arial" w:cs="Arial"/>
          <w:noProof w:val="0"/>
          <w:sz w:val="24"/>
          <w:szCs w:val="24"/>
          <w:lang w:val="en-US"/>
        </w:rPr>
      </w:pPr>
      <w:r w:rsidRPr="756EA358" w:rsidR="771EC853">
        <w:rPr>
          <w:rFonts w:ascii="Arial" w:hAnsi="Arial" w:eastAsia="Arial" w:cs="Arial"/>
          <w:noProof w:val="0"/>
          <w:sz w:val="24"/>
          <w:szCs w:val="24"/>
          <w:lang w:val="en-US"/>
        </w:rPr>
        <w:t>However, localisation is not a one-off strategic decision. Cultural assumptions may become outdated through urbanisation, digitalisation and generational change. Cadbury must therefore continually update consumer insight to ensure culturally relevant positioning remains commercially effective.</w:t>
      </w:r>
    </w:p>
    <w:p w:rsidR="771EC853" w:rsidP="756EA358" w:rsidRDefault="771EC853" w14:paraId="775C300D" w14:textId="1284E020">
      <w:pPr>
        <w:pStyle w:val="Normal"/>
        <w:rPr>
          <w:rFonts w:ascii="Arial" w:hAnsi="Arial" w:eastAsia="Arial" w:cs="Arial"/>
          <w:b w:val="1"/>
          <w:bCs w:val="1"/>
          <w:noProof w:val="0"/>
          <w:sz w:val="24"/>
          <w:szCs w:val="24"/>
          <w:lang w:val="en-US"/>
        </w:rPr>
      </w:pPr>
      <w:r w:rsidRPr="756EA358" w:rsidR="771EC853">
        <w:rPr>
          <w:rFonts w:ascii="Arial" w:hAnsi="Arial" w:eastAsia="Arial" w:cs="Arial"/>
          <w:b w:val="1"/>
          <w:bCs w:val="1"/>
          <w:noProof w:val="0"/>
          <w:sz w:val="24"/>
          <w:szCs w:val="24"/>
          <w:lang w:val="en-US"/>
        </w:rPr>
        <w:t>5.4 Strategic Evaluation: Relevance versus Complexity</w:t>
      </w:r>
    </w:p>
    <w:p w:rsidR="771EC853" w:rsidP="756EA358" w:rsidRDefault="771EC853" w14:paraId="2FEFF554" w14:textId="6B6F47EC">
      <w:pPr>
        <w:spacing w:before="240" w:beforeAutospacing="off" w:after="240" w:afterAutospacing="off" w:line="360" w:lineRule="auto"/>
        <w:rPr>
          <w:rFonts w:ascii="Arial" w:hAnsi="Arial" w:eastAsia="Arial" w:cs="Arial"/>
          <w:noProof w:val="0"/>
          <w:sz w:val="24"/>
          <w:szCs w:val="24"/>
          <w:lang w:val="en-US"/>
        </w:rPr>
      </w:pPr>
      <w:r w:rsidRPr="756EA358" w:rsidR="771EC853">
        <w:rPr>
          <w:rFonts w:ascii="Arial" w:hAnsi="Arial" w:eastAsia="Arial" w:cs="Arial"/>
          <w:noProof w:val="0"/>
          <w:sz w:val="24"/>
          <w:szCs w:val="24"/>
          <w:lang w:val="en-US"/>
        </w:rPr>
        <w:t>The STP comparison supports selective localisation, with global consistency protecting brand equity while local adaptation improves market relevance. This reflects Bartlett and Ghoshal’s (1989) transnational perspective and challenges Levitt’s (1983) argument that increasing global convergence makes standardisation the preferred strategy.</w:t>
      </w:r>
    </w:p>
    <w:p w:rsidR="771EC853" w:rsidP="756EA358" w:rsidRDefault="771EC853" w14:paraId="30BFBF8C" w14:textId="7BB7A650">
      <w:pPr>
        <w:spacing w:before="240" w:beforeAutospacing="off" w:after="240" w:afterAutospacing="off" w:line="360" w:lineRule="auto"/>
        <w:rPr>
          <w:rFonts w:ascii="Arial" w:hAnsi="Arial" w:eastAsia="Arial" w:cs="Arial"/>
          <w:noProof w:val="0"/>
          <w:sz w:val="24"/>
          <w:szCs w:val="24"/>
          <w:lang w:val="en-US"/>
        </w:rPr>
      </w:pPr>
      <w:r w:rsidRPr="756EA358" w:rsidR="771EC853">
        <w:rPr>
          <w:rFonts w:ascii="Arial" w:hAnsi="Arial" w:eastAsia="Arial" w:cs="Arial"/>
          <w:noProof w:val="0"/>
          <w:sz w:val="24"/>
          <w:szCs w:val="24"/>
          <w:lang w:val="en-US"/>
        </w:rPr>
        <w:t>However, adaptation is not cost-free. Differentiated products, communications and market strategies can increase organisational complexity, reduce economies of scale and create inconsistent brand experiences (Douglas and Wind, 1987; Hollensen, 2020). The strategic question is therefore which elements require adaptation and which should remain globally consistent.</w:t>
      </w:r>
    </w:p>
    <w:p w:rsidR="771EC853" w:rsidP="756EA358" w:rsidRDefault="771EC853" w14:paraId="58651CFE" w14:textId="28734AA6">
      <w:pPr>
        <w:spacing w:before="240" w:beforeAutospacing="off" w:after="240" w:afterAutospacing="off" w:line="360" w:lineRule="auto"/>
        <w:rPr>
          <w:rFonts w:ascii="Arial" w:hAnsi="Arial" w:eastAsia="Arial" w:cs="Arial"/>
          <w:noProof w:val="0"/>
          <w:sz w:val="24"/>
          <w:szCs w:val="24"/>
          <w:lang w:val="en-US"/>
        </w:rPr>
      </w:pPr>
      <w:r w:rsidRPr="756EA358" w:rsidR="771EC853">
        <w:rPr>
          <w:rFonts w:ascii="Arial" w:hAnsi="Arial" w:eastAsia="Arial" w:cs="Arial"/>
          <w:noProof w:val="0"/>
          <w:sz w:val="24"/>
          <w:szCs w:val="24"/>
          <w:lang w:val="en-US"/>
        </w:rPr>
        <w:t xml:space="preserve">Cadbury should </w:t>
      </w:r>
      <w:r w:rsidRPr="756EA358" w:rsidR="771EC853">
        <w:rPr>
          <w:rFonts w:ascii="Arial" w:hAnsi="Arial" w:eastAsia="Arial" w:cs="Arial"/>
          <w:noProof w:val="0"/>
          <w:sz w:val="24"/>
          <w:szCs w:val="24"/>
          <w:lang w:val="en-US"/>
        </w:rPr>
        <w:t>maintain</w:t>
      </w:r>
      <w:r w:rsidRPr="756EA358" w:rsidR="771EC853">
        <w:rPr>
          <w:rFonts w:ascii="Arial" w:hAnsi="Arial" w:eastAsia="Arial" w:cs="Arial"/>
          <w:noProof w:val="0"/>
          <w:sz w:val="24"/>
          <w:szCs w:val="24"/>
          <w:lang w:val="en-US"/>
        </w:rPr>
        <w:t xml:space="preserve"> consistent core values of quality, trust and brand integrity while adapting consumer-facing elements such as consumption occasions, communication and selected product and pricing formats. The UK </w:t>
      </w:r>
      <w:r w:rsidRPr="756EA358" w:rsidR="771EC853">
        <w:rPr>
          <w:rFonts w:ascii="Arial" w:hAnsi="Arial" w:eastAsia="Arial" w:cs="Arial"/>
          <w:noProof w:val="0"/>
          <w:sz w:val="24"/>
          <w:szCs w:val="24"/>
          <w:lang w:val="en-US"/>
        </w:rPr>
        <w:t>requires</w:t>
      </w:r>
      <w:r w:rsidRPr="756EA358" w:rsidR="771EC853">
        <w:rPr>
          <w:rFonts w:ascii="Arial" w:hAnsi="Arial" w:eastAsia="Arial" w:cs="Arial"/>
          <w:noProof w:val="0"/>
          <w:sz w:val="24"/>
          <w:szCs w:val="24"/>
          <w:lang w:val="en-US"/>
        </w:rPr>
        <w:t xml:space="preserve"> greater emphasis on defending established brand equity, </w:t>
      </w:r>
      <w:r w:rsidRPr="756EA358" w:rsidR="771EC853">
        <w:rPr>
          <w:rFonts w:ascii="Arial" w:hAnsi="Arial" w:eastAsia="Arial" w:cs="Arial"/>
          <w:noProof w:val="0"/>
          <w:sz w:val="24"/>
          <w:szCs w:val="24"/>
          <w:lang w:val="en-US"/>
        </w:rPr>
        <w:t>whereas</w:t>
      </w:r>
      <w:r w:rsidRPr="756EA358" w:rsidR="771EC853">
        <w:rPr>
          <w:rFonts w:ascii="Arial" w:hAnsi="Arial" w:eastAsia="Arial" w:cs="Arial"/>
          <w:noProof w:val="0"/>
          <w:sz w:val="24"/>
          <w:szCs w:val="24"/>
          <w:lang w:val="en-US"/>
        </w:rPr>
        <w:t xml:space="preserve"> India offers stronger market-development potential through culturally relevant consumption occasions. The following section evaluates how Cadbury translates these STP choices into the complete 7Ps marketing mix.</w:t>
      </w:r>
    </w:p>
    <w:p w:rsidR="7CA4F273" w:rsidP="756EA358" w:rsidRDefault="32A6684F" w14:paraId="14C1B083" w14:textId="0F100D0D">
      <w:pPr>
        <w:pStyle w:val="Heading2"/>
        <w:spacing w:line="360" w:lineRule="auto"/>
        <w:rPr>
          <w:rFonts w:ascii="Arial" w:hAnsi="Arial" w:eastAsia="Arial" w:cs="Arial"/>
          <w:sz w:val="24"/>
          <w:szCs w:val="24"/>
        </w:rPr>
      </w:pPr>
      <w:bookmarkStart w:name="_Toc1840495782" w:id="79765889"/>
      <w:r w:rsidRPr="756EA358" w:rsidR="32A6684F">
        <w:rPr>
          <w:rFonts w:ascii="Arial" w:hAnsi="Arial" w:eastAsia="Arial" w:cs="Arial"/>
          <w:sz w:val="24"/>
          <w:szCs w:val="24"/>
        </w:rPr>
        <w:t>6. Comparative International Marketing Mix Evaluation: Selected 4Ps Marketing Mix</w:t>
      </w:r>
      <w:bookmarkEnd w:id="79765889"/>
    </w:p>
    <w:p w:rsidR="4803B710" w:rsidP="756EA358" w:rsidRDefault="4803B710" w14:paraId="2AFE1C1A" w14:textId="59AEC229">
      <w:pPr>
        <w:spacing w:before="240" w:beforeAutospacing="off" w:after="240" w:afterAutospacing="off" w:line="360" w:lineRule="auto"/>
        <w:rPr>
          <w:rFonts w:ascii="Arial" w:hAnsi="Arial" w:eastAsia="Arial" w:cs="Arial"/>
          <w:noProof w:val="0"/>
          <w:sz w:val="24"/>
          <w:szCs w:val="24"/>
          <w:lang w:val="en-US"/>
        </w:rPr>
      </w:pPr>
      <w:r w:rsidRPr="756EA358" w:rsidR="4803B710">
        <w:rPr>
          <w:rFonts w:ascii="Arial" w:hAnsi="Arial" w:eastAsia="Arial" w:cs="Arial"/>
          <w:noProof w:val="0"/>
          <w:sz w:val="24"/>
          <w:szCs w:val="24"/>
          <w:lang w:val="en-US"/>
        </w:rPr>
        <w:t>The preceding STP analysis established that Cadbury responds to different consumer meanings, economic conditions and consumption occasions in the UK and India. This section evaluates how these strategic choices are translated into market execution through the extended 7Ps marketing mix: Product, Price, Place, Promotion, People, Process and Physical Evidence. The additional three Ps are strategically relevant because consumer trust, distribution relationships, service interactions and organisational processes influence brand performance and reputation</w:t>
      </w:r>
      <w:r w:rsidRPr="756EA358" w:rsidR="4803B710">
        <w:rPr>
          <w:rFonts w:ascii="Arial" w:hAnsi="Arial" w:eastAsia="Arial" w:cs="Arial"/>
          <w:noProof w:val="0"/>
          <w:sz w:val="24"/>
          <w:szCs w:val="24"/>
          <w:lang w:val="en-US"/>
        </w:rPr>
        <w:t xml:space="preserve"> (Mathur, 2008; Cavusgil and Cavusgil, 2011). Cadbury maintains globally consistent brand identity, quality and safety standards while adapting market-facing activities to local conditions.</w:t>
      </w:r>
    </w:p>
    <w:p w:rsidR="4803B710" w:rsidP="756EA358" w:rsidRDefault="4803B710" w14:paraId="7DF91FEC" w14:textId="7A4BA3F3">
      <w:pPr>
        <w:pStyle w:val="Normal"/>
        <w:rPr>
          <w:rFonts w:ascii="Arial" w:hAnsi="Arial" w:eastAsia="Arial" w:cs="Arial"/>
          <w:b w:val="1"/>
          <w:bCs w:val="1"/>
          <w:noProof w:val="0"/>
          <w:sz w:val="24"/>
          <w:szCs w:val="24"/>
          <w:lang w:val="en-US"/>
        </w:rPr>
      </w:pPr>
      <w:r w:rsidRPr="756EA358" w:rsidR="4803B710">
        <w:rPr>
          <w:rFonts w:ascii="Arial" w:hAnsi="Arial" w:eastAsia="Arial" w:cs="Arial"/>
          <w:b w:val="1"/>
          <w:bCs w:val="1"/>
          <w:noProof w:val="0"/>
          <w:sz w:val="24"/>
          <w:szCs w:val="24"/>
          <w:lang w:val="en-US"/>
        </w:rPr>
        <w:t>6.1 Product: Global Brand Equity and Local Consumption Meaning</w:t>
      </w:r>
    </w:p>
    <w:p w:rsidR="4803B710" w:rsidP="756EA358" w:rsidRDefault="4803B710" w14:paraId="0380FFF4" w14:textId="33C29351">
      <w:pPr>
        <w:spacing w:before="240" w:beforeAutospacing="off" w:after="240" w:afterAutospacing="off" w:line="360" w:lineRule="auto"/>
        <w:rPr>
          <w:rFonts w:ascii="Arial" w:hAnsi="Arial" w:eastAsia="Arial" w:cs="Arial"/>
          <w:noProof w:val="0"/>
          <w:sz w:val="24"/>
          <w:szCs w:val="24"/>
          <w:lang w:val="en-US"/>
        </w:rPr>
      </w:pPr>
      <w:r w:rsidRPr="756EA358" w:rsidR="4803B710">
        <w:rPr>
          <w:rFonts w:ascii="Arial" w:hAnsi="Arial" w:eastAsia="Arial" w:cs="Arial"/>
          <w:noProof w:val="0"/>
          <w:sz w:val="24"/>
          <w:szCs w:val="24"/>
          <w:lang w:val="en-US"/>
        </w:rPr>
        <w:t>Cadbury’s recognisable brand identity and established associations provide significant brand equity and economies of scale (Keller, 2013). However, the social meaning of chocolate differs between the two markets. In the UK, a mature confectionery market increasingly requires brands to address health, portion control, ethical sourcing and environmental expectations. Cadbury must therefore balance indulgence, central to its brand equity, with changing expectations regarding responsible consumption. Reformulation or portion-conscious formats may improve market alignment but could weaken the taste and indulgence associations underpinning loyalty.</w:t>
      </w:r>
    </w:p>
    <w:p w:rsidR="4803B710" w:rsidP="756EA358" w:rsidRDefault="4803B710" w14:paraId="331C2267" w14:textId="2E511703">
      <w:pPr>
        <w:spacing w:before="240" w:beforeAutospacing="off" w:after="240" w:afterAutospacing="off" w:line="360" w:lineRule="auto"/>
        <w:rPr>
          <w:rFonts w:ascii="Arial" w:hAnsi="Arial" w:eastAsia="Arial" w:cs="Arial"/>
          <w:noProof w:val="0"/>
          <w:sz w:val="24"/>
          <w:szCs w:val="24"/>
          <w:lang w:val="en-US"/>
        </w:rPr>
      </w:pPr>
      <w:r w:rsidRPr="756EA358" w:rsidR="4803B710">
        <w:rPr>
          <w:rFonts w:ascii="Arial" w:hAnsi="Arial" w:eastAsia="Arial" w:cs="Arial"/>
          <w:noProof w:val="0"/>
          <w:sz w:val="24"/>
          <w:szCs w:val="24"/>
          <w:lang w:val="en-US"/>
        </w:rPr>
        <w:t>In India, product adaptation is more closely linked to gifting, celebration and social relationships. Formats suited to these occasions allow Cadbury to participate in culturally significant consumption contexts rather than compete solely as an everyday snack. However, excessive product variation increases manufacturing and supply-chain complexity. Cadbury should therefore standardise core quality and safety requirements while adapting formats where local demand creates clear commercial value (Keegan and Green, 2013; Mathur, 2008).</w:t>
      </w:r>
    </w:p>
    <w:p w:rsidR="4803B710" w:rsidP="756EA358" w:rsidRDefault="4803B710" w14:paraId="7C25C537" w14:textId="6D04E85D">
      <w:pPr>
        <w:pStyle w:val="Normal"/>
        <w:rPr>
          <w:rFonts w:ascii="Arial" w:hAnsi="Arial" w:eastAsia="Arial" w:cs="Arial"/>
          <w:b w:val="1"/>
          <w:bCs w:val="1"/>
          <w:noProof w:val="0"/>
          <w:sz w:val="24"/>
          <w:szCs w:val="24"/>
          <w:lang w:val="en-US"/>
        </w:rPr>
      </w:pPr>
      <w:r w:rsidRPr="756EA358" w:rsidR="4803B710">
        <w:rPr>
          <w:rFonts w:ascii="Arial" w:hAnsi="Arial" w:eastAsia="Arial" w:cs="Arial"/>
          <w:b w:val="1"/>
          <w:bCs w:val="1"/>
          <w:noProof w:val="0"/>
          <w:sz w:val="24"/>
          <w:szCs w:val="24"/>
          <w:lang w:val="en-US"/>
        </w:rPr>
        <w:t>6.2 Price: Affordability, Premiumisation and Market Development</w:t>
      </w:r>
    </w:p>
    <w:p w:rsidR="4803B710" w:rsidP="756EA358" w:rsidRDefault="4803B710" w14:paraId="65CDAA73" w14:textId="5400E81B">
      <w:pPr>
        <w:spacing w:before="240" w:beforeAutospacing="off" w:after="240" w:afterAutospacing="off" w:line="360" w:lineRule="auto"/>
        <w:rPr>
          <w:rFonts w:ascii="Arial" w:hAnsi="Arial" w:eastAsia="Arial" w:cs="Arial"/>
          <w:noProof w:val="0"/>
          <w:sz w:val="24"/>
          <w:szCs w:val="24"/>
          <w:lang w:val="en-US"/>
        </w:rPr>
      </w:pPr>
      <w:r w:rsidRPr="756EA358" w:rsidR="4803B710">
        <w:rPr>
          <w:rFonts w:ascii="Arial" w:hAnsi="Arial" w:eastAsia="Arial" w:cs="Arial"/>
          <w:noProof w:val="0"/>
          <w:sz w:val="24"/>
          <w:szCs w:val="24"/>
          <w:lang w:val="en-US"/>
        </w:rPr>
        <w:t>Pricing reveals significant market differences. In the UK, strong brand awareness supports value-based pricing, although inflation, household financial pressures and private-label competition constrain price increases (Cadbury, 2024). India presents a greater affordability challenge because of substantial differences in income and purchasing power. A single premium strategy could restrict penetration; therefore, flexible price-pack architecture should provide accessible entry points while retaining premium options for higher-income consumers.</w:t>
      </w:r>
    </w:p>
    <w:p w:rsidR="4803B710" w:rsidP="756EA358" w:rsidRDefault="4803B710" w14:paraId="6B7C9956" w14:textId="2D5BD6B5">
      <w:pPr>
        <w:spacing w:before="240" w:beforeAutospacing="off" w:after="240" w:afterAutospacing="off" w:line="360" w:lineRule="auto"/>
        <w:rPr>
          <w:rFonts w:ascii="Arial" w:hAnsi="Arial" w:eastAsia="Arial" w:cs="Arial"/>
          <w:noProof w:val="0"/>
          <w:sz w:val="24"/>
          <w:szCs w:val="24"/>
          <w:lang w:val="en-US"/>
        </w:rPr>
      </w:pPr>
      <w:r w:rsidRPr="756EA358" w:rsidR="4803B710">
        <w:rPr>
          <w:rFonts w:ascii="Arial" w:hAnsi="Arial" w:eastAsia="Arial" w:cs="Arial"/>
          <w:noProof w:val="0"/>
          <w:sz w:val="24"/>
          <w:szCs w:val="24"/>
          <w:lang w:val="en-US"/>
        </w:rPr>
        <w:t>A tiered pricing structure can support market development without undermining brand equity. However, excessive discounting or dependence on low-priced formats could weaken perceived value and reduce margins. Selective price flexibility is therefore preferable to uniform global pricing or unrestricted adaptation (De Búrca, Fletcher and Brown, 2004; Doole and Lowe, 2012).</w:t>
      </w:r>
    </w:p>
    <w:p w:rsidR="4803B710" w:rsidP="756EA358" w:rsidRDefault="4803B710" w14:paraId="4081B2F4" w14:textId="40EB64E5">
      <w:pPr>
        <w:pStyle w:val="Normal"/>
        <w:rPr>
          <w:rFonts w:ascii="Arial" w:hAnsi="Arial" w:eastAsia="Arial" w:cs="Arial"/>
          <w:noProof w:val="0"/>
          <w:sz w:val="24"/>
          <w:szCs w:val="24"/>
          <w:lang w:val="en-US"/>
        </w:rPr>
      </w:pPr>
      <w:r w:rsidRPr="756EA358" w:rsidR="4803B710">
        <w:rPr>
          <w:rFonts w:ascii="Arial" w:hAnsi="Arial" w:eastAsia="Arial" w:cs="Arial"/>
          <w:noProof w:val="0"/>
          <w:sz w:val="24"/>
          <w:szCs w:val="24"/>
          <w:lang w:val="en-US"/>
        </w:rPr>
        <w:t>6.3 Place: Market Accessibility and Distribution Relationships</w:t>
      </w:r>
    </w:p>
    <w:p w:rsidR="4803B710" w:rsidP="756EA358" w:rsidRDefault="4803B710" w14:paraId="5E3432F0" w14:textId="4F060EBC">
      <w:pPr>
        <w:spacing w:before="240" w:beforeAutospacing="off" w:after="240" w:afterAutospacing="off" w:line="360" w:lineRule="auto"/>
        <w:rPr>
          <w:rFonts w:ascii="Arial" w:hAnsi="Arial" w:eastAsia="Arial" w:cs="Arial"/>
          <w:noProof w:val="0"/>
          <w:sz w:val="24"/>
          <w:szCs w:val="24"/>
          <w:lang w:val="en-US"/>
        </w:rPr>
      </w:pPr>
      <w:r w:rsidRPr="756EA358" w:rsidR="4803B710">
        <w:rPr>
          <w:rFonts w:ascii="Arial" w:hAnsi="Arial" w:eastAsia="Arial" w:cs="Arial"/>
          <w:noProof w:val="0"/>
          <w:sz w:val="24"/>
          <w:szCs w:val="24"/>
          <w:lang w:val="en-US"/>
        </w:rPr>
        <w:t>Distribution demonstrates the need for local adaptation. The UK benefits from developed supermarket, convenience and e-commerce infrastructure, enabling relatively predictable product availability. India is geographically and institutionally more complex, requiring Cadbury to combine modern retail, digital commerce and traditional retail networks.</w:t>
      </w:r>
    </w:p>
    <w:p w:rsidR="4803B710" w:rsidP="756EA358" w:rsidRDefault="4803B710" w14:paraId="7575E5A1" w14:textId="06132D8F">
      <w:pPr>
        <w:spacing w:before="240" w:beforeAutospacing="off" w:after="240" w:afterAutospacing="off" w:line="360" w:lineRule="auto"/>
        <w:rPr>
          <w:rFonts w:ascii="Arial" w:hAnsi="Arial" w:eastAsia="Arial" w:cs="Arial"/>
          <w:noProof w:val="0"/>
          <w:sz w:val="24"/>
          <w:szCs w:val="24"/>
          <w:lang w:val="en-US"/>
        </w:rPr>
      </w:pPr>
      <w:r w:rsidRPr="756EA358" w:rsidR="4803B710">
        <w:rPr>
          <w:rFonts w:ascii="Arial" w:hAnsi="Arial" w:eastAsia="Arial" w:cs="Arial"/>
          <w:noProof w:val="0"/>
          <w:sz w:val="24"/>
          <w:szCs w:val="24"/>
          <w:lang w:val="en-US"/>
        </w:rPr>
        <w:t>Local knowledge and relationships support international market development (Johanson and Vahlne, 1977). Distribution is therefore not simply logistical; it directly affects accessibility and targeting effectiveness. Cadbury must expand modern and digital channels while retaining traditional networks that provide extensive market reach.</w:t>
      </w:r>
    </w:p>
    <w:p w:rsidR="4803B710" w:rsidP="756EA358" w:rsidRDefault="4803B710" w14:paraId="2A55CDBA" w14:textId="46AED96C">
      <w:pPr>
        <w:pStyle w:val="Normal"/>
        <w:rPr>
          <w:rFonts w:ascii="Arial" w:hAnsi="Arial" w:eastAsia="Arial" w:cs="Arial"/>
          <w:b w:val="1"/>
          <w:bCs w:val="1"/>
          <w:noProof w:val="0"/>
          <w:sz w:val="24"/>
          <w:szCs w:val="24"/>
          <w:lang w:val="en-US"/>
        </w:rPr>
      </w:pPr>
      <w:r w:rsidRPr="756EA358" w:rsidR="4803B710">
        <w:rPr>
          <w:rFonts w:ascii="Arial" w:hAnsi="Arial" w:eastAsia="Arial" w:cs="Arial"/>
          <w:b w:val="1"/>
          <w:bCs w:val="1"/>
          <w:noProof w:val="0"/>
          <w:sz w:val="24"/>
          <w:szCs w:val="24"/>
          <w:lang w:val="en-US"/>
        </w:rPr>
        <w:t>6.4 Promotion: Global Emotional Equity and Local Cultural Relevance</w:t>
      </w:r>
    </w:p>
    <w:p w:rsidR="4803B710" w:rsidP="756EA358" w:rsidRDefault="4803B710" w14:paraId="75409112" w14:textId="72F0E3F8">
      <w:pPr>
        <w:spacing w:before="240" w:beforeAutospacing="off" w:after="240" w:afterAutospacing="off" w:line="360" w:lineRule="auto"/>
        <w:rPr>
          <w:rFonts w:ascii="Arial" w:hAnsi="Arial" w:eastAsia="Arial" w:cs="Arial"/>
          <w:noProof w:val="0"/>
          <w:sz w:val="24"/>
          <w:szCs w:val="24"/>
          <w:lang w:val="en-US"/>
        </w:rPr>
      </w:pPr>
      <w:r w:rsidRPr="756EA358" w:rsidR="4803B710">
        <w:rPr>
          <w:rFonts w:ascii="Arial" w:hAnsi="Arial" w:eastAsia="Arial" w:cs="Arial"/>
          <w:noProof w:val="0"/>
          <w:sz w:val="24"/>
          <w:szCs w:val="24"/>
          <w:lang w:val="en-US"/>
        </w:rPr>
        <w:t xml:space="preserve">Promotion provides clear evidence of selective localisation. In the UK, Cadbury can leverage heritage, nostalgia and emotional familiarity while increasingly connecting these associations with sustainability and responsible business practices. In India, campaigns such as </w:t>
      </w:r>
      <w:r w:rsidRPr="756EA358" w:rsidR="4803B710">
        <w:rPr>
          <w:rFonts w:ascii="Arial" w:hAnsi="Arial" w:eastAsia="Arial" w:cs="Arial"/>
          <w:i w:val="1"/>
          <w:iCs w:val="1"/>
          <w:noProof w:val="0"/>
          <w:sz w:val="24"/>
          <w:szCs w:val="24"/>
          <w:lang w:val="en-US"/>
        </w:rPr>
        <w:t>Kuch Meetha Ho Jaaye</w:t>
      </w:r>
      <w:r w:rsidRPr="756EA358" w:rsidR="4803B710">
        <w:rPr>
          <w:rFonts w:ascii="Arial" w:hAnsi="Arial" w:eastAsia="Arial" w:cs="Arial"/>
          <w:noProof w:val="0"/>
          <w:sz w:val="24"/>
          <w:szCs w:val="24"/>
          <w:lang w:val="en-US"/>
        </w:rPr>
        <w:t xml:space="preserve"> associated chocolate with celebration, gifting and social relationships, expanding the occasions in which chocolate was considered appropriate (Keegan and Green, 2013; Mathur, 2008).</w:t>
      </w:r>
    </w:p>
    <w:p w:rsidR="4803B710" w:rsidP="756EA358" w:rsidRDefault="4803B710" w14:paraId="2ABB1F41" w14:textId="56ED4936">
      <w:pPr>
        <w:spacing w:before="240" w:beforeAutospacing="off" w:after="240" w:afterAutospacing="off" w:line="360" w:lineRule="auto"/>
        <w:rPr>
          <w:rFonts w:ascii="Arial" w:hAnsi="Arial" w:eastAsia="Arial" w:cs="Arial"/>
          <w:noProof w:val="0"/>
          <w:sz w:val="24"/>
          <w:szCs w:val="24"/>
          <w:lang w:val="en-US"/>
        </w:rPr>
      </w:pPr>
      <w:r w:rsidRPr="756EA358" w:rsidR="4803B710">
        <w:rPr>
          <w:rFonts w:ascii="Arial" w:hAnsi="Arial" w:eastAsia="Arial" w:cs="Arial"/>
          <w:noProof w:val="0"/>
          <w:sz w:val="24"/>
          <w:szCs w:val="24"/>
          <w:lang w:val="en-US"/>
        </w:rPr>
        <w:t>Promotion also has a reputational dimension. The 2003 contamination controversy demonstrated that communication cannot be separated from organisational behaviour and stakeholder trust. Rebuilding confidence therefore requires credible organisational action alongside persuasive communication (Bejoria, 2023; Dhanya Ushas, 2014).</w:t>
      </w:r>
    </w:p>
    <w:p w:rsidR="4803B710" w:rsidP="756EA358" w:rsidRDefault="4803B710" w14:paraId="6B28F8D9" w14:textId="7F117888">
      <w:pPr>
        <w:pStyle w:val="Normal"/>
        <w:rPr>
          <w:rFonts w:ascii="Arial" w:hAnsi="Arial" w:eastAsia="Arial" w:cs="Arial"/>
          <w:b w:val="1"/>
          <w:bCs w:val="1"/>
          <w:noProof w:val="0"/>
          <w:sz w:val="24"/>
          <w:szCs w:val="24"/>
          <w:lang w:val="en-US"/>
        </w:rPr>
      </w:pPr>
      <w:r w:rsidRPr="756EA358" w:rsidR="4803B710">
        <w:rPr>
          <w:rFonts w:ascii="Arial" w:hAnsi="Arial" w:eastAsia="Arial" w:cs="Arial"/>
          <w:b w:val="1"/>
          <w:bCs w:val="1"/>
          <w:noProof w:val="0"/>
          <w:sz w:val="24"/>
          <w:szCs w:val="24"/>
          <w:lang w:val="en-US"/>
        </w:rPr>
        <w:t>6.5 People: Consumer Trust and Stakeholder Relationships</w:t>
      </w:r>
    </w:p>
    <w:p w:rsidR="4803B710" w:rsidP="756EA358" w:rsidRDefault="4803B710" w14:paraId="66CAF478" w14:textId="60319E5E">
      <w:pPr>
        <w:spacing w:before="240" w:beforeAutospacing="off" w:after="240" w:afterAutospacing="off" w:line="360" w:lineRule="auto"/>
        <w:rPr>
          <w:rFonts w:ascii="Arial" w:hAnsi="Arial" w:eastAsia="Arial" w:cs="Arial"/>
          <w:noProof w:val="0"/>
          <w:sz w:val="24"/>
          <w:szCs w:val="24"/>
          <w:lang w:val="en-US"/>
        </w:rPr>
      </w:pPr>
      <w:r w:rsidRPr="756EA358" w:rsidR="4803B710">
        <w:rPr>
          <w:rFonts w:ascii="Arial" w:hAnsi="Arial" w:eastAsia="Arial" w:cs="Arial"/>
          <w:noProof w:val="0"/>
          <w:sz w:val="24"/>
          <w:szCs w:val="24"/>
          <w:lang w:val="en-US"/>
        </w:rPr>
        <w:t>Although Cadbury’s products are largely self-service, people remain important because employees, retailers, suppliers and customer-facing representatives influence product availability, communication and trust. In the UK, consistent training and corporate standards can support reliable brand delivery. In India, local market knowledge among employees and distribution partners is particularly important because regional diversity and fragmented retail structures require stronger relationship management. Local expertise improves responsiveness, although reliance on diverse partners may increase coordination risks.</w:t>
      </w:r>
    </w:p>
    <w:p w:rsidR="4803B710" w:rsidP="756EA358" w:rsidRDefault="4803B710" w14:paraId="348DB22B" w14:textId="147FB59C">
      <w:pPr>
        <w:pStyle w:val="Normal"/>
        <w:rPr>
          <w:rFonts w:ascii="Arial" w:hAnsi="Arial" w:eastAsia="Arial" w:cs="Arial"/>
          <w:b w:val="1"/>
          <w:bCs w:val="1"/>
          <w:noProof w:val="0"/>
          <w:sz w:val="24"/>
          <w:szCs w:val="24"/>
          <w:lang w:val="en-US"/>
        </w:rPr>
      </w:pPr>
      <w:r w:rsidRPr="756EA358" w:rsidR="4803B710">
        <w:rPr>
          <w:rFonts w:ascii="Arial" w:hAnsi="Arial" w:eastAsia="Arial" w:cs="Arial"/>
          <w:b w:val="1"/>
          <w:bCs w:val="1"/>
          <w:noProof w:val="0"/>
          <w:sz w:val="24"/>
          <w:szCs w:val="24"/>
          <w:lang w:val="en-US"/>
        </w:rPr>
        <w:t>6.6 Process: Consistency, Safety and Local Execution</w:t>
      </w:r>
    </w:p>
    <w:p w:rsidR="4803B710" w:rsidP="756EA358" w:rsidRDefault="4803B710" w14:paraId="14FD69DA" w14:textId="156BB162">
      <w:pPr>
        <w:spacing w:before="240" w:beforeAutospacing="off" w:after="240" w:afterAutospacing="off" w:line="360" w:lineRule="auto"/>
        <w:rPr>
          <w:rFonts w:ascii="Arial" w:hAnsi="Arial" w:eastAsia="Arial" w:cs="Arial"/>
          <w:noProof w:val="0"/>
          <w:sz w:val="24"/>
          <w:szCs w:val="24"/>
          <w:lang w:val="en-US"/>
        </w:rPr>
      </w:pPr>
      <w:r w:rsidRPr="756EA358" w:rsidR="4803B710">
        <w:rPr>
          <w:rFonts w:ascii="Arial" w:hAnsi="Arial" w:eastAsia="Arial" w:cs="Arial"/>
          <w:noProof w:val="0"/>
          <w:sz w:val="24"/>
          <w:szCs w:val="24"/>
          <w:lang w:val="en-US"/>
        </w:rPr>
        <w:t>Processes represent a critical balance between global control and local flexibility. Cadbury requires consistent processes for product quality, food safety, ethical sourcing and crisis management across both markets. These controls protect brand equity and reduce reputational risk. However, distribution arrangements and promotional implementation must reflect local market conditions. The 2003 contamination controversy demonstrates the consequences when product safety and crisis-response processes fail to protect stakeholder confidence. Global standards should therefore be maintained while local execution is adapted where necessary.</w:t>
      </w:r>
    </w:p>
    <w:p w:rsidR="4803B710" w:rsidP="756EA358" w:rsidRDefault="4803B710" w14:paraId="7F329739" w14:textId="28CF6FA0">
      <w:pPr>
        <w:pStyle w:val="Normal"/>
        <w:rPr>
          <w:rFonts w:ascii="Arial" w:hAnsi="Arial" w:eastAsia="Arial" w:cs="Arial"/>
          <w:b w:val="1"/>
          <w:bCs w:val="1"/>
          <w:noProof w:val="0"/>
          <w:sz w:val="24"/>
          <w:szCs w:val="24"/>
          <w:lang w:val="en-US"/>
        </w:rPr>
      </w:pPr>
      <w:r w:rsidRPr="756EA358" w:rsidR="4803B710">
        <w:rPr>
          <w:rFonts w:ascii="Arial" w:hAnsi="Arial" w:eastAsia="Arial" w:cs="Arial"/>
          <w:b w:val="1"/>
          <w:bCs w:val="1"/>
          <w:noProof w:val="0"/>
          <w:sz w:val="24"/>
          <w:szCs w:val="24"/>
          <w:lang w:val="en-US"/>
        </w:rPr>
        <w:t>6.7 Physical Evidence: Packaging, Retail Presence and Brand Trust</w:t>
      </w:r>
    </w:p>
    <w:p w:rsidR="4803B710" w:rsidP="756EA358" w:rsidRDefault="4803B710" w14:paraId="776048EE" w14:textId="1BC2AFFB">
      <w:pPr>
        <w:spacing w:before="240" w:beforeAutospacing="off" w:after="240" w:afterAutospacing="off" w:line="360" w:lineRule="auto"/>
        <w:rPr>
          <w:rFonts w:ascii="Arial" w:hAnsi="Arial" w:eastAsia="Arial" w:cs="Arial"/>
          <w:noProof w:val="0"/>
          <w:sz w:val="24"/>
          <w:szCs w:val="24"/>
          <w:lang w:val="en-US"/>
        </w:rPr>
      </w:pPr>
      <w:r w:rsidRPr="756EA358" w:rsidR="4803B710">
        <w:rPr>
          <w:rFonts w:ascii="Arial" w:hAnsi="Arial" w:eastAsia="Arial" w:cs="Arial"/>
          <w:noProof w:val="0"/>
          <w:sz w:val="24"/>
          <w:szCs w:val="24"/>
          <w:lang w:val="en-US"/>
        </w:rPr>
        <w:t>Physical evidence is important for a packaged FMCG brand because consumers experience it through packaging, product presentation, retail visibility and digital brand environments. In the UK, consistent packaging and strong retail presence reinforce Cadbury’s heritage and recognition. In India, packaging and presentation can support gifting and celebration, while retail visibility remains essential across modern and traditional channels. Physical evidence therefore provides a tangible expression of brand quality, although inconsistent presentation or packaging failures can undermine trust.</w:t>
      </w:r>
    </w:p>
    <w:p w:rsidR="4803B710" w:rsidP="756EA358" w:rsidRDefault="4803B710" w14:paraId="7174EF59" w14:textId="6DC9A76E">
      <w:pPr>
        <w:pStyle w:val="Normal"/>
        <w:rPr>
          <w:rFonts w:ascii="Arial" w:hAnsi="Arial" w:eastAsia="Arial" w:cs="Arial"/>
          <w:b w:val="1"/>
          <w:bCs w:val="1"/>
          <w:noProof w:val="0"/>
          <w:sz w:val="24"/>
          <w:szCs w:val="24"/>
          <w:lang w:val="en-US"/>
        </w:rPr>
      </w:pPr>
      <w:r w:rsidRPr="756EA358" w:rsidR="4803B710">
        <w:rPr>
          <w:rFonts w:ascii="Arial" w:hAnsi="Arial" w:eastAsia="Arial" w:cs="Arial"/>
          <w:b w:val="1"/>
          <w:bCs w:val="1"/>
          <w:noProof w:val="0"/>
          <w:sz w:val="24"/>
          <w:szCs w:val="24"/>
          <w:lang w:val="en-US"/>
        </w:rPr>
        <w:t>6.8 Critical Evaluation</w:t>
      </w:r>
    </w:p>
    <w:p w:rsidR="4803B710" w:rsidP="756EA358" w:rsidRDefault="4803B710" w14:paraId="2B9BC0AE" w14:textId="5D91C039">
      <w:pPr>
        <w:spacing w:before="240" w:beforeAutospacing="off" w:after="240" w:afterAutospacing="off" w:line="360" w:lineRule="auto"/>
        <w:rPr>
          <w:rFonts w:ascii="Arial" w:hAnsi="Arial" w:eastAsia="Arial" w:cs="Arial"/>
          <w:noProof w:val="0"/>
          <w:sz w:val="24"/>
          <w:szCs w:val="24"/>
          <w:lang w:val="en-US"/>
        </w:rPr>
      </w:pPr>
      <w:r w:rsidRPr="756EA358" w:rsidR="4803B710">
        <w:rPr>
          <w:rFonts w:ascii="Arial" w:hAnsi="Arial" w:eastAsia="Arial" w:cs="Arial"/>
          <w:noProof w:val="0"/>
          <w:sz w:val="24"/>
          <w:szCs w:val="24"/>
          <w:lang w:val="en-US"/>
        </w:rPr>
        <w:t xml:space="preserve">The 7P analysis </w:t>
      </w:r>
      <w:r w:rsidRPr="756EA358" w:rsidR="4803B710">
        <w:rPr>
          <w:rFonts w:ascii="Arial" w:hAnsi="Arial" w:eastAsia="Arial" w:cs="Arial"/>
          <w:noProof w:val="0"/>
          <w:sz w:val="24"/>
          <w:szCs w:val="24"/>
          <w:lang w:val="en-US"/>
        </w:rPr>
        <w:t>demonstrates</w:t>
      </w:r>
      <w:r w:rsidRPr="756EA358" w:rsidR="4803B710">
        <w:rPr>
          <w:rFonts w:ascii="Arial" w:hAnsi="Arial" w:eastAsia="Arial" w:cs="Arial"/>
          <w:noProof w:val="0"/>
          <w:sz w:val="24"/>
          <w:szCs w:val="24"/>
          <w:lang w:val="en-US"/>
        </w:rPr>
        <w:t xml:space="preserve"> that Cadbury should </w:t>
      </w:r>
      <w:r w:rsidRPr="756EA358" w:rsidR="4803B710">
        <w:rPr>
          <w:rFonts w:ascii="Arial" w:hAnsi="Arial" w:eastAsia="Arial" w:cs="Arial"/>
          <w:noProof w:val="0"/>
          <w:sz w:val="24"/>
          <w:szCs w:val="24"/>
          <w:lang w:val="en-US"/>
        </w:rPr>
        <w:t>standardise</w:t>
      </w:r>
      <w:r w:rsidRPr="756EA358" w:rsidR="4803B710">
        <w:rPr>
          <w:rFonts w:ascii="Arial" w:hAnsi="Arial" w:eastAsia="Arial" w:cs="Arial"/>
          <w:noProof w:val="0"/>
          <w:sz w:val="24"/>
          <w:szCs w:val="24"/>
          <w:lang w:val="en-US"/>
        </w:rPr>
        <w:t xml:space="preserve"> core capabilities that protect efficiency, quality and brand integrity while adapting market-facing activities where local differences create commercial value. Excessive </w:t>
      </w:r>
      <w:r w:rsidRPr="756EA358" w:rsidR="4803B710">
        <w:rPr>
          <w:rFonts w:ascii="Arial" w:hAnsi="Arial" w:eastAsia="Arial" w:cs="Arial"/>
          <w:noProof w:val="0"/>
          <w:sz w:val="24"/>
          <w:szCs w:val="24"/>
          <w:lang w:val="en-US"/>
        </w:rPr>
        <w:t>localisation</w:t>
      </w:r>
      <w:r w:rsidRPr="756EA358" w:rsidR="4803B710">
        <w:rPr>
          <w:rFonts w:ascii="Arial" w:hAnsi="Arial" w:eastAsia="Arial" w:cs="Arial"/>
          <w:noProof w:val="0"/>
          <w:sz w:val="24"/>
          <w:szCs w:val="24"/>
          <w:lang w:val="en-US"/>
        </w:rPr>
        <w:t xml:space="preserve">, however, can increase product complexity, operating </w:t>
      </w:r>
      <w:r w:rsidRPr="756EA358" w:rsidR="4803B710">
        <w:rPr>
          <w:rFonts w:ascii="Arial" w:hAnsi="Arial" w:eastAsia="Arial" w:cs="Arial"/>
          <w:noProof w:val="0"/>
          <w:sz w:val="24"/>
          <w:szCs w:val="24"/>
          <w:lang w:val="en-US"/>
        </w:rPr>
        <w:t>costs</w:t>
      </w:r>
      <w:r w:rsidRPr="756EA358" w:rsidR="4803B710">
        <w:rPr>
          <w:rFonts w:ascii="Arial" w:hAnsi="Arial" w:eastAsia="Arial" w:cs="Arial"/>
          <w:noProof w:val="0"/>
          <w:sz w:val="24"/>
          <w:szCs w:val="24"/>
          <w:lang w:val="en-US"/>
        </w:rPr>
        <w:t xml:space="preserve"> and coordination requirements. Cadbury’s advantage therefore depends on disciplined adaptation across the complete marketing mix.</w:t>
      </w:r>
    </w:p>
    <w:p w:rsidR="1DF8E4FB" w:rsidP="756EA358" w:rsidRDefault="1DF8E4FB" w14:paraId="20947D25" w14:textId="3F550C66">
      <w:pPr>
        <w:pStyle w:val="Heading2"/>
        <w:spacing w:before="299" w:beforeAutospacing="off" w:after="299" w:afterAutospacing="off" w:line="360" w:lineRule="auto"/>
        <w:rPr>
          <w:rFonts w:ascii="Arial" w:hAnsi="Arial" w:eastAsia="Arial" w:cs="Arial"/>
          <w:b w:val="1"/>
          <w:bCs w:val="1"/>
          <w:noProof w:val="0"/>
          <w:sz w:val="24"/>
          <w:szCs w:val="24"/>
          <w:lang w:val="en-US"/>
        </w:rPr>
      </w:pPr>
      <w:bookmarkStart w:name="_Toc1145566642" w:id="2142271478"/>
      <w:r w:rsidRPr="756EA358" w:rsidR="1DF8E4FB">
        <w:rPr>
          <w:rFonts w:ascii="Arial" w:hAnsi="Arial" w:eastAsia="Arial" w:cs="Arial"/>
          <w:b w:val="1"/>
          <w:bCs w:val="1"/>
          <w:noProof w:val="0"/>
          <w:sz w:val="24"/>
          <w:szCs w:val="24"/>
          <w:lang w:val="en-US"/>
        </w:rPr>
        <w:t>7. Market Entry Strategy: Cadbury in India</w:t>
      </w:r>
      <w:bookmarkEnd w:id="2142271478"/>
    </w:p>
    <w:p w:rsidR="1DF8E4FB" w:rsidP="756EA358" w:rsidRDefault="1DF8E4FB" w14:paraId="4776490F" w14:textId="409D8CDE">
      <w:pPr>
        <w:pStyle w:val="Normal"/>
        <w:rPr>
          <w:rFonts w:ascii="Arial" w:hAnsi="Arial" w:eastAsia="Arial" w:cs="Arial"/>
          <w:b w:val="1"/>
          <w:bCs w:val="1"/>
          <w:noProof w:val="0"/>
          <w:sz w:val="24"/>
          <w:szCs w:val="24"/>
          <w:lang w:val="en-US"/>
        </w:rPr>
      </w:pPr>
      <w:r w:rsidRPr="756EA358" w:rsidR="1DF8E4FB">
        <w:rPr>
          <w:rFonts w:ascii="Arial" w:hAnsi="Arial" w:eastAsia="Arial" w:cs="Arial"/>
          <w:b w:val="1"/>
          <w:bCs w:val="1"/>
          <w:noProof w:val="0"/>
          <w:sz w:val="24"/>
          <w:szCs w:val="24"/>
          <w:lang w:val="en-US"/>
        </w:rPr>
        <w:t>7.1 Cadbury’s Entry into India</w:t>
      </w:r>
    </w:p>
    <w:p w:rsidR="492E7D6C" w:rsidP="756EA358" w:rsidRDefault="492E7D6C" w14:paraId="4360BD18" w14:textId="0557ED1E">
      <w:pPr>
        <w:pStyle w:val="Normal"/>
        <w:spacing w:before="240" w:beforeAutospacing="off" w:after="240" w:afterAutospacing="off" w:line="360" w:lineRule="auto"/>
        <w:rPr>
          <w:rFonts w:ascii="Arial" w:hAnsi="Arial" w:eastAsia="Arial" w:cs="Arial"/>
          <w:noProof w:val="0"/>
          <w:sz w:val="24"/>
          <w:szCs w:val="24"/>
          <w:lang w:val="en-US"/>
        </w:rPr>
      </w:pPr>
      <w:r w:rsidRPr="756EA358" w:rsidR="492E7D6C">
        <w:rPr>
          <w:rFonts w:ascii="Arial" w:hAnsi="Arial" w:eastAsia="Arial" w:cs="Arial"/>
          <w:noProof w:val="0"/>
          <w:sz w:val="24"/>
          <w:szCs w:val="24"/>
          <w:lang w:val="en-US"/>
        </w:rPr>
        <w:t>Cadbury’s development in India reflects an internationalisation process based on increasing market knowledge, local relationships and long-term commitment rather than a simple one-off transfer of a British product (alberto, 2024). The company’s growth required understanding local consumer behaviour, distribution structures and culturally significant consumption occasions. Over time, Cadbury became embedded in the Indian confectionery market by developing market relationships and adapting its marketing to local contexts. This supports the argument that international competitiveness depends not only on transferring existing capabilities but also on developing local knowledge and responsiveness (Johanson and Vahlne, 1977; Cavusgil and Cavusgil, 2011).</w:t>
      </w:r>
    </w:p>
    <w:p w:rsidR="492E7D6C" w:rsidP="756EA358" w:rsidRDefault="492E7D6C" w14:paraId="1C58212D" w14:textId="655959FE">
      <w:pPr>
        <w:pStyle w:val="Normal"/>
        <w:spacing w:line="360" w:lineRule="auto"/>
        <w:rPr>
          <w:rFonts w:ascii="Arial" w:hAnsi="Arial" w:eastAsia="Arial" w:cs="Arial"/>
          <w:b w:val="1"/>
          <w:bCs w:val="1"/>
          <w:noProof w:val="0"/>
          <w:sz w:val="24"/>
          <w:szCs w:val="24"/>
          <w:lang w:val="en-US"/>
        </w:rPr>
      </w:pPr>
      <w:r w:rsidRPr="756EA358" w:rsidR="492E7D6C">
        <w:rPr>
          <w:rFonts w:ascii="Arial" w:hAnsi="Arial" w:eastAsia="Arial" w:cs="Arial"/>
          <w:b w:val="1"/>
          <w:bCs w:val="1"/>
          <w:noProof w:val="0"/>
          <w:sz w:val="24"/>
          <w:szCs w:val="24"/>
          <w:lang w:val="en-US"/>
        </w:rPr>
        <w:t>7.2 Application of the Uppsala Model</w:t>
      </w:r>
    </w:p>
    <w:p w:rsidR="492E7D6C" w:rsidP="756EA358" w:rsidRDefault="492E7D6C" w14:paraId="62D34F5F" w14:textId="135F3BCA">
      <w:pPr>
        <w:pStyle w:val="Normal"/>
        <w:spacing w:before="240" w:beforeAutospacing="off" w:after="240" w:afterAutospacing="off" w:line="360" w:lineRule="auto"/>
        <w:rPr>
          <w:rFonts w:ascii="Arial" w:hAnsi="Arial" w:eastAsia="Arial" w:cs="Arial"/>
          <w:noProof w:val="0"/>
          <w:sz w:val="24"/>
          <w:szCs w:val="24"/>
          <w:lang w:val="en-US"/>
        </w:rPr>
      </w:pPr>
      <w:r w:rsidRPr="756EA358" w:rsidR="492E7D6C">
        <w:rPr>
          <w:rFonts w:ascii="Arial" w:hAnsi="Arial" w:eastAsia="Arial" w:cs="Arial"/>
          <w:noProof w:val="0"/>
          <w:sz w:val="24"/>
          <w:szCs w:val="24"/>
          <w:lang w:val="en-US"/>
        </w:rPr>
        <w:t>The Uppsala Model explains internationalisation as a process in which firms increase commitment as market knowledge develops and uncertainty declines (alberto, 2024; Johanson and Vahlne, 1977). Cadbury’s Indian development can be interpreted through this framework: initial market experience generated local knowledge, which supported greater commitment, organisational learning and stronger market embeddedness. This learning process helped Cadbury adapt products, distribution and communication to Indian consumer needs.</w:t>
      </w:r>
    </w:p>
    <w:p w:rsidR="492E7D6C" w:rsidP="756EA358" w:rsidRDefault="492E7D6C" w14:paraId="3CC5EA60" w14:textId="1F638414">
      <w:pPr>
        <w:pStyle w:val="Normal"/>
        <w:spacing w:before="240" w:beforeAutospacing="off" w:after="240" w:afterAutospacing="off" w:line="360" w:lineRule="auto"/>
        <w:rPr>
          <w:rFonts w:ascii="Arial" w:hAnsi="Arial" w:eastAsia="Arial" w:cs="Arial"/>
          <w:noProof w:val="0"/>
          <w:sz w:val="24"/>
          <w:szCs w:val="24"/>
          <w:lang w:val="en-US"/>
        </w:rPr>
      </w:pPr>
      <w:r w:rsidRPr="756EA358" w:rsidR="492E7D6C">
        <w:rPr>
          <w:rFonts w:ascii="Arial" w:hAnsi="Arial" w:eastAsia="Arial" w:cs="Arial"/>
          <w:noProof w:val="0"/>
          <w:sz w:val="24"/>
          <w:szCs w:val="24"/>
          <w:lang w:val="en-US"/>
        </w:rPr>
        <w:t>However, the model has limitations. It was developed primarily to explain the internationalisation of firms with limited international experience and may therefore understate the advantages of a multinational enterprise with established global resources and capabilities. Cadbury’s international development was likely influenced not only by experiential learning but also by existing brand equity, international marketing expertise and organisational resources (Kumar, P. 2026; Cavusgil and Cavusgil, 2011).</w:t>
      </w:r>
    </w:p>
    <w:p w:rsidR="492E7D6C" w:rsidP="756EA358" w:rsidRDefault="492E7D6C" w14:paraId="2AB1C3EE" w14:textId="1EEB7C3E">
      <w:pPr>
        <w:pStyle w:val="Normal"/>
        <w:spacing w:line="360" w:lineRule="auto"/>
        <w:rPr>
          <w:rFonts w:ascii="Arial" w:hAnsi="Arial" w:eastAsia="Arial" w:cs="Arial"/>
          <w:b w:val="1"/>
          <w:bCs w:val="1"/>
          <w:noProof w:val="0"/>
          <w:sz w:val="24"/>
          <w:szCs w:val="24"/>
          <w:lang w:val="en-US"/>
        </w:rPr>
      </w:pPr>
      <w:r w:rsidRPr="756EA358" w:rsidR="492E7D6C">
        <w:rPr>
          <w:rFonts w:ascii="Arial" w:hAnsi="Arial" w:eastAsia="Arial" w:cs="Arial"/>
          <w:b w:val="1"/>
          <w:bCs w:val="1"/>
          <w:noProof w:val="0"/>
          <w:sz w:val="24"/>
          <w:szCs w:val="24"/>
          <w:lang w:val="en-US"/>
        </w:rPr>
        <w:t>7.3 Application of the OLI Paradigm</w:t>
      </w:r>
    </w:p>
    <w:p w:rsidR="492E7D6C" w:rsidP="756EA358" w:rsidRDefault="492E7D6C" w14:paraId="16B98337" w14:textId="07818FE6">
      <w:pPr>
        <w:pStyle w:val="Normal"/>
        <w:spacing w:before="240" w:beforeAutospacing="off" w:after="240" w:afterAutospacing="off" w:line="360" w:lineRule="auto"/>
        <w:rPr>
          <w:rFonts w:ascii="Arial" w:hAnsi="Arial" w:eastAsia="Arial" w:cs="Arial"/>
          <w:b w:val="0"/>
          <w:bCs w:val="0"/>
          <w:noProof w:val="0"/>
          <w:sz w:val="24"/>
          <w:szCs w:val="24"/>
          <w:lang w:val="en-US"/>
        </w:rPr>
      </w:pPr>
      <w:r w:rsidRPr="756EA358" w:rsidR="492E7D6C">
        <w:rPr>
          <w:rFonts w:ascii="Arial" w:hAnsi="Arial" w:eastAsia="Arial" w:cs="Arial"/>
          <w:b w:val="0"/>
          <w:bCs w:val="0"/>
          <w:noProof w:val="0"/>
          <w:sz w:val="24"/>
          <w:szCs w:val="24"/>
          <w:lang w:val="en-US"/>
        </w:rPr>
        <w:t>Dunning’s (1979) OLI paradigm further explains Cadbury’s attractiveness and ability to operate in India. Its ownership advantages included strong brand equity, product knowledge and international marketing capabilities (alberto, 2024). India provided significant location advantages through its large population, expanding consumer market and culturally significant opportunities for chocolate consumption. Internalisation advantages supported greater control over brand standards, product quality, marketing knowledge and intellectual property. OLI therefore explains how Cadbury could exploit its own capabilities while benefiting from India’s market potential.</w:t>
      </w:r>
    </w:p>
    <w:p w:rsidR="492E7D6C" w:rsidP="756EA358" w:rsidRDefault="492E7D6C" w14:paraId="05A5B076" w14:textId="55964744">
      <w:pPr>
        <w:pStyle w:val="Normal"/>
        <w:spacing w:line="360" w:lineRule="auto"/>
        <w:rPr>
          <w:rFonts w:ascii="Arial" w:hAnsi="Arial" w:eastAsia="Arial" w:cs="Arial"/>
          <w:b w:val="1"/>
          <w:bCs w:val="1"/>
          <w:noProof w:val="0"/>
          <w:sz w:val="24"/>
          <w:szCs w:val="24"/>
          <w:lang w:val="en-US"/>
        </w:rPr>
      </w:pPr>
      <w:r w:rsidRPr="756EA358" w:rsidR="492E7D6C">
        <w:rPr>
          <w:rFonts w:ascii="Arial" w:hAnsi="Arial" w:eastAsia="Arial" w:cs="Arial"/>
          <w:b w:val="1"/>
          <w:bCs w:val="1"/>
          <w:noProof w:val="0"/>
          <w:sz w:val="24"/>
          <w:szCs w:val="24"/>
          <w:lang w:val="en-US"/>
        </w:rPr>
        <w:t>7.4 Comparison with Alternative Entry Modes</w:t>
      </w:r>
    </w:p>
    <w:p w:rsidR="492E7D6C" w:rsidP="756EA358" w:rsidRDefault="492E7D6C" w14:paraId="3A91382C" w14:textId="72D26599">
      <w:pPr>
        <w:pStyle w:val="Normal"/>
        <w:spacing w:before="240" w:beforeAutospacing="off" w:after="240" w:afterAutospacing="off" w:line="360" w:lineRule="auto"/>
        <w:rPr>
          <w:rFonts w:ascii="Arial" w:hAnsi="Arial" w:eastAsia="Arial" w:cs="Arial"/>
          <w:noProof w:val="0"/>
          <w:sz w:val="24"/>
          <w:szCs w:val="24"/>
          <w:lang w:val="en-US"/>
        </w:rPr>
      </w:pPr>
      <w:r w:rsidRPr="756EA358" w:rsidR="492E7D6C">
        <w:rPr>
          <w:rFonts w:ascii="Arial" w:hAnsi="Arial" w:eastAsia="Arial" w:cs="Arial"/>
          <w:noProof w:val="0"/>
          <w:sz w:val="24"/>
          <w:szCs w:val="24"/>
          <w:lang w:val="en-US"/>
        </w:rPr>
        <w:t xml:space="preserve">Alternative entry modes presented different trade-offs. Exporting would have </w:t>
      </w:r>
      <w:r w:rsidRPr="756EA358" w:rsidR="492E7D6C">
        <w:rPr>
          <w:rFonts w:ascii="Arial" w:hAnsi="Arial" w:eastAsia="Arial" w:cs="Arial"/>
          <w:noProof w:val="0"/>
          <w:sz w:val="24"/>
          <w:szCs w:val="24"/>
          <w:lang w:val="en-US"/>
        </w:rPr>
        <w:t>required</w:t>
      </w:r>
      <w:r w:rsidRPr="756EA358" w:rsidR="492E7D6C">
        <w:rPr>
          <w:rFonts w:ascii="Arial" w:hAnsi="Arial" w:eastAsia="Arial" w:cs="Arial"/>
          <w:noProof w:val="0"/>
          <w:sz w:val="24"/>
          <w:szCs w:val="24"/>
          <w:lang w:val="en-US"/>
        </w:rPr>
        <w:t xml:space="preserve"> lower </w:t>
      </w:r>
      <w:r w:rsidRPr="756EA358" w:rsidR="492E7D6C">
        <w:rPr>
          <w:rFonts w:ascii="Arial" w:hAnsi="Arial" w:eastAsia="Arial" w:cs="Arial"/>
          <w:noProof w:val="0"/>
          <w:sz w:val="24"/>
          <w:szCs w:val="24"/>
          <w:lang w:val="en-US"/>
        </w:rPr>
        <w:t>initial</w:t>
      </w:r>
      <w:r w:rsidRPr="756EA358" w:rsidR="492E7D6C">
        <w:rPr>
          <w:rFonts w:ascii="Arial" w:hAnsi="Arial" w:eastAsia="Arial" w:cs="Arial"/>
          <w:noProof w:val="0"/>
          <w:sz w:val="24"/>
          <w:szCs w:val="24"/>
          <w:lang w:val="en-US"/>
        </w:rPr>
        <w:t xml:space="preserve"> investment but offered less control over local distribution and market </w:t>
      </w:r>
      <w:r w:rsidRPr="756EA358" w:rsidR="492E7D6C">
        <w:rPr>
          <w:rFonts w:ascii="Arial" w:hAnsi="Arial" w:eastAsia="Arial" w:cs="Arial"/>
          <w:noProof w:val="0"/>
          <w:sz w:val="24"/>
          <w:szCs w:val="24"/>
          <w:lang w:val="en-US"/>
        </w:rPr>
        <w:t xml:space="preserve">development. Licensing could have reduced financial risk but increased the risk of inconsistent quality and weakened brand control. A joint venture could have provided local knowledge but </w:t>
      </w:r>
      <w:r w:rsidRPr="756EA358" w:rsidR="492E7D6C">
        <w:rPr>
          <w:rFonts w:ascii="Arial" w:hAnsi="Arial" w:eastAsia="Arial" w:cs="Arial"/>
          <w:noProof w:val="0"/>
          <w:sz w:val="24"/>
          <w:szCs w:val="24"/>
          <w:lang w:val="en-US"/>
        </w:rPr>
        <w:t>required</w:t>
      </w:r>
      <w:r w:rsidRPr="756EA358" w:rsidR="492E7D6C">
        <w:rPr>
          <w:rFonts w:ascii="Arial" w:hAnsi="Arial" w:eastAsia="Arial" w:cs="Arial"/>
          <w:noProof w:val="0"/>
          <w:sz w:val="24"/>
          <w:szCs w:val="24"/>
          <w:lang w:val="en-US"/>
        </w:rPr>
        <w:t xml:space="preserve"> shared decision-making (</w:t>
      </w:r>
      <w:r w:rsidRPr="756EA358" w:rsidR="492E7D6C">
        <w:rPr>
          <w:rFonts w:ascii="Arial" w:hAnsi="Arial" w:eastAsia="Arial" w:cs="Arial"/>
          <w:noProof w:val="0"/>
          <w:sz w:val="24"/>
          <w:szCs w:val="24"/>
          <w:lang w:val="en-US"/>
        </w:rPr>
        <w:t>alberto</w:t>
      </w:r>
      <w:r w:rsidRPr="756EA358" w:rsidR="492E7D6C">
        <w:rPr>
          <w:rFonts w:ascii="Arial" w:hAnsi="Arial" w:eastAsia="Arial" w:cs="Arial"/>
          <w:noProof w:val="0"/>
          <w:sz w:val="24"/>
          <w:szCs w:val="24"/>
          <w:lang w:val="en-US"/>
        </w:rPr>
        <w:t xml:space="preserve">, 2024). Acquisition or full ownership would offer greater control and market access but involve higher financial and integration risks. Cadbury’s approach was therefore suitable because long-term success required strong control over quality and brand reputation while developing local knowledge and relationships. Its </w:t>
      </w:r>
      <w:r w:rsidRPr="756EA358" w:rsidR="492E7D6C">
        <w:rPr>
          <w:rFonts w:ascii="Arial" w:hAnsi="Arial" w:eastAsia="Arial" w:cs="Arial"/>
          <w:noProof w:val="0"/>
          <w:sz w:val="24"/>
          <w:szCs w:val="24"/>
          <w:lang w:val="en-US"/>
        </w:rPr>
        <w:t>internationalisation</w:t>
      </w:r>
      <w:r w:rsidRPr="756EA358" w:rsidR="492E7D6C">
        <w:rPr>
          <w:rFonts w:ascii="Arial" w:hAnsi="Arial" w:eastAsia="Arial" w:cs="Arial"/>
          <w:noProof w:val="0"/>
          <w:sz w:val="24"/>
          <w:szCs w:val="24"/>
          <w:lang w:val="en-US"/>
        </w:rPr>
        <w:t xml:space="preserve"> </w:t>
      </w:r>
      <w:r w:rsidRPr="756EA358" w:rsidR="492E7D6C">
        <w:rPr>
          <w:rFonts w:ascii="Arial" w:hAnsi="Arial" w:eastAsia="Arial" w:cs="Arial"/>
          <w:noProof w:val="0"/>
          <w:sz w:val="24"/>
          <w:szCs w:val="24"/>
          <w:lang w:val="en-US"/>
        </w:rPr>
        <w:t>demonstrates</w:t>
      </w:r>
      <w:r w:rsidRPr="756EA358" w:rsidR="492E7D6C">
        <w:rPr>
          <w:rFonts w:ascii="Arial" w:hAnsi="Arial" w:eastAsia="Arial" w:cs="Arial"/>
          <w:noProof w:val="0"/>
          <w:sz w:val="24"/>
          <w:szCs w:val="24"/>
          <w:lang w:val="en-US"/>
        </w:rPr>
        <w:t xml:space="preserve"> that market commitment and local embeddedness were essential to converting global brand capabilities into sustained Indian market performance.</w:t>
      </w:r>
    </w:p>
    <w:p w:rsidR="61A4D117" w:rsidP="756EA358" w:rsidRDefault="61A4D117" w14:paraId="49F57A22" w14:textId="53AA240B">
      <w:pPr>
        <w:pStyle w:val="Heading2"/>
        <w:spacing w:before="299" w:beforeAutospacing="off" w:after="299" w:afterAutospacing="off" w:line="360" w:lineRule="auto"/>
        <w:rPr>
          <w:rFonts w:ascii="Arial" w:hAnsi="Arial" w:eastAsia="Arial" w:cs="Arial"/>
          <w:b w:val="1"/>
          <w:bCs w:val="1"/>
          <w:noProof w:val="0"/>
          <w:sz w:val="24"/>
          <w:szCs w:val="24"/>
          <w:lang w:val="en-US"/>
        </w:rPr>
      </w:pPr>
      <w:bookmarkStart w:name="_Toc1680940617" w:id="432796926"/>
      <w:r w:rsidRPr="756EA358" w:rsidR="61A4D117">
        <w:rPr>
          <w:rFonts w:ascii="Arial" w:hAnsi="Arial" w:eastAsia="Arial" w:cs="Arial"/>
          <w:b w:val="1"/>
          <w:bCs w:val="1"/>
          <w:noProof w:val="0"/>
          <w:sz w:val="24"/>
          <w:szCs w:val="24"/>
          <w:lang w:val="en-US"/>
        </w:rPr>
        <w:t>8. Conclusion</w:t>
      </w:r>
      <w:bookmarkEnd w:id="432796926"/>
    </w:p>
    <w:p w:rsidR="4B0ED022" w:rsidP="756EA358" w:rsidRDefault="4B0ED022" w14:paraId="77815662" w14:textId="67240B19">
      <w:pPr>
        <w:spacing w:before="240" w:beforeAutospacing="off" w:after="240" w:afterAutospacing="off" w:line="360" w:lineRule="auto"/>
        <w:rPr>
          <w:rFonts w:ascii="Arial" w:hAnsi="Arial" w:eastAsia="Arial" w:cs="Arial"/>
          <w:noProof w:val="0"/>
          <w:sz w:val="24"/>
          <w:szCs w:val="24"/>
          <w:lang w:val="en-US"/>
        </w:rPr>
      </w:pPr>
      <w:r w:rsidRPr="756EA358" w:rsidR="4B0ED022">
        <w:rPr>
          <w:rFonts w:ascii="Arial" w:hAnsi="Arial" w:eastAsia="Arial" w:cs="Arial"/>
          <w:noProof w:val="0"/>
          <w:sz w:val="24"/>
          <w:szCs w:val="24"/>
          <w:lang w:val="en-US"/>
        </w:rPr>
        <w:t>This report critically evaluated Cadbury’s international marketing strategy in the UK and Indi</w:t>
      </w:r>
      <w:r w:rsidRPr="756EA358" w:rsidR="4B0ED022">
        <w:rPr>
          <w:rFonts w:ascii="Arial" w:hAnsi="Arial" w:eastAsia="Arial" w:cs="Arial"/>
          <w:noProof w:val="0"/>
          <w:sz w:val="24"/>
          <w:szCs w:val="24"/>
          <w:lang w:val="en-US"/>
        </w:rPr>
        <w:t>a, demonstrating that contrasting economic, cultural, institutional and competitive environments require differentiated responses. The analysis supports the central argument that international advantage is achieved through selective localisation: maintaining consistent global brand equity and quality while adapting market-facing activities to local conditions (Cavusgil and Cavusgil, 2011; Leong and Tan, 1993).</w:t>
      </w:r>
    </w:p>
    <w:p w:rsidR="4B0ED022" w:rsidP="756EA358" w:rsidRDefault="4B0ED022" w14:paraId="54761C9D" w14:textId="75127E3D">
      <w:pPr>
        <w:spacing w:before="240" w:beforeAutospacing="off" w:after="240" w:afterAutospacing="off" w:line="360" w:lineRule="auto"/>
        <w:rPr>
          <w:rFonts w:ascii="Arial" w:hAnsi="Arial" w:eastAsia="Arial" w:cs="Arial"/>
          <w:noProof w:val="0"/>
          <w:sz w:val="24"/>
          <w:szCs w:val="24"/>
          <w:lang w:val="en-US"/>
        </w:rPr>
      </w:pPr>
      <w:r w:rsidRPr="756EA358" w:rsidR="4B0ED022">
        <w:rPr>
          <w:rFonts w:ascii="Arial" w:hAnsi="Arial" w:eastAsia="Arial" w:cs="Arial"/>
          <w:noProof w:val="0"/>
          <w:sz w:val="24"/>
          <w:szCs w:val="24"/>
          <w:lang w:val="en-US"/>
        </w:rPr>
        <w:t>The PESTEL analysis identified the UK as a mature and highly regulated market shaped by health concerns, sustainability expectations and intense competition. India offers greater market-development potential through culturally significant consumption occasions, although income diversity, infrastructural complexity and institutional variation require greater adaptation. Hofstede’s framework provided useful insight into broad cultural differences, but national averages must be interpreted cautiously because they can overlook regional, generational and socio-economic diversity (Kirkman, Lowe and Gibson, 2006).</w:t>
      </w:r>
    </w:p>
    <w:p w:rsidR="4B0ED022" w:rsidP="756EA358" w:rsidRDefault="4B0ED022" w14:paraId="1F48A836" w14:textId="2AE09B4E">
      <w:pPr>
        <w:spacing w:before="240" w:beforeAutospacing="off" w:after="240" w:afterAutospacing="off" w:line="360" w:lineRule="auto"/>
        <w:rPr>
          <w:rFonts w:ascii="Arial" w:hAnsi="Arial" w:eastAsia="Arial" w:cs="Arial"/>
          <w:noProof w:val="0"/>
          <w:sz w:val="24"/>
          <w:szCs w:val="24"/>
          <w:lang w:val="en-US"/>
        </w:rPr>
      </w:pPr>
      <w:r w:rsidRPr="756EA358" w:rsidR="4B0ED022">
        <w:rPr>
          <w:rFonts w:ascii="Arial" w:hAnsi="Arial" w:eastAsia="Arial" w:cs="Arial"/>
          <w:noProof w:val="0"/>
          <w:sz w:val="24"/>
          <w:szCs w:val="24"/>
          <w:lang w:val="en-US"/>
        </w:rPr>
        <w:t>The STP and expanded 7Ps analysis demonstrated how Cadbury translates these differences into market execution. Product, price, place, promotion, people, process and physical evidence can be globally coordinated while being selectively adapted to improve consumer relevance and market access. The market-entry analysis further showed that the Uppsala and OLI frameworks explain Cadbury’s development of market knowledge, local embeddedness and the exploitation of brand and organisational capabilities in India.</w:t>
      </w:r>
    </w:p>
    <w:p w:rsidR="4B0ED022" w:rsidP="756EA358" w:rsidRDefault="4B0ED022" w14:paraId="38852BFC" w14:textId="080A2D9E">
      <w:pPr>
        <w:spacing w:before="240" w:beforeAutospacing="off" w:after="240" w:afterAutospacing="off" w:line="360" w:lineRule="auto"/>
        <w:rPr>
          <w:rFonts w:ascii="Arial" w:hAnsi="Arial" w:eastAsia="Arial" w:cs="Arial"/>
          <w:noProof w:val="0"/>
          <w:sz w:val="24"/>
          <w:szCs w:val="24"/>
          <w:lang w:val="en-US"/>
        </w:rPr>
      </w:pPr>
      <w:r w:rsidRPr="756EA358" w:rsidR="4B0ED022">
        <w:rPr>
          <w:rFonts w:ascii="Arial" w:hAnsi="Arial" w:eastAsia="Arial" w:cs="Arial"/>
          <w:noProof w:val="0"/>
          <w:sz w:val="24"/>
          <w:szCs w:val="24"/>
          <w:lang w:val="en-US"/>
        </w:rPr>
        <w:t>Overall, Cadbury’s long-term competitiveness depends on combining cultural relevance with</w:t>
      </w:r>
      <w:r w:rsidRPr="756EA358" w:rsidR="4B0ED022">
        <w:rPr>
          <w:rFonts w:ascii="Arial" w:hAnsi="Arial" w:eastAsia="Arial" w:cs="Arial"/>
          <w:noProof w:val="0"/>
          <w:sz w:val="24"/>
          <w:szCs w:val="24"/>
          <w:lang w:val="en-US"/>
        </w:rPr>
        <w:t xml:space="preserve"> consistent quality, food safety, ethical responsibility and sustainability. Selective localisation therefore offers the most appropriate balance between global efficiency and local responsiveness, although its costs and operational complexity must be actively managed.</w:t>
      </w:r>
    </w:p>
    <w:p w:rsidR="76ECFA26" w:rsidP="756EA358" w:rsidRDefault="76ECFA26" w14:paraId="3B2B28AB" w14:textId="7C90AED5">
      <w:pPr>
        <w:pStyle w:val="Heading2"/>
        <w:spacing w:before="299" w:beforeAutospacing="off" w:after="299" w:afterAutospacing="off" w:line="360" w:lineRule="auto"/>
        <w:rPr>
          <w:rFonts w:ascii="Arial" w:hAnsi="Arial" w:eastAsia="Arial" w:cs="Arial"/>
          <w:b w:val="1"/>
          <w:bCs w:val="1"/>
          <w:noProof w:val="0"/>
          <w:sz w:val="24"/>
          <w:szCs w:val="24"/>
          <w:lang w:val="en-US"/>
        </w:rPr>
      </w:pPr>
      <w:bookmarkStart w:name="_Toc1252066898" w:id="769753432"/>
      <w:r w:rsidRPr="756EA358" w:rsidR="76ECFA26">
        <w:rPr>
          <w:rFonts w:ascii="Arial" w:hAnsi="Arial" w:eastAsia="Arial" w:cs="Arial"/>
          <w:b w:val="1"/>
          <w:bCs w:val="1"/>
          <w:noProof w:val="0"/>
          <w:sz w:val="24"/>
          <w:szCs w:val="24"/>
          <w:lang w:val="en-US"/>
        </w:rPr>
        <w:t>9. Recommendations</w:t>
      </w:r>
      <w:bookmarkEnd w:id="769753432"/>
    </w:p>
    <w:p w:rsidR="76ECFA26" w:rsidP="756EA358" w:rsidRDefault="76ECFA26" w14:paraId="30C99110" w14:textId="5FB4AAC4">
      <w:pPr>
        <w:spacing w:before="240" w:beforeAutospacing="off" w:after="240" w:afterAutospacing="off" w:line="360" w:lineRule="auto"/>
        <w:rPr>
          <w:rFonts w:ascii="Arial" w:hAnsi="Arial" w:eastAsia="Arial" w:cs="Arial"/>
          <w:noProof w:val="0"/>
          <w:sz w:val="24"/>
          <w:szCs w:val="24"/>
          <w:lang w:val="en-US"/>
        </w:rPr>
      </w:pPr>
      <w:r w:rsidRPr="756EA358" w:rsidR="76ECFA26">
        <w:rPr>
          <w:rFonts w:ascii="Arial" w:hAnsi="Arial" w:eastAsia="Arial" w:cs="Arial"/>
          <w:noProof w:val="0"/>
          <w:sz w:val="24"/>
          <w:szCs w:val="24"/>
          <w:lang w:val="en-US"/>
        </w:rPr>
        <w:t xml:space="preserve">Cadbury should implement four measurable priorities. First, it should introduce portion-conscious UK formats, clearer nutritional </w:t>
      </w:r>
      <w:r w:rsidRPr="756EA358" w:rsidR="76ECFA26">
        <w:rPr>
          <w:rFonts w:ascii="Arial" w:hAnsi="Arial" w:eastAsia="Arial" w:cs="Arial"/>
          <w:noProof w:val="0"/>
          <w:sz w:val="24"/>
          <w:szCs w:val="24"/>
          <w:lang w:val="en-US"/>
        </w:rPr>
        <w:t>communication</w:t>
      </w:r>
      <w:r w:rsidRPr="756EA358" w:rsidR="76ECFA26">
        <w:rPr>
          <w:rFonts w:ascii="Arial" w:hAnsi="Arial" w:eastAsia="Arial" w:cs="Arial"/>
          <w:noProof w:val="0"/>
          <w:sz w:val="24"/>
          <w:szCs w:val="24"/>
          <w:lang w:val="en-US"/>
        </w:rPr>
        <w:t xml:space="preserve"> and </w:t>
      </w:r>
      <w:r w:rsidRPr="756EA358" w:rsidR="76ECFA26">
        <w:rPr>
          <w:rFonts w:ascii="Arial" w:hAnsi="Arial" w:eastAsia="Arial" w:cs="Arial"/>
          <w:noProof w:val="0"/>
          <w:sz w:val="24"/>
          <w:szCs w:val="24"/>
          <w:lang w:val="en-US"/>
        </w:rPr>
        <w:t>feasible</w:t>
      </w:r>
      <w:r w:rsidRPr="756EA358" w:rsidR="76ECFA26">
        <w:rPr>
          <w:rFonts w:ascii="Arial" w:hAnsi="Arial" w:eastAsia="Arial" w:cs="Arial"/>
          <w:noProof w:val="0"/>
          <w:sz w:val="24"/>
          <w:szCs w:val="24"/>
          <w:lang w:val="en-US"/>
        </w:rPr>
        <w:t xml:space="preserve"> reformulation to respond to health pressures while protecting brand equity, measured through improved consumer acceptance and sustained repeat purchase (Baack, 2018; Keller, 2013). Second, it should deepen selective </w:t>
      </w:r>
      <w:r w:rsidRPr="756EA358" w:rsidR="76ECFA26">
        <w:rPr>
          <w:rFonts w:ascii="Arial" w:hAnsi="Arial" w:eastAsia="Arial" w:cs="Arial"/>
          <w:noProof w:val="0"/>
          <w:sz w:val="24"/>
          <w:szCs w:val="24"/>
          <w:lang w:val="en-US"/>
        </w:rPr>
        <w:t>localisation</w:t>
      </w:r>
      <w:r w:rsidRPr="756EA358" w:rsidR="76ECFA26">
        <w:rPr>
          <w:rFonts w:ascii="Arial" w:hAnsi="Arial" w:eastAsia="Arial" w:cs="Arial"/>
          <w:noProof w:val="0"/>
          <w:sz w:val="24"/>
          <w:szCs w:val="24"/>
          <w:lang w:val="en-US"/>
        </w:rPr>
        <w:t xml:space="preserve"> in India by using contemporary consumer research to tailor gifting and celebration campaigns, aiming to improve engagement and market access without excessive fragmentation (Mathur, 2008). Third, Cadbury should increase transparency in cocoa sourcing and environmental reporting to strengthen stakeholder trust and responsible brand value (Barney, 1991). Finally, it should strengthen proactive </w:t>
      </w:r>
      <w:r w:rsidRPr="756EA358" w:rsidR="76ECFA26">
        <w:rPr>
          <w:rFonts w:ascii="Arial" w:hAnsi="Arial" w:eastAsia="Arial" w:cs="Arial"/>
          <w:noProof w:val="0"/>
          <w:sz w:val="24"/>
          <w:szCs w:val="24"/>
          <w:lang w:val="en-US"/>
        </w:rPr>
        <w:t>food-safety</w:t>
      </w:r>
      <w:r w:rsidRPr="756EA358" w:rsidR="76ECFA26">
        <w:rPr>
          <w:rFonts w:ascii="Arial" w:hAnsi="Arial" w:eastAsia="Arial" w:cs="Arial"/>
          <w:noProof w:val="0"/>
          <w:sz w:val="24"/>
          <w:szCs w:val="24"/>
          <w:lang w:val="en-US"/>
        </w:rPr>
        <w:t xml:space="preserve"> monitoring and crisis-response procedures to reduce reputational risk and protect consumer confidence. Together, these actions support disciplined selective </w:t>
      </w:r>
      <w:r w:rsidRPr="756EA358" w:rsidR="76ECFA26">
        <w:rPr>
          <w:rFonts w:ascii="Arial" w:hAnsi="Arial" w:eastAsia="Arial" w:cs="Arial"/>
          <w:noProof w:val="0"/>
          <w:sz w:val="24"/>
          <w:szCs w:val="24"/>
          <w:lang w:val="en-US"/>
        </w:rPr>
        <w:t>localisation</w:t>
      </w:r>
      <w:r w:rsidRPr="756EA358" w:rsidR="76ECFA26">
        <w:rPr>
          <w:rFonts w:ascii="Arial" w:hAnsi="Arial" w:eastAsia="Arial" w:cs="Arial"/>
          <w:noProof w:val="0"/>
          <w:sz w:val="24"/>
          <w:szCs w:val="24"/>
          <w:lang w:val="en-US"/>
        </w:rPr>
        <w:t xml:space="preserve"> while </w:t>
      </w:r>
      <w:r w:rsidRPr="756EA358" w:rsidR="76ECFA26">
        <w:rPr>
          <w:rFonts w:ascii="Arial" w:hAnsi="Arial" w:eastAsia="Arial" w:cs="Arial"/>
          <w:noProof w:val="0"/>
          <w:sz w:val="24"/>
          <w:szCs w:val="24"/>
          <w:lang w:val="en-US"/>
        </w:rPr>
        <w:t>maintaining</w:t>
      </w:r>
      <w:r w:rsidRPr="756EA358" w:rsidR="76ECFA26">
        <w:rPr>
          <w:rFonts w:ascii="Arial" w:hAnsi="Arial" w:eastAsia="Arial" w:cs="Arial"/>
          <w:noProof w:val="0"/>
          <w:sz w:val="24"/>
          <w:szCs w:val="24"/>
          <w:lang w:val="en-US"/>
        </w:rPr>
        <w:t xml:space="preserve"> global standards of quality and brand integrity.</w:t>
      </w:r>
    </w:p>
    <w:p w:rsidR="03275F06" w:rsidP="756EA358" w:rsidRDefault="03275F06" w14:paraId="45533F26" w14:textId="03E4D8C4">
      <w:pPr>
        <w:pStyle w:val="Heading2"/>
        <w:spacing w:before="299" w:beforeAutospacing="off" w:after="299" w:afterAutospacing="off" w:line="360" w:lineRule="auto"/>
        <w:rPr>
          <w:rFonts w:ascii="Arial" w:hAnsi="Arial" w:eastAsia="Arial" w:cs="Arial"/>
          <w:b w:val="1"/>
          <w:bCs w:val="1"/>
          <w:noProof w:val="0"/>
          <w:sz w:val="24"/>
          <w:szCs w:val="24"/>
          <w:lang w:val="en-US"/>
        </w:rPr>
      </w:pPr>
      <w:bookmarkStart w:name="_Toc442362456" w:id="1482523059"/>
      <w:r w:rsidRPr="756EA358" w:rsidR="03275F06">
        <w:rPr>
          <w:rFonts w:ascii="Arial" w:hAnsi="Arial" w:eastAsia="Arial" w:cs="Arial"/>
          <w:b w:val="1"/>
          <w:bCs w:val="1"/>
          <w:noProof w:val="0"/>
          <w:sz w:val="24"/>
          <w:szCs w:val="24"/>
          <w:lang w:val="en-US"/>
        </w:rPr>
        <w:t>10. Reflection</w:t>
      </w:r>
      <w:bookmarkEnd w:id="1482523059"/>
    </w:p>
    <w:p w:rsidR="03275F06" w:rsidP="756EA358" w:rsidRDefault="03275F06" w14:paraId="7644C9BB" w14:textId="28056E2C">
      <w:pPr>
        <w:pStyle w:val="Normal"/>
        <w:rPr>
          <w:rFonts w:ascii="Arial" w:hAnsi="Arial" w:eastAsia="Arial" w:cs="Arial"/>
          <w:b w:val="1"/>
          <w:bCs w:val="1"/>
          <w:noProof w:val="0"/>
          <w:sz w:val="24"/>
          <w:szCs w:val="24"/>
          <w:lang w:val="en-US"/>
        </w:rPr>
      </w:pPr>
      <w:r w:rsidRPr="756EA358" w:rsidR="03275F06">
        <w:rPr>
          <w:rFonts w:ascii="Arial" w:hAnsi="Arial" w:eastAsia="Arial" w:cs="Arial"/>
          <w:b w:val="1"/>
          <w:bCs w:val="1"/>
          <w:noProof w:val="0"/>
          <w:lang w:val="en-US"/>
        </w:rPr>
        <w:t>Description and Initial Learning</w:t>
      </w:r>
    </w:p>
    <w:p w:rsidR="03275F06" w:rsidP="756EA358" w:rsidRDefault="03275F06" w14:paraId="32108F27" w14:textId="0D49E962">
      <w:pPr>
        <w:spacing w:before="240" w:beforeAutospacing="off" w:after="240" w:afterAutospacing="off" w:line="360" w:lineRule="auto"/>
        <w:rPr>
          <w:rFonts w:ascii="Arial" w:hAnsi="Arial" w:eastAsia="Arial" w:cs="Arial"/>
          <w:noProof w:val="0"/>
          <w:sz w:val="24"/>
          <w:szCs w:val="24"/>
          <w:lang w:val="en-US"/>
        </w:rPr>
      </w:pPr>
      <w:r w:rsidRPr="756EA358" w:rsidR="03275F06">
        <w:rPr>
          <w:rFonts w:ascii="Arial" w:hAnsi="Arial" w:eastAsia="Arial" w:cs="Arial"/>
          <w:noProof w:val="0"/>
          <w:sz w:val="24"/>
          <w:szCs w:val="24"/>
          <w:lang w:val="en-US"/>
        </w:rPr>
        <w:t>At the beginning of this assignment, selecting an appropriate company and topic was a significant challenge because I was concerned about whether sufficient reliable academic and industry evidence would be available to support critical analysis. Discussions with my lecturer, lecture feedback and classwork helped me evaluate possible options and select Cadbury’s international marketing strategy in the UK and India. This process increased my confidence in making evidence-based decisions about the scope and direction of an academic investigation.</w:t>
      </w:r>
    </w:p>
    <w:p w:rsidR="03275F06" w:rsidP="756EA358" w:rsidRDefault="03275F06" w14:paraId="2AE571FC" w14:textId="35DA5BDC">
      <w:pPr>
        <w:spacing w:before="240" w:beforeAutospacing="off" w:after="240" w:afterAutospacing="off" w:line="360" w:lineRule="auto"/>
        <w:rPr>
          <w:rFonts w:ascii="Arial" w:hAnsi="Arial" w:eastAsia="Arial" w:cs="Arial"/>
          <w:noProof w:val="0"/>
          <w:sz w:val="24"/>
          <w:szCs w:val="24"/>
          <w:lang w:val="en-US"/>
        </w:rPr>
      </w:pPr>
      <w:r w:rsidRPr="756EA358" w:rsidR="03275F06">
        <w:rPr>
          <w:rFonts w:ascii="Arial" w:hAnsi="Arial" w:eastAsia="Arial" w:cs="Arial"/>
          <w:noProof w:val="0"/>
          <w:sz w:val="24"/>
          <w:szCs w:val="24"/>
          <w:lang w:val="en-US"/>
        </w:rPr>
        <w:t>Initially, I understood international marketing mainly as adapting products and promotional strategies between countries. Researching Cadbury developed this understanding by demonstrating that international marketing involves balancing global efficiency, local responsiveness, cultural differences, ethical responsibility and stakeholder expectations (Cavusgil and Cavusgil, 2011). Applying PESTEL, Hofstede, STP, the 7Ps marketing mix, the Uppsala Model, Dunning’s OLI Paradigm and the transnational perspective also changed how I approached strategic analysis. I learned that frameworks are most valuable when integrated: PESTEL identified environmental differences, cultural analysis explained consumer meanings, STP translated these insights into market choices, and the 7Ps evaluated how strategy was implemented.</w:t>
      </w:r>
    </w:p>
    <w:p w:rsidR="03275F06" w:rsidP="756EA358" w:rsidRDefault="03275F06" w14:paraId="58396AB7" w14:textId="7E9935FA">
      <w:pPr>
        <w:pStyle w:val="Normal"/>
        <w:rPr>
          <w:rFonts w:ascii="Arial" w:hAnsi="Arial" w:eastAsia="Arial" w:cs="Arial"/>
          <w:b w:val="1"/>
          <w:bCs w:val="1"/>
          <w:noProof w:val="0"/>
          <w:sz w:val="24"/>
          <w:szCs w:val="24"/>
          <w:lang w:val="en-US"/>
        </w:rPr>
      </w:pPr>
      <w:r w:rsidRPr="756EA358" w:rsidR="03275F06">
        <w:rPr>
          <w:rFonts w:ascii="Arial" w:hAnsi="Arial" w:eastAsia="Arial" w:cs="Arial"/>
          <w:b w:val="1"/>
          <w:bCs w:val="1"/>
          <w:noProof w:val="0"/>
          <w:sz w:val="24"/>
          <w:szCs w:val="24"/>
          <w:lang w:val="en-US"/>
        </w:rPr>
        <w:t>Feelings and Evaluation</w:t>
      </w:r>
    </w:p>
    <w:p w:rsidR="03275F06" w:rsidP="756EA358" w:rsidRDefault="03275F06" w14:paraId="5653DDF9" w14:textId="62866D83">
      <w:pPr>
        <w:spacing w:before="240" w:beforeAutospacing="off" w:after="240" w:afterAutospacing="off" w:line="360" w:lineRule="auto"/>
        <w:rPr>
          <w:rFonts w:ascii="Arial" w:hAnsi="Arial" w:eastAsia="Arial" w:cs="Arial"/>
          <w:noProof w:val="0"/>
          <w:sz w:val="24"/>
          <w:szCs w:val="24"/>
          <w:lang w:val="en-US"/>
        </w:rPr>
      </w:pPr>
      <w:r w:rsidRPr="756EA358" w:rsidR="03275F06">
        <w:rPr>
          <w:rFonts w:ascii="Arial" w:hAnsi="Arial" w:eastAsia="Arial" w:cs="Arial"/>
          <w:noProof w:val="0"/>
          <w:sz w:val="24"/>
          <w:szCs w:val="24"/>
          <w:lang w:val="en-US"/>
        </w:rPr>
        <w:t>A major difficulty was developing my writing from a descriptive style towards a more analytical and critical academic approach. Initially, I focused on explaining what Cadbury had done. Through drafting, feedback and revision, I learned to evaluate why strategies were appropriate, what benefits they created and what limitations or costs they involved. This was particularly important when analysing selective localisation, as adaptation can improve consumer relevance and market access but also increase operational complexity and reduce economies of scale.</w:t>
      </w:r>
    </w:p>
    <w:p w:rsidR="03275F06" w:rsidP="756EA358" w:rsidRDefault="03275F06" w14:paraId="42669E0D" w14:textId="6F3FB437">
      <w:pPr>
        <w:spacing w:before="240" w:beforeAutospacing="off" w:after="240" w:afterAutospacing="off" w:line="360" w:lineRule="auto"/>
        <w:rPr>
          <w:rFonts w:ascii="Arial" w:hAnsi="Arial" w:eastAsia="Arial" w:cs="Arial"/>
          <w:noProof w:val="0"/>
          <w:sz w:val="24"/>
          <w:szCs w:val="24"/>
          <w:lang w:val="en-US"/>
        </w:rPr>
      </w:pPr>
      <w:r w:rsidRPr="756EA358" w:rsidR="03275F06">
        <w:rPr>
          <w:rFonts w:ascii="Arial" w:hAnsi="Arial" w:eastAsia="Arial" w:cs="Arial"/>
          <w:noProof w:val="0"/>
          <w:sz w:val="24"/>
          <w:szCs w:val="24"/>
          <w:lang w:val="en-US"/>
        </w:rPr>
        <w:t>The UK–India comparison also challenged my assumption that successful international strategies can simply be transferred between countries. The UK represents a mature market with strong brand equity but increasing health, sustainability and competitive pressures, whereas India offers greater growth potential but greater income, cultural and infrastructural diversity. I therefore learned that international marketing requires strategic judgement rather than mechanical application of standardised models.</w:t>
      </w:r>
    </w:p>
    <w:p w:rsidR="03275F06" w:rsidP="756EA358" w:rsidRDefault="03275F06" w14:paraId="091FA00F" w14:textId="4511BBAC">
      <w:pPr>
        <w:spacing w:before="240" w:beforeAutospacing="off" w:after="240" w:afterAutospacing="off" w:line="360" w:lineRule="auto"/>
        <w:rPr>
          <w:rFonts w:ascii="Arial" w:hAnsi="Arial" w:eastAsia="Arial" w:cs="Arial"/>
          <w:noProof w:val="0"/>
          <w:sz w:val="24"/>
          <w:szCs w:val="24"/>
          <w:lang w:val="en-US"/>
        </w:rPr>
      </w:pPr>
      <w:r w:rsidRPr="756EA358" w:rsidR="03275F06">
        <w:rPr>
          <w:rFonts w:ascii="Arial" w:hAnsi="Arial" w:eastAsia="Arial" w:cs="Arial"/>
          <w:noProof w:val="0"/>
          <w:sz w:val="24"/>
          <w:szCs w:val="24"/>
          <w:lang w:val="en-US"/>
        </w:rPr>
        <w:t>My understanding of cultural analysis also became more critical. Initially, I viewed Hofstede’s dimensions as a straightforward explanation of consumer differences. Further research demonstrated that national averages can overlook regional, generational and socio-economic diversity (Kirkman, Lowe and Gibson, 2006). I therefore learned to use cultural frameworks as indicators of broad tendencies rather than deterministic explanations of individual behaviour.</w:t>
      </w:r>
    </w:p>
    <w:p w:rsidR="03275F06" w:rsidP="756EA358" w:rsidRDefault="03275F06" w14:paraId="70BB21DD" w14:textId="04A3B9D2">
      <w:pPr>
        <w:pStyle w:val="Normal"/>
        <w:rPr>
          <w:rFonts w:ascii="Arial" w:hAnsi="Arial" w:eastAsia="Arial" w:cs="Arial"/>
          <w:b w:val="1"/>
          <w:bCs w:val="1"/>
          <w:noProof w:val="0"/>
          <w:sz w:val="24"/>
          <w:szCs w:val="24"/>
          <w:lang w:val="en-US"/>
        </w:rPr>
      </w:pPr>
      <w:r w:rsidRPr="756EA358" w:rsidR="03275F06">
        <w:rPr>
          <w:rFonts w:ascii="Arial" w:hAnsi="Arial" w:eastAsia="Arial" w:cs="Arial"/>
          <w:b w:val="1"/>
          <w:bCs w:val="1"/>
          <w:noProof w:val="0"/>
          <w:sz w:val="24"/>
          <w:szCs w:val="24"/>
          <w:lang w:val="en-US"/>
        </w:rPr>
        <w:t>Analysis and Learning</w:t>
      </w:r>
    </w:p>
    <w:p w:rsidR="03275F06" w:rsidP="756EA358" w:rsidRDefault="03275F06" w14:paraId="39E20FCC" w14:textId="227BA14E">
      <w:pPr>
        <w:spacing w:before="240" w:beforeAutospacing="off" w:after="240" w:afterAutospacing="off" w:line="360" w:lineRule="auto"/>
        <w:rPr>
          <w:rFonts w:ascii="Arial" w:hAnsi="Arial" w:eastAsia="Arial" w:cs="Arial"/>
          <w:noProof w:val="0"/>
          <w:sz w:val="24"/>
          <w:szCs w:val="24"/>
          <w:lang w:val="en-US"/>
        </w:rPr>
      </w:pPr>
      <w:r w:rsidRPr="756EA358" w:rsidR="03275F06">
        <w:rPr>
          <w:rFonts w:ascii="Arial" w:hAnsi="Arial" w:eastAsia="Arial" w:cs="Arial"/>
          <w:noProof w:val="0"/>
          <w:sz w:val="24"/>
          <w:szCs w:val="24"/>
          <w:lang w:val="en-US"/>
        </w:rPr>
        <w:t>The most significant learning was understanding the relationship between theory, evidence and strategic decision-making. I learned that frameworks should support a central argument rather than simply demonstrate theoretical knowledge. The transnational perspective was particularly useful because it helped explain how Cadbury can maintain globally recognisable brand assets while adapting product, price, place, promotion, people, process and physical evidence to local conditions (Leong and Tan, 1993).</w:t>
      </w:r>
    </w:p>
    <w:p w:rsidR="03275F06" w:rsidP="756EA358" w:rsidRDefault="03275F06" w14:paraId="5E824F66" w14:textId="60C3E6FA">
      <w:pPr>
        <w:spacing w:before="240" w:beforeAutospacing="off" w:after="240" w:afterAutospacing="off" w:line="360" w:lineRule="auto"/>
        <w:rPr>
          <w:rFonts w:ascii="Arial" w:hAnsi="Arial" w:eastAsia="Arial" w:cs="Arial"/>
          <w:noProof w:val="0"/>
          <w:sz w:val="24"/>
          <w:szCs w:val="24"/>
          <w:lang w:val="en-US"/>
        </w:rPr>
      </w:pPr>
      <w:r w:rsidRPr="756EA358" w:rsidR="03275F06">
        <w:rPr>
          <w:rFonts w:ascii="Arial" w:hAnsi="Arial" w:eastAsia="Arial" w:cs="Arial"/>
          <w:noProof w:val="0"/>
          <w:sz w:val="24"/>
          <w:szCs w:val="24"/>
          <w:lang w:val="en-US"/>
        </w:rPr>
        <w:t>The market-entry analysis further developed my understanding of internationalisation. Applying the Uppsala Model showed how knowledge and relationships can support increasing market commitment, while the OLI Paradigm explained how Cadbury’s brand capabilities could be combined with India’s location advantages (Johanson and Vahlne, 1977; Dunning, 1979). Comparing alternative entry modes also reinforced the importance of evaluating control, risk and local knowledge rather than assuming one mode is universally superior.</w:t>
      </w:r>
    </w:p>
    <w:p w:rsidR="03275F06" w:rsidP="756EA358" w:rsidRDefault="03275F06" w14:paraId="1EA030A1" w14:textId="44DC3355">
      <w:pPr>
        <w:spacing w:before="240" w:beforeAutospacing="off" w:after="240" w:afterAutospacing="off" w:line="360" w:lineRule="auto"/>
        <w:rPr>
          <w:rFonts w:ascii="Arial" w:hAnsi="Arial" w:eastAsia="Arial" w:cs="Arial"/>
          <w:noProof w:val="0"/>
          <w:sz w:val="24"/>
          <w:szCs w:val="24"/>
          <w:lang w:val="en-US"/>
        </w:rPr>
      </w:pPr>
      <w:r w:rsidRPr="756EA358" w:rsidR="03275F06">
        <w:rPr>
          <w:rFonts w:ascii="Arial" w:hAnsi="Arial" w:eastAsia="Arial" w:cs="Arial"/>
          <w:noProof w:val="0"/>
          <w:sz w:val="24"/>
          <w:szCs w:val="24"/>
          <w:lang w:val="en-US"/>
        </w:rPr>
        <w:t>The assignment also strengthened my understanding of the relationship between marketing and ethics. Examining food-safety risks, consumer trust and responsible sourcing demonstrated that ethical performance can influence brand equity, legitimacy and long-term competitiveness. I also became more aware that corporate sources may present favourable perspectives and should therefore be considered alongside academic, governmental and independent evidence.</w:t>
      </w:r>
    </w:p>
    <w:p w:rsidR="03275F06" w:rsidP="756EA358" w:rsidRDefault="03275F06" w14:paraId="6FE4E33B" w14:textId="7CE4A04C">
      <w:pPr>
        <w:pStyle w:val="Normal"/>
        <w:rPr>
          <w:rFonts w:ascii="Arial" w:hAnsi="Arial" w:eastAsia="Arial" w:cs="Arial"/>
          <w:b w:val="1"/>
          <w:bCs w:val="1"/>
          <w:noProof w:val="0"/>
          <w:sz w:val="24"/>
          <w:szCs w:val="24"/>
          <w:lang w:val="en-US"/>
        </w:rPr>
      </w:pPr>
      <w:r w:rsidRPr="756EA358" w:rsidR="03275F06">
        <w:rPr>
          <w:rFonts w:ascii="Arial" w:hAnsi="Arial" w:eastAsia="Arial" w:cs="Arial"/>
          <w:b w:val="1"/>
          <w:bCs w:val="1"/>
          <w:noProof w:val="0"/>
          <w:sz w:val="24"/>
          <w:szCs w:val="24"/>
          <w:lang w:val="en-US"/>
        </w:rPr>
        <w:t>Conclusion and Action Plan</w:t>
      </w:r>
    </w:p>
    <w:p w:rsidR="03275F06" w:rsidP="756EA358" w:rsidRDefault="03275F06" w14:paraId="52582E16" w14:textId="361C00AC">
      <w:pPr>
        <w:spacing w:before="240" w:beforeAutospacing="off" w:after="240" w:afterAutospacing="off" w:line="360" w:lineRule="auto"/>
        <w:rPr>
          <w:rFonts w:ascii="Arial" w:hAnsi="Arial" w:eastAsia="Arial" w:cs="Arial"/>
          <w:noProof w:val="0"/>
          <w:sz w:val="24"/>
          <w:szCs w:val="24"/>
          <w:lang w:val="en-US"/>
        </w:rPr>
      </w:pPr>
      <w:r w:rsidRPr="756EA358" w:rsidR="03275F06">
        <w:rPr>
          <w:rFonts w:ascii="Arial" w:hAnsi="Arial" w:eastAsia="Arial" w:cs="Arial"/>
          <w:noProof w:val="0"/>
          <w:sz w:val="24"/>
          <w:szCs w:val="24"/>
          <w:lang w:val="en-US"/>
        </w:rPr>
        <w:t>Overall, this assignment improved my understanding of international marketing strategy and strengthened my academic confidence. I learned that effective analysis requires identifying which national differences are strategically significant and determining how an organisation should respond. The drafting and revision process also helped me reduce description and develop stronger critical evaluation.</w:t>
      </w:r>
    </w:p>
    <w:p w:rsidR="03275F06" w:rsidP="756EA358" w:rsidRDefault="03275F06" w14:paraId="178F12E9" w14:textId="20E82BAC">
      <w:pPr>
        <w:spacing w:before="240" w:beforeAutospacing="off" w:after="240" w:afterAutospacing="off" w:line="360" w:lineRule="auto"/>
        <w:rPr>
          <w:rFonts w:ascii="Arial" w:hAnsi="Arial" w:eastAsia="Arial" w:cs="Arial"/>
          <w:noProof w:val="0"/>
          <w:sz w:val="24"/>
          <w:szCs w:val="24"/>
          <w:lang w:val="en-US"/>
        </w:rPr>
      </w:pPr>
      <w:r w:rsidRPr="756EA358" w:rsidR="03275F06">
        <w:rPr>
          <w:rFonts w:ascii="Arial" w:hAnsi="Arial" w:eastAsia="Arial" w:cs="Arial"/>
          <w:noProof w:val="0"/>
          <w:sz w:val="24"/>
          <w:szCs w:val="24"/>
          <w:lang w:val="en-US"/>
        </w:rPr>
        <w:t>My main areas for improvement are synthesising multiple sources more confidently, maintaining a consistently critical academic voice and distinguishing clearly between evidence and interpretation. In future academic and professional work, I will establish a central argument before applying frameworks and use each model selectively. I will also prioritise credible academic and institutional evidence while critically evaluating corporate claims.</w:t>
      </w:r>
    </w:p>
    <w:p w:rsidR="03275F06" w:rsidP="756EA358" w:rsidRDefault="03275F06" w14:paraId="6A1DA29A" w14:textId="50B7D8E3">
      <w:pPr>
        <w:spacing w:before="240" w:beforeAutospacing="off" w:after="240" w:afterAutospacing="off" w:line="360" w:lineRule="auto"/>
        <w:rPr>
          <w:rFonts w:ascii="Arial" w:hAnsi="Arial" w:eastAsia="Arial" w:cs="Arial"/>
          <w:noProof w:val="0"/>
          <w:sz w:val="24"/>
          <w:szCs w:val="24"/>
          <w:lang w:val="en-US"/>
        </w:rPr>
      </w:pPr>
      <w:r w:rsidRPr="756EA358" w:rsidR="03275F06">
        <w:rPr>
          <w:rFonts w:ascii="Arial" w:hAnsi="Arial" w:eastAsia="Arial" w:cs="Arial"/>
          <w:noProof w:val="0"/>
          <w:sz w:val="24"/>
          <w:szCs w:val="24"/>
          <w:lang w:val="en-US"/>
        </w:rPr>
        <w:t xml:space="preserve">Future strategic recommendations should be evaluated not only according to potential market performance but also through implementation requirements, </w:t>
      </w:r>
      <w:r w:rsidRPr="756EA358" w:rsidR="03275F06">
        <w:rPr>
          <w:rFonts w:ascii="Arial" w:hAnsi="Arial" w:eastAsia="Arial" w:cs="Arial"/>
          <w:noProof w:val="0"/>
          <w:sz w:val="24"/>
          <w:szCs w:val="24"/>
          <w:lang w:val="en-US"/>
        </w:rPr>
        <w:t>risks</w:t>
      </w:r>
      <w:r w:rsidRPr="756EA358" w:rsidR="03275F06">
        <w:rPr>
          <w:rFonts w:ascii="Arial" w:hAnsi="Arial" w:eastAsia="Arial" w:cs="Arial"/>
          <w:noProof w:val="0"/>
          <w:sz w:val="24"/>
          <w:szCs w:val="24"/>
          <w:lang w:val="en-US"/>
        </w:rPr>
        <w:t xml:space="preserve"> and measurable outcomes. This assignment has therefore strengthened my ability to conduct comparative analysis, evaluate competing </w:t>
      </w:r>
      <w:r w:rsidRPr="756EA358" w:rsidR="03275F06">
        <w:rPr>
          <w:rFonts w:ascii="Arial" w:hAnsi="Arial" w:eastAsia="Arial" w:cs="Arial"/>
          <w:noProof w:val="0"/>
          <w:sz w:val="24"/>
          <w:szCs w:val="24"/>
          <w:lang w:val="en-US"/>
        </w:rPr>
        <w:t>perspectives</w:t>
      </w:r>
      <w:r w:rsidRPr="756EA358" w:rsidR="03275F06">
        <w:rPr>
          <w:rFonts w:ascii="Arial" w:hAnsi="Arial" w:eastAsia="Arial" w:cs="Arial"/>
          <w:noProof w:val="0"/>
          <w:sz w:val="24"/>
          <w:szCs w:val="24"/>
          <w:lang w:val="en-US"/>
        </w:rPr>
        <w:t xml:space="preserve"> and develop evidence-based recommendations. Most importantly, it has reinforced that effective international marketing requires a balance between global consistency, local </w:t>
      </w:r>
      <w:r w:rsidRPr="756EA358" w:rsidR="03275F06">
        <w:rPr>
          <w:rFonts w:ascii="Arial" w:hAnsi="Arial" w:eastAsia="Arial" w:cs="Arial"/>
          <w:noProof w:val="0"/>
          <w:sz w:val="24"/>
          <w:szCs w:val="24"/>
          <w:lang w:val="en-US"/>
        </w:rPr>
        <w:t>relevance</w:t>
      </w:r>
      <w:r w:rsidRPr="756EA358" w:rsidR="03275F06">
        <w:rPr>
          <w:rFonts w:ascii="Arial" w:hAnsi="Arial" w:eastAsia="Arial" w:cs="Arial"/>
          <w:noProof w:val="0"/>
          <w:sz w:val="24"/>
          <w:szCs w:val="24"/>
          <w:lang w:val="en-US"/>
        </w:rPr>
        <w:t xml:space="preserve"> and responsible long-term business practice (Mathur, 2008).</w:t>
      </w:r>
    </w:p>
    <w:p w:rsidR="756EA358" w:rsidP="756EA358" w:rsidRDefault="756EA358" w14:paraId="00D92594" w14:textId="18E69FA1">
      <w:pPr>
        <w:spacing w:before="240" w:beforeAutospacing="off" w:after="240" w:afterAutospacing="off"/>
        <w:rPr>
          <w:rFonts w:ascii="Arial" w:hAnsi="Arial" w:eastAsia="Arial" w:cs="Arial"/>
          <w:noProof w:val="0"/>
          <w:sz w:val="24"/>
          <w:szCs w:val="24"/>
          <w:lang w:val="en-US"/>
        </w:rPr>
      </w:pPr>
    </w:p>
    <w:p w:rsidR="749E6BA4" w:rsidP="756EA358" w:rsidRDefault="749E6BA4" w14:paraId="7B97A32D" w14:textId="1EE94CF9">
      <w:pPr>
        <w:pStyle w:val="Normal"/>
        <w:spacing w:before="240" w:after="240" w:line="360" w:lineRule="auto"/>
        <w:rPr>
          <w:rFonts w:ascii="Arial" w:hAnsi="Arial" w:eastAsia="Arial" w:cs="Arial"/>
        </w:rPr>
      </w:pPr>
    </w:p>
    <w:p w:rsidR="749E6BA4" w:rsidP="749E6BA4" w:rsidRDefault="749E6BA4" w14:paraId="2F6CFE8C" w14:textId="143499E7"/>
    <w:p w:rsidR="756EA358" w:rsidRDefault="756EA358" w14:paraId="6509729C" w14:textId="13FD8AC6"/>
    <w:p w:rsidR="756EA358" w:rsidRDefault="756EA358" w14:paraId="42D71A4B" w14:textId="0082C2A7"/>
    <w:p w:rsidR="756EA358" w:rsidRDefault="756EA358" w14:paraId="3F52A384" w14:textId="718C6147"/>
    <w:p w:rsidR="756EA358" w:rsidRDefault="756EA358" w14:paraId="66C71EF5" w14:textId="27C67854"/>
    <w:p w:rsidR="756EA358" w:rsidRDefault="756EA358" w14:paraId="193E7363" w14:textId="4F4D5EDD"/>
    <w:p w:rsidR="756EA358" w:rsidRDefault="756EA358" w14:paraId="165A3C5E" w14:textId="4A872A81"/>
    <w:p w:rsidR="756EA358" w:rsidRDefault="756EA358" w14:paraId="2C0358E7" w14:textId="30943969"/>
    <w:p w:rsidR="2966CD07" w:rsidP="3B6C58B8" w:rsidRDefault="557F8ECF" w14:paraId="02DBC2D2" w14:textId="7456E99A">
      <w:pPr>
        <w:pStyle w:val="Heading2"/>
        <w:rPr>
          <w:rFonts w:ascii="Arial" w:hAnsi="Arial" w:eastAsia="Arial" w:cs="Arial"/>
          <w:sz w:val="28"/>
          <w:szCs w:val="28"/>
        </w:rPr>
      </w:pPr>
      <w:bookmarkStart w:name="_Toc840594930" w:id="1075267802"/>
      <w:r w:rsidRPr="756EA358" w:rsidR="557F8ECF">
        <w:rPr>
          <w:rFonts w:ascii="Arial" w:hAnsi="Arial" w:eastAsia="Arial" w:cs="Arial"/>
          <w:sz w:val="28"/>
          <w:szCs w:val="28"/>
        </w:rPr>
        <w:t>References</w:t>
      </w:r>
      <w:bookmarkEnd w:id="1075267802"/>
      <w:r w:rsidRPr="756EA358" w:rsidR="557F8ECF">
        <w:rPr>
          <w:rFonts w:ascii="Arial" w:hAnsi="Arial" w:eastAsia="Arial" w:cs="Arial"/>
          <w:sz w:val="28"/>
          <w:szCs w:val="28"/>
        </w:rPr>
        <w:t xml:space="preserve"> </w:t>
      </w:r>
    </w:p>
    <w:p w:rsidR="749E6BA4" w:rsidP="756EA358" w:rsidRDefault="749E6BA4" w14:paraId="67CA283C" w14:textId="280BC959">
      <w:pPr>
        <w:spacing w:before="0" w:beforeAutospacing="off" w:after="240" w:afterAutospacing="off" w:line="360" w:lineRule="auto"/>
      </w:pPr>
      <w:r w:rsidRPr="756EA358" w:rsidR="1AB2A130">
        <w:rPr>
          <w:rFonts w:ascii="Arial" w:hAnsi="Arial" w:eastAsia="Arial" w:cs="Arial"/>
          <w:noProof w:val="0"/>
          <w:sz w:val="24"/>
          <w:szCs w:val="24"/>
          <w:lang w:val="en-US"/>
        </w:rPr>
        <w:t>Alberto</w:t>
      </w:r>
      <w:r w:rsidRPr="756EA358" w:rsidR="1AB2A130">
        <w:rPr>
          <w:rFonts w:ascii="Arial" w:hAnsi="Arial" w:eastAsia="Arial" w:cs="Arial"/>
          <w:noProof w:val="0"/>
          <w:sz w:val="24"/>
          <w:szCs w:val="24"/>
          <w:lang w:val="en-US"/>
        </w:rPr>
        <w:t xml:space="preserve"> (2024). </w:t>
      </w:r>
      <w:r w:rsidRPr="756EA358" w:rsidR="1AB2A130">
        <w:rPr>
          <w:rFonts w:ascii="Arial" w:hAnsi="Arial" w:eastAsia="Arial" w:cs="Arial"/>
          <w:i w:val="1"/>
          <w:iCs w:val="1"/>
          <w:noProof w:val="0"/>
          <w:sz w:val="24"/>
          <w:szCs w:val="24"/>
          <w:lang w:val="en-US"/>
        </w:rPr>
        <w:t xml:space="preserve">What is market entry </w:t>
      </w:r>
      <w:r w:rsidRPr="756EA358" w:rsidR="1AB2A130">
        <w:rPr>
          <w:rFonts w:ascii="Arial" w:hAnsi="Arial" w:eastAsia="Arial" w:cs="Arial"/>
          <w:i w:val="1"/>
          <w:iCs w:val="1"/>
          <w:noProof w:val="0"/>
          <w:sz w:val="24"/>
          <w:szCs w:val="24"/>
          <w:lang w:val="en-US"/>
        </w:rPr>
        <w:t>analysis</w:t>
      </w:r>
      <w:r w:rsidRPr="756EA358" w:rsidR="1AB2A130">
        <w:rPr>
          <w:rFonts w:ascii="Arial" w:hAnsi="Arial" w:eastAsia="Arial" w:cs="Arial"/>
          <w:noProof w:val="0"/>
          <w:sz w:val="24"/>
          <w:szCs w:val="24"/>
          <w:lang w:val="en-US"/>
        </w:rPr>
        <w:t>.</w:t>
      </w:r>
      <w:r w:rsidRPr="756EA358" w:rsidR="1AB2A130">
        <w:rPr>
          <w:rFonts w:ascii="Arial" w:hAnsi="Arial" w:eastAsia="Arial" w:cs="Arial"/>
          <w:noProof w:val="0"/>
          <w:sz w:val="24"/>
          <w:szCs w:val="24"/>
          <w:lang w:val="en-US"/>
        </w:rPr>
        <w:t xml:space="preserve"> </w:t>
      </w:r>
      <w:r w:rsidRPr="756EA358" w:rsidR="1AB2A130">
        <w:rPr>
          <w:rFonts w:ascii="Arial" w:hAnsi="Arial" w:eastAsia="Arial" w:cs="Arial"/>
          <w:i w:val="1"/>
          <w:iCs w:val="1"/>
          <w:noProof w:val="0"/>
          <w:sz w:val="24"/>
          <w:szCs w:val="24"/>
          <w:lang w:val="en-US"/>
        </w:rPr>
        <w:t>Business Case Studies</w:t>
      </w:r>
      <w:r w:rsidRPr="756EA358" w:rsidR="1AB2A130">
        <w:rPr>
          <w:rFonts w:ascii="Arial" w:hAnsi="Arial" w:eastAsia="Arial" w:cs="Arial"/>
          <w:noProof w:val="0"/>
          <w:sz w:val="24"/>
          <w:szCs w:val="24"/>
          <w:lang w:val="en-US"/>
        </w:rPr>
        <w:t xml:space="preserve">. Available at: </w:t>
      </w:r>
      <w:hyperlink r:id="R517ec011254d42f1">
        <w:r w:rsidRPr="756EA358" w:rsidR="1AB2A130">
          <w:rPr>
            <w:rStyle w:val="Hyperlink"/>
            <w:noProof w:val="0"/>
            <w:lang w:val="en-US"/>
          </w:rPr>
          <w:t>https://businesscasestudies.co.uk/what-is-market-entry-analysis/</w:t>
        </w:r>
      </w:hyperlink>
      <w:r w:rsidRPr="756EA358" w:rsidR="1AB2A130">
        <w:rPr>
          <w:rFonts w:ascii="Arial" w:hAnsi="Arial" w:eastAsia="Arial" w:cs="Arial"/>
          <w:noProof w:val="0"/>
          <w:sz w:val="24"/>
          <w:szCs w:val="24"/>
          <w:lang w:val="en-US"/>
        </w:rPr>
        <w:t xml:space="preserve"> (Accessed 23 July 2026).</w:t>
      </w:r>
    </w:p>
    <w:p w:rsidR="749E6BA4" w:rsidP="756EA358" w:rsidRDefault="749E6BA4" w14:paraId="5A273B5B" w14:textId="0F833D0D">
      <w:pPr>
        <w:pStyle w:val="Normal"/>
        <w:spacing w:before="0" w:beforeAutospacing="off" w:after="240" w:afterAutospacing="off" w:line="360" w:lineRule="auto"/>
      </w:pPr>
      <w:r w:rsidRPr="756EA358" w:rsidR="7583E2DB">
        <w:rPr>
          <w:rFonts w:ascii="Arial" w:hAnsi="Arial" w:eastAsia="Arial" w:cs="Arial"/>
          <w:noProof w:val="0"/>
          <w:sz w:val="24"/>
          <w:szCs w:val="24"/>
          <w:lang w:val="en-US"/>
        </w:rPr>
        <w:t xml:space="preserve">Barney, J. (1991). Firm resources and sustained competitive advantage. </w:t>
      </w:r>
      <w:r w:rsidRPr="756EA358" w:rsidR="7583E2DB">
        <w:rPr>
          <w:rFonts w:ascii="Arial" w:hAnsi="Arial" w:eastAsia="Arial" w:cs="Arial"/>
          <w:i w:val="1"/>
          <w:iCs w:val="1"/>
          <w:noProof w:val="0"/>
          <w:sz w:val="24"/>
          <w:szCs w:val="24"/>
          <w:lang w:val="en-US"/>
        </w:rPr>
        <w:t>Journal of Management</w:t>
      </w:r>
      <w:r w:rsidRPr="756EA358" w:rsidR="7583E2DB">
        <w:rPr>
          <w:rFonts w:ascii="Arial" w:hAnsi="Arial" w:eastAsia="Arial" w:cs="Arial"/>
          <w:noProof w:val="0"/>
          <w:sz w:val="24"/>
          <w:szCs w:val="24"/>
          <w:lang w:val="en-US"/>
        </w:rPr>
        <w:t xml:space="preserve">, 17(1), pp.99–120. </w:t>
      </w:r>
      <w:r>
        <w:fldChar w:fldCharType="begin"/>
      </w:r>
      <w:r>
        <w:instrText xml:space="preserve">HYPERLINK "https://doi:https://doi.org/10.1177/014920639101700108" </w:instrText>
      </w:r>
      <w:r>
        <w:fldChar w:fldCharType="separate"/>
      </w:r>
      <w:r w:rsidRPr="756EA358" w:rsidR="3256798E">
        <w:rPr>
          <w:rStyle w:val="Hyperlink"/>
          <w:noProof w:val="0"/>
          <w:lang w:val="en-US"/>
        </w:rPr>
        <w:t>https://</w:t>
      </w:r>
      <w:r w:rsidRPr="756EA358" w:rsidR="7583E2DB">
        <w:rPr>
          <w:rStyle w:val="Hyperlink"/>
          <w:noProof w:val="0"/>
          <w:lang w:val="en-US"/>
        </w:rPr>
        <w:t>doi:https://doi.org/10.1177/014920639101700108</w:t>
      </w:r>
      <w:r>
        <w:fldChar w:fldCharType="end"/>
      </w:r>
      <w:r w:rsidRPr="756EA358" w:rsidR="7583E2DB">
        <w:rPr>
          <w:rFonts w:ascii="Arial" w:hAnsi="Arial" w:eastAsia="Arial" w:cs="Arial"/>
          <w:noProof w:val="0"/>
          <w:sz w:val="24"/>
          <w:szCs w:val="24"/>
          <w:lang w:val="en-US"/>
        </w:rPr>
        <w:t>.</w:t>
      </w:r>
      <w:r w:rsidRPr="756EA358" w:rsidR="7913219D">
        <w:rPr>
          <w:rFonts w:ascii="Arial" w:hAnsi="Arial" w:eastAsia="Arial" w:cs="Arial"/>
          <w:noProof w:val="0"/>
          <w:sz w:val="24"/>
          <w:szCs w:val="24"/>
          <w:lang w:val="en-US"/>
        </w:rPr>
        <w:t xml:space="preserve"> </w:t>
      </w:r>
    </w:p>
    <w:p w:rsidR="749E6BA4" w:rsidP="756EA358" w:rsidRDefault="749E6BA4" w14:paraId="6657614F" w14:textId="1FC7D945">
      <w:pPr>
        <w:spacing w:before="0" w:beforeAutospacing="off" w:after="240" w:afterAutospacing="off" w:line="360" w:lineRule="auto"/>
      </w:pPr>
      <w:r w:rsidRPr="756EA358" w:rsidR="7583E2DB">
        <w:rPr>
          <w:rFonts w:ascii="Arial" w:hAnsi="Arial" w:eastAsia="Arial" w:cs="Arial"/>
          <w:noProof w:val="0"/>
          <w:sz w:val="24"/>
          <w:szCs w:val="24"/>
          <w:lang w:val="en-US"/>
        </w:rPr>
        <w:t>Bejoria</w:t>
      </w:r>
      <w:r w:rsidRPr="756EA358" w:rsidR="7583E2DB">
        <w:rPr>
          <w:rFonts w:ascii="Arial" w:hAnsi="Arial" w:eastAsia="Arial" w:cs="Arial"/>
          <w:noProof w:val="0"/>
          <w:sz w:val="24"/>
          <w:szCs w:val="24"/>
          <w:lang w:val="en-US"/>
        </w:rPr>
        <w:t xml:space="preserve">, J.B. (2023). </w:t>
      </w:r>
      <w:r w:rsidRPr="756EA358" w:rsidR="7583E2DB">
        <w:rPr>
          <w:rFonts w:ascii="Arial" w:hAnsi="Arial" w:eastAsia="Arial" w:cs="Arial"/>
          <w:i w:val="1"/>
          <w:iCs w:val="1"/>
          <w:noProof w:val="0"/>
          <w:sz w:val="24"/>
          <w:szCs w:val="24"/>
          <w:lang w:val="en-US"/>
        </w:rPr>
        <w:t xml:space="preserve">BBC NEWS | business | </w:t>
      </w:r>
      <w:r w:rsidRPr="756EA358" w:rsidR="7583E2DB">
        <w:rPr>
          <w:rFonts w:ascii="Arial" w:hAnsi="Arial" w:eastAsia="Arial" w:cs="Arial"/>
          <w:i w:val="1"/>
          <w:iCs w:val="1"/>
          <w:noProof w:val="0"/>
          <w:sz w:val="24"/>
          <w:szCs w:val="24"/>
          <w:lang w:val="en-US"/>
        </w:rPr>
        <w:t>cadbury</w:t>
      </w:r>
      <w:r w:rsidRPr="756EA358" w:rsidR="7583E2DB">
        <w:rPr>
          <w:rFonts w:ascii="Arial" w:hAnsi="Arial" w:eastAsia="Arial" w:cs="Arial"/>
          <w:i w:val="1"/>
          <w:iCs w:val="1"/>
          <w:noProof w:val="0"/>
          <w:sz w:val="24"/>
          <w:szCs w:val="24"/>
          <w:lang w:val="en-US"/>
        </w:rPr>
        <w:t xml:space="preserve"> denies dairy milk infestation</w:t>
      </w:r>
      <w:r w:rsidRPr="756EA358" w:rsidR="7583E2DB">
        <w:rPr>
          <w:rFonts w:ascii="Arial" w:hAnsi="Arial" w:eastAsia="Arial" w:cs="Arial"/>
          <w:noProof w:val="0"/>
          <w:sz w:val="24"/>
          <w:szCs w:val="24"/>
          <w:lang w:val="en-US"/>
        </w:rPr>
        <w:t xml:space="preserve">. </w:t>
      </w:r>
      <w:r w:rsidRPr="756EA358" w:rsidR="7583E2DB">
        <w:rPr>
          <w:rFonts w:ascii="Arial" w:hAnsi="Arial" w:eastAsia="Arial" w:cs="Arial"/>
          <w:i w:val="1"/>
          <w:iCs w:val="1"/>
          <w:noProof w:val="0"/>
          <w:sz w:val="24"/>
          <w:szCs w:val="24"/>
          <w:lang w:val="en-US"/>
        </w:rPr>
        <w:t>Bbc.co.uk</w:t>
      </w:r>
      <w:r w:rsidRPr="756EA358" w:rsidR="7583E2DB">
        <w:rPr>
          <w:rFonts w:ascii="Arial" w:hAnsi="Arial" w:eastAsia="Arial" w:cs="Arial"/>
          <w:noProof w:val="0"/>
          <w:sz w:val="24"/>
          <w:szCs w:val="24"/>
          <w:lang w:val="en-US"/>
        </w:rPr>
        <w:t xml:space="preserve">. Available at: </w:t>
      </w:r>
      <w:hyperlink r:id="R42cdb4c6d1bb488e">
        <w:r w:rsidRPr="756EA358" w:rsidR="7583E2DB">
          <w:rPr>
            <w:rStyle w:val="Hyperlink"/>
            <w:noProof w:val="0"/>
            <w:lang w:val="en-US"/>
          </w:rPr>
          <w:t>http://news.bbc.co.uk/1/hi/business/3164364.stm</w:t>
        </w:r>
      </w:hyperlink>
      <w:r w:rsidRPr="756EA358" w:rsidR="7583E2DB">
        <w:rPr>
          <w:rFonts w:ascii="Arial" w:hAnsi="Arial" w:eastAsia="Arial" w:cs="Arial"/>
          <w:noProof w:val="0"/>
          <w:sz w:val="24"/>
          <w:szCs w:val="24"/>
          <w:lang w:val="en-US"/>
        </w:rPr>
        <w:t xml:space="preserve"> </w:t>
      </w:r>
      <w:r w:rsidRPr="756EA358" w:rsidR="517A26E1">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Accessed 22 July 2026</w:t>
      </w:r>
      <w:r w:rsidRPr="756EA358" w:rsidR="71906740">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w:t>
      </w:r>
    </w:p>
    <w:p w:rsidR="749E6BA4" w:rsidP="756EA358" w:rsidRDefault="749E6BA4" w14:paraId="782BD5B9" w14:textId="5821E8B0">
      <w:pPr>
        <w:spacing w:before="0" w:beforeAutospacing="off" w:after="240" w:afterAutospacing="off" w:line="360" w:lineRule="auto"/>
      </w:pPr>
      <w:r w:rsidRPr="756EA358" w:rsidR="7583E2DB">
        <w:rPr>
          <w:rFonts w:ascii="Arial" w:hAnsi="Arial" w:eastAsia="Arial" w:cs="Arial"/>
          <w:noProof w:val="0"/>
          <w:sz w:val="24"/>
          <w:szCs w:val="24"/>
          <w:lang w:val="en-US"/>
        </w:rPr>
        <w:t xml:space="preserve">Bovill, J. (2024). </w:t>
      </w:r>
      <w:r w:rsidRPr="756EA358" w:rsidR="7583E2DB">
        <w:rPr>
          <w:rFonts w:ascii="Arial" w:hAnsi="Arial" w:eastAsia="Arial" w:cs="Arial"/>
          <w:i w:val="1"/>
          <w:iCs w:val="1"/>
          <w:noProof w:val="0"/>
          <w:sz w:val="24"/>
          <w:szCs w:val="24"/>
          <w:lang w:val="en-US"/>
        </w:rPr>
        <w:t>Cadbury turns 200: 11 Milestones in its history</w:t>
      </w:r>
      <w:r w:rsidRPr="756EA358" w:rsidR="7583E2DB">
        <w:rPr>
          <w:rFonts w:ascii="Arial" w:hAnsi="Arial" w:eastAsia="Arial" w:cs="Arial"/>
          <w:noProof w:val="0"/>
          <w:sz w:val="24"/>
          <w:szCs w:val="24"/>
          <w:lang w:val="en-US"/>
        </w:rPr>
        <w:t xml:space="preserve">.  </w:t>
      </w:r>
      <w:r w:rsidRPr="756EA358" w:rsidR="7583E2DB">
        <w:rPr>
          <w:rFonts w:ascii="Arial" w:hAnsi="Arial" w:eastAsia="Arial" w:cs="Arial"/>
          <w:i w:val="1"/>
          <w:iCs w:val="1"/>
          <w:noProof w:val="0"/>
          <w:sz w:val="24"/>
          <w:szCs w:val="24"/>
          <w:lang w:val="en-US"/>
        </w:rPr>
        <w:t>BBC News</w:t>
      </w:r>
      <w:r w:rsidRPr="756EA358" w:rsidR="7583E2DB">
        <w:rPr>
          <w:rFonts w:ascii="Arial" w:hAnsi="Arial" w:eastAsia="Arial" w:cs="Arial"/>
          <w:noProof w:val="0"/>
          <w:sz w:val="24"/>
          <w:szCs w:val="24"/>
          <w:lang w:val="en-US"/>
        </w:rPr>
        <w:t xml:space="preserve">. Available at: </w:t>
      </w:r>
      <w:hyperlink r:id="R621ed07a7b76463f">
        <w:r w:rsidRPr="756EA358" w:rsidR="7583E2DB">
          <w:rPr>
            <w:rStyle w:val="Hyperlink"/>
            <w:noProof w:val="0"/>
            <w:lang w:val="en-US"/>
          </w:rPr>
          <w:t>https://www.bbc.co.uk/news/articles/ck79gygry3lo</w:t>
        </w:r>
      </w:hyperlink>
      <w:r w:rsidRPr="756EA358" w:rsidR="7583E2DB">
        <w:rPr>
          <w:rFonts w:ascii="Arial" w:hAnsi="Arial" w:eastAsia="Arial" w:cs="Arial"/>
          <w:noProof w:val="0"/>
          <w:sz w:val="24"/>
          <w:szCs w:val="24"/>
          <w:lang w:val="en-US"/>
        </w:rPr>
        <w:t xml:space="preserve"> </w:t>
      </w:r>
      <w:r w:rsidRPr="756EA358" w:rsidR="7C6E18EF">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Accessed 22 July 2026</w:t>
      </w:r>
      <w:r w:rsidRPr="756EA358" w:rsidR="58A718AA">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w:t>
      </w:r>
    </w:p>
    <w:p w:rsidR="749E6BA4" w:rsidP="756EA358" w:rsidRDefault="749E6BA4" w14:paraId="69B1DFF3" w14:textId="15DAFE51">
      <w:pPr>
        <w:spacing w:before="0" w:beforeAutospacing="off" w:after="240" w:afterAutospacing="off" w:line="360" w:lineRule="auto"/>
      </w:pPr>
      <w:r w:rsidRPr="756EA358" w:rsidR="7583E2DB">
        <w:rPr>
          <w:rFonts w:ascii="Arial" w:hAnsi="Arial" w:eastAsia="Arial" w:cs="Arial"/>
          <w:noProof w:val="0"/>
          <w:sz w:val="24"/>
          <w:szCs w:val="24"/>
          <w:lang w:val="en-US"/>
        </w:rPr>
        <w:t xml:space="preserve">Cadbury (2024). </w:t>
      </w:r>
      <w:r w:rsidRPr="756EA358" w:rsidR="7583E2DB">
        <w:rPr>
          <w:rFonts w:ascii="Arial" w:hAnsi="Arial" w:eastAsia="Arial" w:cs="Arial"/>
          <w:i w:val="1"/>
          <w:iCs w:val="1"/>
          <w:noProof w:val="0"/>
          <w:sz w:val="24"/>
          <w:szCs w:val="24"/>
          <w:lang w:val="en-US"/>
        </w:rPr>
        <w:t>Cadbury unwrapped - reporting on key trends &amp; influences</w:t>
      </w:r>
      <w:r w:rsidRPr="756EA358" w:rsidR="7583E2DB">
        <w:rPr>
          <w:rFonts w:ascii="Arial" w:hAnsi="Arial" w:eastAsia="Arial" w:cs="Arial"/>
          <w:noProof w:val="0"/>
          <w:sz w:val="24"/>
          <w:szCs w:val="24"/>
          <w:lang w:val="en-US"/>
        </w:rPr>
        <w:t xml:space="preserve">. </w:t>
      </w:r>
      <w:r w:rsidRPr="756EA358" w:rsidR="7583E2DB">
        <w:rPr>
          <w:rFonts w:ascii="Arial" w:hAnsi="Arial" w:eastAsia="Arial" w:cs="Arial"/>
          <w:i w:val="1"/>
          <w:iCs w:val="1"/>
          <w:noProof w:val="0"/>
          <w:sz w:val="24"/>
          <w:szCs w:val="24"/>
          <w:lang w:val="en-US"/>
        </w:rPr>
        <w:t>Cadbury.co.uk</w:t>
      </w:r>
      <w:r w:rsidRPr="756EA358" w:rsidR="7583E2DB">
        <w:rPr>
          <w:rFonts w:ascii="Arial" w:hAnsi="Arial" w:eastAsia="Arial" w:cs="Arial"/>
          <w:noProof w:val="0"/>
          <w:sz w:val="24"/>
          <w:szCs w:val="24"/>
          <w:lang w:val="en-US"/>
        </w:rPr>
        <w:t xml:space="preserve">. Available at: </w:t>
      </w:r>
      <w:hyperlink r:id="Rf724824941b34445">
        <w:r w:rsidRPr="756EA358" w:rsidR="7583E2DB">
          <w:rPr>
            <w:rStyle w:val="Hyperlink"/>
            <w:noProof w:val="0"/>
            <w:lang w:val="en-US"/>
          </w:rPr>
          <w:t>https://www.cadbury.co.uk/about/impact/cadbury-unwrapped/</w:t>
        </w:r>
      </w:hyperlink>
      <w:r w:rsidRPr="756EA358" w:rsidR="7583E2DB">
        <w:rPr>
          <w:rFonts w:ascii="Arial" w:hAnsi="Arial" w:eastAsia="Arial" w:cs="Arial"/>
          <w:noProof w:val="0"/>
          <w:sz w:val="24"/>
          <w:szCs w:val="24"/>
          <w:lang w:val="en-US"/>
        </w:rPr>
        <w:t xml:space="preserve"> </w:t>
      </w:r>
      <w:r w:rsidRPr="756EA358" w:rsidR="05DD9287">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Accessed 22 July 2026</w:t>
      </w:r>
      <w:r w:rsidRPr="756EA358" w:rsidR="184F438C">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w:t>
      </w:r>
    </w:p>
    <w:p w:rsidR="749E6BA4" w:rsidP="756EA358" w:rsidRDefault="749E6BA4" w14:paraId="4E644DF2" w14:textId="24DA7414">
      <w:pPr>
        <w:pStyle w:val="Normal"/>
        <w:spacing w:before="0" w:beforeAutospacing="off" w:after="240" w:afterAutospacing="off" w:line="360" w:lineRule="auto"/>
      </w:pPr>
      <w:r w:rsidRPr="756EA358" w:rsidR="7583E2DB">
        <w:rPr>
          <w:rFonts w:ascii="Arial" w:hAnsi="Arial" w:eastAsia="Arial" w:cs="Arial"/>
          <w:noProof w:val="0"/>
          <w:sz w:val="24"/>
          <w:szCs w:val="24"/>
          <w:lang w:val="en-US"/>
        </w:rPr>
        <w:t>Cavusgil</w:t>
      </w:r>
      <w:r w:rsidRPr="756EA358" w:rsidR="7583E2DB">
        <w:rPr>
          <w:rFonts w:ascii="Arial" w:hAnsi="Arial" w:eastAsia="Arial" w:cs="Arial"/>
          <w:noProof w:val="0"/>
          <w:sz w:val="24"/>
          <w:szCs w:val="24"/>
          <w:lang w:val="en-US"/>
        </w:rPr>
        <w:t xml:space="preserve">, S., Knight, </w:t>
      </w:r>
      <w:r w:rsidRPr="756EA358" w:rsidR="7583E2DB">
        <w:rPr>
          <w:rFonts w:ascii="Arial" w:hAnsi="Arial" w:eastAsia="Arial" w:cs="Arial"/>
          <w:noProof w:val="0"/>
          <w:sz w:val="24"/>
          <w:szCs w:val="24"/>
          <w:lang w:val="en-US"/>
        </w:rPr>
        <w:t>G.</w:t>
      </w:r>
      <w:r w:rsidRPr="756EA358" w:rsidR="7583E2DB">
        <w:rPr>
          <w:rFonts w:ascii="Arial" w:hAnsi="Arial" w:eastAsia="Arial" w:cs="Arial"/>
          <w:noProof w:val="0"/>
          <w:sz w:val="24"/>
          <w:szCs w:val="24"/>
          <w:lang w:val="en-US"/>
        </w:rPr>
        <w:t xml:space="preserve"> and</w:t>
      </w:r>
      <w:r w:rsidRPr="756EA358" w:rsidR="7583E2DB">
        <w:rPr>
          <w:rFonts w:ascii="Arial" w:hAnsi="Arial" w:eastAsia="Arial" w:cs="Arial"/>
          <w:noProof w:val="0"/>
          <w:sz w:val="24"/>
          <w:szCs w:val="24"/>
          <w:lang w:val="en-US"/>
        </w:rPr>
        <w:t xml:space="preserve"> Riesenberger, J. (2019). </w:t>
      </w:r>
      <w:r w:rsidRPr="756EA358" w:rsidR="7583E2DB">
        <w:rPr>
          <w:rFonts w:ascii="Arial" w:hAnsi="Arial" w:eastAsia="Arial" w:cs="Arial"/>
          <w:i w:val="1"/>
          <w:iCs w:val="1"/>
          <w:noProof w:val="0"/>
          <w:sz w:val="24"/>
          <w:szCs w:val="24"/>
          <w:lang w:val="en-US"/>
        </w:rPr>
        <w:t>International business</w:t>
      </w:r>
      <w:r w:rsidRPr="756EA358" w:rsidR="7583E2DB">
        <w:rPr>
          <w:rFonts w:ascii="Arial" w:hAnsi="Arial" w:eastAsia="Arial" w:cs="Arial"/>
          <w:i w:val="1"/>
          <w:iCs w:val="1"/>
          <w:noProof w:val="0"/>
          <w:sz w:val="24"/>
          <w:szCs w:val="24"/>
          <w:lang w:val="en-US"/>
        </w:rPr>
        <w:t>: The new</w:t>
      </w:r>
      <w:r w:rsidRPr="756EA358" w:rsidR="7583E2DB">
        <w:rPr>
          <w:rFonts w:ascii="Arial" w:hAnsi="Arial" w:eastAsia="Arial" w:cs="Arial"/>
          <w:i w:val="1"/>
          <w:iCs w:val="1"/>
          <w:noProof w:val="0"/>
          <w:sz w:val="24"/>
          <w:szCs w:val="24"/>
          <w:lang w:val="en-US"/>
        </w:rPr>
        <w:t xml:space="preserve"> </w:t>
      </w:r>
      <w:r w:rsidRPr="756EA358" w:rsidR="7583E2DB">
        <w:rPr>
          <w:rFonts w:ascii="Arial" w:hAnsi="Arial" w:eastAsia="Arial" w:cs="Arial"/>
          <w:i w:val="1"/>
          <w:iCs w:val="1"/>
          <w:noProof w:val="0"/>
          <w:sz w:val="24"/>
          <w:szCs w:val="24"/>
          <w:lang w:val="en-US"/>
        </w:rPr>
        <w:t>realities</w:t>
      </w:r>
      <w:r w:rsidRPr="756EA358" w:rsidR="7583E2DB">
        <w:rPr>
          <w:rFonts w:ascii="Arial" w:hAnsi="Arial" w:eastAsia="Arial" w:cs="Arial"/>
          <w:i w:val="1"/>
          <w:iCs w:val="1"/>
          <w:noProof w:val="0"/>
          <w:sz w:val="24"/>
          <w:szCs w:val="24"/>
          <w:lang w:val="en-US"/>
        </w:rPr>
        <w:t>, global edition.</w:t>
      </w:r>
      <w:r w:rsidRPr="756EA358" w:rsidR="7583E2DB">
        <w:rPr>
          <w:rFonts w:ascii="Arial" w:hAnsi="Arial" w:eastAsia="Arial" w:cs="Arial"/>
          <w:noProof w:val="0"/>
          <w:sz w:val="24"/>
          <w:szCs w:val="24"/>
          <w:lang w:val="en-US"/>
        </w:rPr>
        <w:t xml:space="preserve"> S.L.: Pearson Education Limited.</w:t>
      </w:r>
      <w:r w:rsidRPr="756EA358" w:rsidR="6D16BA98">
        <w:rPr>
          <w:rFonts w:ascii="Arial" w:hAnsi="Arial" w:eastAsia="Arial" w:cs="Arial"/>
          <w:noProof w:val="0"/>
          <w:sz w:val="24"/>
          <w:szCs w:val="24"/>
          <w:lang w:val="en-US"/>
        </w:rPr>
        <w:t xml:space="preserve"> (Accessed 22 July 2026).</w:t>
      </w:r>
    </w:p>
    <w:p w:rsidR="749E6BA4" w:rsidP="756EA358" w:rsidRDefault="749E6BA4" w14:paraId="117AB38D" w14:textId="53764097">
      <w:pPr>
        <w:spacing w:before="0" w:beforeAutospacing="off" w:after="240" w:afterAutospacing="off" w:line="360" w:lineRule="auto"/>
      </w:pPr>
      <w:r w:rsidRPr="756EA358" w:rsidR="7583E2DB">
        <w:rPr>
          <w:rFonts w:ascii="Arial" w:hAnsi="Arial" w:eastAsia="Arial" w:cs="Arial"/>
          <w:noProof w:val="0"/>
          <w:sz w:val="24"/>
          <w:szCs w:val="24"/>
          <w:lang w:val="en-US"/>
        </w:rPr>
        <w:t>Cavusgil</w:t>
      </w:r>
      <w:r w:rsidRPr="756EA358" w:rsidR="7583E2DB">
        <w:rPr>
          <w:rFonts w:ascii="Arial" w:hAnsi="Arial" w:eastAsia="Arial" w:cs="Arial"/>
          <w:noProof w:val="0"/>
          <w:sz w:val="24"/>
          <w:szCs w:val="24"/>
          <w:lang w:val="en-US"/>
        </w:rPr>
        <w:t xml:space="preserve">, S.T. and </w:t>
      </w:r>
      <w:r w:rsidRPr="756EA358" w:rsidR="7583E2DB">
        <w:rPr>
          <w:rFonts w:ascii="Arial" w:hAnsi="Arial" w:eastAsia="Arial" w:cs="Arial"/>
          <w:noProof w:val="0"/>
          <w:sz w:val="24"/>
          <w:szCs w:val="24"/>
          <w:lang w:val="en-US"/>
        </w:rPr>
        <w:t>Cavusgil</w:t>
      </w:r>
      <w:r w:rsidRPr="756EA358" w:rsidR="7583E2DB">
        <w:rPr>
          <w:rFonts w:ascii="Arial" w:hAnsi="Arial" w:eastAsia="Arial" w:cs="Arial"/>
          <w:noProof w:val="0"/>
          <w:sz w:val="24"/>
          <w:szCs w:val="24"/>
          <w:lang w:val="en-US"/>
        </w:rPr>
        <w:t xml:space="preserve">, E. (2011). Reflections on international marketing: Destructive regeneration and multinational firms. </w:t>
      </w:r>
      <w:r w:rsidRPr="756EA358" w:rsidR="7583E2DB">
        <w:rPr>
          <w:rFonts w:ascii="Arial" w:hAnsi="Arial" w:eastAsia="Arial" w:cs="Arial"/>
          <w:i w:val="1"/>
          <w:iCs w:val="1"/>
          <w:noProof w:val="0"/>
          <w:sz w:val="24"/>
          <w:szCs w:val="24"/>
          <w:lang w:val="en-US"/>
        </w:rPr>
        <w:t xml:space="preserve">Journal of the </w:t>
      </w:r>
      <w:r w:rsidRPr="756EA358" w:rsidR="7583E2DB">
        <w:rPr>
          <w:rFonts w:ascii="Arial" w:hAnsi="Arial" w:eastAsia="Arial" w:cs="Arial"/>
          <w:i w:val="1"/>
          <w:iCs w:val="1"/>
          <w:noProof w:val="0"/>
          <w:sz w:val="24"/>
          <w:szCs w:val="24"/>
          <w:lang w:val="en-US"/>
        </w:rPr>
        <w:t>academy</w:t>
      </w:r>
      <w:r w:rsidRPr="756EA358" w:rsidR="7583E2DB">
        <w:rPr>
          <w:rFonts w:ascii="Arial" w:hAnsi="Arial" w:eastAsia="Arial" w:cs="Arial"/>
          <w:i w:val="1"/>
          <w:iCs w:val="1"/>
          <w:noProof w:val="0"/>
          <w:sz w:val="24"/>
          <w:szCs w:val="24"/>
          <w:lang w:val="en-US"/>
        </w:rPr>
        <w:t xml:space="preserve"> of Marketing </w:t>
      </w:r>
      <w:r w:rsidRPr="756EA358" w:rsidR="7583E2DB">
        <w:rPr>
          <w:rFonts w:ascii="Arial" w:hAnsi="Arial" w:eastAsia="Arial" w:cs="Arial"/>
          <w:i w:val="1"/>
          <w:iCs w:val="1"/>
          <w:noProof w:val="0"/>
          <w:sz w:val="24"/>
          <w:szCs w:val="24"/>
          <w:lang w:val="en-US"/>
        </w:rPr>
        <w:t>science</w:t>
      </w:r>
      <w:r w:rsidRPr="756EA358" w:rsidR="7583E2DB">
        <w:rPr>
          <w:rFonts w:ascii="Arial" w:hAnsi="Arial" w:eastAsia="Arial" w:cs="Arial"/>
          <w:noProof w:val="0"/>
          <w:sz w:val="24"/>
          <w:szCs w:val="24"/>
          <w:lang w:val="en-US"/>
        </w:rPr>
        <w:t xml:space="preserve">, 40(2), pp.202–217. </w:t>
      </w:r>
      <w:r>
        <w:fldChar w:fldCharType="begin"/>
      </w:r>
      <w:r>
        <w:instrText xml:space="preserve">HYPERLINK "https://doi:10.1007/s11747-011-0287-9" </w:instrText>
      </w:r>
      <w:r>
        <w:fldChar w:fldCharType="separate"/>
      </w:r>
      <w:r w:rsidRPr="756EA358" w:rsidR="3DDA8E7F">
        <w:rPr>
          <w:rStyle w:val="Hyperlink"/>
          <w:noProof w:val="0"/>
          <w:lang w:val="en-US"/>
        </w:rPr>
        <w:t>https://</w:t>
      </w:r>
      <w:r w:rsidRPr="756EA358" w:rsidR="7583E2DB">
        <w:rPr>
          <w:rStyle w:val="Hyperlink"/>
          <w:noProof w:val="0"/>
          <w:lang w:val="en-US"/>
        </w:rPr>
        <w:t>doi:10.1007/s11747-011-0287-9</w:t>
      </w:r>
      <w:r>
        <w:fldChar w:fldCharType="end"/>
      </w:r>
      <w:r w:rsidRPr="756EA358" w:rsidR="7583E2DB">
        <w:rPr>
          <w:rFonts w:ascii="Arial" w:hAnsi="Arial" w:eastAsia="Arial" w:cs="Arial"/>
          <w:noProof w:val="0"/>
          <w:sz w:val="24"/>
          <w:szCs w:val="24"/>
          <w:lang w:val="en-US"/>
        </w:rPr>
        <w:t>.</w:t>
      </w:r>
      <w:r w:rsidRPr="756EA358" w:rsidR="282AB1E1">
        <w:rPr>
          <w:rFonts w:ascii="Arial" w:hAnsi="Arial" w:eastAsia="Arial" w:cs="Arial"/>
          <w:noProof w:val="0"/>
          <w:sz w:val="24"/>
          <w:szCs w:val="24"/>
          <w:lang w:val="en-US"/>
        </w:rPr>
        <w:t xml:space="preserve"> </w:t>
      </w:r>
    </w:p>
    <w:p w:rsidR="749E6BA4" w:rsidP="756EA358" w:rsidRDefault="749E6BA4" w14:paraId="5EE7829A" w14:textId="480FFBD3">
      <w:pPr>
        <w:spacing w:before="0" w:beforeAutospacing="off" w:after="240" w:afterAutospacing="off" w:line="360" w:lineRule="auto"/>
      </w:pPr>
      <w:r w:rsidRPr="756EA358" w:rsidR="7583E2DB">
        <w:rPr>
          <w:rFonts w:ascii="Arial" w:hAnsi="Arial" w:eastAsia="Arial" w:cs="Arial"/>
          <w:noProof w:val="0"/>
          <w:sz w:val="24"/>
          <w:szCs w:val="24"/>
          <w:lang w:val="en-US"/>
        </w:rPr>
        <w:t xml:space="preserve">Craft, S.H. and Hassan, S.S. (2014). Global consumer market segmentation strategy decisions and managerial assessment of performance. </w:t>
      </w:r>
      <w:r w:rsidRPr="756EA358" w:rsidR="7583E2DB">
        <w:rPr>
          <w:rFonts w:ascii="Arial" w:hAnsi="Arial" w:eastAsia="Arial" w:cs="Arial"/>
          <w:i w:val="1"/>
          <w:iCs w:val="1"/>
          <w:noProof w:val="0"/>
          <w:sz w:val="24"/>
          <w:szCs w:val="24"/>
          <w:lang w:val="en-US"/>
        </w:rPr>
        <w:t xml:space="preserve">Developments in </w:t>
      </w:r>
      <w:r w:rsidRPr="756EA358" w:rsidR="7583E2DB">
        <w:rPr>
          <w:rFonts w:ascii="Arial" w:hAnsi="Arial" w:eastAsia="Arial" w:cs="Arial"/>
          <w:i w:val="1"/>
          <w:iCs w:val="1"/>
          <w:noProof w:val="0"/>
          <w:sz w:val="24"/>
          <w:szCs w:val="24"/>
          <w:lang w:val="en-US"/>
        </w:rPr>
        <w:t>marketing science</w:t>
      </w:r>
      <w:r w:rsidRPr="756EA358" w:rsidR="7583E2DB">
        <w:rPr>
          <w:rFonts w:ascii="Arial" w:hAnsi="Arial" w:eastAsia="Arial" w:cs="Arial"/>
          <w:i w:val="1"/>
          <w:iCs w:val="1"/>
          <w:noProof w:val="0"/>
          <w:sz w:val="24"/>
          <w:szCs w:val="24"/>
          <w:lang w:val="en-US"/>
        </w:rPr>
        <w:t xml:space="preserve">: Proceedings of the </w:t>
      </w:r>
      <w:r w:rsidRPr="756EA358" w:rsidR="7583E2DB">
        <w:rPr>
          <w:rFonts w:ascii="Arial" w:hAnsi="Arial" w:eastAsia="Arial" w:cs="Arial"/>
          <w:i w:val="1"/>
          <w:iCs w:val="1"/>
          <w:noProof w:val="0"/>
          <w:sz w:val="24"/>
          <w:szCs w:val="24"/>
          <w:lang w:val="en-US"/>
        </w:rPr>
        <w:t>academy</w:t>
      </w:r>
      <w:r w:rsidRPr="756EA358" w:rsidR="7583E2DB">
        <w:rPr>
          <w:rFonts w:ascii="Arial" w:hAnsi="Arial" w:eastAsia="Arial" w:cs="Arial"/>
          <w:i w:val="1"/>
          <w:iCs w:val="1"/>
          <w:noProof w:val="0"/>
          <w:sz w:val="24"/>
          <w:szCs w:val="24"/>
          <w:lang w:val="en-US"/>
        </w:rPr>
        <w:t xml:space="preserve"> of Marketing </w:t>
      </w:r>
      <w:r w:rsidRPr="756EA358" w:rsidR="7583E2DB">
        <w:rPr>
          <w:rFonts w:ascii="Arial" w:hAnsi="Arial" w:eastAsia="Arial" w:cs="Arial"/>
          <w:i w:val="1"/>
          <w:iCs w:val="1"/>
          <w:noProof w:val="0"/>
          <w:sz w:val="24"/>
          <w:szCs w:val="24"/>
          <w:lang w:val="en-US"/>
        </w:rPr>
        <w:t>science</w:t>
      </w:r>
      <w:r w:rsidRPr="756EA358" w:rsidR="7583E2DB">
        <w:rPr>
          <w:rFonts w:ascii="Arial" w:hAnsi="Arial" w:eastAsia="Arial" w:cs="Arial"/>
          <w:noProof w:val="0"/>
          <w:sz w:val="24"/>
          <w:szCs w:val="24"/>
          <w:lang w:val="en-US"/>
        </w:rPr>
        <w:t>, pp</w:t>
      </w:r>
      <w:r w:rsidRPr="756EA358" w:rsidR="7583E2DB">
        <w:rPr>
          <w:rFonts w:ascii="Arial" w:hAnsi="Arial" w:eastAsia="Arial" w:cs="Arial"/>
          <w:noProof w:val="0"/>
          <w:sz w:val="24"/>
          <w:szCs w:val="24"/>
          <w:lang w:val="en-US"/>
        </w:rPr>
        <w:t>.26</w:t>
      </w:r>
      <w:r w:rsidRPr="756EA358" w:rsidR="7583E2DB">
        <w:rPr>
          <w:rFonts w:ascii="Arial" w:hAnsi="Arial" w:eastAsia="Arial" w:cs="Arial"/>
          <w:noProof w:val="0"/>
          <w:sz w:val="24"/>
          <w:szCs w:val="24"/>
          <w:lang w:val="en-US"/>
        </w:rPr>
        <w:t xml:space="preserve">–30. </w:t>
      </w:r>
      <w:r>
        <w:fldChar w:fldCharType="begin"/>
      </w:r>
      <w:r>
        <w:instrText xml:space="preserve">HYPERLINK "https://doi:10.1007/978-3-319-11761-4_17" </w:instrText>
      </w:r>
      <w:r>
        <w:fldChar w:fldCharType="separate"/>
      </w:r>
      <w:r w:rsidRPr="756EA358" w:rsidR="7C7BCDC7">
        <w:rPr>
          <w:rStyle w:val="Hyperlink"/>
          <w:noProof w:val="0"/>
          <w:lang w:val="en-US"/>
        </w:rPr>
        <w:t>https://</w:t>
      </w:r>
      <w:r w:rsidRPr="756EA358" w:rsidR="7583E2DB">
        <w:rPr>
          <w:rStyle w:val="Hyperlink"/>
          <w:noProof w:val="0"/>
          <w:lang w:val="en-US"/>
        </w:rPr>
        <w:t>doi:10.1007/978-3-319-11761-4_17</w:t>
      </w:r>
      <w:r>
        <w:fldChar w:fldCharType="end"/>
      </w:r>
      <w:r w:rsidRPr="756EA358" w:rsidR="7583E2DB">
        <w:rPr>
          <w:rFonts w:ascii="Arial" w:hAnsi="Arial" w:eastAsia="Arial" w:cs="Arial"/>
          <w:noProof w:val="0"/>
          <w:sz w:val="24"/>
          <w:szCs w:val="24"/>
          <w:lang w:val="en-US"/>
        </w:rPr>
        <w:t>.</w:t>
      </w:r>
      <w:r w:rsidRPr="756EA358" w:rsidR="575734DC">
        <w:rPr>
          <w:rFonts w:ascii="Arial" w:hAnsi="Arial" w:eastAsia="Arial" w:cs="Arial"/>
          <w:noProof w:val="0"/>
          <w:sz w:val="24"/>
          <w:szCs w:val="24"/>
          <w:lang w:val="en-US"/>
        </w:rPr>
        <w:t xml:space="preserve"> </w:t>
      </w:r>
    </w:p>
    <w:p w:rsidR="749E6BA4" w:rsidP="756EA358" w:rsidRDefault="749E6BA4" w14:paraId="4BD758D7" w14:textId="397BA1E4">
      <w:pPr>
        <w:spacing w:before="0" w:beforeAutospacing="off" w:after="240" w:afterAutospacing="off" w:line="360" w:lineRule="auto"/>
      </w:pPr>
      <w:r w:rsidRPr="756EA358" w:rsidR="7583E2DB">
        <w:rPr>
          <w:rFonts w:ascii="Arial" w:hAnsi="Arial" w:eastAsia="Arial" w:cs="Arial"/>
          <w:noProof w:val="0"/>
          <w:sz w:val="24"/>
          <w:szCs w:val="24"/>
          <w:lang w:val="en-US"/>
        </w:rPr>
        <w:t xml:space="preserve">Dhanya Ushas (2014). </w:t>
      </w:r>
      <w:r w:rsidRPr="756EA358" w:rsidR="7583E2DB">
        <w:rPr>
          <w:rFonts w:ascii="Arial" w:hAnsi="Arial" w:eastAsia="Arial" w:cs="Arial"/>
          <w:i w:val="1"/>
          <w:iCs w:val="1"/>
          <w:noProof w:val="0"/>
          <w:sz w:val="24"/>
          <w:szCs w:val="24"/>
          <w:lang w:val="en-US"/>
        </w:rPr>
        <w:t xml:space="preserve">Cadbury’s worm issue case study by </w:t>
      </w:r>
      <w:r w:rsidRPr="756EA358" w:rsidR="7583E2DB">
        <w:rPr>
          <w:rFonts w:ascii="Arial" w:hAnsi="Arial" w:eastAsia="Arial" w:cs="Arial"/>
          <w:i w:val="1"/>
          <w:iCs w:val="1"/>
          <w:noProof w:val="0"/>
          <w:sz w:val="24"/>
          <w:szCs w:val="24"/>
          <w:lang w:val="en-US"/>
        </w:rPr>
        <w:t>chaithanya</w:t>
      </w:r>
      <w:r w:rsidRPr="756EA358" w:rsidR="7583E2DB">
        <w:rPr>
          <w:rFonts w:ascii="Arial" w:hAnsi="Arial" w:eastAsia="Arial" w:cs="Arial"/>
          <w:i w:val="1"/>
          <w:iCs w:val="1"/>
          <w:noProof w:val="0"/>
          <w:sz w:val="24"/>
          <w:szCs w:val="24"/>
          <w:lang w:val="en-US"/>
        </w:rPr>
        <w:t xml:space="preserve"> &amp; </w:t>
      </w:r>
      <w:r w:rsidRPr="756EA358" w:rsidR="7583E2DB">
        <w:rPr>
          <w:rFonts w:ascii="Arial" w:hAnsi="Arial" w:eastAsia="Arial" w:cs="Arial"/>
          <w:i w:val="1"/>
          <w:iCs w:val="1"/>
          <w:noProof w:val="0"/>
          <w:sz w:val="24"/>
          <w:szCs w:val="24"/>
          <w:lang w:val="en-US"/>
        </w:rPr>
        <w:t>dhanya</w:t>
      </w:r>
      <w:r w:rsidRPr="756EA358" w:rsidR="7583E2DB">
        <w:rPr>
          <w:rFonts w:ascii="Arial" w:hAnsi="Arial" w:eastAsia="Arial" w:cs="Arial"/>
          <w:noProof w:val="0"/>
          <w:sz w:val="24"/>
          <w:szCs w:val="24"/>
          <w:lang w:val="en-US"/>
        </w:rPr>
        <w:t xml:space="preserve">.  </w:t>
      </w:r>
      <w:r w:rsidRPr="756EA358" w:rsidR="7583E2DB">
        <w:rPr>
          <w:rFonts w:ascii="Arial" w:hAnsi="Arial" w:eastAsia="Arial" w:cs="Arial"/>
          <w:noProof w:val="0"/>
          <w:sz w:val="24"/>
          <w:szCs w:val="24"/>
          <w:lang w:val="en-US"/>
        </w:rPr>
        <w:t>Slideshare</w:t>
      </w:r>
      <w:r w:rsidRPr="756EA358" w:rsidR="7583E2DB">
        <w:rPr>
          <w:rFonts w:ascii="Arial" w:hAnsi="Arial" w:eastAsia="Arial" w:cs="Arial"/>
          <w:noProof w:val="0"/>
          <w:sz w:val="24"/>
          <w:szCs w:val="24"/>
          <w:lang w:val="en-US"/>
        </w:rPr>
        <w:t xml:space="preserve">. Available at: </w:t>
      </w:r>
      <w:hyperlink r:id="R832223262851469a">
        <w:r w:rsidRPr="756EA358" w:rsidR="7583E2DB">
          <w:rPr>
            <w:rStyle w:val="Hyperlink"/>
            <w:noProof w:val="0"/>
            <w:lang w:val="en-US"/>
          </w:rPr>
          <w:t>https://www.slideshare.net/slideshow/cadburys-worm-issue-case-study-by-chaithanya-dhanya/40009330</w:t>
        </w:r>
      </w:hyperlink>
      <w:r w:rsidRPr="756EA358" w:rsidR="7583E2DB">
        <w:rPr>
          <w:rFonts w:ascii="Arial" w:hAnsi="Arial" w:eastAsia="Arial" w:cs="Arial"/>
          <w:noProof w:val="0"/>
          <w:sz w:val="24"/>
          <w:szCs w:val="24"/>
          <w:lang w:val="en-US"/>
        </w:rPr>
        <w:t xml:space="preserve"> </w:t>
      </w:r>
      <w:r w:rsidRPr="756EA358" w:rsidR="5270BE02">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Accessed 22 July 2026</w:t>
      </w:r>
      <w:r w:rsidRPr="756EA358" w:rsidR="54B22849">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w:t>
      </w:r>
    </w:p>
    <w:p w:rsidR="749E6BA4" w:rsidP="756EA358" w:rsidRDefault="749E6BA4" w14:paraId="48A1922D" w14:textId="35CBC99F">
      <w:pPr>
        <w:spacing w:before="0" w:beforeAutospacing="off" w:after="240" w:afterAutospacing="off" w:line="360" w:lineRule="auto"/>
      </w:pPr>
      <w:r w:rsidRPr="756EA358" w:rsidR="7583E2DB">
        <w:rPr>
          <w:rFonts w:ascii="Arial" w:hAnsi="Arial" w:eastAsia="Arial" w:cs="Arial"/>
          <w:noProof w:val="0"/>
          <w:sz w:val="24"/>
          <w:szCs w:val="24"/>
          <w:lang w:val="en-US"/>
        </w:rPr>
        <w:t xml:space="preserve">Diallo, M.F., </w:t>
      </w:r>
      <w:r w:rsidRPr="756EA358" w:rsidR="7583E2DB">
        <w:rPr>
          <w:rFonts w:ascii="Arial" w:hAnsi="Arial" w:eastAsia="Arial" w:cs="Arial"/>
          <w:noProof w:val="0"/>
          <w:sz w:val="24"/>
          <w:szCs w:val="24"/>
          <w:lang w:val="en-US"/>
        </w:rPr>
        <w:t>Djelassi</w:t>
      </w:r>
      <w:r w:rsidRPr="756EA358" w:rsidR="7583E2DB">
        <w:rPr>
          <w:rFonts w:ascii="Arial" w:hAnsi="Arial" w:eastAsia="Arial" w:cs="Arial"/>
          <w:noProof w:val="0"/>
          <w:sz w:val="24"/>
          <w:szCs w:val="24"/>
          <w:lang w:val="en-US"/>
        </w:rPr>
        <w:t>, S.</w:t>
      </w:r>
      <w:r w:rsidRPr="756EA358" w:rsidR="7583E2DB">
        <w:rPr>
          <w:rFonts w:ascii="Arial" w:hAnsi="Arial" w:eastAsia="Arial" w:cs="Arial"/>
          <w:noProof w:val="0"/>
          <w:sz w:val="24"/>
          <w:szCs w:val="24"/>
          <w:lang w:val="en-US"/>
        </w:rPr>
        <w:t xml:space="preserve"> and</w:t>
      </w:r>
      <w:r w:rsidRPr="756EA358" w:rsidR="7583E2DB">
        <w:rPr>
          <w:rFonts w:ascii="Arial" w:hAnsi="Arial" w:eastAsia="Arial" w:cs="Arial"/>
          <w:noProof w:val="0"/>
          <w:sz w:val="24"/>
          <w:szCs w:val="24"/>
          <w:lang w:val="en-US"/>
        </w:rPr>
        <w:t xml:space="preserve"> Kumar, V. (2021). Marketing and globalization: Relevance, </w:t>
      </w:r>
      <w:r w:rsidRPr="756EA358" w:rsidR="7583E2DB">
        <w:rPr>
          <w:rFonts w:ascii="Arial" w:hAnsi="Arial" w:eastAsia="Arial" w:cs="Arial"/>
          <w:noProof w:val="0"/>
          <w:sz w:val="24"/>
          <w:szCs w:val="24"/>
          <w:lang w:val="en-US"/>
        </w:rPr>
        <w:t>trends</w:t>
      </w:r>
      <w:r w:rsidRPr="756EA358" w:rsidR="7583E2DB">
        <w:rPr>
          <w:rFonts w:ascii="Arial" w:hAnsi="Arial" w:eastAsia="Arial" w:cs="Arial"/>
          <w:noProof w:val="0"/>
          <w:sz w:val="24"/>
          <w:szCs w:val="24"/>
          <w:lang w:val="en-US"/>
        </w:rPr>
        <w:t xml:space="preserve"> and future research. </w:t>
      </w:r>
      <w:r w:rsidRPr="756EA358" w:rsidR="7583E2DB">
        <w:rPr>
          <w:rFonts w:ascii="Arial" w:hAnsi="Arial" w:eastAsia="Arial" w:cs="Arial"/>
          <w:i w:val="1"/>
          <w:iCs w:val="1"/>
          <w:noProof w:val="0"/>
          <w:sz w:val="24"/>
          <w:szCs w:val="24"/>
          <w:lang w:val="en-US"/>
        </w:rPr>
        <w:t xml:space="preserve">Recherche et applications </w:t>
      </w:r>
      <w:r w:rsidRPr="756EA358" w:rsidR="7583E2DB">
        <w:rPr>
          <w:rFonts w:ascii="Arial" w:hAnsi="Arial" w:eastAsia="Arial" w:cs="Arial"/>
          <w:i w:val="1"/>
          <w:iCs w:val="1"/>
          <w:noProof w:val="0"/>
          <w:sz w:val="24"/>
          <w:szCs w:val="24"/>
          <w:lang w:val="en-US"/>
        </w:rPr>
        <w:t>en</w:t>
      </w:r>
      <w:r w:rsidRPr="756EA358" w:rsidR="7583E2DB">
        <w:rPr>
          <w:rFonts w:ascii="Arial" w:hAnsi="Arial" w:eastAsia="Arial" w:cs="Arial"/>
          <w:i w:val="1"/>
          <w:iCs w:val="1"/>
          <w:noProof w:val="0"/>
          <w:sz w:val="24"/>
          <w:szCs w:val="24"/>
          <w:lang w:val="en-US"/>
        </w:rPr>
        <w:t xml:space="preserve"> marketing (</w:t>
      </w:r>
      <w:r w:rsidRPr="756EA358" w:rsidR="7583E2DB">
        <w:rPr>
          <w:rFonts w:ascii="Arial" w:hAnsi="Arial" w:eastAsia="Arial" w:cs="Arial"/>
          <w:i w:val="1"/>
          <w:iCs w:val="1"/>
          <w:noProof w:val="0"/>
          <w:sz w:val="24"/>
          <w:szCs w:val="24"/>
          <w:lang w:val="en-US"/>
        </w:rPr>
        <w:t>english</w:t>
      </w:r>
      <w:r w:rsidRPr="756EA358" w:rsidR="7583E2DB">
        <w:rPr>
          <w:rFonts w:ascii="Arial" w:hAnsi="Arial" w:eastAsia="Arial" w:cs="Arial"/>
          <w:i w:val="1"/>
          <w:iCs w:val="1"/>
          <w:noProof w:val="0"/>
          <w:sz w:val="24"/>
          <w:szCs w:val="24"/>
          <w:lang w:val="en-US"/>
        </w:rPr>
        <w:t xml:space="preserve"> edition)</w:t>
      </w:r>
      <w:r w:rsidRPr="756EA358" w:rsidR="7583E2DB">
        <w:rPr>
          <w:rFonts w:ascii="Arial" w:hAnsi="Arial" w:eastAsia="Arial" w:cs="Arial"/>
          <w:noProof w:val="0"/>
          <w:sz w:val="24"/>
          <w:szCs w:val="24"/>
          <w:lang w:val="en-US"/>
        </w:rPr>
        <w:t xml:space="preserve">, 36(3), p.205157072110273. </w:t>
      </w:r>
      <w:r>
        <w:fldChar w:fldCharType="begin"/>
      </w:r>
      <w:r>
        <w:instrText xml:space="preserve">HYPERLINK "https://doi:10.1177/20515707211027326" </w:instrText>
      </w:r>
      <w:r>
        <w:fldChar w:fldCharType="separate"/>
      </w:r>
      <w:r w:rsidRPr="756EA358" w:rsidR="4ACA32F8">
        <w:rPr>
          <w:rStyle w:val="Hyperlink"/>
          <w:noProof w:val="0"/>
          <w:lang w:val="en-US"/>
        </w:rPr>
        <w:t>https://</w:t>
      </w:r>
      <w:r w:rsidRPr="756EA358" w:rsidR="7583E2DB">
        <w:rPr>
          <w:rStyle w:val="Hyperlink"/>
          <w:noProof w:val="0"/>
          <w:lang w:val="en-US"/>
        </w:rPr>
        <w:t>doi:10.1177/20515707211027326</w:t>
      </w:r>
      <w:r>
        <w:fldChar w:fldCharType="end"/>
      </w:r>
      <w:r w:rsidRPr="756EA358" w:rsidR="7583E2DB">
        <w:rPr>
          <w:rFonts w:ascii="Arial" w:hAnsi="Arial" w:eastAsia="Arial" w:cs="Arial"/>
          <w:noProof w:val="0"/>
          <w:sz w:val="24"/>
          <w:szCs w:val="24"/>
          <w:lang w:val="en-US"/>
        </w:rPr>
        <w:t>.</w:t>
      </w:r>
      <w:r w:rsidRPr="756EA358" w:rsidR="120EDE1D">
        <w:rPr>
          <w:rFonts w:ascii="Arial" w:hAnsi="Arial" w:eastAsia="Arial" w:cs="Arial"/>
          <w:noProof w:val="0"/>
          <w:sz w:val="24"/>
          <w:szCs w:val="24"/>
          <w:lang w:val="en-US"/>
        </w:rPr>
        <w:t xml:space="preserve"> </w:t>
      </w:r>
    </w:p>
    <w:p w:rsidR="749E6BA4" w:rsidP="756EA358" w:rsidRDefault="749E6BA4" w14:paraId="4DA43C83" w14:textId="164F5F87">
      <w:pPr>
        <w:spacing w:before="0" w:beforeAutospacing="off" w:after="240" w:afterAutospacing="off" w:line="360" w:lineRule="auto"/>
      </w:pPr>
      <w:r w:rsidRPr="756EA358" w:rsidR="7583E2DB">
        <w:rPr>
          <w:rFonts w:ascii="Arial" w:hAnsi="Arial" w:eastAsia="Arial" w:cs="Arial"/>
          <w:noProof w:val="0"/>
          <w:sz w:val="24"/>
          <w:szCs w:val="24"/>
          <w:lang w:val="en-US"/>
        </w:rPr>
        <w:t xml:space="preserve">Dunning, J.H. (1980). Toward an eclectic theory of </w:t>
      </w:r>
      <w:r w:rsidRPr="756EA358" w:rsidR="7583E2DB">
        <w:rPr>
          <w:rFonts w:ascii="Arial" w:hAnsi="Arial" w:eastAsia="Arial" w:cs="Arial"/>
          <w:noProof w:val="0"/>
          <w:sz w:val="24"/>
          <w:szCs w:val="24"/>
          <w:lang w:val="en-US"/>
        </w:rPr>
        <w:t>International</w:t>
      </w:r>
      <w:r w:rsidRPr="756EA358" w:rsidR="7583E2DB">
        <w:rPr>
          <w:rFonts w:ascii="Arial" w:hAnsi="Arial" w:eastAsia="Arial" w:cs="Arial"/>
          <w:noProof w:val="0"/>
          <w:sz w:val="24"/>
          <w:szCs w:val="24"/>
          <w:lang w:val="en-US"/>
        </w:rPr>
        <w:t xml:space="preserve"> production: Some empirical tests. </w:t>
      </w:r>
      <w:r w:rsidRPr="756EA358" w:rsidR="7583E2DB">
        <w:rPr>
          <w:rFonts w:ascii="Arial" w:hAnsi="Arial" w:eastAsia="Arial" w:cs="Arial"/>
          <w:i w:val="1"/>
          <w:iCs w:val="1"/>
          <w:noProof w:val="0"/>
          <w:sz w:val="24"/>
          <w:szCs w:val="24"/>
          <w:lang w:val="en-US"/>
        </w:rPr>
        <w:t xml:space="preserve">Journal of International </w:t>
      </w:r>
      <w:r w:rsidRPr="756EA358" w:rsidR="7583E2DB">
        <w:rPr>
          <w:rFonts w:ascii="Arial" w:hAnsi="Arial" w:eastAsia="Arial" w:cs="Arial"/>
          <w:i w:val="1"/>
          <w:iCs w:val="1"/>
          <w:noProof w:val="0"/>
          <w:sz w:val="24"/>
          <w:szCs w:val="24"/>
          <w:lang w:val="en-US"/>
        </w:rPr>
        <w:t>business studies</w:t>
      </w:r>
      <w:r w:rsidRPr="756EA358" w:rsidR="7583E2DB">
        <w:rPr>
          <w:rFonts w:ascii="Arial" w:hAnsi="Arial" w:eastAsia="Arial" w:cs="Arial"/>
          <w:noProof w:val="0"/>
          <w:sz w:val="24"/>
          <w:szCs w:val="24"/>
          <w:lang w:val="en-US"/>
        </w:rPr>
        <w:t>, 11(1), pp</w:t>
      </w:r>
      <w:r w:rsidRPr="756EA358" w:rsidR="7583E2DB">
        <w:rPr>
          <w:rFonts w:ascii="Arial" w:hAnsi="Arial" w:eastAsia="Arial" w:cs="Arial"/>
          <w:noProof w:val="0"/>
          <w:sz w:val="24"/>
          <w:szCs w:val="24"/>
          <w:lang w:val="en-US"/>
        </w:rPr>
        <w:t>.9</w:t>
      </w:r>
      <w:r w:rsidRPr="756EA358" w:rsidR="7583E2DB">
        <w:rPr>
          <w:rFonts w:ascii="Arial" w:hAnsi="Arial" w:eastAsia="Arial" w:cs="Arial"/>
          <w:noProof w:val="0"/>
          <w:sz w:val="24"/>
          <w:szCs w:val="24"/>
          <w:lang w:val="en-US"/>
        </w:rPr>
        <w:t xml:space="preserve">–31. </w:t>
      </w:r>
      <w:r>
        <w:fldChar w:fldCharType="begin"/>
      </w:r>
      <w:r>
        <w:instrText xml:space="preserve">HYPERLINK "https://doi:10.1057/palgrave.jibs.8490593" </w:instrText>
      </w:r>
      <w:r>
        <w:fldChar w:fldCharType="separate"/>
      </w:r>
      <w:r w:rsidRPr="756EA358" w:rsidR="42EF137C">
        <w:rPr>
          <w:rStyle w:val="Hyperlink"/>
          <w:noProof w:val="0"/>
          <w:lang w:val="en-US"/>
        </w:rPr>
        <w:t>https://</w:t>
      </w:r>
      <w:r w:rsidRPr="756EA358" w:rsidR="7583E2DB">
        <w:rPr>
          <w:rStyle w:val="Hyperlink"/>
          <w:noProof w:val="0"/>
          <w:lang w:val="en-US"/>
        </w:rPr>
        <w:t>doi:10.1057/palgrave.jibs.8490593</w:t>
      </w:r>
      <w:r>
        <w:fldChar w:fldCharType="end"/>
      </w:r>
      <w:r w:rsidRPr="756EA358" w:rsidR="7583E2DB">
        <w:rPr>
          <w:rFonts w:ascii="Arial" w:hAnsi="Arial" w:eastAsia="Arial" w:cs="Arial"/>
          <w:noProof w:val="0"/>
          <w:sz w:val="24"/>
          <w:szCs w:val="24"/>
          <w:lang w:val="en-US"/>
        </w:rPr>
        <w:t>.</w:t>
      </w:r>
      <w:r w:rsidRPr="756EA358" w:rsidR="69DA1E45">
        <w:rPr>
          <w:rFonts w:ascii="Arial" w:hAnsi="Arial" w:eastAsia="Arial" w:cs="Arial"/>
          <w:noProof w:val="0"/>
          <w:sz w:val="24"/>
          <w:szCs w:val="24"/>
          <w:lang w:val="en-US"/>
        </w:rPr>
        <w:t xml:space="preserve"> </w:t>
      </w:r>
    </w:p>
    <w:p w:rsidR="749E6BA4" w:rsidP="756EA358" w:rsidRDefault="749E6BA4" w14:paraId="77BAB0C4" w14:textId="76149F61">
      <w:pPr>
        <w:spacing w:before="0" w:beforeAutospacing="off" w:after="240" w:afterAutospacing="off" w:line="360" w:lineRule="auto"/>
      </w:pPr>
      <w:r w:rsidRPr="756EA358" w:rsidR="7583E2DB">
        <w:rPr>
          <w:rFonts w:ascii="Arial" w:hAnsi="Arial" w:eastAsia="Arial" w:cs="Arial"/>
          <w:noProof w:val="0"/>
          <w:sz w:val="24"/>
          <w:szCs w:val="24"/>
          <w:lang w:val="en-US"/>
        </w:rPr>
        <w:t xml:space="preserve">Ha, L. (2024). </w:t>
      </w:r>
      <w:r w:rsidRPr="756EA358" w:rsidR="7583E2DB">
        <w:rPr>
          <w:rFonts w:ascii="Arial" w:hAnsi="Arial" w:eastAsia="Arial" w:cs="Arial"/>
          <w:i w:val="1"/>
          <w:iCs w:val="1"/>
          <w:noProof w:val="0"/>
          <w:sz w:val="24"/>
          <w:szCs w:val="24"/>
          <w:lang w:val="en-US"/>
        </w:rPr>
        <w:t>Global economic outlook: Q4 2024</w:t>
      </w:r>
      <w:r w:rsidRPr="756EA358" w:rsidR="7583E2DB">
        <w:rPr>
          <w:rFonts w:ascii="Arial" w:hAnsi="Arial" w:eastAsia="Arial" w:cs="Arial"/>
          <w:noProof w:val="0"/>
          <w:sz w:val="24"/>
          <w:szCs w:val="24"/>
          <w:lang w:val="en-US"/>
        </w:rPr>
        <w:t xml:space="preserve">.  </w:t>
      </w:r>
      <w:r w:rsidRPr="756EA358" w:rsidR="7583E2DB">
        <w:rPr>
          <w:rFonts w:ascii="Arial" w:hAnsi="Arial" w:eastAsia="Arial" w:cs="Arial"/>
          <w:i w:val="1"/>
          <w:iCs w:val="1"/>
          <w:noProof w:val="0"/>
          <w:sz w:val="24"/>
          <w:szCs w:val="24"/>
          <w:lang w:val="en-US"/>
        </w:rPr>
        <w:t>Euromonitor</w:t>
      </w:r>
      <w:r w:rsidRPr="756EA358" w:rsidR="7583E2DB">
        <w:rPr>
          <w:rFonts w:ascii="Arial" w:hAnsi="Arial" w:eastAsia="Arial" w:cs="Arial"/>
          <w:noProof w:val="0"/>
          <w:sz w:val="24"/>
          <w:szCs w:val="24"/>
          <w:lang w:val="en-US"/>
        </w:rPr>
        <w:t xml:space="preserve">. Euromonitor International. Available at: </w:t>
      </w:r>
      <w:hyperlink r:id="R0cef082ce2e6427a">
        <w:r w:rsidRPr="756EA358" w:rsidR="7583E2DB">
          <w:rPr>
            <w:rStyle w:val="Hyperlink"/>
            <w:noProof w:val="0"/>
            <w:lang w:val="en-US"/>
          </w:rPr>
          <w:t>https://www.euromonitor.com/article/global-economic-outlook-q4-2024</w:t>
        </w:r>
      </w:hyperlink>
      <w:r w:rsidRPr="756EA358" w:rsidR="7583E2DB">
        <w:rPr>
          <w:rFonts w:ascii="Arial" w:hAnsi="Arial" w:eastAsia="Arial" w:cs="Arial"/>
          <w:noProof w:val="0"/>
          <w:sz w:val="24"/>
          <w:szCs w:val="24"/>
          <w:lang w:val="en-US"/>
        </w:rPr>
        <w:t xml:space="preserve"> </w:t>
      </w:r>
      <w:r w:rsidRPr="756EA358" w:rsidR="5F11AC6C">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Accessed 22 July 2026</w:t>
      </w:r>
      <w:r w:rsidRPr="756EA358" w:rsidR="08A52AE9">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w:t>
      </w:r>
    </w:p>
    <w:p w:rsidR="749E6BA4" w:rsidP="756EA358" w:rsidRDefault="749E6BA4" w14:paraId="7372DDDD" w14:textId="1D01B0FF">
      <w:pPr>
        <w:spacing w:before="0" w:beforeAutospacing="off" w:after="240" w:afterAutospacing="off" w:line="360" w:lineRule="auto"/>
      </w:pPr>
      <w:r w:rsidRPr="756EA358" w:rsidR="7583E2DB">
        <w:rPr>
          <w:rFonts w:ascii="Arial" w:hAnsi="Arial" w:eastAsia="Arial" w:cs="Arial"/>
          <w:noProof w:val="0"/>
          <w:sz w:val="24"/>
          <w:szCs w:val="24"/>
          <w:lang w:val="en-US"/>
        </w:rPr>
        <w:t xml:space="preserve">HM Treasury (2025). </w:t>
      </w:r>
      <w:r w:rsidRPr="756EA358" w:rsidR="7583E2DB">
        <w:rPr>
          <w:rFonts w:ascii="Arial" w:hAnsi="Arial" w:eastAsia="Arial" w:cs="Arial"/>
          <w:i w:val="1"/>
          <w:iCs w:val="1"/>
          <w:noProof w:val="0"/>
          <w:sz w:val="24"/>
          <w:szCs w:val="24"/>
          <w:lang w:val="en-US"/>
        </w:rPr>
        <w:t>Regulation action plan - progress update and next steps</w:t>
      </w:r>
      <w:r w:rsidRPr="756EA358" w:rsidR="7583E2DB">
        <w:rPr>
          <w:rFonts w:ascii="Arial" w:hAnsi="Arial" w:eastAsia="Arial" w:cs="Arial"/>
          <w:noProof w:val="0"/>
          <w:sz w:val="24"/>
          <w:szCs w:val="24"/>
          <w:lang w:val="en-US"/>
        </w:rPr>
        <w:t xml:space="preserve">.  </w:t>
      </w:r>
      <w:r w:rsidRPr="756EA358" w:rsidR="7583E2DB">
        <w:rPr>
          <w:rFonts w:ascii="Arial" w:hAnsi="Arial" w:eastAsia="Arial" w:cs="Arial"/>
          <w:i w:val="1"/>
          <w:iCs w:val="1"/>
          <w:noProof w:val="0"/>
          <w:sz w:val="24"/>
          <w:szCs w:val="24"/>
          <w:lang w:val="en-US"/>
        </w:rPr>
        <w:t>GOV.UK</w:t>
      </w:r>
      <w:r w:rsidRPr="756EA358" w:rsidR="7583E2DB">
        <w:rPr>
          <w:rFonts w:ascii="Arial" w:hAnsi="Arial" w:eastAsia="Arial" w:cs="Arial"/>
          <w:noProof w:val="0"/>
          <w:sz w:val="24"/>
          <w:szCs w:val="24"/>
          <w:lang w:val="en-US"/>
        </w:rPr>
        <w:t xml:space="preserve">. Available at: </w:t>
      </w:r>
      <w:hyperlink r:id="R60c3cf428fbd4a4c">
        <w:r w:rsidRPr="756EA358" w:rsidR="7583E2DB">
          <w:rPr>
            <w:rStyle w:val="Hyperlink"/>
            <w:noProof w:val="0"/>
            <w:lang w:val="en-US"/>
          </w:rPr>
          <w:t>https://www.gov.uk/government/publications/a-new-approach-to-ensure-regulators-and-regulation-support-growth/regulation-action-plan-progress-update-and-next-steps</w:t>
        </w:r>
      </w:hyperlink>
      <w:r w:rsidRPr="756EA358" w:rsidR="7583E2DB">
        <w:rPr>
          <w:rFonts w:ascii="Arial" w:hAnsi="Arial" w:eastAsia="Arial" w:cs="Arial"/>
          <w:noProof w:val="0"/>
          <w:sz w:val="24"/>
          <w:szCs w:val="24"/>
          <w:lang w:val="en-US"/>
        </w:rPr>
        <w:t xml:space="preserve"> </w:t>
      </w:r>
      <w:r w:rsidRPr="756EA358" w:rsidR="2AE41FE8">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Accessed 22 July 2026</w:t>
      </w:r>
      <w:r w:rsidRPr="756EA358" w:rsidR="3CE61255">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w:t>
      </w:r>
    </w:p>
    <w:p w:rsidR="749E6BA4" w:rsidP="756EA358" w:rsidRDefault="749E6BA4" w14:paraId="0B5856FF" w14:textId="1AA5D4B5">
      <w:pPr>
        <w:spacing w:before="0" w:beforeAutospacing="off" w:after="240" w:afterAutospacing="off" w:line="360" w:lineRule="auto"/>
      </w:pPr>
      <w:r w:rsidRPr="756EA358" w:rsidR="7583E2DB">
        <w:rPr>
          <w:rFonts w:ascii="Arial" w:hAnsi="Arial" w:eastAsia="Arial" w:cs="Arial"/>
          <w:noProof w:val="0"/>
          <w:sz w:val="24"/>
          <w:szCs w:val="24"/>
          <w:lang w:val="en-US"/>
        </w:rPr>
        <w:t xml:space="preserve">IBEF (2025). </w:t>
      </w:r>
      <w:r w:rsidRPr="756EA358" w:rsidR="7583E2DB">
        <w:rPr>
          <w:rFonts w:ascii="Arial" w:hAnsi="Arial" w:eastAsia="Arial" w:cs="Arial"/>
          <w:i w:val="1"/>
          <w:iCs w:val="1"/>
          <w:noProof w:val="0"/>
          <w:sz w:val="24"/>
          <w:szCs w:val="24"/>
          <w:lang w:val="en-US"/>
        </w:rPr>
        <w:t>Decoding the growth of India’s chocolate market</w:t>
      </w:r>
      <w:r w:rsidRPr="756EA358" w:rsidR="7583E2DB">
        <w:rPr>
          <w:rFonts w:ascii="Arial" w:hAnsi="Arial" w:eastAsia="Arial" w:cs="Arial"/>
          <w:noProof w:val="0"/>
          <w:sz w:val="24"/>
          <w:szCs w:val="24"/>
          <w:lang w:val="en-US"/>
        </w:rPr>
        <w:t xml:space="preserve">.  </w:t>
      </w:r>
      <w:r w:rsidRPr="756EA358" w:rsidR="7583E2DB">
        <w:rPr>
          <w:rFonts w:ascii="Arial" w:hAnsi="Arial" w:eastAsia="Arial" w:cs="Arial"/>
          <w:i w:val="1"/>
          <w:iCs w:val="1"/>
          <w:noProof w:val="0"/>
          <w:sz w:val="24"/>
          <w:szCs w:val="24"/>
          <w:lang w:val="en-US"/>
        </w:rPr>
        <w:t>India Brand Equity Foundation</w:t>
      </w:r>
      <w:r w:rsidRPr="756EA358" w:rsidR="7583E2DB">
        <w:rPr>
          <w:rFonts w:ascii="Arial" w:hAnsi="Arial" w:eastAsia="Arial" w:cs="Arial"/>
          <w:noProof w:val="0"/>
          <w:sz w:val="24"/>
          <w:szCs w:val="24"/>
          <w:lang w:val="en-US"/>
        </w:rPr>
        <w:t xml:space="preserve">. IBEF. Available at: </w:t>
      </w:r>
      <w:hyperlink r:id="Ra595fb0f94e940d4">
        <w:r w:rsidRPr="756EA358" w:rsidR="7583E2DB">
          <w:rPr>
            <w:rStyle w:val="Hyperlink"/>
            <w:noProof w:val="0"/>
            <w:lang w:val="en-US"/>
          </w:rPr>
          <w:t>https://www.ibef.org/blogs/decoding-the-growth-of-india-s-chocolate-market</w:t>
        </w:r>
      </w:hyperlink>
      <w:r w:rsidRPr="756EA358" w:rsidR="7583E2DB">
        <w:rPr>
          <w:rFonts w:ascii="Arial" w:hAnsi="Arial" w:eastAsia="Arial" w:cs="Arial"/>
          <w:noProof w:val="0"/>
          <w:sz w:val="24"/>
          <w:szCs w:val="24"/>
          <w:lang w:val="en-US"/>
        </w:rPr>
        <w:t xml:space="preserve"> </w:t>
      </w:r>
      <w:r w:rsidRPr="756EA358" w:rsidR="7FE58D2A">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Accessed 22 July 2026</w:t>
      </w:r>
      <w:r w:rsidRPr="756EA358" w:rsidR="27026315">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w:t>
      </w:r>
    </w:p>
    <w:p w:rsidR="749E6BA4" w:rsidP="756EA358" w:rsidRDefault="749E6BA4" w14:paraId="74568E26" w14:textId="19F1E752">
      <w:pPr>
        <w:spacing w:before="0" w:beforeAutospacing="off" w:after="240" w:afterAutospacing="off" w:line="360" w:lineRule="auto"/>
      </w:pPr>
      <w:r w:rsidRPr="756EA358" w:rsidR="7583E2DB">
        <w:rPr>
          <w:rFonts w:ascii="Arial" w:hAnsi="Arial" w:eastAsia="Arial" w:cs="Arial"/>
          <w:noProof w:val="0"/>
          <w:sz w:val="24"/>
          <w:szCs w:val="24"/>
          <w:lang w:val="en-US"/>
        </w:rPr>
        <w:t xml:space="preserve">ITA (2024). </w:t>
      </w:r>
      <w:r w:rsidRPr="756EA358" w:rsidR="7583E2DB">
        <w:rPr>
          <w:rFonts w:ascii="Arial" w:hAnsi="Arial" w:eastAsia="Arial" w:cs="Arial"/>
          <w:i w:val="1"/>
          <w:iCs w:val="1"/>
          <w:noProof w:val="0"/>
          <w:sz w:val="24"/>
          <w:szCs w:val="24"/>
          <w:lang w:val="en-US"/>
        </w:rPr>
        <w:t>India - market challenges</w:t>
      </w:r>
      <w:r w:rsidRPr="756EA358" w:rsidR="7583E2DB">
        <w:rPr>
          <w:rFonts w:ascii="Arial" w:hAnsi="Arial" w:eastAsia="Arial" w:cs="Arial"/>
          <w:noProof w:val="0"/>
          <w:sz w:val="24"/>
          <w:szCs w:val="24"/>
          <w:lang w:val="en-US"/>
        </w:rPr>
        <w:t xml:space="preserve">. </w:t>
      </w:r>
      <w:r w:rsidRPr="756EA358" w:rsidR="7583E2DB">
        <w:rPr>
          <w:rFonts w:ascii="Arial" w:hAnsi="Arial" w:eastAsia="Arial" w:cs="Arial"/>
          <w:i w:val="1"/>
          <w:iCs w:val="1"/>
          <w:noProof w:val="0"/>
          <w:sz w:val="24"/>
          <w:szCs w:val="24"/>
          <w:lang w:val="en-US"/>
        </w:rPr>
        <w:t>International Trade Administration</w:t>
      </w:r>
      <w:r w:rsidRPr="756EA358" w:rsidR="7583E2DB">
        <w:rPr>
          <w:rFonts w:ascii="Arial" w:hAnsi="Arial" w:eastAsia="Arial" w:cs="Arial"/>
          <w:noProof w:val="0"/>
          <w:sz w:val="24"/>
          <w:szCs w:val="24"/>
          <w:lang w:val="en-US"/>
        </w:rPr>
        <w:t xml:space="preserve">. Available at: </w:t>
      </w:r>
      <w:hyperlink r:id="R05a0456de9a3496e">
        <w:r w:rsidRPr="756EA358" w:rsidR="7583E2DB">
          <w:rPr>
            <w:rStyle w:val="Hyperlink"/>
            <w:noProof w:val="0"/>
            <w:lang w:val="en-US"/>
          </w:rPr>
          <w:t>https://www.trade.gov/country-commercial-guides/india-market-challenges</w:t>
        </w:r>
      </w:hyperlink>
      <w:r w:rsidRPr="756EA358" w:rsidR="7583E2DB">
        <w:rPr>
          <w:rFonts w:ascii="Arial" w:hAnsi="Arial" w:eastAsia="Arial" w:cs="Arial"/>
          <w:noProof w:val="0"/>
          <w:sz w:val="24"/>
          <w:szCs w:val="24"/>
          <w:lang w:val="en-US"/>
        </w:rPr>
        <w:t xml:space="preserve"> </w:t>
      </w:r>
      <w:r w:rsidRPr="756EA358" w:rsidR="337FC541">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Accessed 22 July 2026</w:t>
      </w:r>
      <w:r w:rsidRPr="756EA358" w:rsidR="3A5D209F">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w:t>
      </w:r>
    </w:p>
    <w:p w:rsidR="749E6BA4" w:rsidP="756EA358" w:rsidRDefault="749E6BA4" w14:paraId="67655679" w14:textId="4C5948A4">
      <w:pPr>
        <w:spacing w:before="0" w:beforeAutospacing="off" w:after="240" w:afterAutospacing="off" w:line="360" w:lineRule="auto"/>
        <w:rPr>
          <w:rFonts w:ascii="Arial" w:hAnsi="Arial" w:eastAsia="Arial" w:cs="Arial"/>
          <w:noProof w:val="0"/>
          <w:sz w:val="24"/>
          <w:szCs w:val="24"/>
          <w:lang w:val="en-US"/>
        </w:rPr>
      </w:pPr>
      <w:r w:rsidRPr="756EA358" w:rsidR="7583E2DB">
        <w:rPr>
          <w:rFonts w:ascii="Arial" w:hAnsi="Arial" w:eastAsia="Arial" w:cs="Arial"/>
          <w:noProof w:val="0"/>
          <w:sz w:val="24"/>
          <w:szCs w:val="24"/>
          <w:lang w:val="en-US"/>
        </w:rPr>
        <w:t xml:space="preserve">Johanson, </w:t>
      </w:r>
      <w:r w:rsidRPr="756EA358" w:rsidR="7583E2DB">
        <w:rPr>
          <w:rFonts w:ascii="Arial" w:hAnsi="Arial" w:eastAsia="Arial" w:cs="Arial"/>
          <w:noProof w:val="0"/>
          <w:sz w:val="24"/>
          <w:szCs w:val="24"/>
          <w:lang w:val="en-US"/>
        </w:rPr>
        <w:t>J.</w:t>
      </w:r>
      <w:r w:rsidRPr="756EA358" w:rsidR="7583E2DB">
        <w:rPr>
          <w:rFonts w:ascii="Arial" w:hAnsi="Arial" w:eastAsia="Arial" w:cs="Arial"/>
          <w:noProof w:val="0"/>
          <w:sz w:val="24"/>
          <w:szCs w:val="24"/>
          <w:lang w:val="en-US"/>
        </w:rPr>
        <w:t xml:space="preserve"> and Vahlne, J.-E. (2017). The internationalization process of the Firm—A model of Knowledge development and increasing foreign market commitments. </w:t>
      </w:r>
      <w:r w:rsidRPr="756EA358" w:rsidR="7583E2DB">
        <w:rPr>
          <w:rFonts w:ascii="Arial" w:hAnsi="Arial" w:eastAsia="Arial" w:cs="Arial"/>
          <w:i w:val="1"/>
          <w:iCs w:val="1"/>
          <w:noProof w:val="0"/>
          <w:sz w:val="24"/>
          <w:szCs w:val="24"/>
          <w:lang w:val="en-US"/>
        </w:rPr>
        <w:t xml:space="preserve">International </w:t>
      </w:r>
      <w:r w:rsidRPr="756EA358" w:rsidR="7583E2DB">
        <w:rPr>
          <w:rFonts w:ascii="Arial" w:hAnsi="Arial" w:eastAsia="Arial" w:cs="Arial"/>
          <w:i w:val="1"/>
          <w:iCs w:val="1"/>
          <w:noProof w:val="0"/>
          <w:sz w:val="24"/>
          <w:szCs w:val="24"/>
          <w:lang w:val="en-US"/>
        </w:rPr>
        <w:t>business</w:t>
      </w:r>
      <w:r w:rsidRPr="756EA358" w:rsidR="7583E2DB">
        <w:rPr>
          <w:rFonts w:ascii="Arial" w:hAnsi="Arial" w:eastAsia="Arial" w:cs="Arial"/>
          <w:noProof w:val="0"/>
          <w:sz w:val="24"/>
          <w:szCs w:val="24"/>
          <w:lang w:val="en-US"/>
        </w:rPr>
        <w:t>, pp</w:t>
      </w:r>
      <w:r w:rsidRPr="756EA358" w:rsidR="7583E2DB">
        <w:rPr>
          <w:rFonts w:ascii="Arial" w:hAnsi="Arial" w:eastAsia="Arial" w:cs="Arial"/>
          <w:noProof w:val="0"/>
          <w:sz w:val="24"/>
          <w:szCs w:val="24"/>
          <w:lang w:val="en-US"/>
        </w:rPr>
        <w:t>.145</w:t>
      </w:r>
      <w:r w:rsidRPr="756EA358" w:rsidR="7583E2DB">
        <w:rPr>
          <w:rFonts w:ascii="Arial" w:hAnsi="Arial" w:eastAsia="Arial" w:cs="Arial"/>
          <w:noProof w:val="0"/>
          <w:sz w:val="24"/>
          <w:szCs w:val="24"/>
          <w:lang w:val="en-US"/>
        </w:rPr>
        <w:t xml:space="preserve">–154. </w:t>
      </w:r>
      <w:r>
        <w:fldChar w:fldCharType="begin"/>
      </w:r>
      <w:r>
        <w:instrText xml:space="preserve">HYPERLINK "https://doi:10.4324/9781315199689-9" </w:instrText>
      </w:r>
      <w:r>
        <w:fldChar w:fldCharType="separate"/>
      </w:r>
      <w:r w:rsidRPr="756EA358" w:rsidR="5C3A5F1F">
        <w:rPr>
          <w:rStyle w:val="Hyperlink"/>
          <w:noProof w:val="0"/>
          <w:lang w:val="en-US"/>
        </w:rPr>
        <w:t>https:</w:t>
      </w:r>
      <w:r w:rsidRPr="756EA358" w:rsidR="41652A66">
        <w:rPr>
          <w:rStyle w:val="Hyperlink"/>
          <w:noProof w:val="0"/>
          <w:lang w:val="en-US"/>
        </w:rPr>
        <w:t>//</w:t>
      </w:r>
      <w:r w:rsidRPr="756EA358" w:rsidR="7583E2DB">
        <w:rPr>
          <w:rStyle w:val="Hyperlink"/>
          <w:noProof w:val="0"/>
          <w:lang w:val="en-US"/>
        </w:rPr>
        <w:t>doi:</w:t>
      </w:r>
      <w:r w:rsidRPr="756EA358" w:rsidR="7583E2DB">
        <w:rPr>
          <w:rStyle w:val="Hyperlink"/>
          <w:noProof w:val="0"/>
          <w:lang w:val="en-US"/>
        </w:rPr>
        <w:t>10.4324/9781315199689-9</w:t>
      </w:r>
      <w:r>
        <w:fldChar w:fldCharType="end"/>
      </w:r>
      <w:r w:rsidRPr="756EA358" w:rsidR="7583E2DB">
        <w:rPr>
          <w:rFonts w:ascii="Arial" w:hAnsi="Arial" w:eastAsia="Arial" w:cs="Arial"/>
          <w:noProof w:val="0"/>
          <w:sz w:val="24"/>
          <w:szCs w:val="24"/>
          <w:lang w:val="en-US"/>
        </w:rPr>
        <w:t>.</w:t>
      </w:r>
      <w:r w:rsidRPr="756EA358" w:rsidR="72D9F638">
        <w:rPr>
          <w:rFonts w:ascii="Arial" w:hAnsi="Arial" w:eastAsia="Arial" w:cs="Arial"/>
          <w:noProof w:val="0"/>
          <w:sz w:val="24"/>
          <w:szCs w:val="24"/>
          <w:lang w:val="en-US"/>
        </w:rPr>
        <w:t xml:space="preserve"> </w:t>
      </w:r>
    </w:p>
    <w:p w:rsidR="749E6BA4" w:rsidP="756EA358" w:rsidRDefault="749E6BA4" w14:paraId="0E5C764C" w14:textId="34F8E82F">
      <w:pPr>
        <w:spacing w:before="0" w:beforeAutospacing="off" w:after="240" w:afterAutospacing="off" w:line="360" w:lineRule="auto"/>
      </w:pPr>
      <w:r w:rsidRPr="756EA358" w:rsidR="7583E2DB">
        <w:rPr>
          <w:rFonts w:ascii="Arial" w:hAnsi="Arial" w:eastAsia="Arial" w:cs="Arial"/>
          <w:noProof w:val="0"/>
          <w:sz w:val="24"/>
          <w:szCs w:val="24"/>
          <w:lang w:val="en-US"/>
        </w:rPr>
        <w:t>Jonwal</w:t>
      </w:r>
      <w:r w:rsidRPr="756EA358" w:rsidR="7583E2DB">
        <w:rPr>
          <w:rFonts w:ascii="Arial" w:hAnsi="Arial" w:eastAsia="Arial" w:cs="Arial"/>
          <w:noProof w:val="0"/>
          <w:sz w:val="24"/>
          <w:szCs w:val="24"/>
          <w:lang w:val="en-US"/>
        </w:rPr>
        <w:t xml:space="preserve">, S. (2025). </w:t>
      </w:r>
      <w:r w:rsidRPr="756EA358" w:rsidR="7583E2DB">
        <w:rPr>
          <w:rFonts w:ascii="Arial" w:hAnsi="Arial" w:eastAsia="Arial" w:cs="Arial"/>
          <w:i w:val="1"/>
          <w:iCs w:val="1"/>
          <w:noProof w:val="0"/>
          <w:sz w:val="24"/>
          <w:szCs w:val="24"/>
          <w:lang w:val="en-US"/>
        </w:rPr>
        <w:t>Cadbury case study 2025: Marketing strategy, campaigns &amp; more</w:t>
      </w:r>
      <w:r w:rsidRPr="756EA358" w:rsidR="7583E2DB">
        <w:rPr>
          <w:rFonts w:ascii="Arial" w:hAnsi="Arial" w:eastAsia="Arial" w:cs="Arial"/>
          <w:noProof w:val="0"/>
          <w:sz w:val="24"/>
          <w:szCs w:val="24"/>
          <w:lang w:val="en-US"/>
        </w:rPr>
        <w:t xml:space="preserve">. </w:t>
      </w:r>
      <w:r w:rsidRPr="756EA358" w:rsidR="7583E2DB">
        <w:rPr>
          <w:rFonts w:ascii="Arial" w:hAnsi="Arial" w:eastAsia="Arial" w:cs="Arial"/>
          <w:i w:val="1"/>
          <w:iCs w:val="1"/>
          <w:noProof w:val="0"/>
          <w:sz w:val="24"/>
          <w:szCs w:val="24"/>
          <w:lang w:val="en-US"/>
        </w:rPr>
        <w:t>Young Urban Project</w:t>
      </w:r>
      <w:r w:rsidRPr="756EA358" w:rsidR="7583E2DB">
        <w:rPr>
          <w:rFonts w:ascii="Arial" w:hAnsi="Arial" w:eastAsia="Arial" w:cs="Arial"/>
          <w:noProof w:val="0"/>
          <w:sz w:val="24"/>
          <w:szCs w:val="24"/>
          <w:lang w:val="en-US"/>
        </w:rPr>
        <w:t xml:space="preserve">. Available at: </w:t>
      </w:r>
      <w:hyperlink r:id="R46036cccccd44575">
        <w:r w:rsidRPr="756EA358" w:rsidR="7583E2DB">
          <w:rPr>
            <w:rStyle w:val="Hyperlink"/>
            <w:noProof w:val="0"/>
            <w:lang w:val="en-US"/>
          </w:rPr>
          <w:t>https://www.youngurbanproject.com/cadbury-case-study/</w:t>
        </w:r>
      </w:hyperlink>
      <w:r w:rsidRPr="756EA358" w:rsidR="7583E2DB">
        <w:rPr>
          <w:rFonts w:ascii="Arial" w:hAnsi="Arial" w:eastAsia="Arial" w:cs="Arial"/>
          <w:noProof w:val="0"/>
          <w:sz w:val="24"/>
          <w:szCs w:val="24"/>
          <w:lang w:val="en-US"/>
        </w:rPr>
        <w:t xml:space="preserve"> </w:t>
      </w:r>
      <w:r w:rsidRPr="756EA358" w:rsidR="2139440F">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Accessed 22 July 2026</w:t>
      </w:r>
      <w:r w:rsidRPr="756EA358" w:rsidR="496441D0">
        <w:rPr>
          <w:rFonts w:ascii="Arial" w:hAnsi="Arial" w:eastAsia="Arial" w:cs="Arial"/>
          <w:noProof w:val="0"/>
          <w:sz w:val="24"/>
          <w:szCs w:val="24"/>
          <w:lang w:val="en-US"/>
        </w:rPr>
        <w:t>).</w:t>
      </w:r>
    </w:p>
    <w:p w:rsidR="749E6BA4" w:rsidP="756EA358" w:rsidRDefault="749E6BA4" w14:paraId="6C649898" w14:textId="16FFF15B">
      <w:pPr>
        <w:spacing w:before="0" w:beforeAutospacing="off" w:after="240" w:afterAutospacing="off" w:line="360" w:lineRule="auto"/>
      </w:pPr>
      <w:r w:rsidRPr="756EA358" w:rsidR="7583E2DB">
        <w:rPr>
          <w:rFonts w:ascii="Arial" w:hAnsi="Arial" w:eastAsia="Arial" w:cs="Arial"/>
          <w:noProof w:val="0"/>
          <w:sz w:val="24"/>
          <w:szCs w:val="24"/>
          <w:lang w:val="en-US"/>
        </w:rPr>
        <w:t xml:space="preserve">Keasey, K. and Wright, M. (1993). Issues in corporate accountability and governance: An editorial. </w:t>
      </w:r>
      <w:r w:rsidRPr="756EA358" w:rsidR="7583E2DB">
        <w:rPr>
          <w:rFonts w:ascii="Arial" w:hAnsi="Arial" w:eastAsia="Arial" w:cs="Arial"/>
          <w:i w:val="1"/>
          <w:iCs w:val="1"/>
          <w:noProof w:val="0"/>
          <w:sz w:val="24"/>
          <w:szCs w:val="24"/>
          <w:lang w:val="en-US"/>
        </w:rPr>
        <w:t xml:space="preserve">Accounting and </w:t>
      </w:r>
      <w:r w:rsidRPr="756EA358" w:rsidR="7583E2DB">
        <w:rPr>
          <w:rFonts w:ascii="Arial" w:hAnsi="Arial" w:eastAsia="Arial" w:cs="Arial"/>
          <w:i w:val="1"/>
          <w:iCs w:val="1"/>
          <w:noProof w:val="0"/>
          <w:sz w:val="24"/>
          <w:szCs w:val="24"/>
          <w:lang w:val="en-US"/>
        </w:rPr>
        <w:t>business research</w:t>
      </w:r>
      <w:r w:rsidRPr="756EA358" w:rsidR="7583E2DB">
        <w:rPr>
          <w:rFonts w:ascii="Arial" w:hAnsi="Arial" w:eastAsia="Arial" w:cs="Arial"/>
          <w:noProof w:val="0"/>
          <w:sz w:val="24"/>
          <w:szCs w:val="24"/>
          <w:lang w:val="en-US"/>
        </w:rPr>
        <w:t>, 23(sup1), pp</w:t>
      </w:r>
      <w:r w:rsidRPr="756EA358" w:rsidR="7583E2DB">
        <w:rPr>
          <w:rFonts w:ascii="Arial" w:hAnsi="Arial" w:eastAsia="Arial" w:cs="Arial"/>
          <w:noProof w:val="0"/>
          <w:sz w:val="24"/>
          <w:szCs w:val="24"/>
          <w:lang w:val="en-US"/>
        </w:rPr>
        <w:t>.291</w:t>
      </w:r>
      <w:r w:rsidRPr="756EA358" w:rsidR="7583E2DB">
        <w:rPr>
          <w:rFonts w:ascii="Arial" w:hAnsi="Arial" w:eastAsia="Arial" w:cs="Arial"/>
          <w:noProof w:val="0"/>
          <w:sz w:val="24"/>
          <w:szCs w:val="24"/>
          <w:lang w:val="en-US"/>
        </w:rPr>
        <w:t xml:space="preserve">–303. </w:t>
      </w:r>
      <w:r>
        <w:fldChar w:fldCharType="begin"/>
      </w:r>
      <w:r>
        <w:instrText xml:space="preserve">HYPERLINK "https://doi:10.1080/00014788.1993.9729897" </w:instrText>
      </w:r>
      <w:r>
        <w:fldChar w:fldCharType="separate"/>
      </w:r>
      <w:r w:rsidRPr="756EA358" w:rsidR="3E1423F9">
        <w:rPr>
          <w:rStyle w:val="Hyperlink"/>
          <w:noProof w:val="0"/>
          <w:lang w:val="en-US"/>
        </w:rPr>
        <w:t>https://</w:t>
      </w:r>
      <w:r w:rsidRPr="756EA358" w:rsidR="7583E2DB">
        <w:rPr>
          <w:rStyle w:val="Hyperlink"/>
          <w:noProof w:val="0"/>
          <w:lang w:val="en-US"/>
        </w:rPr>
        <w:t>doi:10.1080/00014788.1993.9729897</w:t>
      </w:r>
      <w:r>
        <w:fldChar w:fldCharType="end"/>
      </w:r>
      <w:r w:rsidRPr="756EA358" w:rsidR="7583E2DB">
        <w:rPr>
          <w:rFonts w:ascii="Arial" w:hAnsi="Arial" w:eastAsia="Arial" w:cs="Arial"/>
          <w:noProof w:val="0"/>
          <w:sz w:val="24"/>
          <w:szCs w:val="24"/>
          <w:lang w:val="en-US"/>
        </w:rPr>
        <w:t>.</w:t>
      </w:r>
      <w:r w:rsidRPr="756EA358" w:rsidR="4CB6B981">
        <w:rPr>
          <w:rFonts w:ascii="Arial" w:hAnsi="Arial" w:eastAsia="Arial" w:cs="Arial"/>
          <w:noProof w:val="0"/>
          <w:sz w:val="24"/>
          <w:szCs w:val="24"/>
          <w:lang w:val="en-US"/>
        </w:rPr>
        <w:t xml:space="preserve"> </w:t>
      </w:r>
    </w:p>
    <w:p w:rsidR="749E6BA4" w:rsidP="756EA358" w:rsidRDefault="749E6BA4" w14:paraId="0EA281EA" w14:textId="3C174F24">
      <w:pPr>
        <w:spacing w:before="0" w:beforeAutospacing="off" w:after="240" w:afterAutospacing="off" w:line="360" w:lineRule="auto"/>
      </w:pPr>
      <w:r w:rsidRPr="756EA358" w:rsidR="7583E2DB">
        <w:rPr>
          <w:rFonts w:ascii="Arial" w:hAnsi="Arial" w:eastAsia="Arial" w:cs="Arial"/>
          <w:noProof w:val="0"/>
          <w:sz w:val="24"/>
          <w:szCs w:val="24"/>
          <w:lang w:val="en-US"/>
        </w:rPr>
        <w:t>Keller, H. (2013</w:t>
      </w:r>
      <w:r w:rsidRPr="756EA358" w:rsidR="7583E2DB">
        <w:rPr>
          <w:rFonts w:ascii="Arial" w:hAnsi="Arial" w:eastAsia="Arial" w:cs="Arial"/>
          <w:noProof w:val="0"/>
          <w:sz w:val="24"/>
          <w:szCs w:val="24"/>
          <w:lang w:val="en-US"/>
        </w:rPr>
        <w:t>a)</w:t>
      </w:r>
      <w:r w:rsidRPr="756EA358" w:rsidR="7583E2DB">
        <w:rPr>
          <w:rFonts w:ascii="Arial" w:hAnsi="Arial" w:eastAsia="Arial" w:cs="Arial"/>
          <w:noProof w:val="0"/>
          <w:sz w:val="24"/>
          <w:szCs w:val="24"/>
          <w:lang w:val="en-US"/>
        </w:rPr>
        <w:t xml:space="preserve">. Attachment and culture. </w:t>
      </w:r>
      <w:r w:rsidRPr="756EA358" w:rsidR="7583E2DB">
        <w:rPr>
          <w:rFonts w:ascii="Arial" w:hAnsi="Arial" w:eastAsia="Arial" w:cs="Arial"/>
          <w:i w:val="1"/>
          <w:iCs w:val="1"/>
          <w:noProof w:val="0"/>
          <w:sz w:val="24"/>
          <w:szCs w:val="24"/>
          <w:lang w:val="en-US"/>
        </w:rPr>
        <w:t>Journal of Cross-Cultural psychology</w:t>
      </w:r>
      <w:r w:rsidRPr="756EA358" w:rsidR="7583E2DB">
        <w:rPr>
          <w:rFonts w:ascii="Arial" w:hAnsi="Arial" w:eastAsia="Arial" w:cs="Arial"/>
          <w:noProof w:val="0"/>
          <w:sz w:val="24"/>
          <w:szCs w:val="24"/>
          <w:lang w:val="en-US"/>
        </w:rPr>
        <w:t xml:space="preserve">,  44(2), pp.175–194. </w:t>
      </w:r>
      <w:r>
        <w:fldChar w:fldCharType="begin"/>
      </w:r>
      <w:r>
        <w:instrText xml:space="preserve">HYPERLINK "https://doi:10.1177/0022022112472253" </w:instrText>
      </w:r>
      <w:r>
        <w:fldChar w:fldCharType="separate"/>
      </w:r>
      <w:r w:rsidRPr="756EA358" w:rsidR="6474B7C7">
        <w:rPr>
          <w:rStyle w:val="Hyperlink"/>
          <w:noProof w:val="0"/>
          <w:lang w:val="en-US"/>
        </w:rPr>
        <w:t>https://</w:t>
      </w:r>
      <w:r w:rsidRPr="756EA358" w:rsidR="7583E2DB">
        <w:rPr>
          <w:rStyle w:val="Hyperlink"/>
          <w:noProof w:val="0"/>
          <w:lang w:val="en-US"/>
        </w:rPr>
        <w:t>doi:10.1177/0022022112472253</w:t>
      </w:r>
      <w:r>
        <w:fldChar w:fldCharType="end"/>
      </w:r>
      <w:r w:rsidRPr="756EA358" w:rsidR="7583E2DB">
        <w:rPr>
          <w:rFonts w:ascii="Arial" w:hAnsi="Arial" w:eastAsia="Arial" w:cs="Arial"/>
          <w:noProof w:val="0"/>
          <w:sz w:val="24"/>
          <w:szCs w:val="24"/>
          <w:lang w:val="en-US"/>
        </w:rPr>
        <w:t>.</w:t>
      </w:r>
      <w:r w:rsidRPr="756EA358" w:rsidR="2458851C">
        <w:rPr>
          <w:rFonts w:ascii="Arial" w:hAnsi="Arial" w:eastAsia="Arial" w:cs="Arial"/>
          <w:noProof w:val="0"/>
          <w:sz w:val="24"/>
          <w:szCs w:val="24"/>
          <w:lang w:val="en-US"/>
        </w:rPr>
        <w:t xml:space="preserve"> </w:t>
      </w:r>
    </w:p>
    <w:p w:rsidR="749E6BA4" w:rsidP="756EA358" w:rsidRDefault="749E6BA4" w14:paraId="62209B7B" w14:textId="27B004AC">
      <w:pPr>
        <w:spacing w:before="0" w:beforeAutospacing="off" w:after="240" w:afterAutospacing="off" w:line="360" w:lineRule="auto"/>
      </w:pPr>
      <w:r w:rsidRPr="756EA358" w:rsidR="7583E2DB">
        <w:rPr>
          <w:rFonts w:ascii="Arial" w:hAnsi="Arial" w:eastAsia="Arial" w:cs="Arial"/>
          <w:noProof w:val="0"/>
          <w:sz w:val="24"/>
          <w:szCs w:val="24"/>
          <w:lang w:val="en-US"/>
        </w:rPr>
        <w:t>Keller, K.L. (</w:t>
      </w:r>
      <w:r w:rsidRPr="756EA358" w:rsidR="7583E2DB">
        <w:rPr>
          <w:rFonts w:ascii="Arial" w:hAnsi="Arial" w:eastAsia="Arial" w:cs="Arial"/>
          <w:noProof w:val="0"/>
          <w:sz w:val="24"/>
          <w:szCs w:val="24"/>
          <w:lang w:val="en-US"/>
        </w:rPr>
        <w:t>2013b</w:t>
      </w:r>
      <w:r w:rsidRPr="756EA358" w:rsidR="7583E2DB">
        <w:rPr>
          <w:rFonts w:ascii="Arial" w:hAnsi="Arial" w:eastAsia="Arial" w:cs="Arial"/>
          <w:noProof w:val="0"/>
          <w:sz w:val="24"/>
          <w:szCs w:val="24"/>
          <w:lang w:val="en-US"/>
        </w:rPr>
        <w:t xml:space="preserve">). </w:t>
      </w:r>
      <w:r w:rsidRPr="756EA358" w:rsidR="7583E2DB">
        <w:rPr>
          <w:rFonts w:ascii="Arial" w:hAnsi="Arial" w:eastAsia="Arial" w:cs="Arial"/>
          <w:i w:val="1"/>
          <w:iCs w:val="1"/>
          <w:noProof w:val="0"/>
          <w:sz w:val="24"/>
          <w:szCs w:val="24"/>
          <w:lang w:val="en-US"/>
        </w:rPr>
        <w:t>Keller, K</w:t>
      </w:r>
      <w:r w:rsidRPr="756EA358" w:rsidR="7583E2DB">
        <w:rPr>
          <w:rFonts w:ascii="Arial" w:hAnsi="Arial" w:eastAsia="Arial" w:cs="Arial"/>
          <w:i w:val="1"/>
          <w:iCs w:val="1"/>
          <w:noProof w:val="0"/>
          <w:sz w:val="24"/>
          <w:szCs w:val="24"/>
          <w:lang w:val="en-US"/>
        </w:rPr>
        <w:t>. l</w:t>
      </w:r>
      <w:r w:rsidRPr="756EA358" w:rsidR="7583E2DB">
        <w:rPr>
          <w:rFonts w:ascii="Arial" w:hAnsi="Arial" w:eastAsia="Arial" w:cs="Arial"/>
          <w:i w:val="1"/>
          <w:iCs w:val="1"/>
          <w:noProof w:val="0"/>
          <w:sz w:val="24"/>
          <w:szCs w:val="24"/>
          <w:lang w:val="en-US"/>
        </w:rPr>
        <w:t xml:space="preserve">. (2013). Strategic brand </w:t>
      </w:r>
      <w:r w:rsidRPr="756EA358" w:rsidR="7583E2DB">
        <w:rPr>
          <w:rFonts w:ascii="Arial" w:hAnsi="Arial" w:eastAsia="Arial" w:cs="Arial"/>
          <w:i w:val="1"/>
          <w:iCs w:val="1"/>
          <w:noProof w:val="0"/>
          <w:sz w:val="24"/>
          <w:szCs w:val="24"/>
          <w:lang w:val="en-US"/>
        </w:rPr>
        <w:t>management</w:t>
      </w:r>
      <w:r w:rsidRPr="756EA358" w:rsidR="7583E2DB">
        <w:rPr>
          <w:rFonts w:ascii="Arial" w:hAnsi="Arial" w:eastAsia="Arial" w:cs="Arial"/>
          <w:i w:val="1"/>
          <w:iCs w:val="1"/>
          <w:noProof w:val="0"/>
          <w:sz w:val="24"/>
          <w:szCs w:val="24"/>
          <w:lang w:val="en-US"/>
        </w:rPr>
        <w:t xml:space="preserve"> building measuring, and managing brand equity, global edition (4th ed.). Pearson education. - References - scientific research publishing</w:t>
      </w:r>
      <w:r w:rsidRPr="756EA358" w:rsidR="7583E2DB">
        <w:rPr>
          <w:rFonts w:ascii="Arial" w:hAnsi="Arial" w:eastAsia="Arial" w:cs="Arial"/>
          <w:noProof w:val="0"/>
          <w:sz w:val="24"/>
          <w:szCs w:val="24"/>
          <w:lang w:val="en-US"/>
        </w:rPr>
        <w:t xml:space="preserve">. </w:t>
      </w:r>
      <w:r w:rsidRPr="756EA358" w:rsidR="7583E2DB">
        <w:rPr>
          <w:rFonts w:ascii="Arial" w:hAnsi="Arial" w:eastAsia="Arial" w:cs="Arial"/>
          <w:i w:val="1"/>
          <w:iCs w:val="1"/>
          <w:noProof w:val="0"/>
          <w:sz w:val="24"/>
          <w:szCs w:val="24"/>
          <w:lang w:val="en-US"/>
        </w:rPr>
        <w:t>Scientific Research</w:t>
      </w:r>
      <w:r w:rsidRPr="756EA358" w:rsidR="7583E2DB">
        <w:rPr>
          <w:rFonts w:ascii="Arial" w:hAnsi="Arial" w:eastAsia="Arial" w:cs="Arial"/>
          <w:noProof w:val="0"/>
          <w:sz w:val="24"/>
          <w:szCs w:val="24"/>
          <w:lang w:val="en-US"/>
        </w:rPr>
        <w:t xml:space="preserve">. Available at: </w:t>
      </w:r>
      <w:hyperlink r:id="R3c8e86324de14582">
        <w:r w:rsidRPr="756EA358" w:rsidR="7583E2DB">
          <w:rPr>
            <w:rStyle w:val="Hyperlink"/>
            <w:noProof w:val="0"/>
            <w:lang w:val="en-US"/>
          </w:rPr>
          <w:t>https://www.scirp.org/reference/referencespapers?referenceid=3044185</w:t>
        </w:r>
      </w:hyperlink>
      <w:r w:rsidRPr="756EA358" w:rsidR="7583E2DB">
        <w:rPr>
          <w:rFonts w:ascii="Arial" w:hAnsi="Arial" w:eastAsia="Arial" w:cs="Arial"/>
          <w:noProof w:val="0"/>
          <w:sz w:val="24"/>
          <w:szCs w:val="24"/>
          <w:lang w:val="en-US"/>
        </w:rPr>
        <w:t xml:space="preserve"> </w:t>
      </w:r>
      <w:r w:rsidRPr="756EA358" w:rsidR="27FCDA73">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Accessed 22 July 2026b</w:t>
      </w:r>
      <w:r w:rsidRPr="756EA358" w:rsidR="6F72D1D8">
        <w:rPr>
          <w:rFonts w:ascii="Arial" w:hAnsi="Arial" w:eastAsia="Arial" w:cs="Arial"/>
          <w:noProof w:val="0"/>
          <w:sz w:val="24"/>
          <w:szCs w:val="24"/>
          <w:lang w:val="en-US"/>
        </w:rPr>
        <w:t>).</w:t>
      </w:r>
    </w:p>
    <w:p w:rsidR="749E6BA4" w:rsidP="756EA358" w:rsidRDefault="749E6BA4" w14:paraId="4C5705DD" w14:textId="29EBD5A3">
      <w:pPr>
        <w:spacing w:before="0" w:beforeAutospacing="off" w:after="240" w:afterAutospacing="off" w:line="360" w:lineRule="auto"/>
      </w:pPr>
      <w:r w:rsidRPr="756EA358" w:rsidR="7583E2DB">
        <w:rPr>
          <w:rFonts w:ascii="Arial" w:hAnsi="Arial" w:eastAsia="Arial" w:cs="Arial"/>
          <w:noProof w:val="0"/>
          <w:sz w:val="24"/>
          <w:szCs w:val="24"/>
          <w:lang w:val="en-US"/>
        </w:rPr>
        <w:t>Kouamé</w:t>
      </w:r>
      <w:r w:rsidRPr="756EA358" w:rsidR="7583E2DB">
        <w:rPr>
          <w:rFonts w:ascii="Arial" w:hAnsi="Arial" w:eastAsia="Arial" w:cs="Arial"/>
          <w:noProof w:val="0"/>
          <w:sz w:val="24"/>
          <w:szCs w:val="24"/>
          <w:lang w:val="en-US"/>
        </w:rPr>
        <w:t xml:space="preserve">, A.T. (2024). </w:t>
      </w:r>
      <w:r w:rsidRPr="756EA358" w:rsidR="7583E2DB">
        <w:rPr>
          <w:rFonts w:ascii="Arial" w:hAnsi="Arial" w:eastAsia="Arial" w:cs="Arial"/>
          <w:i w:val="1"/>
          <w:iCs w:val="1"/>
          <w:noProof w:val="0"/>
          <w:sz w:val="24"/>
          <w:szCs w:val="24"/>
          <w:lang w:val="en-US"/>
        </w:rPr>
        <w:t>Gearing up for India’s rapid urban transformation</w:t>
      </w:r>
      <w:r w:rsidRPr="756EA358" w:rsidR="7583E2DB">
        <w:rPr>
          <w:rFonts w:ascii="Arial" w:hAnsi="Arial" w:eastAsia="Arial" w:cs="Arial"/>
          <w:noProof w:val="0"/>
          <w:sz w:val="24"/>
          <w:szCs w:val="24"/>
          <w:lang w:val="en-US"/>
        </w:rPr>
        <w:t xml:space="preserve">.  </w:t>
      </w:r>
      <w:r w:rsidRPr="756EA358" w:rsidR="7583E2DB">
        <w:rPr>
          <w:rFonts w:ascii="Arial" w:hAnsi="Arial" w:eastAsia="Arial" w:cs="Arial"/>
          <w:i w:val="1"/>
          <w:iCs w:val="1"/>
          <w:noProof w:val="0"/>
          <w:sz w:val="24"/>
          <w:szCs w:val="24"/>
          <w:lang w:val="en-US"/>
        </w:rPr>
        <w:t>World Bank</w:t>
      </w:r>
      <w:r w:rsidRPr="756EA358" w:rsidR="7583E2DB">
        <w:rPr>
          <w:rFonts w:ascii="Arial" w:hAnsi="Arial" w:eastAsia="Arial" w:cs="Arial"/>
          <w:noProof w:val="0"/>
          <w:sz w:val="24"/>
          <w:szCs w:val="24"/>
          <w:lang w:val="en-US"/>
        </w:rPr>
        <w:t xml:space="preserve">. Available at: </w:t>
      </w:r>
      <w:hyperlink r:id="R953f7166e47345c5">
        <w:r w:rsidRPr="756EA358" w:rsidR="7583E2DB">
          <w:rPr>
            <w:rStyle w:val="Hyperlink"/>
            <w:noProof w:val="0"/>
            <w:lang w:val="en-US"/>
          </w:rPr>
          <w:t>https://www.worldbank.org/en/news/opinion/2024/01/30/gearing-up-for-india-s-rapid-urban-transformation</w:t>
        </w:r>
      </w:hyperlink>
      <w:r w:rsidRPr="756EA358" w:rsidR="7583E2DB">
        <w:rPr>
          <w:rFonts w:ascii="Arial" w:hAnsi="Arial" w:eastAsia="Arial" w:cs="Arial"/>
          <w:noProof w:val="0"/>
          <w:sz w:val="24"/>
          <w:szCs w:val="24"/>
          <w:lang w:val="en-US"/>
        </w:rPr>
        <w:t xml:space="preserve"> </w:t>
      </w:r>
      <w:r w:rsidRPr="756EA358" w:rsidR="172446E1">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Accessed 22 July 2026</w:t>
      </w:r>
      <w:r w:rsidRPr="756EA358" w:rsidR="0825BE9B">
        <w:rPr>
          <w:rFonts w:ascii="Arial" w:hAnsi="Arial" w:eastAsia="Arial" w:cs="Arial"/>
          <w:noProof w:val="0"/>
          <w:sz w:val="24"/>
          <w:szCs w:val="24"/>
          <w:lang w:val="en-US"/>
        </w:rPr>
        <w:t>)</w:t>
      </w:r>
    </w:p>
    <w:p w:rsidR="749E6BA4" w:rsidP="756EA358" w:rsidRDefault="749E6BA4" w14:paraId="11B27527" w14:textId="7AABCEC3">
      <w:pPr>
        <w:spacing w:before="0" w:beforeAutospacing="off" w:after="240" w:afterAutospacing="off" w:line="360" w:lineRule="auto"/>
      </w:pPr>
      <w:r w:rsidRPr="756EA358" w:rsidR="74923385">
        <w:rPr>
          <w:rFonts w:ascii="Arial" w:hAnsi="Arial" w:eastAsia="Arial" w:cs="Arial"/>
          <w:noProof w:val="0"/>
          <w:sz w:val="24"/>
          <w:szCs w:val="24"/>
          <w:lang w:val="en-US"/>
        </w:rPr>
        <w:t xml:space="preserve">Kumar, P. (2026). </w:t>
      </w:r>
      <w:r w:rsidRPr="756EA358" w:rsidR="74923385">
        <w:rPr>
          <w:rFonts w:ascii="Arial" w:hAnsi="Arial" w:eastAsia="Arial" w:cs="Arial"/>
          <w:i w:val="1"/>
          <w:iCs w:val="1"/>
          <w:noProof w:val="0"/>
          <w:sz w:val="24"/>
          <w:szCs w:val="24"/>
          <w:lang w:val="en-US"/>
        </w:rPr>
        <w:t xml:space="preserve">Key models of </w:t>
      </w:r>
      <w:r w:rsidRPr="756EA358" w:rsidR="74923385">
        <w:rPr>
          <w:rFonts w:ascii="Arial" w:hAnsi="Arial" w:eastAsia="Arial" w:cs="Arial"/>
          <w:i w:val="1"/>
          <w:iCs w:val="1"/>
          <w:noProof w:val="0"/>
          <w:sz w:val="24"/>
          <w:szCs w:val="24"/>
          <w:lang w:val="en-US"/>
        </w:rPr>
        <w:t>International</w:t>
      </w:r>
      <w:r w:rsidRPr="756EA358" w:rsidR="74923385">
        <w:rPr>
          <w:rFonts w:ascii="Arial" w:hAnsi="Arial" w:eastAsia="Arial" w:cs="Arial"/>
          <w:i w:val="1"/>
          <w:iCs w:val="1"/>
          <w:noProof w:val="0"/>
          <w:sz w:val="24"/>
          <w:szCs w:val="24"/>
          <w:lang w:val="en-US"/>
        </w:rPr>
        <w:t xml:space="preserve"> trade: Uppsala, transaction cost, and eclectic models • SLM (</w:t>
      </w:r>
      <w:r w:rsidRPr="756EA358" w:rsidR="74923385">
        <w:rPr>
          <w:rFonts w:ascii="Arial" w:hAnsi="Arial" w:eastAsia="Arial" w:cs="Arial"/>
          <w:i w:val="1"/>
          <w:iCs w:val="1"/>
          <w:noProof w:val="0"/>
          <w:sz w:val="24"/>
          <w:szCs w:val="24"/>
          <w:lang w:val="en-US"/>
        </w:rPr>
        <w:t>self learning</w:t>
      </w:r>
      <w:r w:rsidRPr="756EA358" w:rsidR="74923385">
        <w:rPr>
          <w:rFonts w:ascii="Arial" w:hAnsi="Arial" w:eastAsia="Arial" w:cs="Arial"/>
          <w:noProof w:val="0"/>
          <w:sz w:val="24"/>
          <w:szCs w:val="24"/>
          <w:lang w:val="en-US"/>
        </w:rPr>
        <w:t>.  SLM (</w:t>
      </w:r>
      <w:r w:rsidRPr="756EA358" w:rsidR="74923385">
        <w:rPr>
          <w:rFonts w:ascii="Arial" w:hAnsi="Arial" w:eastAsia="Arial" w:cs="Arial"/>
          <w:noProof w:val="0"/>
          <w:sz w:val="24"/>
          <w:szCs w:val="24"/>
          <w:lang w:val="en-US"/>
        </w:rPr>
        <w:t>self learning</w:t>
      </w:r>
      <w:r w:rsidRPr="756EA358" w:rsidR="74923385">
        <w:rPr>
          <w:rFonts w:ascii="Arial" w:hAnsi="Arial" w:eastAsia="Arial" w:cs="Arial"/>
          <w:noProof w:val="0"/>
          <w:sz w:val="24"/>
          <w:szCs w:val="24"/>
          <w:lang w:val="en-US"/>
        </w:rPr>
        <w:t xml:space="preserve"> material) for MBA. Available at: </w:t>
      </w:r>
      <w:hyperlink r:id="R5762ed49e35d4170">
        <w:r w:rsidRPr="756EA358" w:rsidR="74923385">
          <w:rPr>
            <w:rStyle w:val="Hyperlink"/>
            <w:noProof w:val="0"/>
            <w:lang w:val="en-US"/>
          </w:rPr>
          <w:t>https://slm.mba/mmpc-017/key-models-international-trade-uppsala-transaction-cost-eclectic/</w:t>
        </w:r>
      </w:hyperlink>
      <w:r w:rsidRPr="756EA358" w:rsidR="74923385">
        <w:rPr>
          <w:rFonts w:ascii="Arial" w:hAnsi="Arial" w:eastAsia="Arial" w:cs="Arial"/>
          <w:noProof w:val="0"/>
          <w:sz w:val="24"/>
          <w:szCs w:val="24"/>
          <w:lang w:val="en-US"/>
        </w:rPr>
        <w:t xml:space="preserve"> (Accessed 23 July 2026)</w:t>
      </w:r>
    </w:p>
    <w:p w:rsidR="749E6BA4" w:rsidP="756EA358" w:rsidRDefault="749E6BA4" w14:paraId="6E3428A2" w14:textId="1B046109">
      <w:pPr>
        <w:pStyle w:val="Normal"/>
        <w:spacing w:before="0" w:beforeAutospacing="off" w:after="240" w:afterAutospacing="off" w:line="360" w:lineRule="auto"/>
      </w:pPr>
      <w:r w:rsidRPr="756EA358" w:rsidR="7583E2DB">
        <w:rPr>
          <w:rFonts w:ascii="Arial" w:hAnsi="Arial" w:eastAsia="Arial" w:cs="Arial"/>
          <w:noProof w:val="0"/>
          <w:sz w:val="24"/>
          <w:szCs w:val="24"/>
          <w:lang w:val="en-US"/>
        </w:rPr>
        <w:t xml:space="preserve">Lauber, K., Hunt, D., Gilmore, A.B. and Rutter, H. (2021). Corporate political activity in the context of Unhealthy food advertising restrictions across transport for London: A qualitative case study. </w:t>
      </w:r>
      <w:r w:rsidRPr="756EA358" w:rsidR="7583E2DB">
        <w:rPr>
          <w:rFonts w:ascii="Arial" w:hAnsi="Arial" w:eastAsia="Arial" w:cs="Arial"/>
          <w:i w:val="1"/>
          <w:iCs w:val="1"/>
          <w:noProof w:val="0"/>
          <w:sz w:val="24"/>
          <w:szCs w:val="24"/>
          <w:lang w:val="en-US"/>
        </w:rPr>
        <w:t>PLOS medicine</w:t>
      </w:r>
      <w:r w:rsidRPr="756EA358" w:rsidR="7583E2DB">
        <w:rPr>
          <w:rFonts w:ascii="Arial" w:hAnsi="Arial" w:eastAsia="Arial" w:cs="Arial"/>
          <w:noProof w:val="0"/>
          <w:sz w:val="24"/>
          <w:szCs w:val="24"/>
          <w:lang w:val="en-US"/>
        </w:rPr>
        <w:t>, 18(9), p.e1003695.</w:t>
      </w:r>
      <w:r w:rsidRPr="756EA358" w:rsidR="17C2B05E">
        <w:rPr>
          <w:rFonts w:ascii="Arial" w:hAnsi="Arial" w:eastAsia="Arial" w:cs="Arial"/>
          <w:noProof w:val="0"/>
          <w:sz w:val="24"/>
          <w:szCs w:val="24"/>
          <w:lang w:val="en-US"/>
        </w:rPr>
        <w:t xml:space="preserve"> (Accessed 22 July 2026).</w:t>
      </w:r>
    </w:p>
    <w:p w:rsidR="749E6BA4" w:rsidP="756EA358" w:rsidRDefault="749E6BA4" w14:paraId="08EF66CB" w14:textId="2B854330">
      <w:pPr>
        <w:spacing w:before="0" w:beforeAutospacing="off" w:after="240" w:afterAutospacing="off" w:line="360" w:lineRule="auto"/>
      </w:pPr>
      <w:r w:rsidRPr="756EA358" w:rsidR="7583E2DB">
        <w:rPr>
          <w:rFonts w:ascii="Arial" w:hAnsi="Arial" w:eastAsia="Arial" w:cs="Arial"/>
          <w:noProof w:val="0"/>
          <w:sz w:val="24"/>
          <w:szCs w:val="24"/>
          <w:lang w:val="en-US"/>
        </w:rPr>
        <w:t xml:space="preserve">Leong, S.M. and Tan, C.T. (1993). Managing across borders: An empirical test of the Bartlett and </w:t>
      </w:r>
      <w:r w:rsidRPr="756EA358" w:rsidR="7583E2DB">
        <w:rPr>
          <w:rFonts w:ascii="Arial" w:hAnsi="Arial" w:eastAsia="Arial" w:cs="Arial"/>
          <w:noProof w:val="0"/>
          <w:sz w:val="24"/>
          <w:szCs w:val="24"/>
          <w:lang w:val="en-US"/>
        </w:rPr>
        <w:t>ghoshal</w:t>
      </w:r>
      <w:r w:rsidRPr="756EA358" w:rsidR="7583E2DB">
        <w:rPr>
          <w:rFonts w:ascii="Arial" w:hAnsi="Arial" w:eastAsia="Arial" w:cs="Arial"/>
          <w:noProof w:val="0"/>
          <w:sz w:val="24"/>
          <w:szCs w:val="24"/>
          <w:lang w:val="en-US"/>
        </w:rPr>
        <w:t xml:space="preserve"> [1989] organizational typology. </w:t>
      </w:r>
      <w:r w:rsidRPr="756EA358" w:rsidR="7583E2DB">
        <w:rPr>
          <w:rFonts w:ascii="Arial" w:hAnsi="Arial" w:eastAsia="Arial" w:cs="Arial"/>
          <w:i w:val="1"/>
          <w:iCs w:val="1"/>
          <w:noProof w:val="0"/>
          <w:sz w:val="24"/>
          <w:szCs w:val="24"/>
          <w:lang w:val="en-US"/>
        </w:rPr>
        <w:t xml:space="preserve">Journal of International </w:t>
      </w:r>
      <w:r w:rsidRPr="756EA358" w:rsidR="7583E2DB">
        <w:rPr>
          <w:rFonts w:ascii="Arial" w:hAnsi="Arial" w:eastAsia="Arial" w:cs="Arial"/>
          <w:i w:val="1"/>
          <w:iCs w:val="1"/>
          <w:noProof w:val="0"/>
          <w:sz w:val="24"/>
          <w:szCs w:val="24"/>
          <w:lang w:val="en-US"/>
        </w:rPr>
        <w:t>business studies</w:t>
      </w:r>
      <w:r w:rsidRPr="756EA358" w:rsidR="7583E2DB">
        <w:rPr>
          <w:rFonts w:ascii="Arial" w:hAnsi="Arial" w:eastAsia="Arial" w:cs="Arial"/>
          <w:noProof w:val="0"/>
          <w:sz w:val="24"/>
          <w:szCs w:val="24"/>
          <w:lang w:val="en-US"/>
        </w:rPr>
        <w:t>, 24(3), pp</w:t>
      </w:r>
      <w:r w:rsidRPr="756EA358" w:rsidR="7583E2DB">
        <w:rPr>
          <w:rFonts w:ascii="Arial" w:hAnsi="Arial" w:eastAsia="Arial" w:cs="Arial"/>
          <w:noProof w:val="0"/>
          <w:sz w:val="24"/>
          <w:szCs w:val="24"/>
          <w:lang w:val="en-US"/>
        </w:rPr>
        <w:t>.449</w:t>
      </w:r>
      <w:r w:rsidRPr="756EA358" w:rsidR="7583E2DB">
        <w:rPr>
          <w:rFonts w:ascii="Arial" w:hAnsi="Arial" w:eastAsia="Arial" w:cs="Arial"/>
          <w:noProof w:val="0"/>
          <w:sz w:val="24"/>
          <w:szCs w:val="24"/>
          <w:lang w:val="en-US"/>
        </w:rPr>
        <w:t xml:space="preserve">–464. </w:t>
      </w:r>
      <w:r>
        <w:fldChar w:fldCharType="begin"/>
      </w:r>
      <w:r>
        <w:instrText xml:space="preserve">HYPERLINK "https://doi:10.1057/palgrave.jibs.8490240" </w:instrText>
      </w:r>
      <w:r>
        <w:fldChar w:fldCharType="separate"/>
      </w:r>
      <w:r w:rsidRPr="756EA358" w:rsidR="5CEA295D">
        <w:rPr>
          <w:rStyle w:val="Hyperlink"/>
          <w:noProof w:val="0"/>
          <w:lang w:val="en-US"/>
        </w:rPr>
        <w:t>https://</w:t>
      </w:r>
      <w:r w:rsidRPr="756EA358" w:rsidR="7583E2DB">
        <w:rPr>
          <w:rStyle w:val="Hyperlink"/>
          <w:noProof w:val="0"/>
          <w:lang w:val="en-US"/>
        </w:rPr>
        <w:t>doi:10.1057/palgrave.jibs.8490240</w:t>
      </w:r>
      <w:r>
        <w:fldChar w:fldCharType="end"/>
      </w:r>
      <w:r w:rsidRPr="756EA358" w:rsidR="7583E2DB">
        <w:rPr>
          <w:rFonts w:ascii="Arial" w:hAnsi="Arial" w:eastAsia="Arial" w:cs="Arial"/>
          <w:noProof w:val="0"/>
          <w:sz w:val="24"/>
          <w:szCs w:val="24"/>
          <w:lang w:val="en-US"/>
        </w:rPr>
        <w:t>.</w:t>
      </w:r>
      <w:r w:rsidRPr="756EA358" w:rsidR="2AEDB470">
        <w:rPr>
          <w:rFonts w:ascii="Arial" w:hAnsi="Arial" w:eastAsia="Arial" w:cs="Arial"/>
          <w:noProof w:val="0"/>
          <w:sz w:val="24"/>
          <w:szCs w:val="24"/>
          <w:lang w:val="en-US"/>
        </w:rPr>
        <w:t xml:space="preserve"> </w:t>
      </w:r>
    </w:p>
    <w:p w:rsidR="749E6BA4" w:rsidP="756EA358" w:rsidRDefault="749E6BA4" w14:paraId="452C41A4" w14:textId="691CC968">
      <w:pPr>
        <w:spacing w:before="0" w:beforeAutospacing="off" w:after="240" w:afterAutospacing="off" w:line="360" w:lineRule="auto"/>
      </w:pPr>
      <w:r w:rsidRPr="756EA358" w:rsidR="7583E2DB">
        <w:rPr>
          <w:rFonts w:ascii="Arial" w:hAnsi="Arial" w:eastAsia="Arial" w:cs="Arial"/>
          <w:noProof w:val="0"/>
          <w:sz w:val="24"/>
          <w:szCs w:val="24"/>
          <w:lang w:val="en-US"/>
        </w:rPr>
        <w:t xml:space="preserve">Manmohan Hebbar (2026). </w:t>
      </w:r>
      <w:r w:rsidRPr="756EA358" w:rsidR="7583E2DB">
        <w:rPr>
          <w:rFonts w:ascii="Arial" w:hAnsi="Arial" w:eastAsia="Arial" w:cs="Arial"/>
          <w:i w:val="1"/>
          <w:iCs w:val="1"/>
          <w:noProof w:val="0"/>
          <w:sz w:val="24"/>
          <w:szCs w:val="24"/>
          <w:lang w:val="en-US"/>
        </w:rPr>
        <w:t>STP framework: Segmentation targeting positioning</w:t>
      </w:r>
      <w:r w:rsidRPr="756EA358" w:rsidR="7583E2DB">
        <w:rPr>
          <w:rFonts w:ascii="Arial" w:hAnsi="Arial" w:eastAsia="Arial" w:cs="Arial"/>
          <w:noProof w:val="0"/>
          <w:sz w:val="24"/>
          <w:szCs w:val="24"/>
          <w:lang w:val="en-US"/>
        </w:rPr>
        <w:t xml:space="preserve">. </w:t>
      </w:r>
      <w:r w:rsidRPr="756EA358" w:rsidR="7583E2DB">
        <w:rPr>
          <w:rFonts w:ascii="Arial" w:hAnsi="Arial" w:eastAsia="Arial" w:cs="Arial"/>
          <w:i w:val="1"/>
          <w:iCs w:val="1"/>
          <w:noProof w:val="0"/>
          <w:sz w:val="24"/>
          <w:szCs w:val="24"/>
          <w:lang w:val="en-US"/>
        </w:rPr>
        <w:t>Whichframework.org</w:t>
      </w:r>
      <w:r w:rsidRPr="756EA358" w:rsidR="7583E2DB">
        <w:rPr>
          <w:rFonts w:ascii="Arial" w:hAnsi="Arial" w:eastAsia="Arial" w:cs="Arial"/>
          <w:noProof w:val="0"/>
          <w:sz w:val="24"/>
          <w:szCs w:val="24"/>
          <w:lang w:val="en-US"/>
        </w:rPr>
        <w:t xml:space="preserve">. Which Framework. Available at: </w:t>
      </w:r>
      <w:hyperlink r:id="R1ef38f1f3d8f4957">
        <w:r w:rsidRPr="756EA358" w:rsidR="7583E2DB">
          <w:rPr>
            <w:rStyle w:val="Hyperlink"/>
            <w:noProof w:val="0"/>
            <w:lang w:val="en-US"/>
          </w:rPr>
          <w:t>https://whichframework.org/frameworks/stp-framework.html</w:t>
        </w:r>
      </w:hyperlink>
      <w:r w:rsidRPr="756EA358" w:rsidR="7583E2DB">
        <w:rPr>
          <w:rFonts w:ascii="Arial" w:hAnsi="Arial" w:eastAsia="Arial" w:cs="Arial"/>
          <w:noProof w:val="0"/>
          <w:sz w:val="24"/>
          <w:szCs w:val="24"/>
          <w:lang w:val="en-US"/>
        </w:rPr>
        <w:t xml:space="preserve"> </w:t>
      </w:r>
      <w:r w:rsidRPr="756EA358" w:rsidR="31225CF7">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Accessed 22 July 2026</w:t>
      </w:r>
      <w:r w:rsidRPr="756EA358" w:rsidR="6CA385B2">
        <w:rPr>
          <w:rFonts w:ascii="Arial" w:hAnsi="Arial" w:eastAsia="Arial" w:cs="Arial"/>
          <w:noProof w:val="0"/>
          <w:sz w:val="24"/>
          <w:szCs w:val="24"/>
          <w:lang w:val="en-US"/>
        </w:rPr>
        <w:t>).</w:t>
      </w:r>
    </w:p>
    <w:p w:rsidR="749E6BA4" w:rsidP="756EA358" w:rsidRDefault="749E6BA4" w14:paraId="10BD6C96" w14:textId="7795BF8B">
      <w:pPr>
        <w:pStyle w:val="Normal"/>
        <w:suppressLineNumbers w:val="0"/>
        <w:bidi w:val="0"/>
        <w:spacing w:before="0" w:beforeAutospacing="off" w:after="240" w:afterAutospacing="off" w:line="360" w:lineRule="auto"/>
        <w:ind w:left="0" w:right="0"/>
        <w:jc w:val="left"/>
      </w:pPr>
      <w:r w:rsidRPr="756EA358" w:rsidR="7583E2DB">
        <w:rPr>
          <w:rFonts w:ascii="Arial" w:hAnsi="Arial" w:eastAsia="Arial" w:cs="Arial"/>
          <w:noProof w:val="0"/>
          <w:sz w:val="24"/>
          <w:szCs w:val="24"/>
          <w:lang w:val="en-US"/>
        </w:rPr>
        <w:t xml:space="preserve">Mintel (2023). </w:t>
      </w:r>
      <w:r w:rsidRPr="756EA358" w:rsidR="7583E2DB">
        <w:rPr>
          <w:rFonts w:ascii="Arial" w:hAnsi="Arial" w:eastAsia="Arial" w:cs="Arial"/>
          <w:i w:val="1"/>
          <w:iCs w:val="1"/>
          <w:noProof w:val="0"/>
          <w:sz w:val="24"/>
          <w:szCs w:val="24"/>
          <w:lang w:val="en-US"/>
        </w:rPr>
        <w:t>Mintel announces global food and drink trends for 2024 | Mintel</w:t>
      </w:r>
      <w:r w:rsidRPr="756EA358" w:rsidR="7583E2DB">
        <w:rPr>
          <w:rFonts w:ascii="Arial" w:hAnsi="Arial" w:eastAsia="Arial" w:cs="Arial"/>
          <w:noProof w:val="0"/>
          <w:sz w:val="24"/>
          <w:szCs w:val="24"/>
          <w:lang w:val="en-US"/>
        </w:rPr>
        <w:t xml:space="preserve">.  </w:t>
      </w:r>
      <w:hyperlink r:id="R99d76656586f4c69">
        <w:r w:rsidRPr="756EA358" w:rsidR="7583E2DB">
          <w:rPr>
            <w:rStyle w:val="Hyperlink"/>
            <w:i w:val="1"/>
            <w:iCs w:val="1"/>
            <w:noProof w:val="0"/>
            <w:lang w:val="en-US"/>
          </w:rPr>
          <w:t>www.mintel.com</w:t>
        </w:r>
      </w:hyperlink>
      <w:r w:rsidRPr="756EA358" w:rsidR="7583E2DB">
        <w:rPr>
          <w:rFonts w:ascii="Arial" w:hAnsi="Arial" w:eastAsia="Arial" w:cs="Arial"/>
          <w:noProof w:val="0"/>
          <w:sz w:val="24"/>
          <w:szCs w:val="24"/>
          <w:lang w:val="en-US"/>
        </w:rPr>
        <w:t xml:space="preserve">. Available at: </w:t>
      </w:r>
      <w:hyperlink r:id="R2e9f0788169a4119">
        <w:r w:rsidRPr="756EA358" w:rsidR="7583E2DB">
          <w:rPr>
            <w:rStyle w:val="Hyperlink"/>
            <w:noProof w:val="0"/>
            <w:lang w:val="en-US"/>
          </w:rPr>
          <w:t>https://www.mintel.com/press-centre/mintel-announces-global-food-and-drink-trends-for-2024/</w:t>
        </w:r>
      </w:hyperlink>
      <w:r w:rsidRPr="756EA358" w:rsidR="7583E2DB">
        <w:rPr>
          <w:rFonts w:ascii="Arial" w:hAnsi="Arial" w:eastAsia="Arial" w:cs="Arial"/>
          <w:noProof w:val="0"/>
          <w:sz w:val="24"/>
          <w:szCs w:val="24"/>
          <w:lang w:val="en-US"/>
        </w:rPr>
        <w:t xml:space="preserve"> </w:t>
      </w:r>
      <w:r w:rsidRPr="756EA358" w:rsidR="37E8DB1B">
        <w:rPr>
          <w:rFonts w:ascii="Arial" w:hAnsi="Arial" w:eastAsia="Arial" w:cs="Arial"/>
          <w:noProof w:val="0"/>
          <w:sz w:val="24"/>
          <w:szCs w:val="24"/>
          <w:lang w:val="en-US"/>
        </w:rPr>
        <w:t>(</w:t>
      </w:r>
      <w:r w:rsidRPr="756EA358" w:rsidR="7583E2DB">
        <w:rPr>
          <w:rFonts w:ascii="Arial" w:hAnsi="Arial" w:eastAsia="Arial" w:cs="Arial"/>
          <w:noProof w:val="0"/>
          <w:sz w:val="24"/>
          <w:szCs w:val="24"/>
          <w:lang w:val="en-US"/>
        </w:rPr>
        <w:t>Accessed 22 July 2026</w:t>
      </w:r>
      <w:r w:rsidRPr="756EA358" w:rsidR="4B832002">
        <w:rPr>
          <w:rFonts w:ascii="Arial" w:hAnsi="Arial" w:eastAsia="Arial" w:cs="Arial"/>
          <w:noProof w:val="0"/>
          <w:sz w:val="24"/>
          <w:szCs w:val="24"/>
          <w:lang w:val="en-US"/>
        </w:rPr>
        <w:t>).</w:t>
      </w:r>
    </w:p>
    <w:p w:rsidR="749E6BA4" w:rsidP="756EA358" w:rsidRDefault="749E6BA4" w14:paraId="49EB2935" w14:textId="3C173E24">
      <w:pPr>
        <w:spacing w:before="0" w:beforeAutospacing="off" w:after="240" w:afterAutospacing="off" w:line="360" w:lineRule="auto"/>
      </w:pPr>
      <w:r w:rsidRPr="756EA358" w:rsidR="7583E2DB">
        <w:rPr>
          <w:rFonts w:ascii="Arial" w:hAnsi="Arial" w:eastAsia="Arial" w:cs="Arial"/>
          <w:noProof w:val="0"/>
          <w:sz w:val="24"/>
          <w:szCs w:val="24"/>
          <w:lang w:val="en-US"/>
        </w:rPr>
        <w:t xml:space="preserve">Mondelēz International (2023). </w:t>
      </w:r>
      <w:r w:rsidRPr="756EA358" w:rsidR="7583E2DB">
        <w:rPr>
          <w:rFonts w:ascii="Arial" w:hAnsi="Arial" w:eastAsia="Arial" w:cs="Arial"/>
          <w:i w:val="1"/>
          <w:iCs w:val="1"/>
          <w:noProof w:val="0"/>
          <w:sz w:val="24"/>
          <w:szCs w:val="24"/>
          <w:lang w:val="en-US"/>
        </w:rPr>
        <w:t>Cadbury</w:t>
      </w:r>
      <w:r w:rsidRPr="756EA358" w:rsidR="7583E2DB">
        <w:rPr>
          <w:rFonts w:ascii="Arial" w:hAnsi="Arial" w:eastAsia="Arial" w:cs="Arial"/>
          <w:noProof w:val="0"/>
          <w:sz w:val="24"/>
          <w:szCs w:val="24"/>
          <w:lang w:val="en-US"/>
        </w:rPr>
        <w:t>.</w:t>
      </w:r>
      <w:r w:rsidRPr="756EA358" w:rsidR="4C31CA9A">
        <w:rPr>
          <w:rFonts w:ascii="Arial" w:hAnsi="Arial" w:eastAsia="Arial" w:cs="Arial"/>
          <w:noProof w:val="0"/>
          <w:sz w:val="24"/>
          <w:szCs w:val="24"/>
          <w:lang w:val="en-US"/>
        </w:rPr>
        <w:t xml:space="preserve"> </w:t>
      </w:r>
      <w:r w:rsidRPr="756EA358" w:rsidR="7583E2DB">
        <w:rPr>
          <w:rFonts w:ascii="Arial" w:hAnsi="Arial" w:eastAsia="Arial" w:cs="Arial"/>
          <w:i w:val="1"/>
          <w:iCs w:val="1"/>
          <w:noProof w:val="0"/>
          <w:sz w:val="24"/>
          <w:szCs w:val="24"/>
          <w:lang w:val="en-US"/>
        </w:rPr>
        <w:t>Mondelēz International, Inc.</w:t>
      </w:r>
      <w:r w:rsidRPr="756EA358" w:rsidR="7583E2DB">
        <w:rPr>
          <w:rFonts w:ascii="Arial" w:hAnsi="Arial" w:eastAsia="Arial" w:cs="Arial"/>
          <w:noProof w:val="0"/>
          <w:sz w:val="24"/>
          <w:szCs w:val="24"/>
          <w:lang w:val="en-US"/>
        </w:rPr>
        <w:t xml:space="preserve"> Available at: </w:t>
      </w:r>
      <w:hyperlink r:id="Re733803f83d9410a">
        <w:r w:rsidRPr="756EA358" w:rsidR="7583E2DB">
          <w:rPr>
            <w:rStyle w:val="Hyperlink"/>
            <w:noProof w:val="0"/>
            <w:lang w:val="en-US"/>
          </w:rPr>
          <w:t>https://www.mondelezinternational.com/our-brands/Cadbury/</w:t>
        </w:r>
      </w:hyperlink>
      <w:r w:rsidRPr="756EA358" w:rsidR="7583E2DB">
        <w:rPr>
          <w:rFonts w:ascii="Arial" w:hAnsi="Arial" w:eastAsia="Arial" w:cs="Arial"/>
          <w:noProof w:val="0"/>
          <w:sz w:val="24"/>
          <w:szCs w:val="24"/>
          <w:lang w:val="en-US"/>
        </w:rPr>
        <w:t xml:space="preserve"> (Accessed 22 July 2026).</w:t>
      </w:r>
    </w:p>
    <w:p w:rsidR="749E6BA4" w:rsidP="756EA358" w:rsidRDefault="749E6BA4" w14:paraId="71086F6E" w14:textId="5F49AB78">
      <w:pPr>
        <w:pStyle w:val="Normal"/>
        <w:spacing w:before="240" w:beforeAutospacing="off" w:after="240" w:afterAutospacing="off"/>
      </w:pPr>
      <w:r w:rsidRPr="756EA358" w:rsidR="6A2C7831">
        <w:rPr>
          <w:rFonts w:ascii="Arial" w:hAnsi="Arial" w:eastAsia="Arial" w:cs="Arial"/>
          <w:noProof w:val="0"/>
          <w:sz w:val="24"/>
          <w:szCs w:val="24"/>
          <w:lang w:val="en-US"/>
        </w:rPr>
        <w:t xml:space="preserve">Morrison, J. L. (1995). </w:t>
      </w:r>
      <w:r w:rsidRPr="756EA358" w:rsidR="6A2C7831">
        <w:rPr>
          <w:rFonts w:ascii="Arial" w:hAnsi="Arial" w:eastAsia="Arial" w:cs="Arial"/>
          <w:noProof w:val="0"/>
          <w:sz w:val="24"/>
          <w:szCs w:val="24"/>
          <w:lang w:val="en-US"/>
        </w:rPr>
        <w:t>[Rev.</w:t>
      </w:r>
      <w:r w:rsidRPr="756EA358" w:rsidR="6A2C7831">
        <w:rPr>
          <w:rFonts w:ascii="Arial" w:hAnsi="Arial" w:eastAsia="Arial" w:cs="Arial"/>
          <w:noProof w:val="0"/>
          <w:sz w:val="24"/>
          <w:szCs w:val="24"/>
          <w:lang w:val="en-US"/>
        </w:rPr>
        <w:t xml:space="preserve"> of Book </w:t>
      </w:r>
      <w:r w:rsidRPr="756EA358" w:rsidR="6A2C7831">
        <w:rPr>
          <w:rFonts w:ascii="Arial" w:hAnsi="Arial" w:eastAsia="Arial" w:cs="Arial"/>
          <w:noProof w:val="0"/>
          <w:sz w:val="24"/>
          <w:szCs w:val="24"/>
          <w:lang w:val="en-US"/>
        </w:rPr>
        <w:t>review</w:t>
      </w:r>
      <w:r w:rsidRPr="756EA358" w:rsidR="6A2C7831">
        <w:rPr>
          <w:rFonts w:ascii="Arial" w:hAnsi="Arial" w:eastAsia="Arial" w:cs="Arial"/>
          <w:noProof w:val="0"/>
          <w:sz w:val="24"/>
          <w:szCs w:val="24"/>
          <w:lang w:val="en-US"/>
        </w:rPr>
        <w:t xml:space="preserve"> -- International Marketing Strategy: Analysis, Development and Implementation by Chris Phillips, Isobel Doole, and Robin </w:t>
      </w:r>
      <w:r w:rsidRPr="756EA358" w:rsidR="6A2C7831">
        <w:rPr>
          <w:rFonts w:ascii="Arial" w:hAnsi="Arial" w:eastAsia="Arial" w:cs="Arial"/>
          <w:noProof w:val="0"/>
          <w:sz w:val="24"/>
          <w:szCs w:val="24"/>
          <w:lang w:val="en-US"/>
        </w:rPr>
        <w:t>Lowe].</w:t>
      </w:r>
      <w:r w:rsidRPr="756EA358" w:rsidR="6A2C7831">
        <w:rPr>
          <w:rFonts w:ascii="Arial" w:hAnsi="Arial" w:eastAsia="Arial" w:cs="Arial"/>
          <w:noProof w:val="0"/>
          <w:sz w:val="24"/>
          <w:szCs w:val="24"/>
          <w:lang w:val="en-US"/>
        </w:rPr>
        <w:t xml:space="preserve"> Journal of Education for Business, 71(1), 54. (Accessed 22 July 2026).</w:t>
      </w:r>
    </w:p>
    <w:p w:rsidR="749E6BA4" w:rsidP="756EA358" w:rsidRDefault="749E6BA4" w14:paraId="1E7C463F" w14:textId="385CA523">
      <w:pPr>
        <w:spacing w:before="0" w:beforeAutospacing="off" w:after="240" w:afterAutospacing="off" w:line="360" w:lineRule="auto"/>
      </w:pPr>
      <w:r w:rsidRPr="756EA358" w:rsidR="7583E2DB">
        <w:rPr>
          <w:rFonts w:ascii="Arial" w:hAnsi="Arial" w:eastAsia="Arial" w:cs="Arial"/>
          <w:noProof w:val="0"/>
          <w:sz w:val="24"/>
          <w:szCs w:val="24"/>
          <w:lang w:val="en-US"/>
        </w:rPr>
        <w:t xml:space="preserve">U.C. Mathur (2008). </w:t>
      </w:r>
      <w:r w:rsidRPr="756EA358" w:rsidR="7583E2DB">
        <w:rPr>
          <w:rFonts w:ascii="Arial" w:hAnsi="Arial" w:eastAsia="Arial" w:cs="Arial"/>
          <w:i w:val="1"/>
          <w:iCs w:val="1"/>
          <w:noProof w:val="0"/>
          <w:sz w:val="24"/>
          <w:szCs w:val="24"/>
          <w:lang w:val="en-US"/>
        </w:rPr>
        <w:t>International marketing management: Text and cases</w:t>
      </w:r>
      <w:r w:rsidRPr="756EA358" w:rsidR="7583E2DB">
        <w:rPr>
          <w:rFonts w:ascii="Arial" w:hAnsi="Arial" w:eastAsia="Arial" w:cs="Arial"/>
          <w:noProof w:val="0"/>
          <w:sz w:val="24"/>
          <w:szCs w:val="24"/>
          <w:lang w:val="en-US"/>
        </w:rPr>
        <w:t xml:space="preserve">. SAGE. </w:t>
      </w:r>
      <w:r>
        <w:fldChar w:fldCharType="begin"/>
      </w:r>
      <w:r>
        <w:instrText xml:space="preserve">HYPERLINK "https://doi:10.4135/9788132108436" </w:instrText>
      </w:r>
      <w:r>
        <w:fldChar w:fldCharType="separate"/>
      </w:r>
      <w:r w:rsidRPr="756EA358" w:rsidR="7583E2DB">
        <w:rPr>
          <w:rStyle w:val="Hyperlink"/>
          <w:noProof w:val="0"/>
          <w:lang w:val="en-US"/>
        </w:rPr>
        <w:t>https://doi:10.4135/9788132108436</w:t>
      </w:r>
      <w:r>
        <w:fldChar w:fldCharType="end"/>
      </w:r>
      <w:r w:rsidRPr="756EA358" w:rsidR="7583E2DB">
        <w:rPr>
          <w:rFonts w:ascii="Arial" w:hAnsi="Arial" w:eastAsia="Arial" w:cs="Arial"/>
          <w:noProof w:val="0"/>
          <w:sz w:val="24"/>
          <w:szCs w:val="24"/>
          <w:lang w:val="en-US"/>
        </w:rPr>
        <w:t xml:space="preserve">. </w:t>
      </w:r>
    </w:p>
    <w:p w:rsidR="749E6BA4" w:rsidP="756EA358" w:rsidRDefault="749E6BA4" w14:paraId="42E56F61" w14:textId="042A7BAC">
      <w:pPr>
        <w:pStyle w:val="Normal"/>
        <w:rPr>
          <w:rFonts w:ascii="Arial" w:hAnsi="Arial" w:eastAsia="Arial" w:cs="Arial"/>
        </w:rPr>
      </w:pPr>
    </w:p>
    <w:p w:rsidR="756EA358" w:rsidP="756EA358" w:rsidRDefault="756EA358" w14:paraId="01E6282A" w14:textId="22760C98">
      <w:pPr>
        <w:rPr>
          <w:rFonts w:ascii="Arial" w:hAnsi="Arial" w:eastAsia="Arial" w:cs="Arial"/>
        </w:rPr>
      </w:pPr>
    </w:p>
    <w:p w:rsidR="756EA358" w:rsidP="756EA358" w:rsidRDefault="756EA358" w14:paraId="02EDC814" w14:textId="626B36B7">
      <w:pPr>
        <w:rPr>
          <w:rFonts w:ascii="Arial" w:hAnsi="Arial" w:eastAsia="Arial" w:cs="Arial"/>
        </w:rPr>
      </w:pPr>
    </w:p>
    <w:p w:rsidR="756EA358" w:rsidP="756EA358" w:rsidRDefault="756EA358" w14:paraId="715D9314" w14:textId="4B026383">
      <w:pPr>
        <w:rPr>
          <w:rFonts w:ascii="Arial" w:hAnsi="Arial" w:eastAsia="Arial" w:cs="Arial"/>
        </w:rPr>
      </w:pPr>
    </w:p>
    <w:p w:rsidR="756EA358" w:rsidP="756EA358" w:rsidRDefault="756EA358" w14:paraId="3A348F24" w14:textId="5EBCEC35">
      <w:pPr>
        <w:rPr>
          <w:rFonts w:ascii="Arial" w:hAnsi="Arial" w:eastAsia="Arial" w:cs="Arial"/>
        </w:rPr>
      </w:pPr>
    </w:p>
    <w:p w:rsidR="756EA358" w:rsidP="756EA358" w:rsidRDefault="756EA358" w14:paraId="2AA15278" w14:textId="5069A55F">
      <w:pPr>
        <w:rPr>
          <w:rFonts w:ascii="Arial" w:hAnsi="Arial" w:eastAsia="Arial" w:cs="Arial"/>
        </w:rPr>
      </w:pPr>
    </w:p>
    <w:p w:rsidR="756EA358" w:rsidP="756EA358" w:rsidRDefault="756EA358" w14:paraId="218763C1" w14:textId="496A9F9C">
      <w:pPr>
        <w:rPr>
          <w:rFonts w:ascii="Arial" w:hAnsi="Arial" w:eastAsia="Arial" w:cs="Arial"/>
        </w:rPr>
      </w:pPr>
    </w:p>
    <w:p w:rsidR="756EA358" w:rsidP="756EA358" w:rsidRDefault="756EA358" w14:paraId="30D5CD44" w14:textId="5549F7FD">
      <w:pPr>
        <w:rPr>
          <w:rFonts w:ascii="Arial" w:hAnsi="Arial" w:eastAsia="Arial" w:cs="Arial"/>
        </w:rPr>
      </w:pPr>
    </w:p>
    <w:p w:rsidR="756EA358" w:rsidP="756EA358" w:rsidRDefault="756EA358" w14:paraId="4D9C2B15" w14:textId="698E1D22">
      <w:pPr>
        <w:rPr>
          <w:rFonts w:ascii="Arial" w:hAnsi="Arial" w:eastAsia="Arial" w:cs="Arial"/>
        </w:rPr>
      </w:pPr>
    </w:p>
    <w:p w:rsidR="756EA358" w:rsidP="756EA358" w:rsidRDefault="756EA358" w14:paraId="77B02A9A" w14:textId="6D1D373B">
      <w:pPr>
        <w:rPr>
          <w:rFonts w:ascii="Arial" w:hAnsi="Arial" w:eastAsia="Arial" w:cs="Arial"/>
        </w:rPr>
      </w:pPr>
    </w:p>
    <w:p w:rsidR="756EA358" w:rsidP="756EA358" w:rsidRDefault="756EA358" w14:paraId="167BD5AA" w14:textId="19F3E1D3">
      <w:pPr>
        <w:rPr>
          <w:rFonts w:ascii="Arial" w:hAnsi="Arial" w:eastAsia="Arial" w:cs="Arial"/>
        </w:rPr>
      </w:pPr>
    </w:p>
    <w:p w:rsidR="756EA358" w:rsidP="756EA358" w:rsidRDefault="756EA358" w14:paraId="29A8CD4D" w14:textId="58D74A74">
      <w:pPr>
        <w:rPr>
          <w:rFonts w:ascii="Arial" w:hAnsi="Arial" w:eastAsia="Arial" w:cs="Arial"/>
        </w:rPr>
      </w:pPr>
    </w:p>
    <w:p w:rsidR="756EA358" w:rsidP="756EA358" w:rsidRDefault="756EA358" w14:paraId="38D4078A" w14:textId="43F82E89">
      <w:pPr>
        <w:rPr>
          <w:rFonts w:ascii="Arial" w:hAnsi="Arial" w:eastAsia="Arial" w:cs="Arial"/>
        </w:rPr>
      </w:pPr>
    </w:p>
    <w:p w:rsidR="756EA358" w:rsidP="756EA358" w:rsidRDefault="756EA358" w14:paraId="5D990E98" w14:textId="46011C4D">
      <w:pPr>
        <w:rPr>
          <w:rFonts w:ascii="Arial" w:hAnsi="Arial" w:eastAsia="Arial" w:cs="Arial"/>
        </w:rPr>
      </w:pPr>
    </w:p>
    <w:p w:rsidR="756EA358" w:rsidP="756EA358" w:rsidRDefault="756EA358" w14:paraId="621F5B2F" w14:textId="1B9BFC50">
      <w:pPr>
        <w:rPr>
          <w:rFonts w:ascii="Arial" w:hAnsi="Arial" w:eastAsia="Arial" w:cs="Arial"/>
        </w:rPr>
      </w:pPr>
    </w:p>
    <w:p w:rsidR="756EA358" w:rsidP="756EA358" w:rsidRDefault="756EA358" w14:paraId="03925487" w14:textId="4EFFA7E7">
      <w:pPr>
        <w:rPr>
          <w:rFonts w:ascii="Arial" w:hAnsi="Arial" w:eastAsia="Arial" w:cs="Arial"/>
        </w:rPr>
      </w:pPr>
    </w:p>
    <w:p w:rsidR="756EA358" w:rsidP="756EA358" w:rsidRDefault="756EA358" w14:paraId="1E8D8EF1" w14:textId="37BF81E0">
      <w:pPr>
        <w:rPr>
          <w:rFonts w:ascii="Arial" w:hAnsi="Arial" w:eastAsia="Arial" w:cs="Arial"/>
        </w:rPr>
      </w:pPr>
    </w:p>
    <w:p w:rsidR="756EA358" w:rsidP="756EA358" w:rsidRDefault="756EA358" w14:paraId="245E2658" w14:textId="4E8E0F1A">
      <w:pPr>
        <w:rPr>
          <w:rFonts w:ascii="Arial" w:hAnsi="Arial" w:eastAsia="Arial" w:cs="Arial"/>
        </w:rPr>
      </w:pPr>
    </w:p>
    <w:p w:rsidR="756EA358" w:rsidP="756EA358" w:rsidRDefault="756EA358" w14:paraId="6D91D232" w14:textId="6DC902FE">
      <w:pPr>
        <w:rPr>
          <w:rFonts w:ascii="Arial" w:hAnsi="Arial" w:eastAsia="Arial" w:cs="Arial"/>
        </w:rPr>
      </w:pPr>
    </w:p>
    <w:p w:rsidR="756EA358" w:rsidP="756EA358" w:rsidRDefault="756EA358" w14:paraId="2D0999C1" w14:textId="698C9749">
      <w:pPr>
        <w:rPr>
          <w:rFonts w:ascii="Arial" w:hAnsi="Arial" w:eastAsia="Arial" w:cs="Arial"/>
        </w:rPr>
      </w:pPr>
    </w:p>
    <w:p w:rsidR="756EA358" w:rsidP="756EA358" w:rsidRDefault="756EA358" w14:paraId="245C2852" w14:textId="11515F2B">
      <w:pPr>
        <w:rPr>
          <w:rFonts w:ascii="Arial" w:hAnsi="Arial" w:eastAsia="Arial" w:cs="Arial"/>
        </w:rPr>
      </w:pPr>
    </w:p>
    <w:p w:rsidR="756EA358" w:rsidP="756EA358" w:rsidRDefault="756EA358" w14:paraId="00E51D06" w14:textId="5DBCF4DF">
      <w:pPr>
        <w:rPr>
          <w:rFonts w:ascii="Arial" w:hAnsi="Arial" w:eastAsia="Arial" w:cs="Arial"/>
        </w:rPr>
      </w:pPr>
    </w:p>
    <w:p w:rsidR="756EA358" w:rsidP="756EA358" w:rsidRDefault="756EA358" w14:paraId="24A0E1BA" w14:textId="080F7364">
      <w:pPr>
        <w:rPr>
          <w:rFonts w:ascii="Arial" w:hAnsi="Arial" w:eastAsia="Arial" w:cs="Arial"/>
        </w:rPr>
      </w:pPr>
    </w:p>
    <w:p w:rsidR="756EA358" w:rsidP="756EA358" w:rsidRDefault="756EA358" w14:paraId="14AE4626" w14:textId="1E7AC2E6">
      <w:pPr>
        <w:rPr>
          <w:rFonts w:ascii="Arial" w:hAnsi="Arial" w:eastAsia="Arial" w:cs="Arial"/>
        </w:rPr>
      </w:pPr>
    </w:p>
    <w:p w:rsidR="0EC3A42E" w:rsidRDefault="0EC3A42E" w14:paraId="2FA727A5" w14:textId="4C7C14BC"/>
    <w:p w:rsidR="0EC3A42E" w:rsidRDefault="0EC3A42E" w14:paraId="63BF51B0" w14:textId="02B496F0"/>
    <w:p w:rsidR="5BEFA277" w:rsidP="3B6C58B8" w:rsidRDefault="5BEFA277" w14:paraId="40CAAAA8" w14:textId="4A5AFD2E">
      <w:pPr>
        <w:pStyle w:val="Heading2"/>
        <w:rPr>
          <w:rFonts w:ascii="Arial" w:hAnsi="Arial" w:eastAsia="Arial" w:cs="Arial"/>
          <w:sz w:val="28"/>
          <w:szCs w:val="28"/>
        </w:rPr>
      </w:pPr>
      <w:bookmarkStart w:name="_Toc358064125" w:id="1279978298"/>
      <w:r w:rsidRPr="756EA358" w:rsidR="5BEFA277">
        <w:rPr>
          <w:rFonts w:ascii="Arial" w:hAnsi="Arial" w:eastAsia="Arial" w:cs="Arial"/>
          <w:sz w:val="28"/>
          <w:szCs w:val="28"/>
        </w:rPr>
        <w:t>Append</w:t>
      </w:r>
      <w:r w:rsidRPr="756EA358" w:rsidR="0CB497A6">
        <w:rPr>
          <w:rFonts w:ascii="Arial" w:hAnsi="Arial" w:eastAsia="Arial" w:cs="Arial"/>
          <w:sz w:val="28"/>
          <w:szCs w:val="28"/>
        </w:rPr>
        <w:t>ix A</w:t>
      </w:r>
      <w:bookmarkEnd w:id="1279978298"/>
    </w:p>
    <w:p w:rsidR="4003F113" w:rsidP="3B6C58B8" w:rsidRDefault="7D38B7AD" w14:paraId="54B56D9D" w14:textId="785FB023">
      <w:pPr>
        <w:pStyle w:val="Heading2"/>
        <w:rPr>
          <w:rFonts w:ascii="Arial" w:hAnsi="Arial" w:eastAsia="Arial" w:cs="Arial"/>
          <w:b w:val="1"/>
          <w:bCs w:val="1"/>
          <w:sz w:val="28"/>
          <w:szCs w:val="28"/>
        </w:rPr>
      </w:pPr>
      <w:bookmarkStart w:name="_Toc894959191" w:id="132406764"/>
      <w:r w:rsidRPr="756EA358" w:rsidR="7D38B7AD">
        <w:rPr>
          <w:rFonts w:ascii="Arial" w:hAnsi="Arial" w:eastAsia="Arial" w:cs="Arial"/>
          <w:sz w:val="28"/>
          <w:szCs w:val="28"/>
        </w:rPr>
        <w:t>Table</w:t>
      </w:r>
      <w:r w:rsidRPr="756EA358" w:rsidR="4003F113">
        <w:rPr>
          <w:rFonts w:ascii="Arial" w:hAnsi="Arial" w:eastAsia="Arial" w:cs="Arial"/>
          <w:sz w:val="28"/>
          <w:szCs w:val="28"/>
        </w:rPr>
        <w:t xml:space="preserve"> 1: Cadbury’s Transnational Strategy Position</w:t>
      </w:r>
      <w:bookmarkEnd w:id="132406764"/>
    </w:p>
    <w:tbl>
      <w:tblPr>
        <w:tblStyle w:val="TableGrid"/>
        <w:tblW w:w="0" w:type="auto"/>
        <w:tblLook w:val="06A0" w:firstRow="1" w:lastRow="0" w:firstColumn="1" w:lastColumn="0" w:noHBand="1" w:noVBand="1"/>
      </w:tblPr>
      <w:tblGrid>
        <w:gridCol w:w="3116"/>
        <w:gridCol w:w="3116"/>
        <w:gridCol w:w="3118"/>
      </w:tblGrid>
      <w:tr w:rsidR="0EC3A42E" w:rsidTr="756EA358" w14:paraId="7F7ADA64" w14:textId="77777777">
        <w:trPr>
          <w:trHeight w:val="300"/>
        </w:trPr>
        <w:tc>
          <w:tcPr>
            <w:tcW w:w="3116" w:type="dxa"/>
            <w:tcMar/>
          </w:tcPr>
          <w:p w:rsidR="0EC3A42E" w:rsidP="0EC3A42E" w:rsidRDefault="0EC3A42E" w14:paraId="204E91C7" w14:textId="708FFAFE">
            <w:pPr>
              <w:pStyle w:val="Heading2"/>
              <w:rPr>
                <w:rFonts w:ascii="Arial" w:hAnsi="Arial" w:eastAsia="Arial" w:cs="Arial"/>
                <w:sz w:val="28"/>
                <w:szCs w:val="28"/>
              </w:rPr>
            </w:pPr>
          </w:p>
        </w:tc>
        <w:tc>
          <w:tcPr>
            <w:tcW w:w="3116" w:type="dxa"/>
            <w:tcMar/>
          </w:tcPr>
          <w:p w:rsidR="0EC3A42E" w:rsidP="756EA358" w:rsidRDefault="3256EBEB" w14:paraId="0405F784" w14:textId="746CAAF7">
            <w:pPr>
              <w:pStyle w:val="Heading2"/>
              <w:rPr>
                <w:rFonts w:ascii="Arial" w:hAnsi="Arial" w:eastAsia="Arial" w:cs="Arial"/>
                <w:b w:val="1"/>
                <w:bCs w:val="1"/>
                <w:i w:val="1"/>
                <w:iCs w:val="1"/>
                <w:sz w:val="28"/>
                <w:szCs w:val="28"/>
              </w:rPr>
            </w:pPr>
            <w:bookmarkStart w:name="_Toc1192789482" w:id="998734048"/>
            <w:r w:rsidRPr="756EA358" w:rsidR="4756D51F">
              <w:rPr>
                <w:rFonts w:ascii="Arial" w:hAnsi="Arial" w:eastAsia="Arial" w:cs="Arial"/>
                <w:sz w:val="28"/>
                <w:szCs w:val="28"/>
              </w:rPr>
              <w:t>Low Local</w:t>
            </w:r>
            <w:bookmarkEnd w:id="998734048"/>
            <w:r w:rsidRPr="756EA358" w:rsidR="4756D51F">
              <w:rPr>
                <w:rFonts w:ascii="Arial" w:hAnsi="Arial" w:eastAsia="Arial" w:cs="Arial"/>
                <w:sz w:val="28"/>
                <w:szCs w:val="28"/>
              </w:rPr>
              <w:t xml:space="preserve"> </w:t>
            </w:r>
          </w:p>
        </w:tc>
        <w:tc>
          <w:tcPr>
            <w:tcW w:w="3118" w:type="dxa"/>
            <w:tcMar/>
          </w:tcPr>
          <w:p w:rsidR="0EC3A42E" w:rsidP="756EA358" w:rsidRDefault="3256EBEB" w14:paraId="6EC4AF26" w14:textId="7B773E8D">
            <w:pPr>
              <w:pStyle w:val="Heading2"/>
              <w:rPr>
                <w:rFonts w:ascii="Arial" w:hAnsi="Arial" w:eastAsia="Arial" w:cs="Arial"/>
                <w:b w:val="1"/>
                <w:bCs w:val="1"/>
                <w:i w:val="1"/>
                <w:iCs w:val="1"/>
                <w:sz w:val="28"/>
                <w:szCs w:val="28"/>
              </w:rPr>
            </w:pPr>
            <w:bookmarkStart w:name="_Toc1737405138" w:id="1542769522"/>
            <w:r w:rsidRPr="756EA358" w:rsidR="4756D51F">
              <w:rPr>
                <w:rFonts w:ascii="Arial" w:hAnsi="Arial" w:eastAsia="Arial" w:cs="Arial"/>
                <w:sz w:val="28"/>
                <w:szCs w:val="28"/>
              </w:rPr>
              <w:t>Hight Local Responsiveness</w:t>
            </w:r>
            <w:bookmarkEnd w:id="1542769522"/>
          </w:p>
        </w:tc>
      </w:tr>
      <w:tr w:rsidR="0EC3A42E" w:rsidTr="756EA358" w14:paraId="67D545D9" w14:textId="77777777">
        <w:trPr>
          <w:trHeight w:val="300"/>
        </w:trPr>
        <w:tc>
          <w:tcPr>
            <w:tcW w:w="3116" w:type="dxa"/>
            <w:tcMar/>
          </w:tcPr>
          <w:p w:rsidR="0EC3A42E" w:rsidP="0EC3A42E" w:rsidRDefault="7E37F1C5" w14:paraId="4A69B8A8" w14:textId="535A6D48">
            <w:pPr>
              <w:spacing w:line="360" w:lineRule="auto"/>
              <w:rPr>
                <w:rFonts w:ascii="Arial" w:hAnsi="Arial" w:eastAsia="Arial" w:cs="Arial"/>
                <w:b/>
                <w:bCs/>
              </w:rPr>
            </w:pPr>
            <w:r w:rsidRPr="3B6C58B8">
              <w:rPr>
                <w:rFonts w:ascii="Arial" w:hAnsi="Arial" w:eastAsia="Arial" w:cs="Arial"/>
                <w:b/>
                <w:bCs/>
              </w:rPr>
              <w:t>High Global Integration</w:t>
            </w:r>
          </w:p>
        </w:tc>
        <w:tc>
          <w:tcPr>
            <w:tcW w:w="3116" w:type="dxa"/>
            <w:tcMar/>
          </w:tcPr>
          <w:p w:rsidR="0EC3A42E" w:rsidP="0EC3A42E" w:rsidRDefault="0EC3A42E" w14:paraId="057B1DA7" w14:textId="0544DD8E">
            <w:pPr>
              <w:spacing w:line="360" w:lineRule="auto"/>
            </w:pPr>
            <w:r w:rsidRPr="0EC3A42E">
              <w:rPr>
                <w:rFonts w:ascii="Arial" w:hAnsi="Arial" w:eastAsia="Arial" w:cs="Arial"/>
              </w:rPr>
              <w:t>Global Strategy</w:t>
            </w:r>
          </w:p>
        </w:tc>
        <w:tc>
          <w:tcPr>
            <w:tcW w:w="3118" w:type="dxa"/>
            <w:tcMar/>
          </w:tcPr>
          <w:p w:rsidR="0EC3A42E" w:rsidP="0EC3A42E" w:rsidRDefault="0EC3A42E" w14:paraId="344C51B5" w14:textId="3C3C2A59">
            <w:pPr>
              <w:spacing w:line="360" w:lineRule="auto"/>
            </w:pPr>
            <w:r w:rsidRPr="0EC3A42E">
              <w:rPr>
                <w:rFonts w:ascii="Arial" w:hAnsi="Arial" w:eastAsia="Arial" w:cs="Arial"/>
              </w:rPr>
              <w:t>Transnational Strategy: Cadbury</w:t>
            </w:r>
          </w:p>
        </w:tc>
      </w:tr>
      <w:tr w:rsidR="0EC3A42E" w:rsidTr="756EA358" w14:paraId="58EE3EF7" w14:textId="77777777">
        <w:trPr>
          <w:trHeight w:val="300"/>
        </w:trPr>
        <w:tc>
          <w:tcPr>
            <w:tcW w:w="3116" w:type="dxa"/>
            <w:tcMar/>
          </w:tcPr>
          <w:p w:rsidR="0EC3A42E" w:rsidP="0EC3A42E" w:rsidRDefault="0EC3A42E" w14:paraId="7CE21B40" w14:textId="55056C4A">
            <w:pPr>
              <w:spacing w:line="360" w:lineRule="auto"/>
              <w:rPr>
                <w:rFonts w:ascii="Arial" w:hAnsi="Arial" w:eastAsia="Arial" w:cs="Arial"/>
                <w:b/>
                <w:bCs/>
              </w:rPr>
            </w:pPr>
            <w:r w:rsidRPr="0EC3A42E">
              <w:rPr>
                <w:rFonts w:ascii="Arial" w:hAnsi="Arial" w:eastAsia="Arial" w:cs="Arial"/>
                <w:b/>
                <w:bCs/>
              </w:rPr>
              <w:t>Low Global Integration</w:t>
            </w:r>
          </w:p>
        </w:tc>
        <w:tc>
          <w:tcPr>
            <w:tcW w:w="3116" w:type="dxa"/>
            <w:tcMar/>
          </w:tcPr>
          <w:p w:rsidR="0EC3A42E" w:rsidP="0EC3A42E" w:rsidRDefault="0EC3A42E" w14:paraId="14D065E8" w14:textId="7956589D">
            <w:pPr>
              <w:spacing w:line="360" w:lineRule="auto"/>
            </w:pPr>
            <w:r w:rsidRPr="0EC3A42E">
              <w:rPr>
                <w:rFonts w:ascii="Arial" w:hAnsi="Arial" w:eastAsia="Arial" w:cs="Arial"/>
              </w:rPr>
              <w:t>International Strategy</w:t>
            </w:r>
          </w:p>
        </w:tc>
        <w:tc>
          <w:tcPr>
            <w:tcW w:w="3118" w:type="dxa"/>
            <w:tcMar/>
          </w:tcPr>
          <w:p w:rsidR="0EC3A42E" w:rsidP="0EC3A42E" w:rsidRDefault="0EC3A42E" w14:paraId="7C1738CD" w14:textId="2F162EF6">
            <w:pPr>
              <w:spacing w:line="360" w:lineRule="auto"/>
            </w:pPr>
            <w:r w:rsidRPr="0EC3A42E">
              <w:rPr>
                <w:rFonts w:ascii="Arial" w:hAnsi="Arial" w:eastAsia="Arial" w:cs="Arial"/>
              </w:rPr>
              <w:t>Multidomestic Strategy</w:t>
            </w:r>
          </w:p>
        </w:tc>
      </w:tr>
    </w:tbl>
    <w:p w:rsidR="4003F113" w:rsidP="0EC3A42E" w:rsidRDefault="4003F113" w14:paraId="3EB2195C" w14:textId="436274F2">
      <w:pPr>
        <w:spacing w:before="240" w:after="240" w:line="360" w:lineRule="auto"/>
        <w:rPr>
          <w:rFonts w:ascii="Arial" w:hAnsi="Arial" w:eastAsia="Arial" w:cs="Arial"/>
          <w:i/>
          <w:iCs/>
        </w:rPr>
      </w:pPr>
      <w:r w:rsidRPr="3B6C58B8">
        <w:rPr>
          <w:rFonts w:ascii="Arial" w:hAnsi="Arial" w:eastAsia="Arial" w:cs="Arial"/>
          <w:i/>
          <w:iCs/>
        </w:rPr>
        <w:t>Bartlett and Ghoshal (1989)</w:t>
      </w:r>
    </w:p>
    <w:p w:rsidR="2056BA3C" w:rsidP="3B6C58B8" w:rsidRDefault="62D7C113" w14:paraId="28C0125C" w14:textId="4D4744E0">
      <w:pPr>
        <w:pStyle w:val="Heading2"/>
        <w:rPr>
          <w:rFonts w:ascii="Arial" w:hAnsi="Arial" w:eastAsia="Arial" w:cs="Arial"/>
          <w:b w:val="1"/>
          <w:bCs w:val="1"/>
          <w:sz w:val="28"/>
          <w:szCs w:val="28"/>
        </w:rPr>
      </w:pPr>
      <w:bookmarkStart w:name="_Toc1259410810" w:id="407798627"/>
      <w:r w:rsidRPr="756EA358" w:rsidR="62D7C113">
        <w:rPr>
          <w:rFonts w:ascii="Arial" w:hAnsi="Arial" w:eastAsia="Arial" w:cs="Arial"/>
          <w:sz w:val="28"/>
          <w:szCs w:val="28"/>
        </w:rPr>
        <w:t>Table</w:t>
      </w:r>
      <w:r w:rsidRPr="756EA358" w:rsidR="2056BA3C">
        <w:rPr>
          <w:rFonts w:ascii="Arial" w:hAnsi="Arial" w:eastAsia="Arial" w:cs="Arial"/>
          <w:sz w:val="28"/>
          <w:szCs w:val="28"/>
        </w:rPr>
        <w:t xml:space="preserve"> 2: Comparative PESTEL Analysis of Cadbury’s UK and Indian Markets</w:t>
      </w:r>
      <w:bookmarkEnd w:id="407798627"/>
    </w:p>
    <w:tbl>
      <w:tblPr>
        <w:tblStyle w:val="TableGrid"/>
        <w:tblW w:w="0" w:type="auto"/>
        <w:tblLook w:val="06A0" w:firstRow="1" w:lastRow="0" w:firstColumn="1" w:lastColumn="0" w:noHBand="1" w:noVBand="1"/>
      </w:tblPr>
      <w:tblGrid>
        <w:gridCol w:w="2337"/>
        <w:gridCol w:w="2338"/>
        <w:gridCol w:w="2337"/>
        <w:gridCol w:w="2338"/>
      </w:tblGrid>
      <w:tr w:rsidR="0EC3A42E" w:rsidTr="0EC3A42E" w14:paraId="51BD1070" w14:textId="77777777">
        <w:trPr>
          <w:trHeight w:val="300"/>
        </w:trPr>
        <w:tc>
          <w:tcPr>
            <w:tcW w:w="2337" w:type="dxa"/>
          </w:tcPr>
          <w:p w:rsidR="0EC3A42E" w:rsidP="0EC3A42E" w:rsidRDefault="0EC3A42E" w14:paraId="45A53128" w14:textId="4C46DD77">
            <w:pPr>
              <w:spacing w:line="360" w:lineRule="auto"/>
              <w:rPr>
                <w:rFonts w:ascii="Arial" w:hAnsi="Arial" w:eastAsia="Arial" w:cs="Arial"/>
                <w:b/>
                <w:bCs/>
              </w:rPr>
            </w:pPr>
            <w:r w:rsidRPr="0EC3A42E">
              <w:rPr>
                <w:rFonts w:ascii="Arial" w:hAnsi="Arial" w:eastAsia="Arial" w:cs="Arial"/>
                <w:b/>
                <w:bCs/>
              </w:rPr>
              <w:t>Factor</w:t>
            </w:r>
          </w:p>
        </w:tc>
        <w:tc>
          <w:tcPr>
            <w:tcW w:w="2338" w:type="dxa"/>
          </w:tcPr>
          <w:p w:rsidR="0EC3A42E" w:rsidP="0EC3A42E" w:rsidRDefault="0EC3A42E" w14:paraId="32BB93AB" w14:textId="12C2B611">
            <w:pPr>
              <w:spacing w:line="360" w:lineRule="auto"/>
              <w:rPr>
                <w:rFonts w:ascii="Arial" w:hAnsi="Arial" w:eastAsia="Arial" w:cs="Arial"/>
                <w:b/>
                <w:bCs/>
              </w:rPr>
            </w:pPr>
            <w:r w:rsidRPr="0EC3A42E">
              <w:rPr>
                <w:rFonts w:ascii="Arial" w:hAnsi="Arial" w:eastAsia="Arial" w:cs="Arial"/>
                <w:b/>
                <w:bCs/>
              </w:rPr>
              <w:t>United Kingdom</w:t>
            </w:r>
          </w:p>
        </w:tc>
        <w:tc>
          <w:tcPr>
            <w:tcW w:w="2337" w:type="dxa"/>
          </w:tcPr>
          <w:tbl>
            <w:tblPr>
              <w:tblW w:w="0" w:type="auto"/>
              <w:tblLook w:val="06A0" w:firstRow="1" w:lastRow="0" w:firstColumn="1" w:lastColumn="0" w:noHBand="1" w:noVBand="1"/>
            </w:tblPr>
            <w:tblGrid>
              <w:gridCol w:w="1828"/>
              <w:gridCol w:w="293"/>
            </w:tblGrid>
            <w:tr w:rsidR="0EC3A42E" w:rsidTr="0EC3A42E" w14:paraId="573107D6" w14:textId="77777777">
              <w:trPr>
                <w:gridAfter w:val="1"/>
                <w:wAfter w:w="360" w:type="dxa"/>
                <w:trHeight w:val="300"/>
              </w:trPr>
              <w:tc>
                <w:tcPr>
                  <w:tcW w:w="2127" w:type="dxa"/>
                  <w:vAlign w:val="center"/>
                </w:tcPr>
                <w:p w:rsidR="0EC3A42E" w:rsidP="0EC3A42E" w:rsidRDefault="0EC3A42E" w14:paraId="6F6B9783" w14:textId="6F01752E">
                  <w:pPr>
                    <w:spacing w:line="360" w:lineRule="auto"/>
                    <w:rPr>
                      <w:rFonts w:ascii="Arial" w:hAnsi="Arial" w:eastAsia="Arial" w:cs="Arial"/>
                      <w:b/>
                      <w:bCs/>
                    </w:rPr>
                  </w:pPr>
                </w:p>
              </w:tc>
            </w:tr>
            <w:tr w:rsidR="0EC3A42E" w:rsidTr="0EC3A42E" w14:paraId="4269FF80" w14:textId="77777777">
              <w:trPr>
                <w:trHeight w:val="300"/>
              </w:trPr>
              <w:tc>
                <w:tcPr>
                  <w:tcW w:w="2127" w:type="dxa"/>
                  <w:gridSpan w:val="2"/>
                  <w:vAlign w:val="center"/>
                </w:tcPr>
                <w:p w:rsidR="0EC3A42E" w:rsidP="0EC3A42E" w:rsidRDefault="0EC3A42E" w14:paraId="617C0C96" w14:textId="632BEBE8">
                  <w:pPr>
                    <w:spacing w:after="0" w:line="360" w:lineRule="auto"/>
                    <w:jc w:val="center"/>
                    <w:rPr>
                      <w:rFonts w:ascii="Arial" w:hAnsi="Arial" w:eastAsia="Arial" w:cs="Arial"/>
                      <w:b/>
                      <w:bCs/>
                    </w:rPr>
                  </w:pPr>
                  <w:r w:rsidRPr="0EC3A42E">
                    <w:rPr>
                      <w:rFonts w:ascii="Arial" w:hAnsi="Arial" w:eastAsia="Arial" w:cs="Arial"/>
                      <w:b/>
                      <w:bCs/>
                    </w:rPr>
                    <w:t>India</w:t>
                  </w:r>
                </w:p>
              </w:tc>
            </w:tr>
          </w:tbl>
          <w:p w:rsidR="0EC3A42E" w:rsidP="0EC3A42E" w:rsidRDefault="0EC3A42E" w14:paraId="73E67F06" w14:textId="3F240CDD">
            <w:pPr>
              <w:spacing w:line="360" w:lineRule="auto"/>
              <w:rPr>
                <w:rFonts w:ascii="Arial" w:hAnsi="Arial" w:eastAsia="Arial" w:cs="Arial"/>
                <w:b/>
                <w:bCs/>
              </w:rPr>
            </w:pPr>
          </w:p>
        </w:tc>
        <w:tc>
          <w:tcPr>
            <w:tcW w:w="2338" w:type="dxa"/>
          </w:tcPr>
          <w:tbl>
            <w:tblPr>
              <w:tblW w:w="0" w:type="auto"/>
              <w:tblLook w:val="06A0" w:firstRow="1" w:lastRow="0" w:firstColumn="1" w:lastColumn="0" w:noHBand="1" w:noVBand="1"/>
            </w:tblPr>
            <w:tblGrid>
              <w:gridCol w:w="1844"/>
              <w:gridCol w:w="278"/>
            </w:tblGrid>
            <w:tr w:rsidR="0EC3A42E" w:rsidTr="0EC3A42E" w14:paraId="6F552F8C" w14:textId="77777777">
              <w:trPr>
                <w:gridAfter w:val="1"/>
                <w:wAfter w:w="360" w:type="dxa"/>
                <w:trHeight w:val="300"/>
              </w:trPr>
              <w:tc>
                <w:tcPr>
                  <w:tcW w:w="2128" w:type="dxa"/>
                  <w:vAlign w:val="center"/>
                </w:tcPr>
                <w:p w:rsidR="0EC3A42E" w:rsidP="0EC3A42E" w:rsidRDefault="0EC3A42E" w14:paraId="56455F47" w14:textId="417012C1">
                  <w:pPr>
                    <w:spacing w:line="360" w:lineRule="auto"/>
                    <w:rPr>
                      <w:rFonts w:ascii="Arial" w:hAnsi="Arial" w:eastAsia="Arial" w:cs="Arial"/>
                      <w:b/>
                      <w:bCs/>
                    </w:rPr>
                  </w:pPr>
                </w:p>
              </w:tc>
            </w:tr>
            <w:tr w:rsidR="0EC3A42E" w:rsidTr="0EC3A42E" w14:paraId="6C0164CC" w14:textId="77777777">
              <w:trPr>
                <w:trHeight w:val="510"/>
              </w:trPr>
              <w:tc>
                <w:tcPr>
                  <w:tcW w:w="2128" w:type="dxa"/>
                  <w:gridSpan w:val="2"/>
                  <w:vAlign w:val="center"/>
                </w:tcPr>
                <w:p w:rsidR="0EC3A42E" w:rsidP="0EC3A42E" w:rsidRDefault="0EC3A42E" w14:paraId="6591F492" w14:textId="4B281AEE">
                  <w:pPr>
                    <w:spacing w:after="0" w:line="360" w:lineRule="auto"/>
                    <w:jc w:val="center"/>
                    <w:rPr>
                      <w:rFonts w:ascii="Arial" w:hAnsi="Arial" w:eastAsia="Arial" w:cs="Arial"/>
                      <w:b/>
                      <w:bCs/>
                    </w:rPr>
                  </w:pPr>
                  <w:r w:rsidRPr="0EC3A42E">
                    <w:rPr>
                      <w:rFonts w:ascii="Arial" w:hAnsi="Arial" w:eastAsia="Arial" w:cs="Arial"/>
                      <w:b/>
                      <w:bCs/>
                    </w:rPr>
                    <w:t>Strategic Impact for Cadbury</w:t>
                  </w:r>
                </w:p>
              </w:tc>
            </w:tr>
          </w:tbl>
          <w:p w:rsidR="0EC3A42E" w:rsidP="0EC3A42E" w:rsidRDefault="0EC3A42E" w14:paraId="058CA886" w14:textId="2EFA53D7">
            <w:pPr>
              <w:spacing w:line="360" w:lineRule="auto"/>
              <w:rPr>
                <w:rFonts w:ascii="Arial" w:hAnsi="Arial" w:eastAsia="Arial" w:cs="Arial"/>
                <w:b/>
                <w:bCs/>
              </w:rPr>
            </w:pPr>
          </w:p>
        </w:tc>
      </w:tr>
      <w:tr w:rsidR="0EC3A42E" w:rsidTr="0EC3A42E" w14:paraId="28493123" w14:textId="77777777">
        <w:trPr>
          <w:trHeight w:val="300"/>
        </w:trPr>
        <w:tc>
          <w:tcPr>
            <w:tcW w:w="2337" w:type="dxa"/>
          </w:tcPr>
          <w:p w:rsidR="0EC3A42E" w:rsidP="0EC3A42E" w:rsidRDefault="0EC3A42E" w14:paraId="4C2E1510" w14:textId="238DB874">
            <w:pPr>
              <w:spacing w:line="360" w:lineRule="auto"/>
              <w:rPr>
                <w:rFonts w:ascii="Arial" w:hAnsi="Arial" w:eastAsia="Arial" w:cs="Arial"/>
                <w:b/>
                <w:bCs/>
              </w:rPr>
            </w:pPr>
            <w:r w:rsidRPr="0EC3A42E">
              <w:rPr>
                <w:rFonts w:ascii="Arial" w:hAnsi="Arial" w:eastAsia="Arial" w:cs="Arial"/>
                <w:b/>
                <w:bCs/>
              </w:rPr>
              <w:t>Political</w:t>
            </w:r>
          </w:p>
        </w:tc>
        <w:tc>
          <w:tcPr>
            <w:tcW w:w="2338" w:type="dxa"/>
          </w:tcPr>
          <w:p w:rsidR="0EC3A42E" w:rsidP="0EC3A42E" w:rsidRDefault="0EC3A42E" w14:paraId="2E8947B7" w14:textId="5C0D7EDB">
            <w:pPr>
              <w:spacing w:line="360" w:lineRule="auto"/>
              <w:rPr>
                <w:rFonts w:ascii="Arial" w:hAnsi="Arial" w:eastAsia="Arial" w:cs="Arial"/>
              </w:rPr>
            </w:pPr>
            <w:r w:rsidRPr="0EC3A42E">
              <w:rPr>
                <w:rFonts w:ascii="Arial" w:hAnsi="Arial" w:eastAsia="Arial" w:cs="Arial"/>
              </w:rPr>
              <w:t>Mature confectionery market, inflation and cost-of-living pressures</w:t>
            </w:r>
          </w:p>
        </w:tc>
        <w:tc>
          <w:tcPr>
            <w:tcW w:w="2337" w:type="dxa"/>
          </w:tcPr>
          <w:p w:rsidR="0EC3A42E" w:rsidP="0EC3A42E" w:rsidRDefault="0EC3A42E" w14:paraId="5BD41EBB" w14:textId="685E8073">
            <w:pPr>
              <w:spacing w:line="360" w:lineRule="auto"/>
              <w:rPr>
                <w:rFonts w:ascii="Arial" w:hAnsi="Arial" w:eastAsia="Arial" w:cs="Arial"/>
              </w:rPr>
            </w:pPr>
            <w:r w:rsidRPr="0EC3A42E">
              <w:rPr>
                <w:rFonts w:ascii="Arial" w:hAnsi="Arial" w:eastAsia="Arial" w:cs="Arial"/>
              </w:rPr>
              <w:t>Growth potential, urbanisation and significant income diversity</w:t>
            </w:r>
          </w:p>
        </w:tc>
        <w:tc>
          <w:tcPr>
            <w:tcW w:w="2338" w:type="dxa"/>
          </w:tcPr>
          <w:p w:rsidR="0EC3A42E" w:rsidP="0EC3A42E" w:rsidRDefault="0EC3A42E" w14:paraId="59D5BABF" w14:textId="14A995DD">
            <w:pPr>
              <w:spacing w:line="360" w:lineRule="auto"/>
              <w:rPr>
                <w:rFonts w:ascii="Arial" w:hAnsi="Arial" w:eastAsia="Arial" w:cs="Arial"/>
              </w:rPr>
            </w:pPr>
            <w:r w:rsidRPr="0EC3A42E">
              <w:rPr>
                <w:rFonts w:ascii="Arial" w:hAnsi="Arial" w:eastAsia="Arial" w:cs="Arial"/>
              </w:rPr>
              <w:t>Pricing and affordability adaptation</w:t>
            </w:r>
          </w:p>
        </w:tc>
      </w:tr>
      <w:tr w:rsidR="0EC3A42E" w:rsidTr="0EC3A42E" w14:paraId="16627911" w14:textId="77777777">
        <w:trPr>
          <w:trHeight w:val="300"/>
        </w:trPr>
        <w:tc>
          <w:tcPr>
            <w:tcW w:w="2337" w:type="dxa"/>
          </w:tcPr>
          <w:p w:rsidR="0EC3A42E" w:rsidP="0EC3A42E" w:rsidRDefault="0EC3A42E" w14:paraId="44CF21C5" w14:textId="2C8A3CCC">
            <w:pPr>
              <w:spacing w:line="360" w:lineRule="auto"/>
              <w:rPr>
                <w:rFonts w:ascii="Arial" w:hAnsi="Arial" w:eastAsia="Arial" w:cs="Arial"/>
                <w:b/>
                <w:bCs/>
              </w:rPr>
            </w:pPr>
            <w:r w:rsidRPr="0EC3A42E">
              <w:rPr>
                <w:rFonts w:ascii="Arial" w:hAnsi="Arial" w:eastAsia="Arial" w:cs="Arial"/>
                <w:b/>
                <w:bCs/>
              </w:rPr>
              <w:t>Economic</w:t>
            </w:r>
          </w:p>
        </w:tc>
        <w:tc>
          <w:tcPr>
            <w:tcW w:w="2338" w:type="dxa"/>
          </w:tcPr>
          <w:p w:rsidR="0EC3A42E" w:rsidP="0EC3A42E" w:rsidRDefault="0EC3A42E" w14:paraId="6D0A78F6" w14:textId="2EFC316E">
            <w:pPr>
              <w:spacing w:line="360" w:lineRule="auto"/>
              <w:rPr>
                <w:rFonts w:ascii="Arial" w:hAnsi="Arial" w:eastAsia="Arial" w:cs="Arial"/>
              </w:rPr>
            </w:pPr>
            <w:r w:rsidRPr="0EC3A42E">
              <w:rPr>
                <w:rFonts w:ascii="Arial" w:hAnsi="Arial" w:eastAsia="Arial" w:cs="Arial"/>
              </w:rPr>
              <w:t>Mature market, inflation and cost-of-living pressures</w:t>
            </w:r>
          </w:p>
        </w:tc>
        <w:tc>
          <w:tcPr>
            <w:tcW w:w="2337" w:type="dxa"/>
          </w:tcPr>
          <w:p w:rsidR="0EC3A42E" w:rsidP="0EC3A42E" w:rsidRDefault="0EC3A42E" w14:paraId="606367FF" w14:textId="601BCBD1">
            <w:pPr>
              <w:spacing w:line="360" w:lineRule="auto"/>
              <w:rPr>
                <w:rFonts w:ascii="Arial" w:hAnsi="Arial" w:eastAsia="Arial" w:cs="Arial"/>
              </w:rPr>
            </w:pPr>
            <w:r w:rsidRPr="0EC3A42E">
              <w:rPr>
                <w:rFonts w:ascii="Arial" w:hAnsi="Arial" w:eastAsia="Arial" w:cs="Arial"/>
              </w:rPr>
              <w:t>Economic growth, urbanisation and significant income diversity</w:t>
            </w:r>
          </w:p>
        </w:tc>
        <w:tc>
          <w:tcPr>
            <w:tcW w:w="2338" w:type="dxa"/>
          </w:tcPr>
          <w:p w:rsidR="0EC3A42E" w:rsidP="0EC3A42E" w:rsidRDefault="0EC3A42E" w14:paraId="5CEFC987" w14:textId="71AFB808">
            <w:pPr>
              <w:spacing w:line="360" w:lineRule="auto"/>
              <w:rPr>
                <w:rFonts w:ascii="Arial" w:hAnsi="Arial" w:eastAsia="Arial" w:cs="Arial"/>
              </w:rPr>
            </w:pPr>
            <w:r w:rsidRPr="0EC3A42E">
              <w:rPr>
                <w:rFonts w:ascii="Arial" w:hAnsi="Arial" w:eastAsia="Arial" w:cs="Arial"/>
              </w:rPr>
              <w:t>Differentiated pricing and affordability</w:t>
            </w:r>
          </w:p>
        </w:tc>
      </w:tr>
      <w:tr w:rsidR="0EC3A42E" w:rsidTr="0EC3A42E" w14:paraId="04BF3895" w14:textId="77777777">
        <w:trPr>
          <w:trHeight w:val="300"/>
        </w:trPr>
        <w:tc>
          <w:tcPr>
            <w:tcW w:w="2337" w:type="dxa"/>
          </w:tcPr>
          <w:p w:rsidR="0EC3A42E" w:rsidP="0EC3A42E" w:rsidRDefault="0EC3A42E" w14:paraId="4F356497" w14:textId="467B21A9">
            <w:pPr>
              <w:spacing w:line="360" w:lineRule="auto"/>
              <w:rPr>
                <w:rFonts w:ascii="Arial" w:hAnsi="Arial" w:eastAsia="Arial" w:cs="Arial"/>
                <w:b/>
                <w:bCs/>
              </w:rPr>
            </w:pPr>
            <w:r w:rsidRPr="0EC3A42E">
              <w:rPr>
                <w:rFonts w:ascii="Arial" w:hAnsi="Arial" w:eastAsia="Arial" w:cs="Arial"/>
                <w:b/>
                <w:bCs/>
              </w:rPr>
              <w:t>Social</w:t>
            </w:r>
          </w:p>
        </w:tc>
        <w:tc>
          <w:tcPr>
            <w:tcW w:w="2338" w:type="dxa"/>
          </w:tcPr>
          <w:p w:rsidR="0EC3A42E" w:rsidP="0EC3A42E" w:rsidRDefault="0EC3A42E" w14:paraId="48E766BA" w14:textId="6FF9888E">
            <w:pPr>
              <w:spacing w:line="360" w:lineRule="auto"/>
              <w:rPr>
                <w:rFonts w:ascii="Arial" w:hAnsi="Arial" w:eastAsia="Arial" w:cs="Arial"/>
              </w:rPr>
            </w:pPr>
            <w:r w:rsidRPr="0EC3A42E">
              <w:rPr>
                <w:rFonts w:ascii="Arial" w:hAnsi="Arial" w:eastAsia="Arial" w:cs="Arial"/>
              </w:rPr>
              <w:t>Brand heritage, health awareness and ethical consumption</w:t>
            </w:r>
          </w:p>
        </w:tc>
        <w:tc>
          <w:tcPr>
            <w:tcW w:w="2337" w:type="dxa"/>
          </w:tcPr>
          <w:p w:rsidR="0EC3A42E" w:rsidP="0EC3A42E" w:rsidRDefault="0EC3A42E" w14:paraId="0D32FF68" w14:textId="7656D758">
            <w:pPr>
              <w:spacing w:line="360" w:lineRule="auto"/>
              <w:rPr>
                <w:rFonts w:ascii="Arial" w:hAnsi="Arial" w:eastAsia="Arial" w:cs="Arial"/>
              </w:rPr>
            </w:pPr>
            <w:r w:rsidRPr="0EC3A42E">
              <w:rPr>
                <w:rFonts w:ascii="Arial" w:hAnsi="Arial" w:eastAsia="Arial" w:cs="Arial"/>
              </w:rPr>
              <w:t>Family, festivals, gifting and changing consumption patterns</w:t>
            </w:r>
          </w:p>
        </w:tc>
        <w:tc>
          <w:tcPr>
            <w:tcW w:w="2338" w:type="dxa"/>
          </w:tcPr>
          <w:p w:rsidR="0EC3A42E" w:rsidP="0EC3A42E" w:rsidRDefault="0EC3A42E" w14:paraId="273E51AE" w14:textId="5F292227">
            <w:pPr>
              <w:spacing w:line="360" w:lineRule="auto"/>
              <w:rPr>
                <w:rFonts w:ascii="Arial" w:hAnsi="Arial" w:eastAsia="Arial" w:cs="Arial"/>
              </w:rPr>
            </w:pPr>
            <w:r w:rsidRPr="0EC3A42E">
              <w:rPr>
                <w:rFonts w:ascii="Arial" w:hAnsi="Arial" w:eastAsia="Arial" w:cs="Arial"/>
              </w:rPr>
              <w:t>Culturally specific positioning</w:t>
            </w:r>
          </w:p>
        </w:tc>
      </w:tr>
      <w:tr w:rsidR="0EC3A42E" w:rsidTr="0EC3A42E" w14:paraId="38549A33" w14:textId="77777777">
        <w:trPr>
          <w:trHeight w:val="300"/>
        </w:trPr>
        <w:tc>
          <w:tcPr>
            <w:tcW w:w="2337" w:type="dxa"/>
          </w:tcPr>
          <w:p w:rsidR="0EC3A42E" w:rsidP="0EC3A42E" w:rsidRDefault="0EC3A42E" w14:paraId="3DF2CA66" w14:textId="30B0CA88">
            <w:pPr>
              <w:spacing w:line="360" w:lineRule="auto"/>
              <w:rPr>
                <w:rFonts w:ascii="Arial" w:hAnsi="Arial" w:eastAsia="Arial" w:cs="Arial"/>
                <w:b/>
                <w:bCs/>
              </w:rPr>
            </w:pPr>
            <w:r w:rsidRPr="0EC3A42E">
              <w:rPr>
                <w:rFonts w:ascii="Arial" w:hAnsi="Arial" w:eastAsia="Arial" w:cs="Arial"/>
                <w:b/>
                <w:bCs/>
              </w:rPr>
              <w:t>Technological</w:t>
            </w:r>
          </w:p>
        </w:tc>
        <w:tc>
          <w:tcPr>
            <w:tcW w:w="2338" w:type="dxa"/>
          </w:tcPr>
          <w:tbl>
            <w:tblPr>
              <w:tblW w:w="0" w:type="auto"/>
              <w:tblLook w:val="06A0" w:firstRow="1" w:lastRow="0" w:firstColumn="1" w:lastColumn="0" w:noHBand="1" w:noVBand="1"/>
            </w:tblPr>
            <w:tblGrid>
              <w:gridCol w:w="1867"/>
              <w:gridCol w:w="255"/>
            </w:tblGrid>
            <w:tr w:rsidR="0EC3A42E" w:rsidTr="0EC3A42E" w14:paraId="22E9EC7B" w14:textId="77777777">
              <w:trPr>
                <w:gridAfter w:val="1"/>
                <w:wAfter w:w="360" w:type="dxa"/>
                <w:trHeight w:val="300"/>
              </w:trPr>
              <w:tc>
                <w:tcPr>
                  <w:tcW w:w="2128" w:type="dxa"/>
                  <w:vAlign w:val="center"/>
                </w:tcPr>
                <w:p w:rsidR="0EC3A42E" w:rsidP="0EC3A42E" w:rsidRDefault="0EC3A42E" w14:paraId="6D427863" w14:textId="3EB40D89">
                  <w:pPr>
                    <w:spacing w:line="360" w:lineRule="auto"/>
                    <w:rPr>
                      <w:rFonts w:ascii="Arial" w:hAnsi="Arial" w:eastAsia="Arial" w:cs="Arial"/>
                    </w:rPr>
                  </w:pPr>
                </w:p>
              </w:tc>
            </w:tr>
            <w:tr w:rsidR="0EC3A42E" w:rsidTr="0EC3A42E" w14:paraId="11F8127C" w14:textId="77777777">
              <w:trPr>
                <w:trHeight w:val="300"/>
              </w:trPr>
              <w:tc>
                <w:tcPr>
                  <w:tcW w:w="2128" w:type="dxa"/>
                  <w:gridSpan w:val="2"/>
                  <w:vAlign w:val="center"/>
                </w:tcPr>
                <w:p w:rsidR="0EC3A42E" w:rsidP="0EC3A42E" w:rsidRDefault="0EC3A42E" w14:paraId="4B1BF419" w14:textId="7D0510D4">
                  <w:pPr>
                    <w:spacing w:after="0" w:line="360" w:lineRule="auto"/>
                    <w:rPr>
                      <w:rFonts w:ascii="Arial" w:hAnsi="Arial" w:eastAsia="Arial" w:cs="Arial"/>
                    </w:rPr>
                  </w:pPr>
                  <w:r w:rsidRPr="0EC3A42E">
                    <w:rPr>
                      <w:rFonts w:ascii="Arial" w:hAnsi="Arial" w:eastAsia="Arial" w:cs="Arial"/>
                    </w:rPr>
                    <w:t>Advanced e-commerce and digital retail infrastructure</w:t>
                  </w:r>
                </w:p>
              </w:tc>
            </w:tr>
          </w:tbl>
          <w:p w:rsidR="0EC3A42E" w:rsidP="0EC3A42E" w:rsidRDefault="0EC3A42E" w14:paraId="746B9D41" w14:textId="1F521561">
            <w:pPr>
              <w:spacing w:line="360" w:lineRule="auto"/>
              <w:rPr>
                <w:rFonts w:ascii="Arial" w:hAnsi="Arial" w:eastAsia="Arial" w:cs="Arial"/>
              </w:rPr>
            </w:pPr>
          </w:p>
        </w:tc>
        <w:tc>
          <w:tcPr>
            <w:tcW w:w="2337" w:type="dxa"/>
          </w:tcPr>
          <w:p w:rsidR="0EC3A42E" w:rsidP="0EC3A42E" w:rsidRDefault="0EC3A42E" w14:paraId="49402236" w14:textId="5F554C6A">
            <w:pPr>
              <w:spacing w:line="360" w:lineRule="auto"/>
              <w:rPr>
                <w:rFonts w:ascii="Arial" w:hAnsi="Arial" w:eastAsia="Arial" w:cs="Arial"/>
              </w:rPr>
            </w:pPr>
            <w:r w:rsidRPr="0EC3A42E">
              <w:rPr>
                <w:rFonts w:ascii="Arial" w:hAnsi="Arial" w:eastAsia="Arial" w:cs="Arial"/>
              </w:rPr>
              <w:t>Rapid mobile adoption and expanding digital commerce</w:t>
            </w:r>
          </w:p>
        </w:tc>
        <w:tc>
          <w:tcPr>
            <w:tcW w:w="2338" w:type="dxa"/>
          </w:tcPr>
          <w:p w:rsidR="0EC3A42E" w:rsidP="0EC3A42E" w:rsidRDefault="0EC3A42E" w14:paraId="3537D179" w14:textId="510E2B5D">
            <w:pPr>
              <w:spacing w:line="360" w:lineRule="auto"/>
              <w:rPr>
                <w:rFonts w:ascii="Arial" w:hAnsi="Arial" w:eastAsia="Arial" w:cs="Arial"/>
              </w:rPr>
            </w:pPr>
            <w:r w:rsidRPr="0EC3A42E">
              <w:rPr>
                <w:rFonts w:ascii="Arial" w:hAnsi="Arial" w:eastAsia="Arial" w:cs="Arial"/>
              </w:rPr>
              <w:t>Market-specific digital engagement</w:t>
            </w:r>
          </w:p>
        </w:tc>
      </w:tr>
      <w:tr w:rsidR="0EC3A42E" w:rsidTr="0EC3A42E" w14:paraId="5895BF96" w14:textId="77777777">
        <w:trPr>
          <w:trHeight w:val="300"/>
        </w:trPr>
        <w:tc>
          <w:tcPr>
            <w:tcW w:w="2337" w:type="dxa"/>
          </w:tcPr>
          <w:p w:rsidR="0EC3A42E" w:rsidP="0EC3A42E" w:rsidRDefault="0EC3A42E" w14:paraId="0A7F5819" w14:textId="648578C9">
            <w:pPr>
              <w:spacing w:line="360" w:lineRule="auto"/>
              <w:rPr>
                <w:rFonts w:ascii="Arial" w:hAnsi="Arial" w:eastAsia="Arial" w:cs="Arial"/>
                <w:b/>
                <w:bCs/>
              </w:rPr>
            </w:pPr>
            <w:r w:rsidRPr="0EC3A42E">
              <w:rPr>
                <w:rFonts w:ascii="Arial" w:hAnsi="Arial" w:eastAsia="Arial" w:cs="Arial"/>
                <w:b/>
                <w:bCs/>
              </w:rPr>
              <w:t>Environmental</w:t>
            </w:r>
          </w:p>
        </w:tc>
        <w:tc>
          <w:tcPr>
            <w:tcW w:w="2338" w:type="dxa"/>
          </w:tcPr>
          <w:p w:rsidR="0EC3A42E" w:rsidP="0EC3A42E" w:rsidRDefault="0EC3A42E" w14:paraId="07416B9E" w14:textId="705E4695">
            <w:pPr>
              <w:spacing w:line="360" w:lineRule="auto"/>
              <w:rPr>
                <w:rFonts w:ascii="Arial" w:hAnsi="Arial" w:eastAsia="Arial" w:cs="Arial"/>
              </w:rPr>
            </w:pPr>
            <w:r w:rsidRPr="0EC3A42E">
              <w:rPr>
                <w:rFonts w:ascii="Arial" w:hAnsi="Arial" w:eastAsia="Arial" w:cs="Arial"/>
              </w:rPr>
              <w:t>High expectations concerning sustainability and responsible sourcing</w:t>
            </w:r>
          </w:p>
        </w:tc>
        <w:tc>
          <w:tcPr>
            <w:tcW w:w="2337" w:type="dxa"/>
          </w:tcPr>
          <w:p w:rsidR="0EC3A42E" w:rsidP="0EC3A42E" w:rsidRDefault="0EC3A42E" w14:paraId="04475E19" w14:textId="5F5F278B">
            <w:pPr>
              <w:spacing w:line="360" w:lineRule="auto"/>
              <w:rPr>
                <w:rFonts w:ascii="Arial" w:hAnsi="Arial" w:eastAsia="Arial" w:cs="Arial"/>
              </w:rPr>
            </w:pPr>
            <w:r w:rsidRPr="0EC3A42E">
              <w:rPr>
                <w:rFonts w:ascii="Arial" w:hAnsi="Arial" w:eastAsia="Arial" w:cs="Arial"/>
              </w:rPr>
              <w:t>Growing environmental awareness alongside development pressures</w:t>
            </w:r>
          </w:p>
        </w:tc>
        <w:tc>
          <w:tcPr>
            <w:tcW w:w="2338" w:type="dxa"/>
          </w:tcPr>
          <w:p w:rsidR="0EC3A42E" w:rsidP="0EC3A42E" w:rsidRDefault="0EC3A42E" w14:paraId="7DF1845D" w14:textId="570BAA60">
            <w:pPr>
              <w:spacing w:line="360" w:lineRule="auto"/>
              <w:rPr>
                <w:rFonts w:ascii="Arial" w:hAnsi="Arial" w:eastAsia="Arial" w:cs="Arial"/>
              </w:rPr>
            </w:pPr>
            <w:r w:rsidRPr="0EC3A42E">
              <w:rPr>
                <w:rFonts w:ascii="Arial" w:hAnsi="Arial" w:eastAsia="Arial" w:cs="Arial"/>
              </w:rPr>
              <w:t>Ethical sourcing and sustainability communication</w:t>
            </w:r>
          </w:p>
        </w:tc>
      </w:tr>
      <w:tr w:rsidR="0EC3A42E" w:rsidTr="0EC3A42E" w14:paraId="21BC2C29" w14:textId="77777777">
        <w:trPr>
          <w:trHeight w:val="300"/>
        </w:trPr>
        <w:tc>
          <w:tcPr>
            <w:tcW w:w="2337" w:type="dxa"/>
          </w:tcPr>
          <w:p w:rsidR="0EC3A42E" w:rsidP="0EC3A42E" w:rsidRDefault="0EC3A42E" w14:paraId="0B236998" w14:textId="24565071">
            <w:pPr>
              <w:spacing w:line="360" w:lineRule="auto"/>
              <w:rPr>
                <w:rFonts w:ascii="Arial" w:hAnsi="Arial" w:eastAsia="Arial" w:cs="Arial"/>
                <w:b/>
                <w:bCs/>
              </w:rPr>
            </w:pPr>
            <w:r w:rsidRPr="0EC3A42E">
              <w:rPr>
                <w:rFonts w:ascii="Arial" w:hAnsi="Arial" w:eastAsia="Arial" w:cs="Arial"/>
                <w:b/>
                <w:bCs/>
              </w:rPr>
              <w:t>Legal</w:t>
            </w:r>
          </w:p>
        </w:tc>
        <w:tc>
          <w:tcPr>
            <w:tcW w:w="2338" w:type="dxa"/>
          </w:tcPr>
          <w:p w:rsidR="0EC3A42E" w:rsidP="0EC3A42E" w:rsidRDefault="0EC3A42E" w14:paraId="5A2E22FA" w14:textId="5FB1D26B">
            <w:pPr>
              <w:spacing w:line="360" w:lineRule="auto"/>
              <w:rPr>
                <w:rFonts w:ascii="Arial" w:hAnsi="Arial" w:eastAsia="Arial" w:cs="Arial"/>
              </w:rPr>
            </w:pPr>
            <w:r w:rsidRPr="0EC3A42E">
              <w:rPr>
                <w:rFonts w:ascii="Arial" w:hAnsi="Arial" w:eastAsia="Arial" w:cs="Arial"/>
              </w:rPr>
              <w:t>Strong food safety, advertising and  consumer protection regulation</w:t>
            </w:r>
          </w:p>
        </w:tc>
        <w:tc>
          <w:tcPr>
            <w:tcW w:w="2337" w:type="dxa"/>
          </w:tcPr>
          <w:p w:rsidR="0EC3A42E" w:rsidP="0EC3A42E" w:rsidRDefault="0EC3A42E" w14:paraId="610F3B98" w14:textId="6AA8EE03">
            <w:pPr>
              <w:spacing w:line="360" w:lineRule="auto"/>
              <w:rPr>
                <w:rFonts w:ascii="Arial" w:hAnsi="Arial" w:eastAsia="Arial" w:cs="Arial"/>
              </w:rPr>
            </w:pPr>
            <w:r w:rsidRPr="0EC3A42E">
              <w:rPr>
                <w:rFonts w:ascii="Arial" w:hAnsi="Arial" w:eastAsia="Arial" w:cs="Arial"/>
              </w:rPr>
              <w:t>Increasing food safety and consumer protection requirements</w:t>
            </w:r>
          </w:p>
        </w:tc>
        <w:tc>
          <w:tcPr>
            <w:tcW w:w="2338" w:type="dxa"/>
          </w:tcPr>
          <w:p w:rsidR="0EC3A42E" w:rsidP="0EC3A42E" w:rsidRDefault="0EC3A42E" w14:paraId="7B91D90F" w14:textId="32362958">
            <w:pPr>
              <w:spacing w:line="360" w:lineRule="auto"/>
              <w:rPr>
                <w:rFonts w:ascii="Arial" w:hAnsi="Arial" w:eastAsia="Arial" w:cs="Arial"/>
              </w:rPr>
            </w:pPr>
            <w:r w:rsidRPr="0EC3A42E">
              <w:rPr>
                <w:rFonts w:ascii="Arial" w:hAnsi="Arial" w:eastAsia="Arial" w:cs="Arial"/>
              </w:rPr>
              <w:t>Quality assurance and responsible marketing</w:t>
            </w:r>
          </w:p>
        </w:tc>
      </w:tr>
    </w:tbl>
    <w:p w:rsidR="2056BA3C" w:rsidP="0EC3A42E" w:rsidRDefault="2056BA3C" w14:paraId="3AC2985D" w14:textId="0D5C9051">
      <w:pPr>
        <w:spacing w:line="360" w:lineRule="auto"/>
      </w:pPr>
      <w:r w:rsidRPr="0EC3A42E">
        <w:rPr>
          <w:rFonts w:ascii="Arial" w:hAnsi="Arial" w:eastAsia="Arial" w:cs="Arial"/>
          <w:i/>
          <w:iCs/>
        </w:rPr>
        <w:t>Johnson, Scholes and Whittington (2020), Cavusgil, Knight and Riesenberger (2020).</w:t>
      </w:r>
    </w:p>
    <w:p w:rsidR="0EC3A42E" w:rsidP="0EC3A42E" w:rsidRDefault="0EC3A42E" w14:paraId="654D0682" w14:textId="1C1CCC89">
      <w:pPr>
        <w:spacing w:after="0"/>
        <w:rPr>
          <w:rFonts w:ascii="Aptos" w:hAnsi="Aptos" w:eastAsia="Aptos" w:cs="Aptos"/>
        </w:rPr>
      </w:pPr>
    </w:p>
    <w:p w:rsidR="3B6C58B8" w:rsidP="3B6C58B8" w:rsidRDefault="3B6C58B8" w14:paraId="66BD38F3" w14:textId="46880A7F">
      <w:pPr>
        <w:spacing w:after="0"/>
        <w:rPr>
          <w:rFonts w:ascii="Aptos" w:hAnsi="Aptos" w:eastAsia="Aptos" w:cs="Aptos"/>
        </w:rPr>
      </w:pPr>
    </w:p>
    <w:p w:rsidR="3B6C58B8" w:rsidP="3B6C58B8" w:rsidRDefault="3B6C58B8" w14:paraId="3051D517" w14:textId="18F77258">
      <w:pPr>
        <w:spacing w:after="0"/>
        <w:rPr>
          <w:rFonts w:ascii="Aptos" w:hAnsi="Aptos" w:eastAsia="Aptos" w:cs="Aptos"/>
        </w:rPr>
      </w:pPr>
    </w:p>
    <w:p w:rsidR="3B6C58B8" w:rsidP="3B6C58B8" w:rsidRDefault="3B6C58B8" w14:paraId="1EEFD378" w14:textId="42B62C62">
      <w:pPr>
        <w:spacing w:after="0"/>
        <w:rPr>
          <w:rFonts w:ascii="Aptos" w:hAnsi="Aptos" w:eastAsia="Aptos" w:cs="Aptos"/>
        </w:rPr>
      </w:pPr>
    </w:p>
    <w:p w:rsidR="3B6C58B8" w:rsidP="3B6C58B8" w:rsidRDefault="3B6C58B8" w14:paraId="52B40E96" w14:textId="412DB6CB">
      <w:pPr>
        <w:spacing w:after="0"/>
        <w:rPr>
          <w:rFonts w:ascii="Aptos" w:hAnsi="Aptos" w:eastAsia="Aptos" w:cs="Aptos"/>
        </w:rPr>
      </w:pPr>
    </w:p>
    <w:p w:rsidR="3B6C58B8" w:rsidP="3B6C58B8" w:rsidRDefault="3B6C58B8" w14:paraId="5DAC43F0" w14:textId="7BD6AD38">
      <w:pPr>
        <w:spacing w:after="0"/>
        <w:rPr>
          <w:rFonts w:ascii="Aptos" w:hAnsi="Aptos" w:eastAsia="Aptos" w:cs="Aptos"/>
        </w:rPr>
      </w:pPr>
    </w:p>
    <w:p w:rsidR="08AC613E" w:rsidP="7CA4F273" w:rsidRDefault="2622C82D" w14:paraId="2D0D377C" w14:textId="1A7E58D8">
      <w:pPr>
        <w:pStyle w:val="Heading2"/>
        <w:rPr>
          <w:rFonts w:ascii="Arial" w:hAnsi="Arial" w:eastAsia="Arial" w:cs="Arial"/>
          <w:sz w:val="28"/>
          <w:szCs w:val="28"/>
        </w:rPr>
      </w:pPr>
      <w:bookmarkStart w:name="_Toc546664546" w:id="1467452477"/>
      <w:r w:rsidRPr="756EA358" w:rsidR="2622C82D">
        <w:rPr>
          <w:rFonts w:ascii="Arial" w:hAnsi="Arial" w:eastAsia="Arial" w:cs="Arial"/>
          <w:sz w:val="28"/>
          <w:szCs w:val="28"/>
        </w:rPr>
        <w:t xml:space="preserve">Table </w:t>
      </w:r>
      <w:r w:rsidRPr="756EA358" w:rsidR="52A1BEB2">
        <w:rPr>
          <w:rFonts w:ascii="Arial" w:hAnsi="Arial" w:eastAsia="Arial" w:cs="Arial"/>
          <w:sz w:val="28"/>
          <w:szCs w:val="28"/>
        </w:rPr>
        <w:t>3</w:t>
      </w:r>
      <w:r w:rsidRPr="756EA358" w:rsidR="08AC613E">
        <w:rPr>
          <w:rFonts w:ascii="Arial" w:hAnsi="Arial" w:eastAsia="Arial" w:cs="Arial"/>
          <w:sz w:val="28"/>
          <w:szCs w:val="28"/>
        </w:rPr>
        <w:t>: Supporting Cultural Dimension Comparison between the United Kingdom and India</w:t>
      </w:r>
      <w:bookmarkEnd w:id="1467452477"/>
    </w:p>
    <w:p w:rsidR="0EC3A42E" w:rsidP="0EC3A42E" w:rsidRDefault="0EC3A42E" w14:paraId="1D1F5866" w14:textId="698F8422"/>
    <w:tbl>
      <w:tblPr>
        <w:tblStyle w:val="TableGrid"/>
        <w:tblW w:w="0" w:type="auto"/>
        <w:tblLook w:val="06A0" w:firstRow="1" w:lastRow="0" w:firstColumn="1" w:lastColumn="0" w:noHBand="1" w:noVBand="1"/>
      </w:tblPr>
      <w:tblGrid>
        <w:gridCol w:w="2338"/>
        <w:gridCol w:w="2337"/>
        <w:gridCol w:w="2337"/>
        <w:gridCol w:w="2338"/>
      </w:tblGrid>
      <w:tr w:rsidR="0EC3A42E" w:rsidTr="0EC3A42E" w14:paraId="1DFCA2E5" w14:textId="77777777">
        <w:trPr>
          <w:trHeight w:val="300"/>
        </w:trPr>
        <w:tc>
          <w:tcPr>
            <w:tcW w:w="2340" w:type="dxa"/>
          </w:tcPr>
          <w:p w:rsidR="0EC3A42E" w:rsidP="0EC3A42E" w:rsidRDefault="0EC3A42E" w14:paraId="54841680" w14:textId="26E21B60">
            <w:pPr>
              <w:jc w:val="center"/>
              <w:rPr>
                <w:b/>
                <w:bCs/>
              </w:rPr>
            </w:pPr>
            <w:r w:rsidRPr="0EC3A42E">
              <w:rPr>
                <w:b/>
                <w:bCs/>
              </w:rPr>
              <w:t>Cultural dimension</w:t>
            </w:r>
          </w:p>
        </w:tc>
        <w:tc>
          <w:tcPr>
            <w:tcW w:w="2340" w:type="dxa"/>
          </w:tcPr>
          <w:p w:rsidR="7A510BE1" w:rsidP="0EC3A42E" w:rsidRDefault="7A510BE1" w14:paraId="00772D83" w14:textId="10964AA2">
            <w:pPr>
              <w:rPr>
                <w:rFonts w:ascii="Arial" w:hAnsi="Arial" w:eastAsia="Arial" w:cs="Arial"/>
                <w:b/>
                <w:bCs/>
              </w:rPr>
            </w:pPr>
            <w:r w:rsidRPr="0EC3A42E">
              <w:rPr>
                <w:rFonts w:ascii="Arial" w:hAnsi="Arial" w:eastAsia="Arial" w:cs="Arial"/>
                <w:b/>
                <w:bCs/>
              </w:rPr>
              <w:t>United Kingdom</w:t>
            </w:r>
          </w:p>
        </w:tc>
        <w:tc>
          <w:tcPr>
            <w:tcW w:w="2340" w:type="dxa"/>
          </w:tcPr>
          <w:p w:rsidR="7A510BE1" w:rsidP="0EC3A42E" w:rsidRDefault="7A510BE1" w14:paraId="39F337E8" w14:textId="3EF90B15">
            <w:pPr>
              <w:rPr>
                <w:rFonts w:ascii="Arial" w:hAnsi="Arial" w:eastAsia="Arial" w:cs="Arial"/>
                <w:b/>
                <w:bCs/>
              </w:rPr>
            </w:pPr>
            <w:r w:rsidRPr="0EC3A42E">
              <w:rPr>
                <w:rFonts w:ascii="Arial" w:hAnsi="Arial" w:eastAsia="Arial" w:cs="Arial"/>
                <w:b/>
                <w:bCs/>
              </w:rPr>
              <w:t>India</w:t>
            </w:r>
          </w:p>
        </w:tc>
        <w:tc>
          <w:tcPr>
            <w:tcW w:w="2340" w:type="dxa"/>
          </w:tcPr>
          <w:tbl>
            <w:tblPr>
              <w:tblW w:w="0" w:type="auto"/>
              <w:tblLook w:val="06A0" w:firstRow="1" w:lastRow="0" w:firstColumn="1" w:lastColumn="0" w:noHBand="1" w:noVBand="1"/>
            </w:tblPr>
            <w:tblGrid>
              <w:gridCol w:w="222"/>
              <w:gridCol w:w="1900"/>
            </w:tblGrid>
            <w:tr w:rsidR="0EC3A42E" w:rsidTr="0EC3A42E" w14:paraId="55E648FD" w14:textId="77777777">
              <w:trPr>
                <w:gridAfter w:val="1"/>
                <w:wAfter w:w="1995" w:type="dxa"/>
                <w:trHeight w:val="300"/>
              </w:trPr>
              <w:tc>
                <w:tcPr>
                  <w:tcW w:w="135" w:type="dxa"/>
                  <w:vAlign w:val="center"/>
                </w:tcPr>
                <w:p w:rsidR="0EC3A42E" w:rsidP="0EC3A42E" w:rsidRDefault="0EC3A42E" w14:paraId="0722B74F" w14:textId="34BFF472">
                  <w:pPr>
                    <w:rPr>
                      <w:b/>
                      <w:bCs/>
                    </w:rPr>
                  </w:pPr>
                </w:p>
              </w:tc>
            </w:tr>
            <w:tr w:rsidR="0EC3A42E" w:rsidTr="0EC3A42E" w14:paraId="7561B883" w14:textId="77777777">
              <w:trPr>
                <w:trHeight w:val="300"/>
              </w:trPr>
              <w:tc>
                <w:tcPr>
                  <w:tcW w:w="2130" w:type="dxa"/>
                  <w:gridSpan w:val="2"/>
                  <w:vAlign w:val="center"/>
                </w:tcPr>
                <w:p w:rsidR="0EC3A42E" w:rsidP="0EC3A42E" w:rsidRDefault="0EC3A42E" w14:paraId="16F9DAD3" w14:textId="5A6593D1">
                  <w:pPr>
                    <w:spacing w:after="0"/>
                    <w:jc w:val="center"/>
                    <w:rPr>
                      <w:b/>
                      <w:bCs/>
                    </w:rPr>
                  </w:pPr>
                  <w:r w:rsidRPr="0EC3A42E">
                    <w:rPr>
                      <w:b/>
                      <w:bCs/>
                    </w:rPr>
                    <w:t>Strategic implication for Cadbury</w:t>
                  </w:r>
                </w:p>
              </w:tc>
            </w:tr>
          </w:tbl>
          <w:p w:rsidR="0EC3A42E" w:rsidP="0EC3A42E" w:rsidRDefault="0EC3A42E" w14:paraId="23F89BB1" w14:textId="53F1E105">
            <w:pPr>
              <w:rPr>
                <w:rFonts w:ascii="Arial" w:hAnsi="Arial" w:eastAsia="Arial" w:cs="Arial"/>
                <w:b/>
                <w:bCs/>
              </w:rPr>
            </w:pPr>
          </w:p>
        </w:tc>
      </w:tr>
      <w:tr w:rsidR="0EC3A42E" w:rsidTr="0EC3A42E" w14:paraId="01448F3F" w14:textId="77777777">
        <w:trPr>
          <w:trHeight w:val="300"/>
        </w:trPr>
        <w:tc>
          <w:tcPr>
            <w:tcW w:w="2340" w:type="dxa"/>
          </w:tcPr>
          <w:p w:rsidR="718B9202" w:rsidP="0EC3A42E" w:rsidRDefault="718B9202" w14:paraId="5E1017BF" w14:textId="6FEB22B2">
            <w:r w:rsidRPr="0EC3A42E">
              <w:rPr>
                <w:rFonts w:ascii="Arial" w:hAnsi="Arial" w:eastAsia="Arial" w:cs="Arial"/>
              </w:rPr>
              <w:t>Individualism–collectivism</w:t>
            </w:r>
          </w:p>
        </w:tc>
        <w:tc>
          <w:tcPr>
            <w:tcW w:w="2340" w:type="dxa"/>
          </w:tcPr>
          <w:p w:rsidR="718B9202" w:rsidP="0EC3A42E" w:rsidRDefault="718B9202" w14:paraId="21DF5A81" w14:textId="087C6EE6">
            <w:r w:rsidRPr="0EC3A42E">
              <w:rPr>
                <w:rFonts w:ascii="Arial" w:hAnsi="Arial" w:eastAsia="Arial" w:cs="Arial"/>
              </w:rPr>
              <w:t>More individualistic orientation</w:t>
            </w:r>
          </w:p>
        </w:tc>
        <w:tc>
          <w:tcPr>
            <w:tcW w:w="2340" w:type="dxa"/>
          </w:tcPr>
          <w:p w:rsidR="718B9202" w:rsidP="0EC3A42E" w:rsidRDefault="718B9202" w14:paraId="24373CA0" w14:textId="29858827">
            <w:r w:rsidRPr="0EC3A42E">
              <w:rPr>
                <w:rFonts w:ascii="Arial" w:hAnsi="Arial" w:eastAsia="Arial" w:cs="Arial"/>
              </w:rPr>
              <w:t>More group- and relationship-oriented tendencies</w:t>
            </w:r>
          </w:p>
        </w:tc>
        <w:tc>
          <w:tcPr>
            <w:tcW w:w="2340" w:type="dxa"/>
          </w:tcPr>
          <w:p w:rsidR="718B9202" w:rsidP="0EC3A42E" w:rsidRDefault="718B9202" w14:paraId="39981A34" w14:textId="7C0C92D3">
            <w:r w:rsidRPr="0EC3A42E">
              <w:rPr>
                <w:rFonts w:ascii="Arial" w:hAnsi="Arial" w:eastAsia="Arial" w:cs="Arial"/>
              </w:rPr>
              <w:t>Personal enjoyment versus sharing and gifting</w:t>
            </w:r>
          </w:p>
        </w:tc>
      </w:tr>
      <w:tr w:rsidR="0EC3A42E" w:rsidTr="0EC3A42E" w14:paraId="66704124" w14:textId="77777777">
        <w:trPr>
          <w:trHeight w:val="300"/>
        </w:trPr>
        <w:tc>
          <w:tcPr>
            <w:tcW w:w="2340" w:type="dxa"/>
          </w:tcPr>
          <w:p w:rsidR="26B4C037" w:rsidP="0EC3A42E" w:rsidRDefault="26B4C037" w14:paraId="453ED09F" w14:textId="7B66F625">
            <w:r w:rsidRPr="0EC3A42E">
              <w:rPr>
                <w:rFonts w:ascii="Arial" w:hAnsi="Arial" w:eastAsia="Arial" w:cs="Arial"/>
              </w:rPr>
              <w:t>Power distance</w:t>
            </w:r>
          </w:p>
        </w:tc>
        <w:tc>
          <w:tcPr>
            <w:tcW w:w="2340" w:type="dxa"/>
          </w:tcPr>
          <w:p w:rsidR="26B4C037" w:rsidP="0EC3A42E" w:rsidRDefault="26B4C037" w14:paraId="6559E369" w14:textId="27097C36">
            <w:r w:rsidRPr="0EC3A42E">
              <w:rPr>
                <w:rFonts w:ascii="Arial" w:hAnsi="Arial" w:eastAsia="Arial" w:cs="Arial"/>
              </w:rPr>
              <w:t>Relatively lower acceptance of hierarchy</w:t>
            </w:r>
          </w:p>
        </w:tc>
        <w:tc>
          <w:tcPr>
            <w:tcW w:w="2340" w:type="dxa"/>
          </w:tcPr>
          <w:p w:rsidR="26B4C037" w:rsidP="0EC3A42E" w:rsidRDefault="26B4C037" w14:paraId="72DEBB23" w14:textId="1D0FDF2A">
            <w:r w:rsidRPr="0EC3A42E">
              <w:rPr>
                <w:rFonts w:ascii="Arial" w:hAnsi="Arial" w:eastAsia="Arial" w:cs="Arial"/>
              </w:rPr>
              <w:t>Relatively greater acceptance of hierarchy</w:t>
            </w:r>
          </w:p>
        </w:tc>
        <w:tc>
          <w:tcPr>
            <w:tcW w:w="2340" w:type="dxa"/>
          </w:tcPr>
          <w:p w:rsidR="718B9202" w:rsidP="0EC3A42E" w:rsidRDefault="718B9202" w14:paraId="3AD7B504" w14:textId="02223749">
            <w:r w:rsidRPr="0EC3A42E">
              <w:rPr>
                <w:rFonts w:ascii="Arial" w:hAnsi="Arial" w:eastAsia="Arial" w:cs="Arial"/>
              </w:rPr>
              <w:t>Different social reference points and communication cues</w:t>
            </w:r>
          </w:p>
        </w:tc>
      </w:tr>
      <w:tr w:rsidR="0EC3A42E" w:rsidTr="0EC3A42E" w14:paraId="4229F24E" w14:textId="77777777">
        <w:trPr>
          <w:trHeight w:val="300"/>
        </w:trPr>
        <w:tc>
          <w:tcPr>
            <w:tcW w:w="2340" w:type="dxa"/>
          </w:tcPr>
          <w:p w:rsidR="718B9202" w:rsidP="0EC3A42E" w:rsidRDefault="718B9202" w14:paraId="5A51AAD1" w14:textId="11A51037">
            <w:r w:rsidRPr="0EC3A42E">
              <w:rPr>
                <w:rFonts w:ascii="Arial" w:hAnsi="Arial" w:eastAsia="Arial" w:cs="Arial"/>
              </w:rPr>
              <w:t>Uncertainty avoidance</w:t>
            </w:r>
          </w:p>
        </w:tc>
        <w:tc>
          <w:tcPr>
            <w:tcW w:w="2340" w:type="dxa"/>
          </w:tcPr>
          <w:p w:rsidR="718B9202" w:rsidP="0EC3A42E" w:rsidRDefault="718B9202" w14:paraId="2145D188" w14:textId="5C4D55DC">
            <w:r w:rsidRPr="0EC3A42E">
              <w:rPr>
                <w:rFonts w:ascii="Arial" w:hAnsi="Arial" w:eastAsia="Arial" w:cs="Arial"/>
              </w:rPr>
              <w:t>Relatively lower</w:t>
            </w:r>
          </w:p>
        </w:tc>
        <w:tc>
          <w:tcPr>
            <w:tcW w:w="2340" w:type="dxa"/>
          </w:tcPr>
          <w:p w:rsidR="718B9202" w:rsidP="0EC3A42E" w:rsidRDefault="718B9202" w14:paraId="5FBAFD64" w14:textId="44E2B8D9">
            <w:r w:rsidRPr="0EC3A42E">
              <w:rPr>
                <w:rFonts w:ascii="Arial" w:hAnsi="Arial" w:eastAsia="Arial" w:cs="Arial"/>
              </w:rPr>
              <w:t>More context-dependent</w:t>
            </w:r>
          </w:p>
        </w:tc>
        <w:tc>
          <w:tcPr>
            <w:tcW w:w="2340" w:type="dxa"/>
          </w:tcPr>
          <w:p w:rsidR="718B9202" w:rsidP="0EC3A42E" w:rsidRDefault="718B9202" w14:paraId="3A10C9D6" w14:textId="2670F291">
            <w:r w:rsidRPr="0EC3A42E">
              <w:rPr>
                <w:rFonts w:ascii="Arial" w:hAnsi="Arial" w:eastAsia="Arial" w:cs="Arial"/>
              </w:rPr>
              <w:t>Different implications for trust and reassurance</w:t>
            </w:r>
          </w:p>
        </w:tc>
      </w:tr>
      <w:tr w:rsidR="0EC3A42E" w:rsidTr="0EC3A42E" w14:paraId="6DE67C8B" w14:textId="77777777">
        <w:trPr>
          <w:trHeight w:val="300"/>
        </w:trPr>
        <w:tc>
          <w:tcPr>
            <w:tcW w:w="2340" w:type="dxa"/>
          </w:tcPr>
          <w:p w:rsidR="718B9202" w:rsidP="0EC3A42E" w:rsidRDefault="718B9202" w14:paraId="0C8B739B" w14:textId="2A0C5C40">
            <w:r w:rsidRPr="0EC3A42E">
              <w:rPr>
                <w:rFonts w:ascii="Arial" w:hAnsi="Arial" w:eastAsia="Arial" w:cs="Arial"/>
              </w:rPr>
              <w:t>Long-term orientation</w:t>
            </w:r>
          </w:p>
        </w:tc>
        <w:tc>
          <w:tcPr>
            <w:tcW w:w="2340" w:type="dxa"/>
          </w:tcPr>
          <w:p w:rsidR="718B9202" w:rsidP="0EC3A42E" w:rsidRDefault="718B9202" w14:paraId="78825C58" w14:textId="1F713E43">
            <w:r w:rsidRPr="0EC3A42E">
              <w:rPr>
                <w:rFonts w:ascii="Arial" w:hAnsi="Arial" w:eastAsia="Arial" w:cs="Arial"/>
              </w:rPr>
              <w:t>More pragmatic orientation</w:t>
            </w:r>
          </w:p>
        </w:tc>
        <w:tc>
          <w:tcPr>
            <w:tcW w:w="2340" w:type="dxa"/>
          </w:tcPr>
          <w:p w:rsidR="718B9202" w:rsidP="0EC3A42E" w:rsidRDefault="718B9202" w14:paraId="4047CB9C" w14:textId="0DDB9418">
            <w:r w:rsidRPr="0EC3A42E">
              <w:rPr>
                <w:rFonts w:ascii="Arial" w:hAnsi="Arial" w:eastAsia="Arial" w:cs="Arial"/>
              </w:rPr>
              <w:t>Greater emphasis on continuity and tradition</w:t>
            </w:r>
          </w:p>
        </w:tc>
        <w:tc>
          <w:tcPr>
            <w:tcW w:w="2340" w:type="dxa"/>
          </w:tcPr>
          <w:p w:rsidR="718B9202" w:rsidP="0EC3A42E" w:rsidRDefault="718B9202" w14:paraId="1B50AA76" w14:textId="5066F9EE">
            <w:r w:rsidRPr="0EC3A42E">
              <w:rPr>
                <w:rFonts w:ascii="Arial" w:hAnsi="Arial" w:eastAsia="Arial" w:cs="Arial"/>
              </w:rPr>
              <w:t>Heritage may carry different meanings</w:t>
            </w:r>
          </w:p>
        </w:tc>
      </w:tr>
      <w:tr w:rsidR="0EC3A42E" w:rsidTr="0EC3A42E" w14:paraId="046045B6" w14:textId="77777777">
        <w:trPr>
          <w:trHeight w:val="300"/>
        </w:trPr>
        <w:tc>
          <w:tcPr>
            <w:tcW w:w="2340" w:type="dxa"/>
          </w:tcPr>
          <w:p w:rsidR="718B9202" w:rsidP="0EC3A42E" w:rsidRDefault="718B9202" w14:paraId="04FE4BE3" w14:textId="06CC54B6">
            <w:r w:rsidRPr="0EC3A42E">
              <w:rPr>
                <w:rFonts w:ascii="Arial" w:hAnsi="Arial" w:eastAsia="Arial" w:cs="Arial"/>
              </w:rPr>
              <w:t>Indulgence–restraint</w:t>
            </w:r>
          </w:p>
        </w:tc>
        <w:tc>
          <w:tcPr>
            <w:tcW w:w="2340" w:type="dxa"/>
          </w:tcPr>
          <w:p w:rsidR="718B9202" w:rsidP="0EC3A42E" w:rsidRDefault="718B9202" w14:paraId="24B17AC0" w14:textId="1F08E74D">
            <w:r w:rsidRPr="0EC3A42E">
              <w:rPr>
                <w:rFonts w:ascii="Arial" w:hAnsi="Arial" w:eastAsia="Arial" w:cs="Arial"/>
              </w:rPr>
              <w:t>Relatively higher indulgence</w:t>
            </w:r>
          </w:p>
        </w:tc>
        <w:tc>
          <w:tcPr>
            <w:tcW w:w="2340" w:type="dxa"/>
          </w:tcPr>
          <w:p w:rsidR="718B9202" w:rsidP="0EC3A42E" w:rsidRDefault="718B9202" w14:paraId="4F82C82D" w14:textId="3D8E4A52">
            <w:r w:rsidRPr="0EC3A42E">
              <w:rPr>
                <w:rFonts w:ascii="Arial" w:hAnsi="Arial" w:eastAsia="Arial" w:cs="Arial"/>
              </w:rPr>
              <w:t>Relatively greater restraint</w:t>
            </w:r>
          </w:p>
          <w:p w:rsidR="0EC3A42E" w:rsidP="0EC3A42E" w:rsidRDefault="0EC3A42E" w14:paraId="0E439E72" w14:textId="1883D7A9">
            <w:pPr>
              <w:rPr>
                <w:rFonts w:ascii="Arial" w:hAnsi="Arial" w:eastAsia="Arial" w:cs="Arial"/>
              </w:rPr>
            </w:pPr>
          </w:p>
        </w:tc>
        <w:tc>
          <w:tcPr>
            <w:tcW w:w="2340" w:type="dxa"/>
          </w:tcPr>
          <w:p w:rsidR="718B9202" w:rsidP="0EC3A42E" w:rsidRDefault="718B9202" w14:paraId="474F24CC" w14:textId="13B9DEA8">
            <w:r w:rsidRPr="0EC3A42E">
              <w:rPr>
                <w:rFonts w:ascii="Arial" w:hAnsi="Arial" w:eastAsia="Arial" w:cs="Arial"/>
              </w:rPr>
              <w:t>Different interpretations of pleasure and consumption</w:t>
            </w:r>
          </w:p>
        </w:tc>
      </w:tr>
    </w:tbl>
    <w:p w:rsidR="3DD21449" w:rsidP="0EC3A42E" w:rsidRDefault="3DD21449" w14:paraId="4F89D666" w14:textId="5BD12A21">
      <w:pPr>
        <w:spacing w:line="360" w:lineRule="auto"/>
        <w:rPr>
          <w:rFonts w:ascii="Arial" w:hAnsi="Arial" w:eastAsia="Arial" w:cs="Arial"/>
        </w:rPr>
      </w:pPr>
      <w:r w:rsidRPr="0EC3A42E">
        <w:rPr>
          <w:rFonts w:ascii="Arial" w:hAnsi="Arial" w:eastAsia="Arial" w:cs="Arial"/>
        </w:rPr>
        <w:t>Hofstede Insights (2024).</w:t>
      </w:r>
    </w:p>
    <w:p w:rsidR="0EC3A42E" w:rsidP="0EC3A42E" w:rsidRDefault="0EC3A42E" w14:paraId="67BA055F" w14:textId="4B2F9CD0">
      <w:pPr>
        <w:spacing w:after="0"/>
        <w:rPr>
          <w:rFonts w:ascii="Aptos" w:hAnsi="Aptos" w:eastAsia="Aptos" w:cs="Aptos"/>
        </w:rPr>
      </w:pPr>
    </w:p>
    <w:p w:rsidR="28B1D484" w:rsidP="7CA4F273" w:rsidRDefault="179EF8BB" w14:paraId="5118D0EE" w14:textId="603AD0D3">
      <w:pPr>
        <w:pStyle w:val="Heading2"/>
        <w:spacing w:line="360" w:lineRule="auto"/>
        <w:rPr>
          <w:rFonts w:ascii="Arial" w:hAnsi="Arial" w:eastAsia="Arial" w:cs="Arial"/>
          <w:sz w:val="28"/>
          <w:szCs w:val="28"/>
        </w:rPr>
      </w:pPr>
      <w:bookmarkStart w:name="_Toc1740719472" w:id="1107825708"/>
      <w:r w:rsidRPr="756EA358" w:rsidR="179EF8BB">
        <w:rPr>
          <w:rFonts w:ascii="Arial" w:hAnsi="Arial" w:eastAsia="Arial" w:cs="Arial"/>
          <w:sz w:val="28"/>
          <w:szCs w:val="28"/>
        </w:rPr>
        <w:t>Table</w:t>
      </w:r>
      <w:r w:rsidRPr="756EA358" w:rsidR="28B1D484">
        <w:rPr>
          <w:rFonts w:ascii="Arial" w:hAnsi="Arial" w:eastAsia="Arial" w:cs="Arial"/>
          <w:sz w:val="28"/>
          <w:szCs w:val="28"/>
        </w:rPr>
        <w:t xml:space="preserve"> 4: Comparative STP Strategy of Cadbury in the United Kingdom and India</w:t>
      </w:r>
      <w:bookmarkEnd w:id="1107825708"/>
    </w:p>
    <w:p w:rsidR="0EC3A42E" w:rsidP="0EC3A42E" w:rsidRDefault="0EC3A42E" w14:paraId="70881BAA" w14:textId="1E817A2A">
      <w:pPr>
        <w:spacing w:line="360" w:lineRule="auto"/>
      </w:pPr>
    </w:p>
    <w:tbl>
      <w:tblPr>
        <w:tblStyle w:val="TableGrid"/>
        <w:tblW w:w="0" w:type="auto"/>
        <w:tblLook w:val="06A0" w:firstRow="1" w:lastRow="0" w:firstColumn="1" w:lastColumn="0" w:noHBand="1" w:noVBand="1"/>
      </w:tblPr>
      <w:tblGrid>
        <w:gridCol w:w="3117"/>
        <w:gridCol w:w="3117"/>
        <w:gridCol w:w="3116"/>
      </w:tblGrid>
      <w:tr w:rsidR="0EC3A42E" w:rsidTr="0EC3A42E" w14:paraId="0A0F5513" w14:textId="77777777">
        <w:trPr>
          <w:trHeight w:val="300"/>
        </w:trPr>
        <w:tc>
          <w:tcPr>
            <w:tcW w:w="3117" w:type="dxa"/>
          </w:tcPr>
          <w:p w:rsidR="0EC3A42E" w:rsidP="0EC3A42E" w:rsidRDefault="0EC3A42E" w14:paraId="4846D6CA" w14:textId="41ACB5F7">
            <w:pPr>
              <w:spacing w:line="360" w:lineRule="auto"/>
              <w:rPr>
                <w:rFonts w:ascii="Arial" w:hAnsi="Arial" w:eastAsia="Arial" w:cs="Arial"/>
                <w:b/>
                <w:bCs/>
              </w:rPr>
            </w:pPr>
            <w:r w:rsidRPr="0EC3A42E">
              <w:rPr>
                <w:rFonts w:ascii="Arial" w:hAnsi="Arial" w:eastAsia="Arial" w:cs="Arial"/>
                <w:b/>
                <w:bCs/>
              </w:rPr>
              <w:t>STP dimension</w:t>
            </w:r>
          </w:p>
        </w:tc>
        <w:tc>
          <w:tcPr>
            <w:tcW w:w="3117" w:type="dxa"/>
          </w:tcPr>
          <w:p w:rsidR="0EC3A42E" w:rsidP="0EC3A42E" w:rsidRDefault="0EC3A42E" w14:paraId="3628F415" w14:textId="216E5040">
            <w:pPr>
              <w:spacing w:line="360" w:lineRule="auto"/>
              <w:rPr>
                <w:rFonts w:ascii="Arial" w:hAnsi="Arial" w:eastAsia="Arial" w:cs="Arial"/>
                <w:b/>
                <w:bCs/>
              </w:rPr>
            </w:pPr>
            <w:r w:rsidRPr="0EC3A42E">
              <w:rPr>
                <w:rFonts w:ascii="Arial" w:hAnsi="Arial" w:eastAsia="Arial" w:cs="Arial"/>
                <w:b/>
                <w:bCs/>
              </w:rPr>
              <w:t>United Kingdom</w:t>
            </w:r>
          </w:p>
        </w:tc>
        <w:tc>
          <w:tcPr>
            <w:tcW w:w="3116" w:type="dxa"/>
          </w:tcPr>
          <w:tbl>
            <w:tblPr>
              <w:tblW w:w="0" w:type="auto"/>
              <w:tblLook w:val="06A0" w:firstRow="1" w:lastRow="0" w:firstColumn="1" w:lastColumn="0" w:noHBand="1" w:noVBand="1"/>
            </w:tblPr>
            <w:tblGrid>
              <w:gridCol w:w="2587"/>
              <w:gridCol w:w="313"/>
            </w:tblGrid>
            <w:tr w:rsidR="0EC3A42E" w:rsidTr="0EC3A42E" w14:paraId="62DA5F62" w14:textId="77777777">
              <w:trPr>
                <w:gridAfter w:val="1"/>
                <w:wAfter w:w="360" w:type="dxa"/>
                <w:trHeight w:val="300"/>
              </w:trPr>
              <w:tc>
                <w:tcPr>
                  <w:tcW w:w="2906" w:type="dxa"/>
                  <w:vAlign w:val="center"/>
                </w:tcPr>
                <w:p w:rsidR="0EC3A42E" w:rsidP="0EC3A42E" w:rsidRDefault="0EC3A42E" w14:paraId="11E04114" w14:textId="0245C4AB">
                  <w:pPr>
                    <w:spacing w:line="360" w:lineRule="auto"/>
                    <w:rPr>
                      <w:rFonts w:ascii="Arial" w:hAnsi="Arial" w:eastAsia="Arial" w:cs="Arial"/>
                      <w:b/>
                      <w:bCs/>
                    </w:rPr>
                  </w:pPr>
                </w:p>
              </w:tc>
            </w:tr>
            <w:tr w:rsidR="0EC3A42E" w:rsidTr="0EC3A42E" w14:paraId="17761974" w14:textId="77777777">
              <w:trPr>
                <w:trHeight w:val="300"/>
              </w:trPr>
              <w:tc>
                <w:tcPr>
                  <w:tcW w:w="2906" w:type="dxa"/>
                  <w:gridSpan w:val="2"/>
                  <w:vAlign w:val="center"/>
                </w:tcPr>
                <w:p w:rsidR="0EC3A42E" w:rsidP="0EC3A42E" w:rsidRDefault="0EC3A42E" w14:paraId="4E900BDA" w14:textId="516E3481">
                  <w:pPr>
                    <w:spacing w:after="0" w:line="360" w:lineRule="auto"/>
                    <w:jc w:val="center"/>
                    <w:rPr>
                      <w:rFonts w:ascii="Arial" w:hAnsi="Arial" w:eastAsia="Arial" w:cs="Arial"/>
                      <w:b/>
                      <w:bCs/>
                    </w:rPr>
                  </w:pPr>
                  <w:r w:rsidRPr="0EC3A42E">
                    <w:rPr>
                      <w:rFonts w:ascii="Arial" w:hAnsi="Arial" w:eastAsia="Arial" w:cs="Arial"/>
                      <w:b/>
                      <w:bCs/>
                    </w:rPr>
                    <w:t>India</w:t>
                  </w:r>
                </w:p>
              </w:tc>
            </w:tr>
          </w:tbl>
          <w:p w:rsidR="0EC3A42E" w:rsidP="0EC3A42E" w:rsidRDefault="0EC3A42E" w14:paraId="63483C42" w14:textId="1F1482D7">
            <w:pPr>
              <w:spacing w:line="360" w:lineRule="auto"/>
              <w:rPr>
                <w:rFonts w:ascii="Arial" w:hAnsi="Arial" w:eastAsia="Arial" w:cs="Arial"/>
                <w:b/>
                <w:bCs/>
              </w:rPr>
            </w:pPr>
          </w:p>
        </w:tc>
      </w:tr>
      <w:tr w:rsidR="0EC3A42E" w:rsidTr="0EC3A42E" w14:paraId="45897ABA" w14:textId="77777777">
        <w:trPr>
          <w:trHeight w:val="300"/>
        </w:trPr>
        <w:tc>
          <w:tcPr>
            <w:tcW w:w="3117" w:type="dxa"/>
          </w:tcPr>
          <w:p w:rsidR="0EC3A42E" w:rsidP="0EC3A42E" w:rsidRDefault="0EC3A42E" w14:paraId="56EB1E0F" w14:textId="65BEAF8D">
            <w:pPr>
              <w:spacing w:line="360" w:lineRule="auto"/>
              <w:rPr>
                <w:rFonts w:ascii="Arial" w:hAnsi="Arial" w:eastAsia="Arial" w:cs="Arial"/>
                <w:b/>
                <w:bCs/>
              </w:rPr>
            </w:pPr>
            <w:r w:rsidRPr="0EC3A42E">
              <w:rPr>
                <w:rFonts w:ascii="Arial" w:hAnsi="Arial" w:eastAsia="Arial" w:cs="Arial"/>
                <w:b/>
                <w:bCs/>
              </w:rPr>
              <w:t>Segmentation</w:t>
            </w:r>
          </w:p>
        </w:tc>
        <w:tc>
          <w:tcPr>
            <w:tcW w:w="3117" w:type="dxa"/>
          </w:tcPr>
          <w:p w:rsidR="0EC3A42E" w:rsidP="0EC3A42E" w:rsidRDefault="0EC3A42E" w14:paraId="03151F23" w14:textId="7E19D6FE">
            <w:pPr>
              <w:spacing w:line="360" w:lineRule="auto"/>
              <w:rPr>
                <w:rFonts w:ascii="Arial" w:hAnsi="Arial" w:eastAsia="Arial" w:cs="Arial"/>
              </w:rPr>
            </w:pPr>
            <w:r w:rsidRPr="0EC3A42E">
              <w:rPr>
                <w:rFonts w:ascii="Arial" w:hAnsi="Arial" w:eastAsia="Arial" w:cs="Arial"/>
              </w:rPr>
              <w:t>Lifestyle, health awareness, ethical concerns, brand loyalty and consumption occasions</w:t>
            </w:r>
          </w:p>
        </w:tc>
        <w:tc>
          <w:tcPr>
            <w:tcW w:w="3116" w:type="dxa"/>
          </w:tcPr>
          <w:p w:rsidR="0EC3A42E" w:rsidP="0EC3A42E" w:rsidRDefault="0EC3A42E" w14:paraId="3897D275" w14:textId="1B293BAB">
            <w:pPr>
              <w:spacing w:line="360" w:lineRule="auto"/>
              <w:rPr>
                <w:rFonts w:ascii="Arial" w:hAnsi="Arial" w:eastAsia="Arial" w:cs="Arial"/>
              </w:rPr>
            </w:pPr>
            <w:r w:rsidRPr="0EC3A42E">
              <w:rPr>
                <w:rFonts w:ascii="Arial" w:hAnsi="Arial" w:eastAsia="Arial" w:cs="Arial"/>
              </w:rPr>
              <w:t>Income diversity, family relationships, festivals, gifting occasions, age and urbanisation</w:t>
            </w:r>
          </w:p>
        </w:tc>
      </w:tr>
      <w:tr w:rsidR="0EC3A42E" w:rsidTr="0EC3A42E" w14:paraId="529A2558" w14:textId="77777777">
        <w:trPr>
          <w:trHeight w:val="300"/>
        </w:trPr>
        <w:tc>
          <w:tcPr>
            <w:tcW w:w="3117" w:type="dxa"/>
          </w:tcPr>
          <w:p w:rsidR="0EC3A42E" w:rsidP="0EC3A42E" w:rsidRDefault="0EC3A42E" w14:paraId="5C669E9B" w14:textId="4F723A7F">
            <w:pPr>
              <w:spacing w:line="360" w:lineRule="auto"/>
              <w:rPr>
                <w:rFonts w:ascii="Arial" w:hAnsi="Arial" w:eastAsia="Arial" w:cs="Arial"/>
                <w:b/>
                <w:bCs/>
              </w:rPr>
            </w:pPr>
            <w:r w:rsidRPr="0EC3A42E">
              <w:rPr>
                <w:rFonts w:ascii="Arial" w:hAnsi="Arial" w:eastAsia="Arial" w:cs="Arial"/>
                <w:b/>
                <w:bCs/>
              </w:rPr>
              <w:t>Targeting</w:t>
            </w:r>
          </w:p>
        </w:tc>
        <w:tc>
          <w:tcPr>
            <w:tcW w:w="3117" w:type="dxa"/>
          </w:tcPr>
          <w:tbl>
            <w:tblPr>
              <w:tblW w:w="0" w:type="auto"/>
              <w:tblLook w:val="06A0" w:firstRow="1" w:lastRow="0" w:firstColumn="1" w:lastColumn="0" w:noHBand="1" w:noVBand="1"/>
            </w:tblPr>
            <w:tblGrid>
              <w:gridCol w:w="2602"/>
              <w:gridCol w:w="299"/>
            </w:tblGrid>
            <w:tr w:rsidR="0EC3A42E" w:rsidTr="0EC3A42E" w14:paraId="3FFC9FDA" w14:textId="77777777">
              <w:trPr>
                <w:gridAfter w:val="1"/>
                <w:wAfter w:w="360" w:type="dxa"/>
                <w:trHeight w:val="300"/>
              </w:trPr>
              <w:tc>
                <w:tcPr>
                  <w:tcW w:w="2907" w:type="dxa"/>
                  <w:vAlign w:val="center"/>
                </w:tcPr>
                <w:p w:rsidR="0EC3A42E" w:rsidP="0EC3A42E" w:rsidRDefault="0EC3A42E" w14:paraId="67CE2E46" w14:textId="745B3554">
                  <w:pPr>
                    <w:spacing w:line="360" w:lineRule="auto"/>
                    <w:rPr>
                      <w:rFonts w:ascii="Arial" w:hAnsi="Arial" w:eastAsia="Arial" w:cs="Arial"/>
                    </w:rPr>
                  </w:pPr>
                </w:p>
              </w:tc>
            </w:tr>
            <w:tr w:rsidR="0EC3A42E" w:rsidTr="0EC3A42E" w14:paraId="14601282" w14:textId="77777777">
              <w:trPr>
                <w:trHeight w:val="300"/>
              </w:trPr>
              <w:tc>
                <w:tcPr>
                  <w:tcW w:w="2907" w:type="dxa"/>
                  <w:gridSpan w:val="2"/>
                  <w:vAlign w:val="center"/>
                </w:tcPr>
                <w:p w:rsidR="0EC3A42E" w:rsidP="0EC3A42E" w:rsidRDefault="0EC3A42E" w14:paraId="633EEC46" w14:textId="6E12665E">
                  <w:pPr>
                    <w:spacing w:after="0" w:line="360" w:lineRule="auto"/>
                    <w:rPr>
                      <w:rFonts w:ascii="Arial" w:hAnsi="Arial" w:eastAsia="Arial" w:cs="Arial"/>
                    </w:rPr>
                  </w:pPr>
                  <w:r w:rsidRPr="0EC3A42E">
                    <w:rPr>
                      <w:rFonts w:ascii="Arial" w:hAnsi="Arial" w:eastAsia="Arial" w:cs="Arial"/>
                    </w:rPr>
                    <w:t>Established chocolate consumers and differentiated lifestyle segments</w:t>
                  </w:r>
                </w:p>
              </w:tc>
            </w:tr>
          </w:tbl>
          <w:p w:rsidR="0EC3A42E" w:rsidP="0EC3A42E" w:rsidRDefault="0EC3A42E" w14:paraId="0C62A77B" w14:textId="3B86AF52">
            <w:pPr>
              <w:spacing w:line="360" w:lineRule="auto"/>
              <w:rPr>
                <w:rFonts w:ascii="Arial" w:hAnsi="Arial" w:eastAsia="Arial" w:cs="Arial"/>
              </w:rPr>
            </w:pPr>
          </w:p>
        </w:tc>
        <w:tc>
          <w:tcPr>
            <w:tcW w:w="3116" w:type="dxa"/>
          </w:tcPr>
          <w:p w:rsidR="0EC3A42E" w:rsidP="0EC3A42E" w:rsidRDefault="0EC3A42E" w14:paraId="1127CEEF" w14:textId="3860CC17">
            <w:pPr>
              <w:spacing w:line="360" w:lineRule="auto"/>
              <w:rPr>
                <w:rFonts w:ascii="Arial" w:hAnsi="Arial" w:eastAsia="Arial" w:cs="Arial"/>
              </w:rPr>
            </w:pPr>
            <w:r w:rsidRPr="0EC3A42E">
              <w:rPr>
                <w:rFonts w:ascii="Arial" w:hAnsi="Arial" w:eastAsia="Arial" w:cs="Arial"/>
              </w:rPr>
              <w:t>Expanding middle-class consumers, families, younger consumers and occasion-based purchasers</w:t>
            </w:r>
          </w:p>
        </w:tc>
      </w:tr>
      <w:tr w:rsidR="0EC3A42E" w:rsidTr="0EC3A42E" w14:paraId="29E33E14" w14:textId="77777777">
        <w:trPr>
          <w:trHeight w:val="300"/>
        </w:trPr>
        <w:tc>
          <w:tcPr>
            <w:tcW w:w="3117" w:type="dxa"/>
          </w:tcPr>
          <w:p w:rsidR="0EC3A42E" w:rsidP="0EC3A42E" w:rsidRDefault="0EC3A42E" w14:paraId="6E3A7CC1" w14:textId="55F3A489">
            <w:pPr>
              <w:spacing w:line="360" w:lineRule="auto"/>
              <w:rPr>
                <w:rFonts w:ascii="Arial" w:hAnsi="Arial" w:eastAsia="Arial" w:cs="Arial"/>
                <w:b/>
                <w:bCs/>
              </w:rPr>
            </w:pPr>
            <w:r w:rsidRPr="0EC3A42E">
              <w:rPr>
                <w:rFonts w:ascii="Arial" w:hAnsi="Arial" w:eastAsia="Arial" w:cs="Arial"/>
                <w:b/>
                <w:bCs/>
              </w:rPr>
              <w:t>Positioning</w:t>
            </w:r>
          </w:p>
        </w:tc>
        <w:tc>
          <w:tcPr>
            <w:tcW w:w="3117" w:type="dxa"/>
          </w:tcPr>
          <w:p w:rsidR="0EC3A42E" w:rsidP="0EC3A42E" w:rsidRDefault="0EC3A42E" w14:paraId="4F5A10B8" w14:textId="516978DB">
            <w:pPr>
              <w:spacing w:line="360" w:lineRule="auto"/>
              <w:rPr>
                <w:rFonts w:ascii="Arial" w:hAnsi="Arial" w:eastAsia="Arial" w:cs="Arial"/>
              </w:rPr>
            </w:pPr>
            <w:r w:rsidRPr="0EC3A42E">
              <w:rPr>
                <w:rFonts w:ascii="Arial" w:hAnsi="Arial" w:eastAsia="Arial" w:cs="Arial"/>
              </w:rPr>
              <w:t>Heritage, quality, emotional enjoyment and trusted British identity</w:t>
            </w:r>
          </w:p>
        </w:tc>
        <w:tc>
          <w:tcPr>
            <w:tcW w:w="3116" w:type="dxa"/>
          </w:tcPr>
          <w:p w:rsidR="0EC3A42E" w:rsidP="0EC3A42E" w:rsidRDefault="0EC3A42E" w14:paraId="041449EC" w14:textId="790419BD">
            <w:pPr>
              <w:spacing w:line="360" w:lineRule="auto"/>
              <w:rPr>
                <w:rFonts w:ascii="Arial" w:hAnsi="Arial" w:eastAsia="Arial" w:cs="Arial"/>
              </w:rPr>
            </w:pPr>
            <w:r w:rsidRPr="0EC3A42E">
              <w:rPr>
                <w:rFonts w:ascii="Arial" w:hAnsi="Arial" w:eastAsia="Arial" w:cs="Arial"/>
              </w:rPr>
              <w:t>Celebration, affection, relationships and culturally relevant indulgence</w:t>
            </w:r>
          </w:p>
        </w:tc>
      </w:tr>
    </w:tbl>
    <w:p w:rsidR="28B1D484" w:rsidP="0EC3A42E" w:rsidRDefault="28B1D484" w14:paraId="0265D89B" w14:textId="0B3BCEFA">
      <w:pPr>
        <w:spacing w:line="360" w:lineRule="auto"/>
      </w:pPr>
      <w:r w:rsidRPr="0EC3A42E">
        <w:rPr>
          <w:rFonts w:ascii="Arial" w:hAnsi="Arial" w:eastAsia="Arial" w:cs="Arial"/>
        </w:rPr>
        <w:t>Kotler and Keller (2016), Cavusgil, Knight and Riesenberger (2020).</w:t>
      </w:r>
    </w:p>
    <w:p w:rsidR="0EC3A42E" w:rsidP="0EC3A42E" w:rsidRDefault="0EC3A42E" w14:paraId="1BC5C7FE" w14:textId="209F13D0">
      <w:pPr>
        <w:spacing w:after="0"/>
        <w:rPr>
          <w:rFonts w:ascii="Aptos" w:hAnsi="Aptos" w:eastAsia="Aptos" w:cs="Aptos"/>
        </w:rPr>
      </w:pPr>
    </w:p>
    <w:p w:rsidR="094F93DB" w:rsidP="3B6C58B8" w:rsidRDefault="57A6CFC5" w14:paraId="2C057C05" w14:textId="74068052">
      <w:pPr>
        <w:pStyle w:val="Heading2"/>
        <w:rPr>
          <w:rFonts w:ascii="Arial" w:hAnsi="Arial" w:eastAsia="Arial" w:cs="Arial"/>
          <w:sz w:val="28"/>
          <w:szCs w:val="28"/>
        </w:rPr>
      </w:pPr>
      <w:bookmarkStart w:name="_Toc843128287" w:id="97930578"/>
      <w:r w:rsidRPr="756EA358" w:rsidR="57A6CFC5">
        <w:rPr>
          <w:rFonts w:ascii="Arial" w:hAnsi="Arial" w:eastAsia="Arial" w:cs="Arial"/>
          <w:sz w:val="28"/>
          <w:szCs w:val="28"/>
        </w:rPr>
        <w:t>Table</w:t>
      </w:r>
      <w:r w:rsidRPr="756EA358" w:rsidR="094F93DB">
        <w:rPr>
          <w:rFonts w:ascii="Arial" w:hAnsi="Arial" w:eastAsia="Arial" w:cs="Arial"/>
          <w:sz w:val="28"/>
          <w:szCs w:val="28"/>
        </w:rPr>
        <w:t xml:space="preserve"> 5: Comparative International Marketing Mix: Selected 4Ps</w:t>
      </w:r>
      <w:bookmarkEnd w:id="97930578"/>
    </w:p>
    <w:tbl>
      <w:tblPr>
        <w:tblStyle w:val="TableGrid"/>
        <w:tblW w:w="0" w:type="auto"/>
        <w:tblBorders>
          <w:top w:val="single" w:color="auto" w:sz="6" w:space="0"/>
          <w:left w:val="single" w:color="auto" w:sz="6" w:space="0"/>
          <w:bottom w:val="single" w:color="auto" w:sz="6" w:space="0"/>
          <w:right w:val="single" w:color="auto" w:sz="6" w:space="0"/>
        </w:tblBorders>
        <w:tblLook w:val="06A0" w:firstRow="1" w:lastRow="0" w:firstColumn="1" w:lastColumn="0" w:noHBand="1" w:noVBand="1"/>
      </w:tblPr>
      <w:tblGrid>
        <w:gridCol w:w="2325"/>
        <w:gridCol w:w="2325"/>
        <w:gridCol w:w="2325"/>
        <w:gridCol w:w="2325"/>
      </w:tblGrid>
      <w:tr w:rsidR="0EC3A42E" w:rsidTr="0EC3A42E" w14:paraId="356BB5BD" w14:textId="77777777">
        <w:trPr>
          <w:trHeight w:val="285"/>
        </w:trPr>
        <w:tc>
          <w:tcPr>
            <w:tcW w:w="2325" w:type="dxa"/>
            <w:tcBorders>
              <w:top w:val="single" w:color="auto" w:sz="6" w:space="0"/>
              <w:left w:val="single" w:color="auto" w:sz="6" w:space="0"/>
            </w:tcBorders>
            <w:tcMar>
              <w:left w:w="105" w:type="dxa"/>
              <w:right w:w="105" w:type="dxa"/>
            </w:tcMar>
          </w:tcPr>
          <w:p w:rsidR="0EC3A42E" w:rsidP="0EC3A42E" w:rsidRDefault="0EC3A42E" w14:paraId="35EE420F" w14:textId="7EECEB4D">
            <w:pPr>
              <w:rPr>
                <w:rFonts w:ascii="Arial" w:hAnsi="Arial" w:eastAsia="Arial" w:cs="Arial"/>
              </w:rPr>
            </w:pPr>
            <w:r w:rsidRPr="0EC3A42E">
              <w:rPr>
                <w:rFonts w:ascii="Arial" w:hAnsi="Arial" w:eastAsia="Arial" w:cs="Arial"/>
                <w:b/>
                <w:bCs/>
              </w:rPr>
              <w:t>Marketing variable</w:t>
            </w:r>
          </w:p>
        </w:tc>
        <w:tc>
          <w:tcPr>
            <w:tcW w:w="2325" w:type="dxa"/>
            <w:tcBorders>
              <w:top w:val="single" w:color="auto" w:sz="6" w:space="0"/>
            </w:tcBorders>
            <w:tcMar>
              <w:left w:w="105" w:type="dxa"/>
              <w:right w:w="105" w:type="dxa"/>
            </w:tcMar>
          </w:tcPr>
          <w:p w:rsidR="0EC3A42E" w:rsidP="0EC3A42E" w:rsidRDefault="0EC3A42E" w14:paraId="6F62436E" w14:textId="267A888C">
            <w:pPr>
              <w:rPr>
                <w:rFonts w:ascii="Arial" w:hAnsi="Arial" w:eastAsia="Arial" w:cs="Arial"/>
              </w:rPr>
            </w:pPr>
            <w:r w:rsidRPr="0EC3A42E">
              <w:rPr>
                <w:rFonts w:ascii="Arial" w:hAnsi="Arial" w:eastAsia="Arial" w:cs="Arial"/>
                <w:b/>
                <w:bCs/>
              </w:rPr>
              <w:t>United Kingdom</w:t>
            </w:r>
          </w:p>
        </w:tc>
        <w:tc>
          <w:tcPr>
            <w:tcW w:w="2325" w:type="dxa"/>
            <w:tcBorders>
              <w:top w:val="single" w:color="auto" w:sz="6" w:space="0"/>
            </w:tcBorders>
            <w:tcMar>
              <w:left w:w="105" w:type="dxa"/>
              <w:right w:w="105" w:type="dxa"/>
            </w:tcMar>
          </w:tcPr>
          <w:p w:rsidR="0EC3A42E" w:rsidP="0EC3A42E" w:rsidRDefault="0EC3A42E" w14:paraId="695A4A35" w14:textId="0D857A0F">
            <w:pPr>
              <w:rPr>
                <w:rFonts w:ascii="Arial" w:hAnsi="Arial" w:eastAsia="Arial" w:cs="Arial"/>
              </w:rPr>
            </w:pPr>
            <w:r w:rsidRPr="0EC3A42E">
              <w:rPr>
                <w:rFonts w:ascii="Arial" w:hAnsi="Arial" w:eastAsia="Arial" w:cs="Arial"/>
                <w:b/>
                <w:bCs/>
              </w:rPr>
              <w:t>India</w:t>
            </w:r>
          </w:p>
        </w:tc>
        <w:tc>
          <w:tcPr>
            <w:tcW w:w="2325" w:type="dxa"/>
            <w:tcBorders>
              <w:top w:val="single" w:color="auto" w:sz="6" w:space="0"/>
              <w:right w:val="single" w:color="auto" w:sz="6" w:space="0"/>
            </w:tcBorders>
            <w:tcMar>
              <w:left w:w="105" w:type="dxa"/>
              <w:right w:w="105" w:type="dxa"/>
            </w:tcMar>
          </w:tcPr>
          <w:p w:rsidR="0EC3A42E" w:rsidP="0EC3A42E" w:rsidRDefault="0EC3A42E" w14:paraId="2F42108B" w14:textId="3A690299">
            <w:pPr>
              <w:rPr>
                <w:rFonts w:ascii="Aptos" w:hAnsi="Aptos" w:eastAsia="Aptos" w:cs="Aptos"/>
              </w:rPr>
            </w:pPr>
          </w:p>
          <w:p w:rsidR="0EC3A42E" w:rsidP="0EC3A42E" w:rsidRDefault="0EC3A42E" w14:paraId="05D2CB29" w14:textId="2FBE0B37">
            <w:pPr>
              <w:jc w:val="center"/>
              <w:rPr>
                <w:rFonts w:ascii="Aptos" w:hAnsi="Aptos" w:eastAsia="Aptos" w:cs="Aptos"/>
              </w:rPr>
            </w:pPr>
            <w:r w:rsidRPr="0EC3A42E">
              <w:rPr>
                <w:rFonts w:ascii="Aptos" w:hAnsi="Aptos" w:eastAsia="Aptos" w:cs="Aptos"/>
                <w:b/>
                <w:bCs/>
              </w:rPr>
              <w:t>Strategic judgement</w:t>
            </w:r>
          </w:p>
          <w:p w:rsidR="0EC3A42E" w:rsidP="0EC3A42E" w:rsidRDefault="0EC3A42E" w14:paraId="1E265046" w14:textId="13D5B55C">
            <w:pPr>
              <w:rPr>
                <w:rFonts w:ascii="Arial" w:hAnsi="Arial" w:eastAsia="Arial" w:cs="Arial"/>
              </w:rPr>
            </w:pPr>
          </w:p>
        </w:tc>
      </w:tr>
      <w:tr w:rsidR="0EC3A42E" w:rsidTr="0EC3A42E" w14:paraId="201E01CD" w14:textId="77777777">
        <w:trPr>
          <w:trHeight w:val="285"/>
        </w:trPr>
        <w:tc>
          <w:tcPr>
            <w:tcW w:w="2325" w:type="dxa"/>
            <w:tcBorders>
              <w:left w:val="single" w:color="auto" w:sz="6" w:space="0"/>
            </w:tcBorders>
            <w:tcMar>
              <w:left w:w="105" w:type="dxa"/>
              <w:right w:w="105" w:type="dxa"/>
            </w:tcMar>
          </w:tcPr>
          <w:p w:rsidR="0EC3A42E" w:rsidP="0EC3A42E" w:rsidRDefault="0EC3A42E" w14:paraId="50542EF0" w14:textId="431A9B72">
            <w:pPr>
              <w:rPr>
                <w:rFonts w:ascii="Aptos" w:hAnsi="Aptos" w:eastAsia="Aptos" w:cs="Aptos"/>
              </w:rPr>
            </w:pPr>
            <w:r w:rsidRPr="0EC3A42E">
              <w:rPr>
                <w:rFonts w:ascii="Aptos" w:hAnsi="Aptos" w:eastAsia="Aptos" w:cs="Aptos"/>
                <w:b/>
                <w:bCs/>
              </w:rPr>
              <w:t>Product</w:t>
            </w:r>
          </w:p>
        </w:tc>
        <w:tc>
          <w:tcPr>
            <w:tcW w:w="2325" w:type="dxa"/>
            <w:tcMar>
              <w:left w:w="105" w:type="dxa"/>
              <w:right w:w="105" w:type="dxa"/>
            </w:tcMar>
          </w:tcPr>
          <w:p w:rsidR="0EC3A42E" w:rsidP="0EC3A42E" w:rsidRDefault="0EC3A42E" w14:paraId="2C3FDC48" w14:textId="3A0DCA2E">
            <w:pPr>
              <w:rPr>
                <w:rFonts w:ascii="Arial" w:hAnsi="Arial" w:eastAsia="Arial" w:cs="Arial"/>
              </w:rPr>
            </w:pPr>
            <w:r w:rsidRPr="0EC3A42E">
              <w:rPr>
                <w:rFonts w:ascii="Arial" w:hAnsi="Arial" w:eastAsia="Arial" w:cs="Arial"/>
              </w:rPr>
              <w:t>Heritage products, innovation and increasing attention to health expectations</w:t>
            </w:r>
          </w:p>
        </w:tc>
        <w:tc>
          <w:tcPr>
            <w:tcW w:w="2325" w:type="dxa"/>
            <w:tcMar>
              <w:left w:w="105" w:type="dxa"/>
              <w:right w:w="105" w:type="dxa"/>
            </w:tcMar>
          </w:tcPr>
          <w:p w:rsidR="0EC3A42E" w:rsidP="0EC3A42E" w:rsidRDefault="0EC3A42E" w14:paraId="6A5C84A5" w14:textId="7D071FCB">
            <w:pPr>
              <w:rPr>
                <w:rFonts w:ascii="Arial" w:hAnsi="Arial" w:eastAsia="Arial" w:cs="Arial"/>
              </w:rPr>
            </w:pPr>
            <w:r w:rsidRPr="0EC3A42E">
              <w:rPr>
                <w:rFonts w:ascii="Arial" w:hAnsi="Arial" w:eastAsia="Arial" w:cs="Arial"/>
              </w:rPr>
              <w:t>Occasion-based products, gifting formats and culturally relevant variants</w:t>
            </w:r>
          </w:p>
        </w:tc>
        <w:tc>
          <w:tcPr>
            <w:tcW w:w="2325" w:type="dxa"/>
            <w:tcBorders>
              <w:right w:val="single" w:color="auto" w:sz="6" w:space="0"/>
            </w:tcBorders>
            <w:tcMar>
              <w:left w:w="105" w:type="dxa"/>
              <w:right w:w="105" w:type="dxa"/>
            </w:tcMar>
          </w:tcPr>
          <w:p w:rsidR="0EC3A42E" w:rsidP="0EC3A42E" w:rsidRDefault="0EC3A42E" w14:paraId="209B167D" w14:textId="51D94E14">
            <w:pPr>
              <w:rPr>
                <w:rFonts w:ascii="Aptos" w:hAnsi="Aptos" w:eastAsia="Aptos" w:cs="Aptos"/>
              </w:rPr>
            </w:pPr>
            <w:r w:rsidRPr="0EC3A42E">
              <w:rPr>
                <w:rFonts w:ascii="Aptos" w:hAnsi="Aptos" w:eastAsia="Aptos" w:cs="Aptos"/>
              </w:rPr>
              <w:t>Core brand consistency with selective product adaptation</w:t>
            </w:r>
          </w:p>
          <w:p w:rsidR="0EC3A42E" w:rsidP="0EC3A42E" w:rsidRDefault="0EC3A42E" w14:paraId="72706065" w14:textId="044B396C">
            <w:pPr>
              <w:rPr>
                <w:rFonts w:ascii="Arial" w:hAnsi="Arial" w:eastAsia="Arial" w:cs="Arial"/>
              </w:rPr>
            </w:pPr>
          </w:p>
        </w:tc>
      </w:tr>
      <w:tr w:rsidR="0EC3A42E" w:rsidTr="0EC3A42E" w14:paraId="0CA1FA5C" w14:textId="77777777">
        <w:trPr>
          <w:trHeight w:val="285"/>
        </w:trPr>
        <w:tc>
          <w:tcPr>
            <w:tcW w:w="2325" w:type="dxa"/>
            <w:tcBorders>
              <w:left w:val="single" w:color="auto" w:sz="6" w:space="0"/>
            </w:tcBorders>
            <w:tcMar>
              <w:left w:w="105" w:type="dxa"/>
              <w:right w:w="105" w:type="dxa"/>
            </w:tcMar>
          </w:tcPr>
          <w:p w:rsidR="0EC3A42E" w:rsidP="0EC3A42E" w:rsidRDefault="0EC3A42E" w14:paraId="7CB2F0B9" w14:textId="6EAEF739">
            <w:pPr>
              <w:rPr>
                <w:rFonts w:ascii="Arial" w:hAnsi="Arial" w:eastAsia="Arial" w:cs="Arial"/>
              </w:rPr>
            </w:pPr>
            <w:r w:rsidRPr="0EC3A42E">
              <w:rPr>
                <w:rFonts w:ascii="Arial" w:hAnsi="Arial" w:eastAsia="Arial" w:cs="Arial"/>
                <w:b/>
                <w:bCs/>
              </w:rPr>
              <w:t>Price</w:t>
            </w:r>
          </w:p>
        </w:tc>
        <w:tc>
          <w:tcPr>
            <w:tcW w:w="2325" w:type="dxa"/>
            <w:tcMar>
              <w:left w:w="105" w:type="dxa"/>
              <w:right w:w="105" w:type="dxa"/>
            </w:tcMar>
          </w:tcPr>
          <w:p w:rsidR="0EC3A42E" w:rsidP="0EC3A42E" w:rsidRDefault="0EC3A42E" w14:paraId="6B32C9BA" w14:textId="23A916FF">
            <w:pPr>
              <w:rPr>
                <w:rFonts w:ascii="Aptos" w:hAnsi="Aptos" w:eastAsia="Aptos" w:cs="Aptos"/>
              </w:rPr>
            </w:pPr>
            <w:r w:rsidRPr="0EC3A42E">
              <w:rPr>
                <w:rFonts w:ascii="Aptos" w:hAnsi="Aptos" w:eastAsia="Aptos" w:cs="Aptos"/>
              </w:rPr>
              <w:t>Competitive and value-based pricing in a mature market</w:t>
            </w:r>
          </w:p>
          <w:p w:rsidR="0EC3A42E" w:rsidP="0EC3A42E" w:rsidRDefault="0EC3A42E" w14:paraId="129EA7E1" w14:textId="62DDBD47">
            <w:pPr>
              <w:rPr>
                <w:rFonts w:ascii="Arial" w:hAnsi="Arial" w:eastAsia="Arial" w:cs="Arial"/>
              </w:rPr>
            </w:pPr>
          </w:p>
        </w:tc>
        <w:tc>
          <w:tcPr>
            <w:tcW w:w="2325" w:type="dxa"/>
            <w:tcMar>
              <w:left w:w="105" w:type="dxa"/>
              <w:right w:w="105" w:type="dxa"/>
            </w:tcMar>
          </w:tcPr>
          <w:p w:rsidR="0EC3A42E" w:rsidP="0EC3A42E" w:rsidRDefault="0EC3A42E" w14:paraId="34AA34AB" w14:textId="76CE29A9">
            <w:pPr>
              <w:rPr>
                <w:rFonts w:ascii="Arial" w:hAnsi="Arial" w:eastAsia="Arial" w:cs="Arial"/>
              </w:rPr>
            </w:pPr>
            <w:r w:rsidRPr="0EC3A42E">
              <w:rPr>
                <w:rFonts w:ascii="Arial" w:hAnsi="Arial" w:eastAsia="Arial" w:cs="Arial"/>
              </w:rPr>
              <w:t>Wider price-pack architecture to accommodate income diversity</w:t>
            </w:r>
          </w:p>
        </w:tc>
        <w:tc>
          <w:tcPr>
            <w:tcW w:w="2325" w:type="dxa"/>
            <w:tcBorders>
              <w:right w:val="single" w:color="auto" w:sz="6" w:space="0"/>
            </w:tcBorders>
            <w:tcMar>
              <w:left w:w="105" w:type="dxa"/>
              <w:right w:w="105" w:type="dxa"/>
            </w:tcMar>
          </w:tcPr>
          <w:p w:rsidR="0EC3A42E" w:rsidP="0EC3A42E" w:rsidRDefault="0EC3A42E" w14:paraId="0E72BD2D" w14:textId="55D2EA15">
            <w:pPr>
              <w:rPr>
                <w:rFonts w:ascii="Arial" w:hAnsi="Arial" w:eastAsia="Arial" w:cs="Arial"/>
              </w:rPr>
            </w:pPr>
            <w:r w:rsidRPr="0EC3A42E">
              <w:rPr>
                <w:rFonts w:ascii="Arial" w:hAnsi="Arial" w:eastAsia="Arial" w:cs="Arial"/>
              </w:rPr>
              <w:t>Greater affordability adaptation in India</w:t>
            </w:r>
          </w:p>
        </w:tc>
      </w:tr>
      <w:tr w:rsidR="0EC3A42E" w:rsidTr="0EC3A42E" w14:paraId="67395736" w14:textId="77777777">
        <w:trPr>
          <w:trHeight w:val="285"/>
        </w:trPr>
        <w:tc>
          <w:tcPr>
            <w:tcW w:w="2325" w:type="dxa"/>
            <w:tcBorders>
              <w:left w:val="single" w:color="auto" w:sz="6" w:space="0"/>
            </w:tcBorders>
            <w:tcMar>
              <w:left w:w="105" w:type="dxa"/>
              <w:right w:w="105" w:type="dxa"/>
            </w:tcMar>
          </w:tcPr>
          <w:p w:rsidR="0EC3A42E" w:rsidP="0EC3A42E" w:rsidRDefault="0EC3A42E" w14:paraId="4C7B636A" w14:textId="685753E7">
            <w:pPr>
              <w:rPr>
                <w:rFonts w:ascii="Arial" w:hAnsi="Arial" w:eastAsia="Arial" w:cs="Arial"/>
              </w:rPr>
            </w:pPr>
            <w:r w:rsidRPr="0EC3A42E">
              <w:rPr>
                <w:rFonts w:ascii="Arial" w:hAnsi="Arial" w:eastAsia="Arial" w:cs="Arial"/>
                <w:b/>
                <w:bCs/>
              </w:rPr>
              <w:t>Place</w:t>
            </w:r>
          </w:p>
        </w:tc>
        <w:tc>
          <w:tcPr>
            <w:tcW w:w="2325" w:type="dxa"/>
            <w:tcMar>
              <w:left w:w="105" w:type="dxa"/>
              <w:right w:w="105" w:type="dxa"/>
            </w:tcMar>
          </w:tcPr>
          <w:p w:rsidR="0EC3A42E" w:rsidP="0EC3A42E" w:rsidRDefault="0EC3A42E" w14:paraId="10BEA05E" w14:textId="508A0DBC">
            <w:pPr>
              <w:rPr>
                <w:rFonts w:ascii="Arial" w:hAnsi="Arial" w:eastAsia="Arial" w:cs="Arial"/>
              </w:rPr>
            </w:pPr>
            <w:r w:rsidRPr="0EC3A42E">
              <w:rPr>
                <w:rFonts w:ascii="Arial" w:hAnsi="Arial" w:eastAsia="Arial" w:cs="Arial"/>
              </w:rPr>
              <w:t>Developed supermarket, convenience and online infrastructure</w:t>
            </w:r>
          </w:p>
        </w:tc>
        <w:tc>
          <w:tcPr>
            <w:tcW w:w="2325" w:type="dxa"/>
            <w:tcMar>
              <w:left w:w="105" w:type="dxa"/>
              <w:right w:w="105" w:type="dxa"/>
            </w:tcMar>
          </w:tcPr>
          <w:p w:rsidR="0EC3A42E" w:rsidP="0EC3A42E" w:rsidRDefault="0EC3A42E" w14:paraId="73307E88" w14:textId="446F78B5">
            <w:pPr>
              <w:rPr>
                <w:rFonts w:ascii="Aptos" w:hAnsi="Aptos" w:eastAsia="Aptos" w:cs="Aptos"/>
              </w:rPr>
            </w:pPr>
          </w:p>
          <w:p w:rsidR="0EC3A42E" w:rsidP="0EC3A42E" w:rsidRDefault="0EC3A42E" w14:paraId="0D8992F6" w14:textId="642A15D7">
            <w:pPr>
              <w:rPr>
                <w:rFonts w:ascii="Aptos" w:hAnsi="Aptos" w:eastAsia="Aptos" w:cs="Aptos"/>
              </w:rPr>
            </w:pPr>
            <w:r w:rsidRPr="0EC3A42E">
              <w:rPr>
                <w:rFonts w:ascii="Aptos" w:hAnsi="Aptos" w:eastAsia="Aptos" w:cs="Aptos"/>
              </w:rPr>
              <w:t>Combination of modern retail, e-commerce and extensive traditional retail</w:t>
            </w:r>
          </w:p>
          <w:p w:rsidR="0EC3A42E" w:rsidP="0EC3A42E" w:rsidRDefault="0EC3A42E" w14:paraId="4BB8D0C1" w14:textId="6F1D96ED">
            <w:pPr>
              <w:rPr>
                <w:rFonts w:ascii="Arial" w:hAnsi="Arial" w:eastAsia="Arial" w:cs="Arial"/>
              </w:rPr>
            </w:pPr>
          </w:p>
        </w:tc>
        <w:tc>
          <w:tcPr>
            <w:tcW w:w="2325" w:type="dxa"/>
            <w:tcBorders>
              <w:right w:val="single" w:color="auto" w:sz="6" w:space="0"/>
            </w:tcBorders>
            <w:tcMar>
              <w:left w:w="105" w:type="dxa"/>
              <w:right w:w="105" w:type="dxa"/>
            </w:tcMar>
          </w:tcPr>
          <w:p w:rsidR="0EC3A42E" w:rsidP="0EC3A42E" w:rsidRDefault="0EC3A42E" w14:paraId="3B830C02" w14:textId="59389FC6">
            <w:pPr>
              <w:rPr>
                <w:rFonts w:ascii="Arial" w:hAnsi="Arial" w:eastAsia="Arial" w:cs="Arial"/>
              </w:rPr>
            </w:pPr>
            <w:r w:rsidRPr="0EC3A42E">
              <w:rPr>
                <w:rFonts w:ascii="Arial" w:hAnsi="Arial" w:eastAsia="Arial" w:cs="Arial"/>
              </w:rPr>
              <w:t>Distribution must reflect institutional and infrastructural differences</w:t>
            </w:r>
          </w:p>
        </w:tc>
      </w:tr>
      <w:tr w:rsidR="0EC3A42E" w:rsidTr="0EC3A42E" w14:paraId="5D75FA9E" w14:textId="77777777">
        <w:trPr>
          <w:trHeight w:val="285"/>
        </w:trPr>
        <w:tc>
          <w:tcPr>
            <w:tcW w:w="2325" w:type="dxa"/>
            <w:tcBorders>
              <w:left w:val="single" w:color="auto" w:sz="6" w:space="0"/>
              <w:bottom w:val="single" w:color="auto" w:sz="6" w:space="0"/>
            </w:tcBorders>
            <w:tcMar>
              <w:left w:w="105" w:type="dxa"/>
              <w:right w:w="105" w:type="dxa"/>
            </w:tcMar>
          </w:tcPr>
          <w:p w:rsidR="0EC3A42E" w:rsidP="0EC3A42E" w:rsidRDefault="0EC3A42E" w14:paraId="0428DB74" w14:textId="1FA7A4D4">
            <w:pPr>
              <w:rPr>
                <w:rFonts w:ascii="Arial" w:hAnsi="Arial" w:eastAsia="Arial" w:cs="Arial"/>
              </w:rPr>
            </w:pPr>
            <w:r w:rsidRPr="0EC3A42E">
              <w:rPr>
                <w:rFonts w:ascii="Arial" w:hAnsi="Arial" w:eastAsia="Arial" w:cs="Arial"/>
                <w:b/>
                <w:bCs/>
              </w:rPr>
              <w:t>Promotion</w:t>
            </w:r>
          </w:p>
        </w:tc>
        <w:tc>
          <w:tcPr>
            <w:tcW w:w="2325" w:type="dxa"/>
            <w:tcBorders>
              <w:bottom w:val="single" w:color="auto" w:sz="6" w:space="0"/>
            </w:tcBorders>
            <w:tcMar>
              <w:left w:w="105" w:type="dxa"/>
              <w:right w:w="105" w:type="dxa"/>
            </w:tcMar>
          </w:tcPr>
          <w:p w:rsidR="0EC3A42E" w:rsidP="0EC3A42E" w:rsidRDefault="0EC3A42E" w14:paraId="721AB19D" w14:textId="3D3243CE">
            <w:pPr>
              <w:rPr>
                <w:rFonts w:ascii="Aptos" w:hAnsi="Aptos" w:eastAsia="Aptos" w:cs="Aptos"/>
              </w:rPr>
            </w:pPr>
          </w:p>
          <w:p w:rsidR="0EC3A42E" w:rsidP="0EC3A42E" w:rsidRDefault="0EC3A42E" w14:paraId="7A5CB880" w14:textId="34F98BE0">
            <w:pPr>
              <w:rPr>
                <w:rFonts w:ascii="Aptos" w:hAnsi="Aptos" w:eastAsia="Aptos" w:cs="Aptos"/>
              </w:rPr>
            </w:pPr>
            <w:r w:rsidRPr="0EC3A42E">
              <w:rPr>
                <w:rFonts w:ascii="Aptos" w:hAnsi="Aptos" w:eastAsia="Aptos" w:cs="Aptos"/>
              </w:rPr>
              <w:t>Heritage, nostalgia, enjoyment and responsible brand relevance</w:t>
            </w:r>
          </w:p>
          <w:p w:rsidR="0EC3A42E" w:rsidP="0EC3A42E" w:rsidRDefault="0EC3A42E" w14:paraId="451923C2" w14:textId="63558988">
            <w:pPr>
              <w:rPr>
                <w:rFonts w:ascii="Arial" w:hAnsi="Arial" w:eastAsia="Arial" w:cs="Arial"/>
              </w:rPr>
            </w:pPr>
          </w:p>
        </w:tc>
        <w:tc>
          <w:tcPr>
            <w:tcW w:w="2325" w:type="dxa"/>
            <w:tcBorders>
              <w:bottom w:val="single" w:color="auto" w:sz="6" w:space="0"/>
            </w:tcBorders>
            <w:tcMar>
              <w:left w:w="105" w:type="dxa"/>
              <w:right w:w="105" w:type="dxa"/>
            </w:tcMar>
          </w:tcPr>
          <w:p w:rsidR="0EC3A42E" w:rsidP="0EC3A42E" w:rsidRDefault="0EC3A42E" w14:paraId="1530C320" w14:textId="44ED6ABE">
            <w:pPr>
              <w:rPr>
                <w:rFonts w:ascii="Arial" w:hAnsi="Arial" w:eastAsia="Arial" w:cs="Arial"/>
              </w:rPr>
            </w:pPr>
            <w:r w:rsidRPr="0EC3A42E">
              <w:rPr>
                <w:rFonts w:ascii="Arial" w:hAnsi="Arial" w:eastAsia="Arial" w:cs="Arial"/>
              </w:rPr>
              <w:t>Celebration, relationships, gifting and culturally embedded storytelling</w:t>
            </w:r>
          </w:p>
        </w:tc>
        <w:tc>
          <w:tcPr>
            <w:tcW w:w="2325" w:type="dxa"/>
            <w:tcBorders>
              <w:bottom w:val="single" w:color="auto" w:sz="6" w:space="0"/>
              <w:right w:val="single" w:color="auto" w:sz="6" w:space="0"/>
            </w:tcBorders>
            <w:tcMar>
              <w:left w:w="105" w:type="dxa"/>
              <w:right w:w="105" w:type="dxa"/>
            </w:tcMar>
          </w:tcPr>
          <w:p w:rsidR="0EC3A42E" w:rsidP="0EC3A42E" w:rsidRDefault="0EC3A42E" w14:paraId="579311F1" w14:textId="7EACAF8D">
            <w:pPr>
              <w:rPr>
                <w:rFonts w:ascii="Aptos" w:hAnsi="Aptos" w:eastAsia="Aptos" w:cs="Aptos"/>
              </w:rPr>
            </w:pPr>
          </w:p>
          <w:p w:rsidR="0EC3A42E" w:rsidP="0EC3A42E" w:rsidRDefault="0EC3A42E" w14:paraId="012D3CA9" w14:textId="45B3CBFE">
            <w:pPr>
              <w:rPr>
                <w:rFonts w:ascii="Aptos" w:hAnsi="Aptos" w:eastAsia="Aptos" w:cs="Aptos"/>
              </w:rPr>
            </w:pPr>
            <w:r w:rsidRPr="0EC3A42E">
              <w:rPr>
                <w:rFonts w:ascii="Aptos" w:hAnsi="Aptos" w:eastAsia="Aptos" w:cs="Aptos"/>
              </w:rPr>
              <w:t>Strongest area of local adaptation</w:t>
            </w:r>
          </w:p>
          <w:p w:rsidR="0EC3A42E" w:rsidP="0EC3A42E" w:rsidRDefault="0EC3A42E" w14:paraId="0D5D01C2" w14:textId="5598142C">
            <w:pPr>
              <w:rPr>
                <w:rFonts w:ascii="Arial" w:hAnsi="Arial" w:eastAsia="Arial" w:cs="Arial"/>
              </w:rPr>
            </w:pPr>
          </w:p>
        </w:tc>
      </w:tr>
    </w:tbl>
    <w:p w:rsidR="44756BB9" w:rsidP="0EC3A42E" w:rsidRDefault="44756BB9" w14:paraId="355ECEE1" w14:textId="2C255502">
      <w:pPr>
        <w:rPr>
          <w:rFonts w:ascii="Arial" w:hAnsi="Arial" w:eastAsia="Arial" w:cs="Arial"/>
          <w:color w:val="000000" w:themeColor="text1"/>
        </w:rPr>
      </w:pPr>
      <w:r w:rsidRPr="0EC3A42E">
        <w:rPr>
          <w:rFonts w:ascii="Aptos" w:hAnsi="Aptos" w:eastAsia="Aptos" w:cs="Aptos"/>
          <w:color w:val="000000" w:themeColor="text1"/>
        </w:rPr>
        <w:t xml:space="preserve"> Douglas a</w:t>
      </w:r>
      <w:r w:rsidRPr="0EC3A42E">
        <w:rPr>
          <w:rFonts w:ascii="Arial" w:hAnsi="Arial" w:eastAsia="Arial" w:cs="Arial"/>
          <w:color w:val="000000" w:themeColor="text1"/>
        </w:rPr>
        <w:t>nd Wind (1987), Bartlett and Ghoshal (1989), Cavusgil, Knight and Riesenberger (2020).</w:t>
      </w:r>
    </w:p>
    <w:p w:rsidR="0EC3A42E" w:rsidRDefault="0EC3A42E" w14:paraId="0BF3F2E2" w14:textId="6D2AACE8"/>
    <w:sectPr w:rsidR="0EC3A42E">
      <w:pgSz w:w="12240" w:h="15840" w:orient="portrait"/>
      <w:pgMar w:top="1440" w:right="1440" w:bottom="1440" w:left="1440" w:header="720" w:footer="720" w:gutter="0"/>
      <w:cols w:space="720"/>
      <w:docGrid w:linePitch="360"/>
      <w:headerReference w:type="default" r:id="Rc6cf146e2e314cab"/>
      <w:footerReference w:type="default" r:id="Rc13bdc2df8dc4d8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56EA358" w:rsidTr="756EA358" w14:paraId="3A5DA1CF">
      <w:trPr>
        <w:trHeight w:val="300"/>
      </w:trPr>
      <w:tc>
        <w:tcPr>
          <w:tcW w:w="3120" w:type="dxa"/>
          <w:tcMar/>
        </w:tcPr>
        <w:p w:rsidR="756EA358" w:rsidP="756EA358" w:rsidRDefault="756EA358" w14:paraId="698ED7EF" w14:textId="17E16586">
          <w:pPr>
            <w:pStyle w:val="Header"/>
            <w:bidi w:val="0"/>
            <w:ind w:left="-115"/>
            <w:jc w:val="left"/>
          </w:pPr>
        </w:p>
      </w:tc>
      <w:tc>
        <w:tcPr>
          <w:tcW w:w="3120" w:type="dxa"/>
          <w:tcMar/>
        </w:tcPr>
        <w:p w:rsidR="756EA358" w:rsidP="756EA358" w:rsidRDefault="756EA358" w14:paraId="4F1539E6" w14:textId="461B4D94">
          <w:pPr>
            <w:pStyle w:val="Header"/>
            <w:bidi w:val="0"/>
            <w:jc w:val="center"/>
          </w:pPr>
          <w:r>
            <w:fldChar w:fldCharType="begin"/>
          </w:r>
          <w:r>
            <w:instrText xml:space="preserve">PAGE</w:instrText>
          </w:r>
          <w:r>
            <w:fldChar w:fldCharType="separate"/>
          </w:r>
          <w:r>
            <w:fldChar w:fldCharType="end"/>
          </w:r>
        </w:p>
      </w:tc>
      <w:tc>
        <w:tcPr>
          <w:tcW w:w="3120" w:type="dxa"/>
          <w:tcMar/>
        </w:tcPr>
        <w:p w:rsidR="756EA358" w:rsidP="756EA358" w:rsidRDefault="756EA358" w14:paraId="46EBA748" w14:textId="4A4627E5">
          <w:pPr>
            <w:pStyle w:val="Header"/>
            <w:bidi w:val="0"/>
            <w:ind w:right="-115"/>
            <w:jc w:val="right"/>
          </w:pPr>
        </w:p>
      </w:tc>
    </w:tr>
  </w:tbl>
  <w:p w:rsidR="756EA358" w:rsidP="756EA358" w:rsidRDefault="756EA358" w14:paraId="26A9292E" w14:textId="3EE52C9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56EA358" w:rsidTr="756EA358" w14:paraId="551FF2DA">
      <w:trPr>
        <w:trHeight w:val="300"/>
      </w:trPr>
      <w:tc>
        <w:tcPr>
          <w:tcW w:w="3120" w:type="dxa"/>
          <w:tcMar/>
        </w:tcPr>
        <w:p w:rsidR="756EA358" w:rsidP="756EA358" w:rsidRDefault="756EA358" w14:paraId="6904C4D5" w14:textId="0112E565">
          <w:pPr>
            <w:pStyle w:val="Header"/>
            <w:bidi w:val="0"/>
            <w:ind w:left="-115"/>
            <w:jc w:val="left"/>
          </w:pPr>
        </w:p>
      </w:tc>
      <w:tc>
        <w:tcPr>
          <w:tcW w:w="3120" w:type="dxa"/>
          <w:tcMar/>
        </w:tcPr>
        <w:p w:rsidR="756EA358" w:rsidP="756EA358" w:rsidRDefault="756EA358" w14:paraId="251FD743" w14:textId="467ADC93">
          <w:pPr>
            <w:pStyle w:val="Header"/>
            <w:bidi w:val="0"/>
            <w:jc w:val="center"/>
          </w:pPr>
        </w:p>
      </w:tc>
      <w:tc>
        <w:tcPr>
          <w:tcW w:w="3120" w:type="dxa"/>
          <w:tcMar/>
        </w:tcPr>
        <w:p w:rsidR="756EA358" w:rsidP="756EA358" w:rsidRDefault="756EA358" w14:paraId="7CF90C26" w14:textId="23E14C4C">
          <w:pPr>
            <w:pStyle w:val="Header"/>
            <w:bidi w:val="0"/>
            <w:ind w:right="-115"/>
            <w:jc w:val="right"/>
          </w:pPr>
        </w:p>
      </w:tc>
    </w:tr>
  </w:tbl>
  <w:p w:rsidR="756EA358" w:rsidP="756EA358" w:rsidRDefault="756EA358" w14:paraId="216F3196" w14:textId="00168B66">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P1t9DnuMzsiEcY" int2:id="3PwZf93S">
      <int2:state int2:value="Rejected" int2:type="spell"/>
    </int2:textHash>
    <int2:textHash int2:hashCode="yLGa3PbIwIauAZ" int2:id="4Fpf0LM3">
      <int2:state int2:value="Rejected" int2:type="spell"/>
    </int2:textHash>
    <int2:textHash int2:hashCode="NT12h6See3qwhk" int2:id="6TKJthaY">
      <int2:state int2:value="Rejected" int2:type="spell"/>
    </int2:textHash>
    <int2:textHash int2:hashCode="xQy+KnIliT8rxm" int2:id="7kU1ZAHy">
      <int2:state int2:value="Rejected" int2:type="spell"/>
    </int2:textHash>
    <int2:textHash int2:hashCode="pz2QIEqb0rZQkg" int2:id="DpgNw9nH">
      <int2:state int2:value="Rejected" int2:type="spell"/>
    </int2:textHash>
    <int2:textHash int2:hashCode="nYWxiZclgTXL7N" int2:id="E0k7wN8l">
      <int2:state int2:value="Rejected" int2:type="spell"/>
    </int2:textHash>
    <int2:textHash int2:hashCode="de6OmMavCSziU2" int2:id="FabFhzZf">
      <int2:state int2:value="Rejected" int2:type="spell"/>
    </int2:textHash>
    <int2:textHash int2:hashCode="gOigg3B4VG+1IR" int2:id="GvUfRY80">
      <int2:state int2:value="Rejected" int2:type="spell"/>
    </int2:textHash>
    <int2:textHash int2:hashCode="wmu2pvQDlSD0PN" int2:id="Hofn3EPq">
      <int2:state int2:value="Rejected" int2:type="spell"/>
    </int2:textHash>
    <int2:textHash int2:hashCode="vSH2AEhVYkGMwF" int2:id="JHM8df7y">
      <int2:state int2:value="Rejected" int2:type="spell"/>
    </int2:textHash>
    <int2:textHash int2:hashCode="hN6B5b8f/AaH/i" int2:id="KoGtNCOU">
      <int2:state int2:value="Rejected" int2:type="spell"/>
    </int2:textHash>
    <int2:textHash int2:hashCode="kv4UVae7TQCfC0" int2:id="Krv4U4fo">
      <int2:state int2:value="Rejected" int2:type="spell"/>
    </int2:textHash>
    <int2:textHash int2:hashCode="bkew001dCCCs+V" int2:id="NFmEPT7C">
      <int2:state int2:value="Rejected" int2:type="spell"/>
    </int2:textHash>
    <int2:textHash int2:hashCode="myznzXaQUePDzP" int2:id="O5nkfpUL">
      <int2:state int2:value="Rejected" int2:type="spell"/>
    </int2:textHash>
    <int2:textHash int2:hashCode="B95hgkRT90PJWZ" int2:id="P7HkB6fO">
      <int2:state int2:value="Rejected" int2:type="spell"/>
    </int2:textHash>
    <int2:textHash int2:hashCode="HEXtz+T4PyFSoL" int2:id="QWeWA0X9">
      <int2:state int2:value="Rejected" int2:type="spell"/>
    </int2:textHash>
    <int2:textHash int2:hashCode="JgtY6hJIkityHB" int2:id="RXKfmX7u">
      <int2:state int2:value="Rejected" int2:type="spell"/>
    </int2:textHash>
    <int2:textHash int2:hashCode="f4DIsJU0mBauPG" int2:id="VLuq3Hjm">
      <int2:state int2:value="Rejected" int2:type="spell"/>
    </int2:textHash>
    <int2:textHash int2:hashCode="r0PA7pVDcXayiz" int2:id="VrMjTqsV">
      <int2:state int2:value="Rejected" int2:type="spell"/>
    </int2:textHash>
    <int2:textHash int2:hashCode="iQ6BpzCrlNO8r4" int2:id="ZtvbpUcz">
      <int2:state int2:value="Rejected" int2:type="spell"/>
    </int2:textHash>
    <int2:textHash int2:hashCode="aG+z44WpgrTp0l" int2:id="dno4nkjA">
      <int2:state int2:value="Rejected" int2:type="spell"/>
    </int2:textHash>
    <int2:textHash int2:hashCode="82Hwj3xmCAcBLj" int2:id="hSAIAaTk">
      <int2:state int2:value="Rejected" int2:type="spell"/>
    </int2:textHash>
    <int2:textHash int2:hashCode="ni8UUdXdlt6RIo" int2:id="hveE0kVv">
      <int2:state int2:value="Rejected" int2:type="spell"/>
    </int2:textHash>
    <int2:textHash int2:hashCode="AhBniESXY1jTy5" int2:id="jmLW364q">
      <int2:state int2:value="Rejected" int2:type="spell"/>
    </int2:textHash>
    <int2:textHash int2:hashCode="OFd/drA5mBpqe9" int2:id="lA06oZdb">
      <int2:state int2:value="Rejected" int2:type="spell"/>
    </int2:textHash>
    <int2:textHash int2:hashCode="v3jXqOAVqWKVSe" int2:id="mXEFGdj6">
      <int2:state int2:value="Rejected" int2:type="spell"/>
    </int2:textHash>
    <int2:textHash int2:hashCode="17ShXkmfgQoRN6" int2:id="qvD3zYJ4">
      <int2:state int2:value="Rejected" int2:type="spell"/>
    </int2:textHash>
    <int2:textHash int2:hashCode="uMWlah6SoXLKCn" int2:id="rF5NMI2Q">
      <int2:state int2:value="Rejected" int2:type="spell"/>
    </int2:textHash>
    <int2:textHash int2:hashCode="pDJXhGUUzWSYMm" int2:id="rX9nbPTF">
      <int2:state int2:value="Rejected" int2:type="spell"/>
    </int2:textHash>
    <int2:textHash int2:hashCode="RZK59WmKidDpWy" int2:id="t0hNrtWe">
      <int2:state int2:value="Rejected" int2:type="spell"/>
    </int2:textHash>
    <int2:textHash int2:hashCode="m/C6mGJeQTWOW1" int2:id="tQEDFM8Q">
      <int2:state int2:value="Rejected" int2:type="spell"/>
    </int2:textHash>
    <int2:textHash int2:hashCode="PLZtS9B8ew8ND3" int2:id="xDcY8uNS">
      <int2:state int2:value="Rejected" int2:type="spell"/>
    </int2:textHash>
    <int2:textHash int2:hashCode="Pwxxtk1Oaaejcq" int2:id="xzKTJbo8">
      <int2:state int2:value="Rejected" int2:type="spell"/>
    </int2:textHash>
    <int2:textHash int2:hashCode="AaaEU1r7YMOqFp" int2:id="zDgk5Tid">
      <int2:state int2:value="Rejected" int2:type="spell"/>
    </int2:textHash>
    <int2:bookmark int2:bookmarkName="_Int_DOfeYv6k" int2:invalidationBookmarkName="" int2:hashCode="73x8cLgQzTPBlt" int2:id="2SQZefN7">
      <int2:state int2:value="Rejected" int2:type="gram"/>
    </int2:bookmark>
    <int2:bookmark int2:bookmarkName="_Int_5e3reBOr" int2:invalidationBookmarkName="" int2:hashCode="9OkfPmVYUsHpLr" int2:id="5etQLQ7q">
      <int2:state int2:value="Rejected" int2:type="gram"/>
    </int2:bookmark>
    <int2:bookmark int2:bookmarkName="_Int_knk8HA9J" int2:invalidationBookmarkName="" int2:hashCode="+OtSXSbhv8zyWG" int2:id="6y0Mv93t">
      <int2:state int2:value="Rejected" int2:type="gram"/>
    </int2:bookmark>
    <int2:bookmark int2:bookmarkName="_Int_CL4OzEQ1" int2:invalidationBookmarkName="" int2:hashCode="ihRxHai4ZMC4j7" int2:id="EoUB6qbW">
      <int2:state int2:value="Rejected" int2:type="gram"/>
    </int2:bookmark>
    <int2:bookmark int2:bookmarkName="_Int_qpnS3GSb" int2:invalidationBookmarkName="" int2:hashCode="bHyssZRXrOLpxc" int2:id="GFTgFvlv">
      <int2:state int2:value="Rejected" int2:type="gram"/>
    </int2:bookmark>
    <int2:bookmark int2:bookmarkName="_Int_c2lsZK9C" int2:invalidationBookmarkName="" int2:hashCode="ooYHUEPULc3OjW" int2:id="Gqz23f92">
      <int2:state int2:value="Rejected" int2:type="gram"/>
    </int2:bookmark>
    <int2:bookmark int2:bookmarkName="_Int_G0MA2pxP" int2:invalidationBookmarkName="" int2:hashCode="NkB4/jrlxP2X3y" int2:id="HIfmL8Nd">
      <int2:state int2:value="Rejected" int2:type="gram"/>
    </int2:bookmark>
    <int2:bookmark int2:bookmarkName="_Int_B4ZHuRtZ" int2:invalidationBookmarkName="" int2:hashCode="ut8s647mg8Y/ja" int2:id="JkRkBd8c">
      <int2:state int2:value="Rejected" int2:type="gram"/>
    </int2:bookmark>
    <int2:bookmark int2:bookmarkName="_Int_UGGJGmyh" int2:invalidationBookmarkName="" int2:hashCode="0D/i4QgniiHbeK" int2:id="LpNZjReh">
      <int2:state int2:value="Rejected" int2:type="gram"/>
    </int2:bookmark>
    <int2:bookmark int2:bookmarkName="_Int_M2tYRuaa" int2:invalidationBookmarkName="" int2:hashCode="tXPyTlXWt1R8tT" int2:id="T9c6RIhK">
      <int2:state int2:value="Rejected" int2:type="gram"/>
    </int2:bookmark>
    <int2:bookmark int2:bookmarkName="_Int_A31MRb7L" int2:invalidationBookmarkName="" int2:hashCode="pn7ciNkEm6/TJz" int2:id="Y3ylLSeS">
      <int2:state int2:value="Rejected" int2:type="gram"/>
    </int2:bookmark>
    <int2:bookmark int2:bookmarkName="_Int_ZwypPSpp" int2:invalidationBookmarkName="" int2:hashCode="U/31FOuQ3JHfTQ" int2:id="j4l2iilb">
      <int2:state int2:value="Rejected" int2:type="gram"/>
    </int2:bookmark>
    <int2:bookmark int2:bookmarkName="_Int_6PORH0XZ" int2:invalidationBookmarkName="" int2:hashCode="XmhPeuZ/czj0HD" int2:id="jPmqyrw2">
      <int2:state int2:value="Rejected" int2:type="gram"/>
    </int2:bookmark>
    <int2:bookmark int2:bookmarkName="_Int_XgTjwjW6" int2:invalidationBookmarkName="" int2:hashCode="iO9xRdTmdXW79x" int2:id="ms4kxCfc">
      <int2:state int2:value="Rejected" int2:type="gram"/>
    </int2:bookmark>
    <int2:bookmark int2:bookmarkName="_Int_ifFdsJTx" int2:invalidationBookmarkName="" int2:hashCode="ooYHUEPULc3OjW" int2:id="qzYIkMQK">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2FC194"/>
    <w:multiLevelType w:val="hybridMultilevel"/>
    <w:tmpl w:val="FFFFFFFF"/>
    <w:lvl w:ilvl="0" w:tplc="B8EA9A32">
      <w:start w:val="1"/>
      <w:numFmt w:val="bullet"/>
      <w:lvlText w:val=""/>
      <w:lvlJc w:val="left"/>
      <w:pPr>
        <w:ind w:left="720" w:hanging="360"/>
      </w:pPr>
      <w:rPr>
        <w:rFonts w:hint="default" w:ascii="Symbol" w:hAnsi="Symbol"/>
      </w:rPr>
    </w:lvl>
    <w:lvl w:ilvl="1" w:tplc="10FCD59C">
      <w:start w:val="1"/>
      <w:numFmt w:val="bullet"/>
      <w:lvlText w:val="o"/>
      <w:lvlJc w:val="left"/>
      <w:pPr>
        <w:ind w:left="1440" w:hanging="360"/>
      </w:pPr>
      <w:rPr>
        <w:rFonts w:hint="default" w:ascii="Courier New" w:hAnsi="Courier New"/>
      </w:rPr>
    </w:lvl>
    <w:lvl w:ilvl="2" w:tplc="3ABA4320">
      <w:start w:val="1"/>
      <w:numFmt w:val="bullet"/>
      <w:lvlText w:val=""/>
      <w:lvlJc w:val="left"/>
      <w:pPr>
        <w:ind w:left="2160" w:hanging="360"/>
      </w:pPr>
      <w:rPr>
        <w:rFonts w:hint="default" w:ascii="Wingdings" w:hAnsi="Wingdings"/>
      </w:rPr>
    </w:lvl>
    <w:lvl w:ilvl="3" w:tplc="8604C628">
      <w:start w:val="1"/>
      <w:numFmt w:val="bullet"/>
      <w:lvlText w:val=""/>
      <w:lvlJc w:val="left"/>
      <w:pPr>
        <w:ind w:left="2880" w:hanging="360"/>
      </w:pPr>
      <w:rPr>
        <w:rFonts w:hint="default" w:ascii="Symbol" w:hAnsi="Symbol"/>
      </w:rPr>
    </w:lvl>
    <w:lvl w:ilvl="4" w:tplc="967242F6">
      <w:start w:val="1"/>
      <w:numFmt w:val="bullet"/>
      <w:lvlText w:val="o"/>
      <w:lvlJc w:val="left"/>
      <w:pPr>
        <w:ind w:left="3600" w:hanging="360"/>
      </w:pPr>
      <w:rPr>
        <w:rFonts w:hint="default" w:ascii="Courier New" w:hAnsi="Courier New"/>
      </w:rPr>
    </w:lvl>
    <w:lvl w:ilvl="5" w:tplc="3B98B758">
      <w:start w:val="1"/>
      <w:numFmt w:val="bullet"/>
      <w:lvlText w:val=""/>
      <w:lvlJc w:val="left"/>
      <w:pPr>
        <w:ind w:left="4320" w:hanging="360"/>
      </w:pPr>
      <w:rPr>
        <w:rFonts w:hint="default" w:ascii="Wingdings" w:hAnsi="Wingdings"/>
      </w:rPr>
    </w:lvl>
    <w:lvl w:ilvl="6" w:tplc="42CA9696">
      <w:start w:val="1"/>
      <w:numFmt w:val="bullet"/>
      <w:lvlText w:val=""/>
      <w:lvlJc w:val="left"/>
      <w:pPr>
        <w:ind w:left="5040" w:hanging="360"/>
      </w:pPr>
      <w:rPr>
        <w:rFonts w:hint="default" w:ascii="Symbol" w:hAnsi="Symbol"/>
      </w:rPr>
    </w:lvl>
    <w:lvl w:ilvl="7" w:tplc="A12E0A58">
      <w:start w:val="1"/>
      <w:numFmt w:val="bullet"/>
      <w:lvlText w:val="o"/>
      <w:lvlJc w:val="left"/>
      <w:pPr>
        <w:ind w:left="5760" w:hanging="360"/>
      </w:pPr>
      <w:rPr>
        <w:rFonts w:hint="default" w:ascii="Courier New" w:hAnsi="Courier New"/>
      </w:rPr>
    </w:lvl>
    <w:lvl w:ilvl="8" w:tplc="53DEF38E">
      <w:start w:val="1"/>
      <w:numFmt w:val="bullet"/>
      <w:lvlText w:val=""/>
      <w:lvlJc w:val="left"/>
      <w:pPr>
        <w:ind w:left="6480" w:hanging="360"/>
      </w:pPr>
      <w:rPr>
        <w:rFonts w:hint="default" w:ascii="Wingdings" w:hAnsi="Wingdings"/>
      </w:rPr>
    </w:lvl>
  </w:abstractNum>
  <w:num w:numId="1" w16cid:durableId="397215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103837"/>
    <w:rsid w:val="00066588"/>
    <w:rsid w:val="000719EA"/>
    <w:rsid w:val="00136728"/>
    <w:rsid w:val="00166B55"/>
    <w:rsid w:val="0018EFC6"/>
    <w:rsid w:val="00191C23"/>
    <w:rsid w:val="001AD2D6"/>
    <w:rsid w:val="00214142"/>
    <w:rsid w:val="002149B1"/>
    <w:rsid w:val="00303574"/>
    <w:rsid w:val="003276CA"/>
    <w:rsid w:val="00355DFA"/>
    <w:rsid w:val="003856EC"/>
    <w:rsid w:val="003859BD"/>
    <w:rsid w:val="003D36CE"/>
    <w:rsid w:val="00453185"/>
    <w:rsid w:val="0053137A"/>
    <w:rsid w:val="00547896"/>
    <w:rsid w:val="00553352"/>
    <w:rsid w:val="005652CF"/>
    <w:rsid w:val="005C045D"/>
    <w:rsid w:val="005D2003"/>
    <w:rsid w:val="005D5A5D"/>
    <w:rsid w:val="005F7F70"/>
    <w:rsid w:val="00605FF9"/>
    <w:rsid w:val="00625D01"/>
    <w:rsid w:val="006324E4"/>
    <w:rsid w:val="00710DF6"/>
    <w:rsid w:val="0071304B"/>
    <w:rsid w:val="00717930"/>
    <w:rsid w:val="00737E01"/>
    <w:rsid w:val="00742075"/>
    <w:rsid w:val="00755604"/>
    <w:rsid w:val="00783C67"/>
    <w:rsid w:val="007D5455"/>
    <w:rsid w:val="00803C2A"/>
    <w:rsid w:val="008131C6"/>
    <w:rsid w:val="0082057A"/>
    <w:rsid w:val="008216DC"/>
    <w:rsid w:val="008C0508"/>
    <w:rsid w:val="008FFB54"/>
    <w:rsid w:val="00905065"/>
    <w:rsid w:val="00906D7C"/>
    <w:rsid w:val="009571B3"/>
    <w:rsid w:val="00975984"/>
    <w:rsid w:val="009A255C"/>
    <w:rsid w:val="009B61B8"/>
    <w:rsid w:val="009E5FC8"/>
    <w:rsid w:val="009F7A4E"/>
    <w:rsid w:val="00A60007"/>
    <w:rsid w:val="00AC5F7B"/>
    <w:rsid w:val="00AE6C46"/>
    <w:rsid w:val="00B17CCF"/>
    <w:rsid w:val="00B25997"/>
    <w:rsid w:val="00B77533"/>
    <w:rsid w:val="00BC6BF7"/>
    <w:rsid w:val="00BFA8E1"/>
    <w:rsid w:val="00C377A4"/>
    <w:rsid w:val="00C42906"/>
    <w:rsid w:val="00C55CB7"/>
    <w:rsid w:val="00C6645B"/>
    <w:rsid w:val="00C66A9A"/>
    <w:rsid w:val="00C956B4"/>
    <w:rsid w:val="00D86930"/>
    <w:rsid w:val="00D900ED"/>
    <w:rsid w:val="00D936BC"/>
    <w:rsid w:val="00DD65AE"/>
    <w:rsid w:val="00E263CD"/>
    <w:rsid w:val="00EE7116"/>
    <w:rsid w:val="00F25FE9"/>
    <w:rsid w:val="00F32144"/>
    <w:rsid w:val="0101535D"/>
    <w:rsid w:val="010F2CAE"/>
    <w:rsid w:val="011DC23D"/>
    <w:rsid w:val="01236C7B"/>
    <w:rsid w:val="01299A82"/>
    <w:rsid w:val="01383C09"/>
    <w:rsid w:val="0166603B"/>
    <w:rsid w:val="01751A22"/>
    <w:rsid w:val="01C33974"/>
    <w:rsid w:val="01C9AECF"/>
    <w:rsid w:val="01D15780"/>
    <w:rsid w:val="01F8EFB2"/>
    <w:rsid w:val="02035D05"/>
    <w:rsid w:val="020968BB"/>
    <w:rsid w:val="02238345"/>
    <w:rsid w:val="0231E2C1"/>
    <w:rsid w:val="0253A568"/>
    <w:rsid w:val="029FE4F0"/>
    <w:rsid w:val="02C202BE"/>
    <w:rsid w:val="02CB5E97"/>
    <w:rsid w:val="02DDA4A4"/>
    <w:rsid w:val="03036DEF"/>
    <w:rsid w:val="03056D8E"/>
    <w:rsid w:val="03275F06"/>
    <w:rsid w:val="033943C3"/>
    <w:rsid w:val="0343281C"/>
    <w:rsid w:val="034BEC72"/>
    <w:rsid w:val="035249DF"/>
    <w:rsid w:val="03A29432"/>
    <w:rsid w:val="03BA23DB"/>
    <w:rsid w:val="03E50C2D"/>
    <w:rsid w:val="03FFE806"/>
    <w:rsid w:val="04125EB7"/>
    <w:rsid w:val="0422D89D"/>
    <w:rsid w:val="048BBFCC"/>
    <w:rsid w:val="04B77067"/>
    <w:rsid w:val="04B79E2D"/>
    <w:rsid w:val="0524AD35"/>
    <w:rsid w:val="055BCF50"/>
    <w:rsid w:val="0567A020"/>
    <w:rsid w:val="0583133C"/>
    <w:rsid w:val="058AF921"/>
    <w:rsid w:val="0592F847"/>
    <w:rsid w:val="05DD9287"/>
    <w:rsid w:val="0643137C"/>
    <w:rsid w:val="065262D4"/>
    <w:rsid w:val="0664B31C"/>
    <w:rsid w:val="066E25E8"/>
    <w:rsid w:val="067B530D"/>
    <w:rsid w:val="0686762D"/>
    <w:rsid w:val="06871BC9"/>
    <w:rsid w:val="06AB9F61"/>
    <w:rsid w:val="06F10602"/>
    <w:rsid w:val="0718508C"/>
    <w:rsid w:val="07424079"/>
    <w:rsid w:val="0750B47E"/>
    <w:rsid w:val="075663D0"/>
    <w:rsid w:val="076622C8"/>
    <w:rsid w:val="078C23C6"/>
    <w:rsid w:val="07BCDCED"/>
    <w:rsid w:val="07E7807A"/>
    <w:rsid w:val="081EB0FB"/>
    <w:rsid w:val="081F8325"/>
    <w:rsid w:val="0825BE9B"/>
    <w:rsid w:val="08860356"/>
    <w:rsid w:val="08873FA5"/>
    <w:rsid w:val="088B0ACA"/>
    <w:rsid w:val="08A52AE9"/>
    <w:rsid w:val="08AC613E"/>
    <w:rsid w:val="08AFE0B3"/>
    <w:rsid w:val="08CE50CB"/>
    <w:rsid w:val="08D2CF2B"/>
    <w:rsid w:val="08DF3EAE"/>
    <w:rsid w:val="08E906B6"/>
    <w:rsid w:val="092340A7"/>
    <w:rsid w:val="0938E8AE"/>
    <w:rsid w:val="094F93DB"/>
    <w:rsid w:val="09539144"/>
    <w:rsid w:val="09553255"/>
    <w:rsid w:val="095A91A4"/>
    <w:rsid w:val="095BCCF2"/>
    <w:rsid w:val="09657E65"/>
    <w:rsid w:val="0985A358"/>
    <w:rsid w:val="09976F1B"/>
    <w:rsid w:val="099BF640"/>
    <w:rsid w:val="09AB20BE"/>
    <w:rsid w:val="09F7B87E"/>
    <w:rsid w:val="0A1FF500"/>
    <w:rsid w:val="0A80AD98"/>
    <w:rsid w:val="0AB3E8AC"/>
    <w:rsid w:val="0B23CE6A"/>
    <w:rsid w:val="0B2C9258"/>
    <w:rsid w:val="0B2CE190"/>
    <w:rsid w:val="0B3790A1"/>
    <w:rsid w:val="0B41A6A2"/>
    <w:rsid w:val="0B58510C"/>
    <w:rsid w:val="0B831D3C"/>
    <w:rsid w:val="0B92A693"/>
    <w:rsid w:val="0BABEBC3"/>
    <w:rsid w:val="0BF048F2"/>
    <w:rsid w:val="0BFD9324"/>
    <w:rsid w:val="0C72F725"/>
    <w:rsid w:val="0CA43122"/>
    <w:rsid w:val="0CB497A6"/>
    <w:rsid w:val="0CC8D4B9"/>
    <w:rsid w:val="0CDD752E"/>
    <w:rsid w:val="0CE0BD3A"/>
    <w:rsid w:val="0D3AE204"/>
    <w:rsid w:val="0D547E40"/>
    <w:rsid w:val="0D5F719D"/>
    <w:rsid w:val="0DC18DDA"/>
    <w:rsid w:val="0DDA2B9E"/>
    <w:rsid w:val="0DF5297B"/>
    <w:rsid w:val="0E001362"/>
    <w:rsid w:val="0E049C4D"/>
    <w:rsid w:val="0E34FD12"/>
    <w:rsid w:val="0E887CBA"/>
    <w:rsid w:val="0E944D73"/>
    <w:rsid w:val="0E97A7B1"/>
    <w:rsid w:val="0E97B6E9"/>
    <w:rsid w:val="0EA82A69"/>
    <w:rsid w:val="0EBD0F65"/>
    <w:rsid w:val="0EC3A42E"/>
    <w:rsid w:val="0F1E13FB"/>
    <w:rsid w:val="0F2486C6"/>
    <w:rsid w:val="0F45DE13"/>
    <w:rsid w:val="0F66DD6E"/>
    <w:rsid w:val="0F78F72F"/>
    <w:rsid w:val="0F92C24E"/>
    <w:rsid w:val="0F97FFE8"/>
    <w:rsid w:val="0F988C12"/>
    <w:rsid w:val="0F99A2CA"/>
    <w:rsid w:val="0F9AC0AC"/>
    <w:rsid w:val="0F9CBFCF"/>
    <w:rsid w:val="0FA858B7"/>
    <w:rsid w:val="0FB9D793"/>
    <w:rsid w:val="0FED7C18"/>
    <w:rsid w:val="0FF31789"/>
    <w:rsid w:val="1020F5D2"/>
    <w:rsid w:val="1043C5F8"/>
    <w:rsid w:val="1047C4E4"/>
    <w:rsid w:val="106A26F8"/>
    <w:rsid w:val="10723BA1"/>
    <w:rsid w:val="109ED707"/>
    <w:rsid w:val="10CE186A"/>
    <w:rsid w:val="10E01473"/>
    <w:rsid w:val="1100DC0D"/>
    <w:rsid w:val="11095023"/>
    <w:rsid w:val="111566B6"/>
    <w:rsid w:val="11483BB0"/>
    <w:rsid w:val="1153D8E4"/>
    <w:rsid w:val="11571911"/>
    <w:rsid w:val="1191F899"/>
    <w:rsid w:val="11CFCF0C"/>
    <w:rsid w:val="11D217DF"/>
    <w:rsid w:val="11E7F59F"/>
    <w:rsid w:val="11FAF6E8"/>
    <w:rsid w:val="120EDE1D"/>
    <w:rsid w:val="1211AB41"/>
    <w:rsid w:val="121D2021"/>
    <w:rsid w:val="12305BF2"/>
    <w:rsid w:val="12512B73"/>
    <w:rsid w:val="126ABC32"/>
    <w:rsid w:val="127C40C4"/>
    <w:rsid w:val="127CE73D"/>
    <w:rsid w:val="12807FE3"/>
    <w:rsid w:val="129D4B0D"/>
    <w:rsid w:val="12AA88BF"/>
    <w:rsid w:val="12B257C6"/>
    <w:rsid w:val="12FF8C1A"/>
    <w:rsid w:val="132E7D14"/>
    <w:rsid w:val="1350D0E3"/>
    <w:rsid w:val="137267A8"/>
    <w:rsid w:val="13B0448D"/>
    <w:rsid w:val="13D51643"/>
    <w:rsid w:val="13DAC4CF"/>
    <w:rsid w:val="145A3D3E"/>
    <w:rsid w:val="147DE5EA"/>
    <w:rsid w:val="147F32BF"/>
    <w:rsid w:val="14994114"/>
    <w:rsid w:val="14BA859E"/>
    <w:rsid w:val="14CF29E4"/>
    <w:rsid w:val="14DB82CD"/>
    <w:rsid w:val="14EFD55D"/>
    <w:rsid w:val="14F7B388"/>
    <w:rsid w:val="1573F2E8"/>
    <w:rsid w:val="1575BB7B"/>
    <w:rsid w:val="15C21E30"/>
    <w:rsid w:val="1600A551"/>
    <w:rsid w:val="1638C65F"/>
    <w:rsid w:val="165DBE12"/>
    <w:rsid w:val="165F6B51"/>
    <w:rsid w:val="16C3D961"/>
    <w:rsid w:val="16D2D1C2"/>
    <w:rsid w:val="172446E1"/>
    <w:rsid w:val="174318C4"/>
    <w:rsid w:val="179EF8BB"/>
    <w:rsid w:val="17A82AA5"/>
    <w:rsid w:val="17AB088B"/>
    <w:rsid w:val="17B2ADE5"/>
    <w:rsid w:val="17C2B05E"/>
    <w:rsid w:val="17C4B154"/>
    <w:rsid w:val="17D628C7"/>
    <w:rsid w:val="17E70DF1"/>
    <w:rsid w:val="184A3C9D"/>
    <w:rsid w:val="184F438C"/>
    <w:rsid w:val="186D2033"/>
    <w:rsid w:val="18924CA1"/>
    <w:rsid w:val="18A025AB"/>
    <w:rsid w:val="18AA6864"/>
    <w:rsid w:val="18B6B530"/>
    <w:rsid w:val="18D79815"/>
    <w:rsid w:val="1911535B"/>
    <w:rsid w:val="199CFB83"/>
    <w:rsid w:val="19B60B23"/>
    <w:rsid w:val="19C3C246"/>
    <w:rsid w:val="19DA00EC"/>
    <w:rsid w:val="19FE4C3E"/>
    <w:rsid w:val="1A0E408B"/>
    <w:rsid w:val="1A170C49"/>
    <w:rsid w:val="1A6D83EF"/>
    <w:rsid w:val="1A9FCA93"/>
    <w:rsid w:val="1AB2A130"/>
    <w:rsid w:val="1AE8B69E"/>
    <w:rsid w:val="1AF043A0"/>
    <w:rsid w:val="1AF10AB4"/>
    <w:rsid w:val="1B38DFDA"/>
    <w:rsid w:val="1B4978AF"/>
    <w:rsid w:val="1B62757D"/>
    <w:rsid w:val="1B663C82"/>
    <w:rsid w:val="1B8F04DA"/>
    <w:rsid w:val="1B99D922"/>
    <w:rsid w:val="1BBBC05E"/>
    <w:rsid w:val="1C1E3445"/>
    <w:rsid w:val="1C3B0D59"/>
    <w:rsid w:val="1C9EFAB5"/>
    <w:rsid w:val="1CE928DC"/>
    <w:rsid w:val="1D6B3984"/>
    <w:rsid w:val="1D714E55"/>
    <w:rsid w:val="1D7F025E"/>
    <w:rsid w:val="1DAFB793"/>
    <w:rsid w:val="1DD71393"/>
    <w:rsid w:val="1DF09412"/>
    <w:rsid w:val="1DF4A7E3"/>
    <w:rsid w:val="1DF8E4FB"/>
    <w:rsid w:val="1E545F53"/>
    <w:rsid w:val="1E6A8C79"/>
    <w:rsid w:val="1E6C25B0"/>
    <w:rsid w:val="1E8EF7AE"/>
    <w:rsid w:val="1E9871E5"/>
    <w:rsid w:val="1E9A9B65"/>
    <w:rsid w:val="1EF52B60"/>
    <w:rsid w:val="1F18C182"/>
    <w:rsid w:val="1F9FDC60"/>
    <w:rsid w:val="1FAC0867"/>
    <w:rsid w:val="1FBFF0BF"/>
    <w:rsid w:val="2007303A"/>
    <w:rsid w:val="2035CAB3"/>
    <w:rsid w:val="2047B5B3"/>
    <w:rsid w:val="2056BA3C"/>
    <w:rsid w:val="206199B2"/>
    <w:rsid w:val="207917E1"/>
    <w:rsid w:val="20953865"/>
    <w:rsid w:val="20959019"/>
    <w:rsid w:val="2096A1A5"/>
    <w:rsid w:val="209B3D5E"/>
    <w:rsid w:val="20CF1808"/>
    <w:rsid w:val="20E42F33"/>
    <w:rsid w:val="211449FD"/>
    <w:rsid w:val="211B22B0"/>
    <w:rsid w:val="211DA5BF"/>
    <w:rsid w:val="211F47B1"/>
    <w:rsid w:val="212A7C61"/>
    <w:rsid w:val="2139440F"/>
    <w:rsid w:val="215A4CE1"/>
    <w:rsid w:val="21812B28"/>
    <w:rsid w:val="2181F4AF"/>
    <w:rsid w:val="21AC892A"/>
    <w:rsid w:val="22128538"/>
    <w:rsid w:val="225A9B14"/>
    <w:rsid w:val="2288ED75"/>
    <w:rsid w:val="22C784B6"/>
    <w:rsid w:val="22F70CE7"/>
    <w:rsid w:val="231B3ECD"/>
    <w:rsid w:val="2366C736"/>
    <w:rsid w:val="23776B9C"/>
    <w:rsid w:val="239EBB86"/>
    <w:rsid w:val="23E30304"/>
    <w:rsid w:val="23E9FCC8"/>
    <w:rsid w:val="2430A1BA"/>
    <w:rsid w:val="2442B564"/>
    <w:rsid w:val="2448C9A9"/>
    <w:rsid w:val="2458851C"/>
    <w:rsid w:val="24F3519C"/>
    <w:rsid w:val="24F824FF"/>
    <w:rsid w:val="24F93FA4"/>
    <w:rsid w:val="26003610"/>
    <w:rsid w:val="2622C82D"/>
    <w:rsid w:val="2639370E"/>
    <w:rsid w:val="264CDE75"/>
    <w:rsid w:val="2656F981"/>
    <w:rsid w:val="26B4C037"/>
    <w:rsid w:val="26DEEA1C"/>
    <w:rsid w:val="27026315"/>
    <w:rsid w:val="271311DC"/>
    <w:rsid w:val="273DF024"/>
    <w:rsid w:val="27867D3B"/>
    <w:rsid w:val="27B10514"/>
    <w:rsid w:val="27BF047B"/>
    <w:rsid w:val="27D3987E"/>
    <w:rsid w:val="27FCDA73"/>
    <w:rsid w:val="281C5894"/>
    <w:rsid w:val="282AB1E1"/>
    <w:rsid w:val="282B5D95"/>
    <w:rsid w:val="284F030A"/>
    <w:rsid w:val="2877DE32"/>
    <w:rsid w:val="28B1D484"/>
    <w:rsid w:val="28BFF2BA"/>
    <w:rsid w:val="28D03FE5"/>
    <w:rsid w:val="28E30EB1"/>
    <w:rsid w:val="28EFDA66"/>
    <w:rsid w:val="291C370B"/>
    <w:rsid w:val="2922A3F1"/>
    <w:rsid w:val="292657D8"/>
    <w:rsid w:val="2966CD07"/>
    <w:rsid w:val="298C13A0"/>
    <w:rsid w:val="29AF96BA"/>
    <w:rsid w:val="29D5F213"/>
    <w:rsid w:val="29F3DA7B"/>
    <w:rsid w:val="2A0BE03D"/>
    <w:rsid w:val="2AA76861"/>
    <w:rsid w:val="2AAD8976"/>
    <w:rsid w:val="2AC40348"/>
    <w:rsid w:val="2AD852C4"/>
    <w:rsid w:val="2AE41FE8"/>
    <w:rsid w:val="2AEDB470"/>
    <w:rsid w:val="2B175CCA"/>
    <w:rsid w:val="2B2F373D"/>
    <w:rsid w:val="2B3E1794"/>
    <w:rsid w:val="2B3F7A6F"/>
    <w:rsid w:val="2B46BE5C"/>
    <w:rsid w:val="2B5F881E"/>
    <w:rsid w:val="2B95BAF9"/>
    <w:rsid w:val="2BC38F0A"/>
    <w:rsid w:val="2BDE1486"/>
    <w:rsid w:val="2BDF65CC"/>
    <w:rsid w:val="2C103837"/>
    <w:rsid w:val="2C2A4F64"/>
    <w:rsid w:val="2C31569E"/>
    <w:rsid w:val="2C49258E"/>
    <w:rsid w:val="2CED0F2D"/>
    <w:rsid w:val="2D2E0D1D"/>
    <w:rsid w:val="2D9839C3"/>
    <w:rsid w:val="2E352152"/>
    <w:rsid w:val="2E5AEB14"/>
    <w:rsid w:val="2E5BD8D9"/>
    <w:rsid w:val="2ED5FE62"/>
    <w:rsid w:val="2EDD42F4"/>
    <w:rsid w:val="2F05E724"/>
    <w:rsid w:val="2F084A20"/>
    <w:rsid w:val="2F4B3048"/>
    <w:rsid w:val="2F6CC01A"/>
    <w:rsid w:val="2F79D2B0"/>
    <w:rsid w:val="2F8EE88A"/>
    <w:rsid w:val="2F9EAE77"/>
    <w:rsid w:val="2FC0CFFE"/>
    <w:rsid w:val="2FDA1AFA"/>
    <w:rsid w:val="2FDC183C"/>
    <w:rsid w:val="301A711B"/>
    <w:rsid w:val="30220B20"/>
    <w:rsid w:val="303F9B12"/>
    <w:rsid w:val="30A712BB"/>
    <w:rsid w:val="30AE6D36"/>
    <w:rsid w:val="30EEC9F5"/>
    <w:rsid w:val="31225CF7"/>
    <w:rsid w:val="312CA7CE"/>
    <w:rsid w:val="312F09F2"/>
    <w:rsid w:val="313336BD"/>
    <w:rsid w:val="313F3542"/>
    <w:rsid w:val="31524F02"/>
    <w:rsid w:val="319C2A67"/>
    <w:rsid w:val="31BC670D"/>
    <w:rsid w:val="31D279FC"/>
    <w:rsid w:val="3206E8DC"/>
    <w:rsid w:val="320967BA"/>
    <w:rsid w:val="322D8016"/>
    <w:rsid w:val="3256798E"/>
    <w:rsid w:val="3256EBEB"/>
    <w:rsid w:val="32598F26"/>
    <w:rsid w:val="32A15D89"/>
    <w:rsid w:val="32A6684F"/>
    <w:rsid w:val="333AE279"/>
    <w:rsid w:val="335AA73A"/>
    <w:rsid w:val="335D26B4"/>
    <w:rsid w:val="336559F9"/>
    <w:rsid w:val="336A0D55"/>
    <w:rsid w:val="33796409"/>
    <w:rsid w:val="337FC541"/>
    <w:rsid w:val="338D4064"/>
    <w:rsid w:val="33A2EB1E"/>
    <w:rsid w:val="33D34B84"/>
    <w:rsid w:val="33F65946"/>
    <w:rsid w:val="33F75B8D"/>
    <w:rsid w:val="33F7D0D2"/>
    <w:rsid w:val="343605C2"/>
    <w:rsid w:val="343C664D"/>
    <w:rsid w:val="348C0093"/>
    <w:rsid w:val="348CC0A9"/>
    <w:rsid w:val="34A5BE02"/>
    <w:rsid w:val="34B242EA"/>
    <w:rsid w:val="351BDE07"/>
    <w:rsid w:val="3531CC68"/>
    <w:rsid w:val="354C4C84"/>
    <w:rsid w:val="358A9E2C"/>
    <w:rsid w:val="35945BAE"/>
    <w:rsid w:val="3599C2D2"/>
    <w:rsid w:val="35AAB020"/>
    <w:rsid w:val="35E800F0"/>
    <w:rsid w:val="35E9489F"/>
    <w:rsid w:val="361A6A22"/>
    <w:rsid w:val="3631E3B4"/>
    <w:rsid w:val="36AB6031"/>
    <w:rsid w:val="36B4C952"/>
    <w:rsid w:val="36B8A7BE"/>
    <w:rsid w:val="36D493FD"/>
    <w:rsid w:val="3701B7F1"/>
    <w:rsid w:val="37095020"/>
    <w:rsid w:val="37384E0A"/>
    <w:rsid w:val="376D3DA1"/>
    <w:rsid w:val="3777A758"/>
    <w:rsid w:val="37870B07"/>
    <w:rsid w:val="37B4DB91"/>
    <w:rsid w:val="37C219C9"/>
    <w:rsid w:val="37CAD550"/>
    <w:rsid w:val="37E8DB1B"/>
    <w:rsid w:val="37E93EFD"/>
    <w:rsid w:val="380A79A2"/>
    <w:rsid w:val="3837EAD0"/>
    <w:rsid w:val="38771B66"/>
    <w:rsid w:val="388EC9C4"/>
    <w:rsid w:val="38EC3784"/>
    <w:rsid w:val="38F6FC70"/>
    <w:rsid w:val="391AC769"/>
    <w:rsid w:val="39303952"/>
    <w:rsid w:val="396E68E2"/>
    <w:rsid w:val="396FA165"/>
    <w:rsid w:val="397FF3EF"/>
    <w:rsid w:val="3A1CF7B5"/>
    <w:rsid w:val="3A350001"/>
    <w:rsid w:val="3A5D209F"/>
    <w:rsid w:val="3A667FBA"/>
    <w:rsid w:val="3A936EE8"/>
    <w:rsid w:val="3A9F4197"/>
    <w:rsid w:val="3B127B21"/>
    <w:rsid w:val="3B1C6CEE"/>
    <w:rsid w:val="3B3B60C0"/>
    <w:rsid w:val="3B3F28B7"/>
    <w:rsid w:val="3B6C58B8"/>
    <w:rsid w:val="3B6DF7CD"/>
    <w:rsid w:val="3B8B8B03"/>
    <w:rsid w:val="3BBEFD3B"/>
    <w:rsid w:val="3C139AA6"/>
    <w:rsid w:val="3C1DB6AB"/>
    <w:rsid w:val="3C42D912"/>
    <w:rsid w:val="3C55CEF3"/>
    <w:rsid w:val="3C7E709E"/>
    <w:rsid w:val="3C8C9FA8"/>
    <w:rsid w:val="3CB3C002"/>
    <w:rsid w:val="3CCA69CC"/>
    <w:rsid w:val="3CD4C304"/>
    <w:rsid w:val="3CE61255"/>
    <w:rsid w:val="3D2A4EF0"/>
    <w:rsid w:val="3D3DCDF0"/>
    <w:rsid w:val="3D52979F"/>
    <w:rsid w:val="3D545508"/>
    <w:rsid w:val="3D5ED11B"/>
    <w:rsid w:val="3DAE356C"/>
    <w:rsid w:val="3DD21449"/>
    <w:rsid w:val="3DDA8E7F"/>
    <w:rsid w:val="3DE486A7"/>
    <w:rsid w:val="3E1423F9"/>
    <w:rsid w:val="3E219F79"/>
    <w:rsid w:val="3E3F041B"/>
    <w:rsid w:val="3ED1F518"/>
    <w:rsid w:val="3ED38EA3"/>
    <w:rsid w:val="3EE08A72"/>
    <w:rsid w:val="3F0060EA"/>
    <w:rsid w:val="3F15EB4E"/>
    <w:rsid w:val="3F1A63BA"/>
    <w:rsid w:val="3F21C1B5"/>
    <w:rsid w:val="3F6E0049"/>
    <w:rsid w:val="3FB75436"/>
    <w:rsid w:val="3FFACA07"/>
    <w:rsid w:val="3FFDC70B"/>
    <w:rsid w:val="4003F113"/>
    <w:rsid w:val="40052700"/>
    <w:rsid w:val="40083F79"/>
    <w:rsid w:val="400DB83F"/>
    <w:rsid w:val="40110D6F"/>
    <w:rsid w:val="401B5525"/>
    <w:rsid w:val="402C2192"/>
    <w:rsid w:val="402C7AD8"/>
    <w:rsid w:val="40632B0B"/>
    <w:rsid w:val="4088FA0F"/>
    <w:rsid w:val="40D51AC9"/>
    <w:rsid w:val="40DD106E"/>
    <w:rsid w:val="40ECE7D0"/>
    <w:rsid w:val="412A2F32"/>
    <w:rsid w:val="41434EBB"/>
    <w:rsid w:val="41652A66"/>
    <w:rsid w:val="417FEE50"/>
    <w:rsid w:val="41A9DBE5"/>
    <w:rsid w:val="41BE2C57"/>
    <w:rsid w:val="42049C60"/>
    <w:rsid w:val="4214D5C1"/>
    <w:rsid w:val="42248D07"/>
    <w:rsid w:val="422A4047"/>
    <w:rsid w:val="4266A58D"/>
    <w:rsid w:val="42811E49"/>
    <w:rsid w:val="42AAD394"/>
    <w:rsid w:val="42C0E7B2"/>
    <w:rsid w:val="42C8A846"/>
    <w:rsid w:val="42EF137C"/>
    <w:rsid w:val="42F83CB2"/>
    <w:rsid w:val="4323ACAA"/>
    <w:rsid w:val="432C9FDC"/>
    <w:rsid w:val="435F9902"/>
    <w:rsid w:val="43671C9B"/>
    <w:rsid w:val="43C67E5C"/>
    <w:rsid w:val="43C6F1CC"/>
    <w:rsid w:val="43D150AC"/>
    <w:rsid w:val="43F930CB"/>
    <w:rsid w:val="4401D9D0"/>
    <w:rsid w:val="440D6C0D"/>
    <w:rsid w:val="441284C6"/>
    <w:rsid w:val="44756BB9"/>
    <w:rsid w:val="4477077B"/>
    <w:rsid w:val="447B8CBD"/>
    <w:rsid w:val="44816E4F"/>
    <w:rsid w:val="44C4D521"/>
    <w:rsid w:val="44D402B1"/>
    <w:rsid w:val="44EBB1A1"/>
    <w:rsid w:val="44F1345C"/>
    <w:rsid w:val="4579E3E0"/>
    <w:rsid w:val="45B3D348"/>
    <w:rsid w:val="45D2884D"/>
    <w:rsid w:val="46073E1E"/>
    <w:rsid w:val="46201E19"/>
    <w:rsid w:val="46731ABC"/>
    <w:rsid w:val="469CEDC2"/>
    <w:rsid w:val="46BF373A"/>
    <w:rsid w:val="46BFF5C1"/>
    <w:rsid w:val="46BFFA09"/>
    <w:rsid w:val="46F5E1D6"/>
    <w:rsid w:val="46FF5284"/>
    <w:rsid w:val="4721071C"/>
    <w:rsid w:val="472196F9"/>
    <w:rsid w:val="4728A04C"/>
    <w:rsid w:val="4739B631"/>
    <w:rsid w:val="4756D51F"/>
    <w:rsid w:val="477659EE"/>
    <w:rsid w:val="478EC2DC"/>
    <w:rsid w:val="47B1B79F"/>
    <w:rsid w:val="47C1B071"/>
    <w:rsid w:val="47D67375"/>
    <w:rsid w:val="47F0EE39"/>
    <w:rsid w:val="4803B710"/>
    <w:rsid w:val="48113D5D"/>
    <w:rsid w:val="481F9C60"/>
    <w:rsid w:val="48222122"/>
    <w:rsid w:val="48241557"/>
    <w:rsid w:val="483264F9"/>
    <w:rsid w:val="48750F05"/>
    <w:rsid w:val="48A7255B"/>
    <w:rsid w:val="48B20C70"/>
    <w:rsid w:val="48C05DAB"/>
    <w:rsid w:val="48C12674"/>
    <w:rsid w:val="48CEFC5E"/>
    <w:rsid w:val="48D89309"/>
    <w:rsid w:val="48DFD7B3"/>
    <w:rsid w:val="48E83CEB"/>
    <w:rsid w:val="48EB7DF0"/>
    <w:rsid w:val="48ECA454"/>
    <w:rsid w:val="492E7D6C"/>
    <w:rsid w:val="493472DC"/>
    <w:rsid w:val="496441D0"/>
    <w:rsid w:val="49700336"/>
    <w:rsid w:val="49820C05"/>
    <w:rsid w:val="49B2540F"/>
    <w:rsid w:val="49CD84F0"/>
    <w:rsid w:val="49EAD0A2"/>
    <w:rsid w:val="4A0A9082"/>
    <w:rsid w:val="4A11FB17"/>
    <w:rsid w:val="4A24B795"/>
    <w:rsid w:val="4A5ED069"/>
    <w:rsid w:val="4A72A3F6"/>
    <w:rsid w:val="4A74C044"/>
    <w:rsid w:val="4A899DC6"/>
    <w:rsid w:val="4ACA32F8"/>
    <w:rsid w:val="4ACE9610"/>
    <w:rsid w:val="4AF7EDA9"/>
    <w:rsid w:val="4B0ED022"/>
    <w:rsid w:val="4B832002"/>
    <w:rsid w:val="4BB64D8F"/>
    <w:rsid w:val="4BD962A1"/>
    <w:rsid w:val="4BFDE5A6"/>
    <w:rsid w:val="4C31CA9A"/>
    <w:rsid w:val="4C55752F"/>
    <w:rsid w:val="4C7BD2B0"/>
    <w:rsid w:val="4CA33519"/>
    <w:rsid w:val="4CB6B981"/>
    <w:rsid w:val="4CC9EB68"/>
    <w:rsid w:val="4CFD0218"/>
    <w:rsid w:val="4D0F0818"/>
    <w:rsid w:val="4D1DA56E"/>
    <w:rsid w:val="4D21750B"/>
    <w:rsid w:val="4D3CE344"/>
    <w:rsid w:val="4D45EC9C"/>
    <w:rsid w:val="4D51D1C1"/>
    <w:rsid w:val="4D87AF29"/>
    <w:rsid w:val="4DA97D7F"/>
    <w:rsid w:val="4DBC1C22"/>
    <w:rsid w:val="4DC00DF8"/>
    <w:rsid w:val="4DD23A57"/>
    <w:rsid w:val="4DD53FD2"/>
    <w:rsid w:val="4DE325D5"/>
    <w:rsid w:val="4E174CD8"/>
    <w:rsid w:val="4E4A703F"/>
    <w:rsid w:val="4E4BF1C5"/>
    <w:rsid w:val="4E67C76F"/>
    <w:rsid w:val="4E9BD2D9"/>
    <w:rsid w:val="4EAEA995"/>
    <w:rsid w:val="4F014437"/>
    <w:rsid w:val="4F1774FF"/>
    <w:rsid w:val="4F2C039F"/>
    <w:rsid w:val="4FA5EDB5"/>
    <w:rsid w:val="4FC34804"/>
    <w:rsid w:val="5000CA2E"/>
    <w:rsid w:val="5018B121"/>
    <w:rsid w:val="501A68BF"/>
    <w:rsid w:val="5059C138"/>
    <w:rsid w:val="5064A490"/>
    <w:rsid w:val="50729705"/>
    <w:rsid w:val="50C2A114"/>
    <w:rsid w:val="50F0F8C1"/>
    <w:rsid w:val="50F391AA"/>
    <w:rsid w:val="50FA1EAF"/>
    <w:rsid w:val="517400E8"/>
    <w:rsid w:val="517A26E1"/>
    <w:rsid w:val="517A47E7"/>
    <w:rsid w:val="5180F529"/>
    <w:rsid w:val="523AE7E0"/>
    <w:rsid w:val="525D3F22"/>
    <w:rsid w:val="526CF1F1"/>
    <w:rsid w:val="5270BE02"/>
    <w:rsid w:val="52A062C7"/>
    <w:rsid w:val="52A1BEB2"/>
    <w:rsid w:val="52F859E0"/>
    <w:rsid w:val="5316915C"/>
    <w:rsid w:val="53266237"/>
    <w:rsid w:val="5366D43B"/>
    <w:rsid w:val="53807312"/>
    <w:rsid w:val="53D42EF0"/>
    <w:rsid w:val="54011A6D"/>
    <w:rsid w:val="5423E5D2"/>
    <w:rsid w:val="5471975E"/>
    <w:rsid w:val="54723DE2"/>
    <w:rsid w:val="54B22849"/>
    <w:rsid w:val="54D169AC"/>
    <w:rsid w:val="54D556A6"/>
    <w:rsid w:val="54DB378A"/>
    <w:rsid w:val="5504A2B6"/>
    <w:rsid w:val="551846B8"/>
    <w:rsid w:val="5524C0C0"/>
    <w:rsid w:val="553282E6"/>
    <w:rsid w:val="5545A4A6"/>
    <w:rsid w:val="5564F7EA"/>
    <w:rsid w:val="55692BD9"/>
    <w:rsid w:val="557F8ECF"/>
    <w:rsid w:val="559C8C15"/>
    <w:rsid w:val="559FD6B5"/>
    <w:rsid w:val="55A26BCE"/>
    <w:rsid w:val="55ACCA69"/>
    <w:rsid w:val="561823E5"/>
    <w:rsid w:val="565777BE"/>
    <w:rsid w:val="566B98B6"/>
    <w:rsid w:val="5672D09B"/>
    <w:rsid w:val="5693F951"/>
    <w:rsid w:val="569DCADD"/>
    <w:rsid w:val="569E3EF8"/>
    <w:rsid w:val="56CA3D23"/>
    <w:rsid w:val="56DE85EB"/>
    <w:rsid w:val="56F9C362"/>
    <w:rsid w:val="570E7B61"/>
    <w:rsid w:val="57170901"/>
    <w:rsid w:val="575734DC"/>
    <w:rsid w:val="575C0092"/>
    <w:rsid w:val="575D45C6"/>
    <w:rsid w:val="576088E4"/>
    <w:rsid w:val="57A6CFC5"/>
    <w:rsid w:val="57E8BE90"/>
    <w:rsid w:val="582E4ED7"/>
    <w:rsid w:val="588EC82B"/>
    <w:rsid w:val="58908296"/>
    <w:rsid w:val="58A718AA"/>
    <w:rsid w:val="58C71E8F"/>
    <w:rsid w:val="58D4FD19"/>
    <w:rsid w:val="58DB8D46"/>
    <w:rsid w:val="58EED38D"/>
    <w:rsid w:val="58FEE363"/>
    <w:rsid w:val="5908DDBD"/>
    <w:rsid w:val="5954C98A"/>
    <w:rsid w:val="59641F29"/>
    <w:rsid w:val="59F02628"/>
    <w:rsid w:val="59F5FD9D"/>
    <w:rsid w:val="59F843D3"/>
    <w:rsid w:val="59FD0707"/>
    <w:rsid w:val="5A00CC14"/>
    <w:rsid w:val="5A415588"/>
    <w:rsid w:val="5A539A92"/>
    <w:rsid w:val="5A70BCA2"/>
    <w:rsid w:val="5A720302"/>
    <w:rsid w:val="5A8ED867"/>
    <w:rsid w:val="5B09300F"/>
    <w:rsid w:val="5B2226B7"/>
    <w:rsid w:val="5B3D6D05"/>
    <w:rsid w:val="5B5F12B7"/>
    <w:rsid w:val="5BB7835E"/>
    <w:rsid w:val="5BBBE42B"/>
    <w:rsid w:val="5BBC22AA"/>
    <w:rsid w:val="5BCDB81B"/>
    <w:rsid w:val="5BEFA277"/>
    <w:rsid w:val="5C28BF54"/>
    <w:rsid w:val="5C2AC310"/>
    <w:rsid w:val="5C3A5F1F"/>
    <w:rsid w:val="5C437A65"/>
    <w:rsid w:val="5C68A911"/>
    <w:rsid w:val="5C9D7A41"/>
    <w:rsid w:val="5CEA295D"/>
    <w:rsid w:val="5D787D47"/>
    <w:rsid w:val="5DA16FA0"/>
    <w:rsid w:val="5DC8FCD8"/>
    <w:rsid w:val="5DD85C8A"/>
    <w:rsid w:val="5DEEA84B"/>
    <w:rsid w:val="5E02AEFA"/>
    <w:rsid w:val="5E5C7A56"/>
    <w:rsid w:val="5E62B1E3"/>
    <w:rsid w:val="5EAA7F9A"/>
    <w:rsid w:val="5EAAC8BC"/>
    <w:rsid w:val="5EF38BC3"/>
    <w:rsid w:val="5F11AC6C"/>
    <w:rsid w:val="5F24BABB"/>
    <w:rsid w:val="5F2631DD"/>
    <w:rsid w:val="5F272B5F"/>
    <w:rsid w:val="5FA14E83"/>
    <w:rsid w:val="5FAAAF3B"/>
    <w:rsid w:val="5FCA6D01"/>
    <w:rsid w:val="600786C1"/>
    <w:rsid w:val="6065B539"/>
    <w:rsid w:val="60E4CE2D"/>
    <w:rsid w:val="60F7C74C"/>
    <w:rsid w:val="61022BBF"/>
    <w:rsid w:val="612326B3"/>
    <w:rsid w:val="615237A3"/>
    <w:rsid w:val="61567184"/>
    <w:rsid w:val="615BF1AE"/>
    <w:rsid w:val="615FB156"/>
    <w:rsid w:val="61A4D117"/>
    <w:rsid w:val="61BA4137"/>
    <w:rsid w:val="62070E76"/>
    <w:rsid w:val="6240A1AC"/>
    <w:rsid w:val="625D72BD"/>
    <w:rsid w:val="62824613"/>
    <w:rsid w:val="62A54422"/>
    <w:rsid w:val="62D717F8"/>
    <w:rsid w:val="62D7C113"/>
    <w:rsid w:val="62E39845"/>
    <w:rsid w:val="6330B71B"/>
    <w:rsid w:val="63384111"/>
    <w:rsid w:val="634B965F"/>
    <w:rsid w:val="636F02C3"/>
    <w:rsid w:val="63848FA1"/>
    <w:rsid w:val="6385BD27"/>
    <w:rsid w:val="63BAA7F7"/>
    <w:rsid w:val="63D3A86F"/>
    <w:rsid w:val="6419A93E"/>
    <w:rsid w:val="6444D271"/>
    <w:rsid w:val="6461517D"/>
    <w:rsid w:val="6474B7C7"/>
    <w:rsid w:val="647E430C"/>
    <w:rsid w:val="64A21893"/>
    <w:rsid w:val="64A907D9"/>
    <w:rsid w:val="64C07A4F"/>
    <w:rsid w:val="64CA5CCF"/>
    <w:rsid w:val="64FD2246"/>
    <w:rsid w:val="6532AE96"/>
    <w:rsid w:val="6546E507"/>
    <w:rsid w:val="6565CA17"/>
    <w:rsid w:val="65746294"/>
    <w:rsid w:val="6581EC87"/>
    <w:rsid w:val="6585561A"/>
    <w:rsid w:val="658B7CA8"/>
    <w:rsid w:val="65A3DC92"/>
    <w:rsid w:val="65B65422"/>
    <w:rsid w:val="65D34D13"/>
    <w:rsid w:val="65D67DC5"/>
    <w:rsid w:val="65FFC9C5"/>
    <w:rsid w:val="662B5151"/>
    <w:rsid w:val="662CA821"/>
    <w:rsid w:val="66391949"/>
    <w:rsid w:val="66920021"/>
    <w:rsid w:val="66DD5547"/>
    <w:rsid w:val="66DF94FB"/>
    <w:rsid w:val="66EC0747"/>
    <w:rsid w:val="66EEC2D1"/>
    <w:rsid w:val="66EF2F50"/>
    <w:rsid w:val="66FA52E6"/>
    <w:rsid w:val="6707E842"/>
    <w:rsid w:val="67105F4F"/>
    <w:rsid w:val="677CA584"/>
    <w:rsid w:val="679C058E"/>
    <w:rsid w:val="67F4F53A"/>
    <w:rsid w:val="682F200B"/>
    <w:rsid w:val="685F80B2"/>
    <w:rsid w:val="68BF9468"/>
    <w:rsid w:val="6937D6CA"/>
    <w:rsid w:val="69827B67"/>
    <w:rsid w:val="69BBCE33"/>
    <w:rsid w:val="69C39590"/>
    <w:rsid w:val="69DA1E45"/>
    <w:rsid w:val="6A2C7831"/>
    <w:rsid w:val="6A4114E5"/>
    <w:rsid w:val="6A4C5F45"/>
    <w:rsid w:val="6A789D88"/>
    <w:rsid w:val="6AB47AB2"/>
    <w:rsid w:val="6AD7FEC1"/>
    <w:rsid w:val="6AE0EB97"/>
    <w:rsid w:val="6B082B54"/>
    <w:rsid w:val="6B290448"/>
    <w:rsid w:val="6B3C1A45"/>
    <w:rsid w:val="6B3D0B8F"/>
    <w:rsid w:val="6B507650"/>
    <w:rsid w:val="6B564B74"/>
    <w:rsid w:val="6B7BF241"/>
    <w:rsid w:val="6B7E4C43"/>
    <w:rsid w:val="6B9FD5EF"/>
    <w:rsid w:val="6BAFBECB"/>
    <w:rsid w:val="6BB3BEDE"/>
    <w:rsid w:val="6C0B02D9"/>
    <w:rsid w:val="6C17FF1D"/>
    <w:rsid w:val="6C210DD4"/>
    <w:rsid w:val="6C293B8C"/>
    <w:rsid w:val="6C2C0FA0"/>
    <w:rsid w:val="6C3E0562"/>
    <w:rsid w:val="6C409E3C"/>
    <w:rsid w:val="6C70F8FB"/>
    <w:rsid w:val="6C73EE48"/>
    <w:rsid w:val="6C787F9F"/>
    <w:rsid w:val="6C853E1F"/>
    <w:rsid w:val="6C90CCA0"/>
    <w:rsid w:val="6C9E90EE"/>
    <w:rsid w:val="6CA385B2"/>
    <w:rsid w:val="6CBB7380"/>
    <w:rsid w:val="6CCEB79C"/>
    <w:rsid w:val="6CEEE6CC"/>
    <w:rsid w:val="6D16BA98"/>
    <w:rsid w:val="6D1B4A41"/>
    <w:rsid w:val="6D4A3859"/>
    <w:rsid w:val="6D5C944B"/>
    <w:rsid w:val="6D934C4D"/>
    <w:rsid w:val="6DA54F25"/>
    <w:rsid w:val="6DDD546F"/>
    <w:rsid w:val="6E003B14"/>
    <w:rsid w:val="6E15244E"/>
    <w:rsid w:val="6E406309"/>
    <w:rsid w:val="6E47F3A9"/>
    <w:rsid w:val="6E845246"/>
    <w:rsid w:val="6E890222"/>
    <w:rsid w:val="6E904489"/>
    <w:rsid w:val="6EBB322C"/>
    <w:rsid w:val="6EBD2DA3"/>
    <w:rsid w:val="6ED55D7B"/>
    <w:rsid w:val="6EE3C488"/>
    <w:rsid w:val="6EF43BAD"/>
    <w:rsid w:val="6EF6E777"/>
    <w:rsid w:val="6F0949AF"/>
    <w:rsid w:val="6F2DF50D"/>
    <w:rsid w:val="6F72D1D8"/>
    <w:rsid w:val="6FC6B818"/>
    <w:rsid w:val="700BCD3A"/>
    <w:rsid w:val="70711AE6"/>
    <w:rsid w:val="70736D88"/>
    <w:rsid w:val="70B24B0F"/>
    <w:rsid w:val="70B97748"/>
    <w:rsid w:val="70D2A319"/>
    <w:rsid w:val="70FE6F65"/>
    <w:rsid w:val="7101D097"/>
    <w:rsid w:val="710FE4F7"/>
    <w:rsid w:val="712F74EF"/>
    <w:rsid w:val="71501A14"/>
    <w:rsid w:val="718B9202"/>
    <w:rsid w:val="71906740"/>
    <w:rsid w:val="71A14957"/>
    <w:rsid w:val="7209E842"/>
    <w:rsid w:val="72228987"/>
    <w:rsid w:val="7227969C"/>
    <w:rsid w:val="722A7480"/>
    <w:rsid w:val="723A7772"/>
    <w:rsid w:val="723D7970"/>
    <w:rsid w:val="7280CA56"/>
    <w:rsid w:val="72D1814C"/>
    <w:rsid w:val="72D9F638"/>
    <w:rsid w:val="7345FB8E"/>
    <w:rsid w:val="737561E6"/>
    <w:rsid w:val="73802264"/>
    <w:rsid w:val="73B53EA7"/>
    <w:rsid w:val="73C47FAE"/>
    <w:rsid w:val="73D8E338"/>
    <w:rsid w:val="73FF7BCD"/>
    <w:rsid w:val="74304E7A"/>
    <w:rsid w:val="74599B9A"/>
    <w:rsid w:val="7459AFA9"/>
    <w:rsid w:val="746EFCFD"/>
    <w:rsid w:val="7471FD31"/>
    <w:rsid w:val="74923385"/>
    <w:rsid w:val="749E6BA4"/>
    <w:rsid w:val="74CC8D7A"/>
    <w:rsid w:val="74E7D72B"/>
    <w:rsid w:val="74F27CB7"/>
    <w:rsid w:val="75080C0B"/>
    <w:rsid w:val="754745C8"/>
    <w:rsid w:val="756EA358"/>
    <w:rsid w:val="7583E2DB"/>
    <w:rsid w:val="75A948E1"/>
    <w:rsid w:val="75BA54B0"/>
    <w:rsid w:val="75BCB67C"/>
    <w:rsid w:val="75C42ECD"/>
    <w:rsid w:val="75D03A51"/>
    <w:rsid w:val="75EF0395"/>
    <w:rsid w:val="7650EB22"/>
    <w:rsid w:val="7671CAAB"/>
    <w:rsid w:val="76979998"/>
    <w:rsid w:val="769A5B6B"/>
    <w:rsid w:val="76B7F31F"/>
    <w:rsid w:val="76B9C449"/>
    <w:rsid w:val="76ECFA26"/>
    <w:rsid w:val="7712D2E1"/>
    <w:rsid w:val="7712E9CA"/>
    <w:rsid w:val="7716166B"/>
    <w:rsid w:val="771EC853"/>
    <w:rsid w:val="776E06F9"/>
    <w:rsid w:val="778731B2"/>
    <w:rsid w:val="77B4741C"/>
    <w:rsid w:val="77BC5C6D"/>
    <w:rsid w:val="7824A59A"/>
    <w:rsid w:val="78282AEA"/>
    <w:rsid w:val="78367EF2"/>
    <w:rsid w:val="784FCE44"/>
    <w:rsid w:val="78855510"/>
    <w:rsid w:val="7891DD7C"/>
    <w:rsid w:val="789F4C83"/>
    <w:rsid w:val="78CAE941"/>
    <w:rsid w:val="78F6354C"/>
    <w:rsid w:val="78FDD865"/>
    <w:rsid w:val="7913219D"/>
    <w:rsid w:val="7968139B"/>
    <w:rsid w:val="7975687B"/>
    <w:rsid w:val="7977C71C"/>
    <w:rsid w:val="79958472"/>
    <w:rsid w:val="7997ABE3"/>
    <w:rsid w:val="799EEC2F"/>
    <w:rsid w:val="79DD09D8"/>
    <w:rsid w:val="7A0E168B"/>
    <w:rsid w:val="7A510BE1"/>
    <w:rsid w:val="7A6FDDE0"/>
    <w:rsid w:val="7A7FB387"/>
    <w:rsid w:val="7ACD4A69"/>
    <w:rsid w:val="7AD9AE1D"/>
    <w:rsid w:val="7AEBCAF1"/>
    <w:rsid w:val="7B1901AC"/>
    <w:rsid w:val="7B37C292"/>
    <w:rsid w:val="7B392B19"/>
    <w:rsid w:val="7B807416"/>
    <w:rsid w:val="7B9511E2"/>
    <w:rsid w:val="7BA5AF27"/>
    <w:rsid w:val="7BB7A808"/>
    <w:rsid w:val="7BDE296C"/>
    <w:rsid w:val="7BEAC159"/>
    <w:rsid w:val="7BFBB724"/>
    <w:rsid w:val="7C1C4A5F"/>
    <w:rsid w:val="7C287200"/>
    <w:rsid w:val="7C3E2B70"/>
    <w:rsid w:val="7C6E18EF"/>
    <w:rsid w:val="7C7BCDC7"/>
    <w:rsid w:val="7C81DA0F"/>
    <w:rsid w:val="7C97462E"/>
    <w:rsid w:val="7CA4F273"/>
    <w:rsid w:val="7CA9E4AD"/>
    <w:rsid w:val="7CB59C33"/>
    <w:rsid w:val="7CC91032"/>
    <w:rsid w:val="7CD7773C"/>
    <w:rsid w:val="7CE75BE2"/>
    <w:rsid w:val="7CEAF88F"/>
    <w:rsid w:val="7D2B128A"/>
    <w:rsid w:val="7D38B7AD"/>
    <w:rsid w:val="7D4CF000"/>
    <w:rsid w:val="7D5FB7C2"/>
    <w:rsid w:val="7D733F41"/>
    <w:rsid w:val="7DA6F5AE"/>
    <w:rsid w:val="7DAFB15B"/>
    <w:rsid w:val="7E0C6FE4"/>
    <w:rsid w:val="7E128870"/>
    <w:rsid w:val="7E15AA43"/>
    <w:rsid w:val="7E17528C"/>
    <w:rsid w:val="7E37F1C5"/>
    <w:rsid w:val="7E62B501"/>
    <w:rsid w:val="7E703DB1"/>
    <w:rsid w:val="7E82BC6B"/>
    <w:rsid w:val="7EB2D2E2"/>
    <w:rsid w:val="7ED88474"/>
    <w:rsid w:val="7EE13AA2"/>
    <w:rsid w:val="7EEBC06F"/>
    <w:rsid w:val="7F0A9AB1"/>
    <w:rsid w:val="7F1EF22B"/>
    <w:rsid w:val="7F2F15AC"/>
    <w:rsid w:val="7F5D2FDD"/>
    <w:rsid w:val="7F6B4265"/>
    <w:rsid w:val="7F7F9B49"/>
    <w:rsid w:val="7F837A1A"/>
    <w:rsid w:val="7F8E02C8"/>
    <w:rsid w:val="7FAD0B77"/>
    <w:rsid w:val="7FD977E4"/>
    <w:rsid w:val="7FE3BD9C"/>
    <w:rsid w:val="7FE58D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D4254"/>
  <w15:chartTrackingRefBased/>
  <w15:docId w15:val="{F5977834-B224-4F65-8DDE-2B763F820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749E6BA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749E6BA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749E6BA4"/>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next w:val="Normal"/>
    <w:uiPriority w:val="39"/>
    <w:unhideWhenUsed/>
    <w:rsid w:val="749E6BA4"/>
    <w:pPr>
      <w:spacing w:after="100"/>
    </w:pPr>
  </w:style>
  <w:style w:type="paragraph" w:styleId="ListParagraph">
    <w:name w:val="List Paragraph"/>
    <w:basedOn w:val="Normal"/>
    <w:uiPriority w:val="34"/>
    <w:qFormat/>
    <w:rsid w:val="749E6BA4"/>
    <w:pPr>
      <w:ind w:left="720"/>
      <w:contextualSpacing/>
    </w:pPr>
  </w:style>
  <w:style w:type="character" w:styleId="Hyperlink">
    <w:name w:val="Hyperlink"/>
    <w:basedOn w:val="DefaultParagraphFont"/>
    <w:uiPriority w:val="99"/>
    <w:unhideWhenUsed/>
    <w:rsid w:val="749E6BA4"/>
    <w:rPr>
      <w:color w:val="467886"/>
      <w:u w:val="single"/>
    </w:rPr>
  </w:style>
  <w:style w:type="character" w:styleId="Heading2Char" w:customStyle="1">
    <w:name w:val="Heading 2 Char"/>
    <w:basedOn w:val="DefaultParagraphFont"/>
    <w:link w:val="Heading2"/>
    <w:uiPriority w:val="9"/>
    <w:rsid w:val="749E6BA4"/>
    <w:rPr>
      <w:rFonts w:asciiTheme="majorHAnsi" w:hAnsiTheme="majorHAnsi" w:eastAsiaTheme="majorEastAsia" w:cstheme="majorBidi"/>
      <w:color w:val="0F4761" w:themeColor="accent1" w:themeShade="BF"/>
      <w:sz w:val="32"/>
      <w:szCs w:val="32"/>
    </w:rPr>
  </w:style>
  <w:style w:type="paragraph" w:styleId="TOC2">
    <w:name w:val="toc 2"/>
    <w:basedOn w:val="Normal"/>
    <w:next w:val="Normal"/>
    <w:uiPriority w:val="39"/>
    <w:unhideWhenUsed/>
    <w:rsid w:val="6C70F8FB"/>
    <w:pPr>
      <w:spacing w:after="100"/>
      <w:ind w:left="220"/>
    </w:pPr>
  </w:style>
  <w:style w:type="paragraph" w:styleId="TOC3">
    <w:name w:val="toc 3"/>
    <w:basedOn w:val="Normal"/>
    <w:next w:val="Normal"/>
    <w:uiPriority w:val="39"/>
    <w:unhideWhenUsed/>
    <w:rsid w:val="6C70F8FB"/>
    <w:pPr>
      <w:spacing w:after="100"/>
      <w:ind w:left="44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uiPriority w:val="99"/>
    <w:name w:val="header"/>
    <w:basedOn w:val="Normal"/>
    <w:unhideWhenUsed/>
    <w:rsid w:val="756EA358"/>
    <w:pPr>
      <w:tabs>
        <w:tab w:val="center" w:leader="none" w:pos="4680"/>
        <w:tab w:val="right" w:leader="none" w:pos="9360"/>
      </w:tabs>
      <w:spacing w:after="0" w:line="240" w:lineRule="auto"/>
    </w:pPr>
  </w:style>
  <w:style w:type="paragraph" w:styleId="Footer">
    <w:uiPriority w:val="99"/>
    <w:name w:val="footer"/>
    <w:basedOn w:val="Normal"/>
    <w:unhideWhenUsed/>
    <w:rsid w:val="756EA358"/>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jpg" Id="rId6" /><Relationship Type="http://schemas.microsoft.com/office/2020/10/relationships/intelligence" Target="intelligence2.xml" Id="rId11" /><Relationship Type="http://schemas.openxmlformats.org/officeDocument/2006/relationships/image" Target="media/image1.png"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businesscasestudies.co.uk/what-is-market-entry-analysis/" TargetMode="External" Id="R517ec011254d42f1" /><Relationship Type="http://schemas.openxmlformats.org/officeDocument/2006/relationships/hyperlink" Target="http://news.bbc.co.uk/1/hi/business/3164364.stm" TargetMode="External" Id="R42cdb4c6d1bb488e" /><Relationship Type="http://schemas.openxmlformats.org/officeDocument/2006/relationships/hyperlink" Target="https://www.bbc.co.uk/news/articles/ck79gygry3lo" TargetMode="External" Id="R621ed07a7b76463f" /><Relationship Type="http://schemas.openxmlformats.org/officeDocument/2006/relationships/hyperlink" Target="https://www.cadbury.co.uk/about/impact/cadbury-unwrapped/" TargetMode="External" Id="Rf724824941b34445" /><Relationship Type="http://schemas.openxmlformats.org/officeDocument/2006/relationships/hyperlink" Target="https://www.slideshare.net/slideshow/cadburys-worm-issue-case-study-by-chaithanya-dhanya/40009330" TargetMode="External" Id="R832223262851469a" /><Relationship Type="http://schemas.openxmlformats.org/officeDocument/2006/relationships/hyperlink" Target="https://www.euromonitor.com/article/global-economic-outlook-q4-2024" TargetMode="External" Id="R0cef082ce2e6427a" /><Relationship Type="http://schemas.openxmlformats.org/officeDocument/2006/relationships/hyperlink" Target="https://www.gov.uk/government/publications/a-new-approach-to-ensure-regulators-and-regulation-support-growth/regulation-action-plan-progress-update-and-next-steps" TargetMode="External" Id="R60c3cf428fbd4a4c" /><Relationship Type="http://schemas.openxmlformats.org/officeDocument/2006/relationships/hyperlink" Target="https://www.ibef.org/blogs/decoding-the-growth-of-india-s-chocolate-market" TargetMode="External" Id="Ra595fb0f94e940d4" /><Relationship Type="http://schemas.openxmlformats.org/officeDocument/2006/relationships/hyperlink" Target="https://www.trade.gov/country-commercial-guides/india-market-challenges" TargetMode="External" Id="R05a0456de9a3496e" /><Relationship Type="http://schemas.openxmlformats.org/officeDocument/2006/relationships/hyperlink" Target="https://www.youngurbanproject.com/cadbury-case-study/" TargetMode="External" Id="R46036cccccd44575" /><Relationship Type="http://schemas.openxmlformats.org/officeDocument/2006/relationships/hyperlink" Target="https://www.scirp.org/reference/referencespapers?referenceid=3044185" TargetMode="External" Id="R3c8e86324de14582" /><Relationship Type="http://schemas.openxmlformats.org/officeDocument/2006/relationships/hyperlink" Target="https://www.worldbank.org/en/news/opinion/2024/01/30/gearing-up-for-india-s-rapid-urban-transformation" TargetMode="External" Id="R953f7166e47345c5" /><Relationship Type="http://schemas.openxmlformats.org/officeDocument/2006/relationships/hyperlink" Target="https://slm.mba/mmpc-017/key-models-international-trade-uppsala-transaction-cost-eclectic/" TargetMode="External" Id="R5762ed49e35d4170" /><Relationship Type="http://schemas.openxmlformats.org/officeDocument/2006/relationships/hyperlink" Target="https://whichframework.org/frameworks/stp-framework.html" TargetMode="External" Id="R1ef38f1f3d8f4957" /><Relationship Type="http://schemas.openxmlformats.org/officeDocument/2006/relationships/hyperlink" Target="https://www.mintel.com" TargetMode="External" Id="R99d76656586f4c69" /><Relationship Type="http://schemas.openxmlformats.org/officeDocument/2006/relationships/hyperlink" Target="https://www.mintel.com/press-centre/mintel-announces-global-food-and-drink-trends-for-2024/" TargetMode="External" Id="R2e9f0788169a4119" /><Relationship Type="http://schemas.openxmlformats.org/officeDocument/2006/relationships/hyperlink" Target="https://www.mondelezinternational.com/our-brands/Cadbury/" TargetMode="External" Id="Re733803f83d9410a" /><Relationship Type="http://schemas.openxmlformats.org/officeDocument/2006/relationships/header" Target="header.xml" Id="Rc6cf146e2e314cab" /><Relationship Type="http://schemas.openxmlformats.org/officeDocument/2006/relationships/footer" Target="footer.xml" Id="Rc13bdc2df8dc4d8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Alicia Blake (2208796)</dc:creator>
  <keywords/>
  <dc:description/>
  <lastModifiedBy>Alicia Blake (2208796)</lastModifiedBy>
  <revision>28</revision>
  <dcterms:created xsi:type="dcterms:W3CDTF">2026-06-29T18:41:00.0000000Z</dcterms:created>
  <dcterms:modified xsi:type="dcterms:W3CDTF">2026-07-27T22:32:30.0847707Z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f93e87b2-b86d-4268-99b8-85535f29ceb8</vt:lpwstr>
  </property>
</Properties>
</file>