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81281" w14:textId="77777777" w:rsidR="0029756A" w:rsidRDefault="0029756A" w:rsidP="0029756A">
      <w:pPr>
        <w:pStyle w:val="Style1"/>
      </w:pPr>
      <w:r>
        <w:t>TABLE OF CONTENTS</w:t>
      </w:r>
    </w:p>
    <w:p w14:paraId="051340E4" w14:textId="64DC6413" w:rsidR="0029756A" w:rsidRDefault="0029756A" w:rsidP="0029756A">
      <w:pPr>
        <w:pStyle w:val="TOC1"/>
        <w:tabs>
          <w:tab w:val="right" w:leader="dot" w:pos="9350"/>
        </w:tabs>
        <w:spacing w:line="360" w:lineRule="auto"/>
        <w:rPr>
          <w:noProof/>
        </w:rPr>
      </w:pPr>
      <w:r>
        <w:fldChar w:fldCharType="begin"/>
      </w:r>
      <w:r>
        <w:instrText xml:space="preserve"> TOC \h \z \t "Style1,1,Style2,2,Style3,3" </w:instrText>
      </w:r>
      <w:r>
        <w:fldChar w:fldCharType="separate"/>
      </w:r>
      <w:hyperlink w:anchor="_Toc151105459" w:history="1">
        <w:r w:rsidRPr="00640F42">
          <w:rPr>
            <w:rStyle w:val="Hyperlink"/>
            <w:noProof/>
          </w:rPr>
          <w:t>INTRODUCTION</w:t>
        </w:r>
        <w:r>
          <w:rPr>
            <w:noProof/>
            <w:webHidden/>
          </w:rPr>
          <w:tab/>
        </w:r>
        <w:r>
          <w:rPr>
            <w:noProof/>
            <w:webHidden/>
          </w:rPr>
          <w:fldChar w:fldCharType="begin"/>
        </w:r>
        <w:r>
          <w:rPr>
            <w:noProof/>
            <w:webHidden/>
          </w:rPr>
          <w:instrText xml:space="preserve"> PAGEREF _Toc151105459 \h </w:instrText>
        </w:r>
        <w:r>
          <w:rPr>
            <w:noProof/>
            <w:webHidden/>
          </w:rPr>
        </w:r>
        <w:r>
          <w:rPr>
            <w:noProof/>
            <w:webHidden/>
          </w:rPr>
          <w:fldChar w:fldCharType="separate"/>
        </w:r>
        <w:r>
          <w:rPr>
            <w:noProof/>
            <w:webHidden/>
          </w:rPr>
          <w:t>1</w:t>
        </w:r>
        <w:r>
          <w:rPr>
            <w:noProof/>
            <w:webHidden/>
          </w:rPr>
          <w:fldChar w:fldCharType="end"/>
        </w:r>
      </w:hyperlink>
    </w:p>
    <w:p w14:paraId="4EAD1490" w14:textId="19F5CF20" w:rsidR="0029756A" w:rsidRDefault="0029756A" w:rsidP="0029756A">
      <w:pPr>
        <w:pStyle w:val="TOC1"/>
        <w:tabs>
          <w:tab w:val="right" w:leader="dot" w:pos="9350"/>
        </w:tabs>
        <w:spacing w:line="360" w:lineRule="auto"/>
        <w:rPr>
          <w:noProof/>
        </w:rPr>
      </w:pPr>
      <w:hyperlink w:anchor="_Toc151105460" w:history="1">
        <w:r w:rsidRPr="00640F42">
          <w:rPr>
            <w:rStyle w:val="Hyperlink"/>
            <w:noProof/>
          </w:rPr>
          <w:t>CORE ELEMENTS EVALUATION</w:t>
        </w:r>
        <w:r>
          <w:rPr>
            <w:noProof/>
            <w:webHidden/>
          </w:rPr>
          <w:tab/>
        </w:r>
        <w:r>
          <w:rPr>
            <w:noProof/>
            <w:webHidden/>
          </w:rPr>
          <w:fldChar w:fldCharType="begin"/>
        </w:r>
        <w:r>
          <w:rPr>
            <w:noProof/>
            <w:webHidden/>
          </w:rPr>
          <w:instrText xml:space="preserve"> PAGEREF _Toc151105460 \h </w:instrText>
        </w:r>
        <w:r>
          <w:rPr>
            <w:noProof/>
            <w:webHidden/>
          </w:rPr>
        </w:r>
        <w:r>
          <w:rPr>
            <w:noProof/>
            <w:webHidden/>
          </w:rPr>
          <w:fldChar w:fldCharType="separate"/>
        </w:r>
        <w:r>
          <w:rPr>
            <w:noProof/>
            <w:webHidden/>
          </w:rPr>
          <w:t>3</w:t>
        </w:r>
        <w:r>
          <w:rPr>
            <w:noProof/>
            <w:webHidden/>
          </w:rPr>
          <w:fldChar w:fldCharType="end"/>
        </w:r>
      </w:hyperlink>
    </w:p>
    <w:p w14:paraId="60FAB8D2" w14:textId="72096FFC" w:rsidR="0029756A" w:rsidRDefault="0029756A" w:rsidP="0029756A">
      <w:pPr>
        <w:pStyle w:val="TOC2"/>
        <w:tabs>
          <w:tab w:val="right" w:leader="dot" w:pos="9350"/>
        </w:tabs>
        <w:spacing w:line="360" w:lineRule="auto"/>
        <w:rPr>
          <w:noProof/>
        </w:rPr>
      </w:pPr>
      <w:hyperlink w:anchor="_Toc151105461" w:history="1">
        <w:r w:rsidRPr="00640F42">
          <w:rPr>
            <w:rStyle w:val="Hyperlink"/>
            <w:noProof/>
          </w:rPr>
          <w:t>BUDGET ANALYSIS</w:t>
        </w:r>
        <w:r>
          <w:rPr>
            <w:noProof/>
            <w:webHidden/>
          </w:rPr>
          <w:tab/>
        </w:r>
        <w:r>
          <w:rPr>
            <w:noProof/>
            <w:webHidden/>
          </w:rPr>
          <w:fldChar w:fldCharType="begin"/>
        </w:r>
        <w:r>
          <w:rPr>
            <w:noProof/>
            <w:webHidden/>
          </w:rPr>
          <w:instrText xml:space="preserve"> PAGEREF _Toc151105461 \h </w:instrText>
        </w:r>
        <w:r>
          <w:rPr>
            <w:noProof/>
            <w:webHidden/>
          </w:rPr>
        </w:r>
        <w:r>
          <w:rPr>
            <w:noProof/>
            <w:webHidden/>
          </w:rPr>
          <w:fldChar w:fldCharType="separate"/>
        </w:r>
        <w:r>
          <w:rPr>
            <w:noProof/>
            <w:webHidden/>
          </w:rPr>
          <w:t>3</w:t>
        </w:r>
        <w:r>
          <w:rPr>
            <w:noProof/>
            <w:webHidden/>
          </w:rPr>
          <w:fldChar w:fldCharType="end"/>
        </w:r>
      </w:hyperlink>
    </w:p>
    <w:p w14:paraId="0D912855" w14:textId="5AD0FA13" w:rsidR="0029756A" w:rsidRDefault="0029756A" w:rsidP="0029756A">
      <w:pPr>
        <w:pStyle w:val="TOC3"/>
        <w:tabs>
          <w:tab w:val="right" w:leader="dot" w:pos="9350"/>
        </w:tabs>
        <w:spacing w:line="360" w:lineRule="auto"/>
        <w:rPr>
          <w:noProof/>
        </w:rPr>
      </w:pPr>
      <w:hyperlink w:anchor="_Toc151105462" w:history="1">
        <w:r w:rsidRPr="00640F42">
          <w:rPr>
            <w:rStyle w:val="Hyperlink"/>
            <w:noProof/>
          </w:rPr>
          <w:t>Potential Cost Overruns</w:t>
        </w:r>
        <w:r>
          <w:rPr>
            <w:noProof/>
            <w:webHidden/>
          </w:rPr>
          <w:tab/>
        </w:r>
        <w:r>
          <w:rPr>
            <w:noProof/>
            <w:webHidden/>
          </w:rPr>
          <w:fldChar w:fldCharType="begin"/>
        </w:r>
        <w:r>
          <w:rPr>
            <w:noProof/>
            <w:webHidden/>
          </w:rPr>
          <w:instrText xml:space="preserve"> PAGEREF _Toc151105462 \h </w:instrText>
        </w:r>
        <w:r>
          <w:rPr>
            <w:noProof/>
            <w:webHidden/>
          </w:rPr>
        </w:r>
        <w:r>
          <w:rPr>
            <w:noProof/>
            <w:webHidden/>
          </w:rPr>
          <w:fldChar w:fldCharType="separate"/>
        </w:r>
        <w:r>
          <w:rPr>
            <w:noProof/>
            <w:webHidden/>
          </w:rPr>
          <w:t>3</w:t>
        </w:r>
        <w:r>
          <w:rPr>
            <w:noProof/>
            <w:webHidden/>
          </w:rPr>
          <w:fldChar w:fldCharType="end"/>
        </w:r>
      </w:hyperlink>
    </w:p>
    <w:p w14:paraId="14C508C4" w14:textId="56CE98CC" w:rsidR="0029756A" w:rsidRDefault="0029756A" w:rsidP="0029756A">
      <w:pPr>
        <w:pStyle w:val="TOC3"/>
        <w:tabs>
          <w:tab w:val="right" w:leader="dot" w:pos="9350"/>
        </w:tabs>
        <w:spacing w:line="360" w:lineRule="auto"/>
        <w:rPr>
          <w:noProof/>
        </w:rPr>
      </w:pPr>
      <w:hyperlink w:anchor="_Toc151105463" w:history="1">
        <w:r w:rsidRPr="00640F42">
          <w:rPr>
            <w:rStyle w:val="Hyperlink"/>
            <w:noProof/>
          </w:rPr>
          <w:t>Areas for Budget Optimization</w:t>
        </w:r>
        <w:r>
          <w:rPr>
            <w:noProof/>
            <w:webHidden/>
          </w:rPr>
          <w:tab/>
        </w:r>
        <w:r>
          <w:rPr>
            <w:noProof/>
            <w:webHidden/>
          </w:rPr>
          <w:fldChar w:fldCharType="begin"/>
        </w:r>
        <w:r>
          <w:rPr>
            <w:noProof/>
            <w:webHidden/>
          </w:rPr>
          <w:instrText xml:space="preserve"> PAGEREF _Toc151105463 \h </w:instrText>
        </w:r>
        <w:r>
          <w:rPr>
            <w:noProof/>
            <w:webHidden/>
          </w:rPr>
        </w:r>
        <w:r>
          <w:rPr>
            <w:noProof/>
            <w:webHidden/>
          </w:rPr>
          <w:fldChar w:fldCharType="separate"/>
        </w:r>
        <w:r>
          <w:rPr>
            <w:noProof/>
            <w:webHidden/>
          </w:rPr>
          <w:t>4</w:t>
        </w:r>
        <w:r>
          <w:rPr>
            <w:noProof/>
            <w:webHidden/>
          </w:rPr>
          <w:fldChar w:fldCharType="end"/>
        </w:r>
      </w:hyperlink>
    </w:p>
    <w:p w14:paraId="65EE1068" w14:textId="0D1AC04B" w:rsidR="0029756A" w:rsidRDefault="0029756A" w:rsidP="0029756A">
      <w:pPr>
        <w:pStyle w:val="TOC2"/>
        <w:tabs>
          <w:tab w:val="right" w:leader="dot" w:pos="9350"/>
        </w:tabs>
        <w:spacing w:line="360" w:lineRule="auto"/>
        <w:rPr>
          <w:noProof/>
        </w:rPr>
      </w:pPr>
      <w:hyperlink w:anchor="_Toc151105464" w:history="1">
        <w:r w:rsidRPr="00640F42">
          <w:rPr>
            <w:rStyle w:val="Hyperlink"/>
            <w:noProof/>
          </w:rPr>
          <w:t>TIME MANAGEMENT</w:t>
        </w:r>
        <w:r>
          <w:rPr>
            <w:noProof/>
            <w:webHidden/>
          </w:rPr>
          <w:tab/>
        </w:r>
        <w:r>
          <w:rPr>
            <w:noProof/>
            <w:webHidden/>
          </w:rPr>
          <w:fldChar w:fldCharType="begin"/>
        </w:r>
        <w:r>
          <w:rPr>
            <w:noProof/>
            <w:webHidden/>
          </w:rPr>
          <w:instrText xml:space="preserve"> PAGEREF _Toc151105464 \h </w:instrText>
        </w:r>
        <w:r>
          <w:rPr>
            <w:noProof/>
            <w:webHidden/>
          </w:rPr>
        </w:r>
        <w:r>
          <w:rPr>
            <w:noProof/>
            <w:webHidden/>
          </w:rPr>
          <w:fldChar w:fldCharType="separate"/>
        </w:r>
        <w:r>
          <w:rPr>
            <w:noProof/>
            <w:webHidden/>
          </w:rPr>
          <w:t>5</w:t>
        </w:r>
        <w:r>
          <w:rPr>
            <w:noProof/>
            <w:webHidden/>
          </w:rPr>
          <w:fldChar w:fldCharType="end"/>
        </w:r>
      </w:hyperlink>
    </w:p>
    <w:p w14:paraId="78F85160" w14:textId="01880781" w:rsidR="0029756A" w:rsidRDefault="0029756A" w:rsidP="0029756A">
      <w:pPr>
        <w:pStyle w:val="TOC3"/>
        <w:tabs>
          <w:tab w:val="right" w:leader="dot" w:pos="9350"/>
        </w:tabs>
        <w:spacing w:line="360" w:lineRule="auto"/>
        <w:rPr>
          <w:noProof/>
        </w:rPr>
      </w:pPr>
      <w:hyperlink w:anchor="_Toc151105465" w:history="1">
        <w:r w:rsidRPr="00640F42">
          <w:rPr>
            <w:rStyle w:val="Hyperlink"/>
            <w:noProof/>
          </w:rPr>
          <w:t>WBS for Google Headquarters Project in London, UK</w:t>
        </w:r>
        <w:r>
          <w:rPr>
            <w:noProof/>
            <w:webHidden/>
          </w:rPr>
          <w:tab/>
        </w:r>
        <w:r>
          <w:rPr>
            <w:noProof/>
            <w:webHidden/>
          </w:rPr>
          <w:fldChar w:fldCharType="begin"/>
        </w:r>
        <w:r>
          <w:rPr>
            <w:noProof/>
            <w:webHidden/>
          </w:rPr>
          <w:instrText xml:space="preserve"> PAGEREF _Toc151105465 \h </w:instrText>
        </w:r>
        <w:r>
          <w:rPr>
            <w:noProof/>
            <w:webHidden/>
          </w:rPr>
        </w:r>
        <w:r>
          <w:rPr>
            <w:noProof/>
            <w:webHidden/>
          </w:rPr>
          <w:fldChar w:fldCharType="separate"/>
        </w:r>
        <w:r>
          <w:rPr>
            <w:noProof/>
            <w:webHidden/>
          </w:rPr>
          <w:t>6</w:t>
        </w:r>
        <w:r>
          <w:rPr>
            <w:noProof/>
            <w:webHidden/>
          </w:rPr>
          <w:fldChar w:fldCharType="end"/>
        </w:r>
      </w:hyperlink>
    </w:p>
    <w:p w14:paraId="6956C9C8" w14:textId="0925F5DA" w:rsidR="0029756A" w:rsidRDefault="0029756A" w:rsidP="0029756A">
      <w:pPr>
        <w:pStyle w:val="TOC3"/>
        <w:tabs>
          <w:tab w:val="right" w:leader="dot" w:pos="9350"/>
        </w:tabs>
        <w:spacing w:line="360" w:lineRule="auto"/>
        <w:rPr>
          <w:noProof/>
        </w:rPr>
      </w:pPr>
      <w:hyperlink w:anchor="_Toc151105466" w:history="1">
        <w:r w:rsidRPr="00640F42">
          <w:rPr>
            <w:rStyle w:val="Hyperlink"/>
            <w:noProof/>
          </w:rPr>
          <w:t>Gantt chart for Google Headquarters Project in London, UK</w:t>
        </w:r>
        <w:r>
          <w:rPr>
            <w:noProof/>
            <w:webHidden/>
          </w:rPr>
          <w:tab/>
        </w:r>
        <w:r>
          <w:rPr>
            <w:noProof/>
            <w:webHidden/>
          </w:rPr>
          <w:fldChar w:fldCharType="begin"/>
        </w:r>
        <w:r>
          <w:rPr>
            <w:noProof/>
            <w:webHidden/>
          </w:rPr>
          <w:instrText xml:space="preserve"> PAGEREF _Toc151105466 \h </w:instrText>
        </w:r>
        <w:r>
          <w:rPr>
            <w:noProof/>
            <w:webHidden/>
          </w:rPr>
        </w:r>
        <w:r>
          <w:rPr>
            <w:noProof/>
            <w:webHidden/>
          </w:rPr>
          <w:fldChar w:fldCharType="separate"/>
        </w:r>
        <w:r>
          <w:rPr>
            <w:noProof/>
            <w:webHidden/>
          </w:rPr>
          <w:t>7</w:t>
        </w:r>
        <w:r>
          <w:rPr>
            <w:noProof/>
            <w:webHidden/>
          </w:rPr>
          <w:fldChar w:fldCharType="end"/>
        </w:r>
      </w:hyperlink>
    </w:p>
    <w:p w14:paraId="4187EBE0" w14:textId="6D754F99" w:rsidR="0029756A" w:rsidRDefault="0029756A" w:rsidP="0029756A">
      <w:pPr>
        <w:pStyle w:val="TOC2"/>
        <w:tabs>
          <w:tab w:val="right" w:leader="dot" w:pos="9350"/>
        </w:tabs>
        <w:spacing w:line="360" w:lineRule="auto"/>
        <w:rPr>
          <w:noProof/>
        </w:rPr>
      </w:pPr>
      <w:hyperlink w:anchor="_Toc151105467" w:history="1">
        <w:r w:rsidRPr="00640F42">
          <w:rPr>
            <w:rStyle w:val="Hyperlink"/>
            <w:noProof/>
          </w:rPr>
          <w:t>QUALITY ASSESSMENT</w:t>
        </w:r>
        <w:r>
          <w:rPr>
            <w:noProof/>
            <w:webHidden/>
          </w:rPr>
          <w:tab/>
        </w:r>
        <w:r>
          <w:rPr>
            <w:noProof/>
            <w:webHidden/>
          </w:rPr>
          <w:fldChar w:fldCharType="begin"/>
        </w:r>
        <w:r>
          <w:rPr>
            <w:noProof/>
            <w:webHidden/>
          </w:rPr>
          <w:instrText xml:space="preserve"> PAGEREF _Toc151105467 \h </w:instrText>
        </w:r>
        <w:r>
          <w:rPr>
            <w:noProof/>
            <w:webHidden/>
          </w:rPr>
        </w:r>
        <w:r>
          <w:rPr>
            <w:noProof/>
            <w:webHidden/>
          </w:rPr>
          <w:fldChar w:fldCharType="separate"/>
        </w:r>
        <w:r>
          <w:rPr>
            <w:noProof/>
            <w:webHidden/>
          </w:rPr>
          <w:t>9</w:t>
        </w:r>
        <w:r>
          <w:rPr>
            <w:noProof/>
            <w:webHidden/>
          </w:rPr>
          <w:fldChar w:fldCharType="end"/>
        </w:r>
      </w:hyperlink>
    </w:p>
    <w:p w14:paraId="1670D1A3" w14:textId="0777ADDF" w:rsidR="0029756A" w:rsidRDefault="0029756A" w:rsidP="0029756A">
      <w:pPr>
        <w:pStyle w:val="TOC3"/>
        <w:tabs>
          <w:tab w:val="right" w:leader="dot" w:pos="9350"/>
        </w:tabs>
        <w:spacing w:line="360" w:lineRule="auto"/>
        <w:rPr>
          <w:noProof/>
        </w:rPr>
      </w:pPr>
      <w:hyperlink w:anchor="_Toc151105468" w:history="1">
        <w:r w:rsidRPr="00640F42">
          <w:rPr>
            <w:rStyle w:val="Hyperlink"/>
            <w:noProof/>
          </w:rPr>
          <w:t>Standards And Quality Benchmarks Set for The Construction and Facilities</w:t>
        </w:r>
        <w:r>
          <w:rPr>
            <w:noProof/>
            <w:webHidden/>
          </w:rPr>
          <w:tab/>
        </w:r>
        <w:r>
          <w:rPr>
            <w:noProof/>
            <w:webHidden/>
          </w:rPr>
          <w:fldChar w:fldCharType="begin"/>
        </w:r>
        <w:r>
          <w:rPr>
            <w:noProof/>
            <w:webHidden/>
          </w:rPr>
          <w:instrText xml:space="preserve"> PAGEREF _Toc151105468 \h </w:instrText>
        </w:r>
        <w:r>
          <w:rPr>
            <w:noProof/>
            <w:webHidden/>
          </w:rPr>
        </w:r>
        <w:r>
          <w:rPr>
            <w:noProof/>
            <w:webHidden/>
          </w:rPr>
          <w:fldChar w:fldCharType="separate"/>
        </w:r>
        <w:r>
          <w:rPr>
            <w:noProof/>
            <w:webHidden/>
          </w:rPr>
          <w:t>9</w:t>
        </w:r>
        <w:r>
          <w:rPr>
            <w:noProof/>
            <w:webHidden/>
          </w:rPr>
          <w:fldChar w:fldCharType="end"/>
        </w:r>
      </w:hyperlink>
    </w:p>
    <w:p w14:paraId="012704DA" w14:textId="68A4F18A" w:rsidR="0029756A" w:rsidRDefault="0029756A" w:rsidP="0029756A">
      <w:pPr>
        <w:pStyle w:val="TOC3"/>
        <w:tabs>
          <w:tab w:val="right" w:leader="dot" w:pos="9350"/>
        </w:tabs>
        <w:spacing w:line="360" w:lineRule="auto"/>
        <w:rPr>
          <w:noProof/>
        </w:rPr>
      </w:pPr>
      <w:hyperlink w:anchor="_Toc151105469" w:history="1">
        <w:r w:rsidRPr="00640F42">
          <w:rPr>
            <w:rStyle w:val="Hyperlink"/>
            <w:noProof/>
          </w:rPr>
          <w:t>Measures to ensure high-quality outcomes</w:t>
        </w:r>
        <w:r>
          <w:rPr>
            <w:noProof/>
            <w:webHidden/>
          </w:rPr>
          <w:tab/>
        </w:r>
        <w:r>
          <w:rPr>
            <w:noProof/>
            <w:webHidden/>
          </w:rPr>
          <w:fldChar w:fldCharType="begin"/>
        </w:r>
        <w:r>
          <w:rPr>
            <w:noProof/>
            <w:webHidden/>
          </w:rPr>
          <w:instrText xml:space="preserve"> PAGEREF _Toc151105469 \h </w:instrText>
        </w:r>
        <w:r>
          <w:rPr>
            <w:noProof/>
            <w:webHidden/>
          </w:rPr>
        </w:r>
        <w:r>
          <w:rPr>
            <w:noProof/>
            <w:webHidden/>
          </w:rPr>
          <w:fldChar w:fldCharType="separate"/>
        </w:r>
        <w:r>
          <w:rPr>
            <w:noProof/>
            <w:webHidden/>
          </w:rPr>
          <w:t>10</w:t>
        </w:r>
        <w:r>
          <w:rPr>
            <w:noProof/>
            <w:webHidden/>
          </w:rPr>
          <w:fldChar w:fldCharType="end"/>
        </w:r>
      </w:hyperlink>
    </w:p>
    <w:p w14:paraId="50F1E03B" w14:textId="715E08FF" w:rsidR="0029756A" w:rsidRDefault="0029756A" w:rsidP="0029756A">
      <w:pPr>
        <w:pStyle w:val="TOC2"/>
        <w:tabs>
          <w:tab w:val="right" w:leader="dot" w:pos="9350"/>
        </w:tabs>
        <w:spacing w:line="360" w:lineRule="auto"/>
        <w:rPr>
          <w:noProof/>
        </w:rPr>
      </w:pPr>
      <w:hyperlink w:anchor="_Toc151105470" w:history="1">
        <w:r w:rsidRPr="00640F42">
          <w:rPr>
            <w:rStyle w:val="Hyperlink"/>
            <w:noProof/>
          </w:rPr>
          <w:t>STAKEHOLDER ANALYSIS</w:t>
        </w:r>
        <w:r>
          <w:rPr>
            <w:noProof/>
            <w:webHidden/>
          </w:rPr>
          <w:tab/>
        </w:r>
        <w:r>
          <w:rPr>
            <w:noProof/>
            <w:webHidden/>
          </w:rPr>
          <w:fldChar w:fldCharType="begin"/>
        </w:r>
        <w:r>
          <w:rPr>
            <w:noProof/>
            <w:webHidden/>
          </w:rPr>
          <w:instrText xml:space="preserve"> PAGEREF _Toc151105470 \h </w:instrText>
        </w:r>
        <w:r>
          <w:rPr>
            <w:noProof/>
            <w:webHidden/>
          </w:rPr>
        </w:r>
        <w:r>
          <w:rPr>
            <w:noProof/>
            <w:webHidden/>
          </w:rPr>
          <w:fldChar w:fldCharType="separate"/>
        </w:r>
        <w:r>
          <w:rPr>
            <w:noProof/>
            <w:webHidden/>
          </w:rPr>
          <w:t>12</w:t>
        </w:r>
        <w:r>
          <w:rPr>
            <w:noProof/>
            <w:webHidden/>
          </w:rPr>
          <w:fldChar w:fldCharType="end"/>
        </w:r>
      </w:hyperlink>
    </w:p>
    <w:p w14:paraId="6A342ABF" w14:textId="74A3D78D" w:rsidR="0029756A" w:rsidRDefault="0029756A" w:rsidP="0029756A">
      <w:pPr>
        <w:pStyle w:val="TOC3"/>
        <w:tabs>
          <w:tab w:val="right" w:leader="dot" w:pos="9350"/>
        </w:tabs>
        <w:spacing w:line="360" w:lineRule="auto"/>
        <w:rPr>
          <w:noProof/>
        </w:rPr>
      </w:pPr>
      <w:hyperlink w:anchor="_Toc151105471" w:history="1">
        <w:r w:rsidRPr="00640F42">
          <w:rPr>
            <w:rStyle w:val="Hyperlink"/>
            <w:noProof/>
          </w:rPr>
          <w:t>Key Stakeholders and Roles</w:t>
        </w:r>
        <w:r>
          <w:rPr>
            <w:noProof/>
            <w:webHidden/>
          </w:rPr>
          <w:tab/>
        </w:r>
        <w:r>
          <w:rPr>
            <w:noProof/>
            <w:webHidden/>
          </w:rPr>
          <w:fldChar w:fldCharType="begin"/>
        </w:r>
        <w:r>
          <w:rPr>
            <w:noProof/>
            <w:webHidden/>
          </w:rPr>
          <w:instrText xml:space="preserve"> PAGEREF _Toc151105471 \h </w:instrText>
        </w:r>
        <w:r>
          <w:rPr>
            <w:noProof/>
            <w:webHidden/>
          </w:rPr>
        </w:r>
        <w:r>
          <w:rPr>
            <w:noProof/>
            <w:webHidden/>
          </w:rPr>
          <w:fldChar w:fldCharType="separate"/>
        </w:r>
        <w:r>
          <w:rPr>
            <w:noProof/>
            <w:webHidden/>
          </w:rPr>
          <w:t>13</w:t>
        </w:r>
        <w:r>
          <w:rPr>
            <w:noProof/>
            <w:webHidden/>
          </w:rPr>
          <w:fldChar w:fldCharType="end"/>
        </w:r>
      </w:hyperlink>
    </w:p>
    <w:p w14:paraId="6E58DB98" w14:textId="229DAB15" w:rsidR="0029756A" w:rsidRDefault="0029756A" w:rsidP="0029756A">
      <w:pPr>
        <w:pStyle w:val="TOC2"/>
        <w:tabs>
          <w:tab w:val="right" w:leader="dot" w:pos="9350"/>
        </w:tabs>
        <w:spacing w:line="360" w:lineRule="auto"/>
        <w:rPr>
          <w:noProof/>
        </w:rPr>
      </w:pPr>
      <w:hyperlink w:anchor="_Toc151105472" w:history="1">
        <w:r w:rsidRPr="00640F42">
          <w:rPr>
            <w:rStyle w:val="Hyperlink"/>
            <w:noProof/>
          </w:rPr>
          <w:t>RISK ANALYSIS</w:t>
        </w:r>
        <w:r>
          <w:rPr>
            <w:noProof/>
            <w:webHidden/>
          </w:rPr>
          <w:tab/>
        </w:r>
        <w:r>
          <w:rPr>
            <w:noProof/>
            <w:webHidden/>
          </w:rPr>
          <w:fldChar w:fldCharType="begin"/>
        </w:r>
        <w:r>
          <w:rPr>
            <w:noProof/>
            <w:webHidden/>
          </w:rPr>
          <w:instrText xml:space="preserve"> PAGEREF _Toc151105472 \h </w:instrText>
        </w:r>
        <w:r>
          <w:rPr>
            <w:noProof/>
            <w:webHidden/>
          </w:rPr>
        </w:r>
        <w:r>
          <w:rPr>
            <w:noProof/>
            <w:webHidden/>
          </w:rPr>
          <w:fldChar w:fldCharType="separate"/>
        </w:r>
        <w:r>
          <w:rPr>
            <w:noProof/>
            <w:webHidden/>
          </w:rPr>
          <w:t>15</w:t>
        </w:r>
        <w:r>
          <w:rPr>
            <w:noProof/>
            <w:webHidden/>
          </w:rPr>
          <w:fldChar w:fldCharType="end"/>
        </w:r>
      </w:hyperlink>
    </w:p>
    <w:p w14:paraId="61ED39DF" w14:textId="3731E296" w:rsidR="0029756A" w:rsidRDefault="0029756A" w:rsidP="0029756A">
      <w:pPr>
        <w:pStyle w:val="TOC3"/>
        <w:tabs>
          <w:tab w:val="right" w:leader="dot" w:pos="9350"/>
        </w:tabs>
        <w:spacing w:line="360" w:lineRule="auto"/>
        <w:rPr>
          <w:noProof/>
        </w:rPr>
      </w:pPr>
      <w:hyperlink w:anchor="_Toc151105473" w:history="1">
        <w:r w:rsidRPr="00640F42">
          <w:rPr>
            <w:rStyle w:val="Hyperlink"/>
            <w:noProof/>
          </w:rPr>
          <w:t>Risk Factors and possible mitigation strategies</w:t>
        </w:r>
        <w:r>
          <w:rPr>
            <w:noProof/>
            <w:webHidden/>
          </w:rPr>
          <w:tab/>
        </w:r>
        <w:r>
          <w:rPr>
            <w:noProof/>
            <w:webHidden/>
          </w:rPr>
          <w:fldChar w:fldCharType="begin"/>
        </w:r>
        <w:r>
          <w:rPr>
            <w:noProof/>
            <w:webHidden/>
          </w:rPr>
          <w:instrText xml:space="preserve"> PAGEREF _Toc151105473 \h </w:instrText>
        </w:r>
        <w:r>
          <w:rPr>
            <w:noProof/>
            <w:webHidden/>
          </w:rPr>
        </w:r>
        <w:r>
          <w:rPr>
            <w:noProof/>
            <w:webHidden/>
          </w:rPr>
          <w:fldChar w:fldCharType="separate"/>
        </w:r>
        <w:r>
          <w:rPr>
            <w:noProof/>
            <w:webHidden/>
          </w:rPr>
          <w:t>17</w:t>
        </w:r>
        <w:r>
          <w:rPr>
            <w:noProof/>
            <w:webHidden/>
          </w:rPr>
          <w:fldChar w:fldCharType="end"/>
        </w:r>
      </w:hyperlink>
    </w:p>
    <w:p w14:paraId="64D21054" w14:textId="4809E2F5" w:rsidR="0029756A" w:rsidRDefault="0029756A" w:rsidP="0029756A">
      <w:pPr>
        <w:pStyle w:val="TOC1"/>
        <w:tabs>
          <w:tab w:val="right" w:leader="dot" w:pos="9350"/>
        </w:tabs>
        <w:spacing w:line="360" w:lineRule="auto"/>
        <w:rPr>
          <w:noProof/>
        </w:rPr>
      </w:pPr>
      <w:hyperlink w:anchor="_Toc151105474" w:history="1">
        <w:r w:rsidRPr="00640F42">
          <w:rPr>
            <w:rStyle w:val="Hyperlink"/>
            <w:noProof/>
          </w:rPr>
          <w:t>CONCLUSION</w:t>
        </w:r>
        <w:r>
          <w:rPr>
            <w:noProof/>
            <w:webHidden/>
          </w:rPr>
          <w:tab/>
        </w:r>
        <w:r>
          <w:rPr>
            <w:noProof/>
            <w:webHidden/>
          </w:rPr>
          <w:fldChar w:fldCharType="begin"/>
        </w:r>
        <w:r>
          <w:rPr>
            <w:noProof/>
            <w:webHidden/>
          </w:rPr>
          <w:instrText xml:space="preserve"> PAGEREF _Toc151105474 \h </w:instrText>
        </w:r>
        <w:r>
          <w:rPr>
            <w:noProof/>
            <w:webHidden/>
          </w:rPr>
        </w:r>
        <w:r>
          <w:rPr>
            <w:noProof/>
            <w:webHidden/>
          </w:rPr>
          <w:fldChar w:fldCharType="separate"/>
        </w:r>
        <w:r>
          <w:rPr>
            <w:noProof/>
            <w:webHidden/>
          </w:rPr>
          <w:t>18</w:t>
        </w:r>
        <w:r>
          <w:rPr>
            <w:noProof/>
            <w:webHidden/>
          </w:rPr>
          <w:fldChar w:fldCharType="end"/>
        </w:r>
      </w:hyperlink>
    </w:p>
    <w:p w14:paraId="69C94B11" w14:textId="65813B09" w:rsidR="0029756A" w:rsidRDefault="0029756A" w:rsidP="0029756A">
      <w:pPr>
        <w:pStyle w:val="TOC1"/>
        <w:tabs>
          <w:tab w:val="right" w:leader="dot" w:pos="9350"/>
        </w:tabs>
        <w:spacing w:line="360" w:lineRule="auto"/>
        <w:rPr>
          <w:noProof/>
        </w:rPr>
      </w:pPr>
      <w:hyperlink w:anchor="_Toc151105475" w:history="1">
        <w:r w:rsidRPr="00640F42">
          <w:rPr>
            <w:rStyle w:val="Hyperlink"/>
            <w:noProof/>
          </w:rPr>
          <w:t>REFERENCES</w:t>
        </w:r>
        <w:r>
          <w:rPr>
            <w:noProof/>
            <w:webHidden/>
          </w:rPr>
          <w:tab/>
        </w:r>
        <w:r>
          <w:rPr>
            <w:noProof/>
            <w:webHidden/>
          </w:rPr>
          <w:fldChar w:fldCharType="begin"/>
        </w:r>
        <w:r>
          <w:rPr>
            <w:noProof/>
            <w:webHidden/>
          </w:rPr>
          <w:instrText xml:space="preserve"> PAGEREF _Toc151105475 \h </w:instrText>
        </w:r>
        <w:r>
          <w:rPr>
            <w:noProof/>
            <w:webHidden/>
          </w:rPr>
        </w:r>
        <w:r>
          <w:rPr>
            <w:noProof/>
            <w:webHidden/>
          </w:rPr>
          <w:fldChar w:fldCharType="separate"/>
        </w:r>
        <w:r>
          <w:rPr>
            <w:noProof/>
            <w:webHidden/>
          </w:rPr>
          <w:t>19</w:t>
        </w:r>
        <w:r>
          <w:rPr>
            <w:noProof/>
            <w:webHidden/>
          </w:rPr>
          <w:fldChar w:fldCharType="end"/>
        </w:r>
      </w:hyperlink>
    </w:p>
    <w:p w14:paraId="3349E546" w14:textId="6A51C23C" w:rsidR="0029756A" w:rsidRDefault="0029756A" w:rsidP="0029756A">
      <w:pPr>
        <w:spacing w:line="360" w:lineRule="auto"/>
      </w:pPr>
      <w:r>
        <w:fldChar w:fldCharType="end"/>
      </w:r>
    </w:p>
    <w:p w14:paraId="2E55955E" w14:textId="77777777" w:rsidR="0029756A" w:rsidRDefault="0029756A">
      <w:pPr>
        <w:rPr>
          <w:b/>
          <w:bCs/>
          <w:szCs w:val="24"/>
        </w:rPr>
      </w:pPr>
      <w:bookmarkStart w:id="0" w:name="_Toc151105459"/>
      <w:r>
        <w:br w:type="page"/>
      </w:r>
    </w:p>
    <w:p w14:paraId="5A726E0B" w14:textId="29C2B990" w:rsidR="007739EF" w:rsidRPr="002D1723" w:rsidRDefault="007739EF" w:rsidP="002D1723">
      <w:pPr>
        <w:pStyle w:val="Style1"/>
      </w:pPr>
      <w:r w:rsidRPr="002D1723">
        <w:lastRenderedPageBreak/>
        <w:t>INTRODUCTION</w:t>
      </w:r>
      <w:bookmarkEnd w:id="0"/>
    </w:p>
    <w:p w14:paraId="5ACE2CAE" w14:textId="3CA0A8E3" w:rsidR="007739EF" w:rsidRPr="002D1723" w:rsidRDefault="007739EF" w:rsidP="002D1723">
      <w:pPr>
        <w:spacing w:line="360" w:lineRule="auto"/>
        <w:jc w:val="both"/>
        <w:rPr>
          <w:szCs w:val="24"/>
        </w:rPr>
      </w:pPr>
      <w:r w:rsidRPr="002D1723">
        <w:rPr>
          <w:szCs w:val="24"/>
        </w:rPr>
        <w:t>The upcoming Google project in London at King's Cross is an ambitious endeavor to inaugurate a cutting-edge headquarters that marks Google's significant investment in the UK</w:t>
      </w:r>
      <w:r w:rsidRPr="002D1723">
        <w:rPr>
          <w:szCs w:val="24"/>
        </w:rPr>
        <w:t xml:space="preserve">. </w:t>
      </w:r>
      <w:r w:rsidRPr="002D1723">
        <w:rPr>
          <w:szCs w:val="24"/>
        </w:rPr>
        <w:t>This project, span</w:t>
      </w:r>
      <w:r w:rsidRPr="002D1723">
        <w:rPr>
          <w:szCs w:val="24"/>
        </w:rPr>
        <w:t>ning</w:t>
      </w:r>
      <w:r w:rsidRPr="002D1723">
        <w:rPr>
          <w:szCs w:val="24"/>
        </w:rPr>
        <w:t xml:space="preserve"> a large area next to King's Cross Station, is expected to have a cutting-edge structure with more than 60,400 square </w:t>
      </w:r>
      <w:r w:rsidRPr="002D1723">
        <w:rPr>
          <w:szCs w:val="24"/>
        </w:rPr>
        <w:t>meters</w:t>
      </w:r>
      <w:r w:rsidRPr="002D1723">
        <w:rPr>
          <w:szCs w:val="24"/>
        </w:rPr>
        <w:t xml:space="preserve"> of office space. Standing </w:t>
      </w:r>
      <w:r w:rsidRPr="002D1723">
        <w:rPr>
          <w:szCs w:val="24"/>
        </w:rPr>
        <w:t xml:space="preserve">at </w:t>
      </w:r>
      <w:r w:rsidRPr="002D1723">
        <w:rPr>
          <w:szCs w:val="24"/>
        </w:rPr>
        <w:t xml:space="preserve">eleven stories and accommodating </w:t>
      </w:r>
      <w:r w:rsidRPr="002D1723">
        <w:rPr>
          <w:szCs w:val="24"/>
        </w:rPr>
        <w:t>up to</w:t>
      </w:r>
      <w:r w:rsidRPr="002D1723">
        <w:rPr>
          <w:szCs w:val="24"/>
        </w:rPr>
        <w:t xml:space="preserve"> 4,500 people, this ground-breaking building will be the first </w:t>
      </w:r>
      <w:r w:rsidRPr="002D1723">
        <w:rPr>
          <w:szCs w:val="24"/>
        </w:rPr>
        <w:t>wholly</w:t>
      </w:r>
      <w:r w:rsidRPr="002D1723">
        <w:rPr>
          <w:szCs w:val="24"/>
        </w:rPr>
        <w:t xml:space="preserve"> owned and designed Google building outside the United States.</w:t>
      </w:r>
    </w:p>
    <w:p w14:paraId="3294FD0F" w14:textId="53FDC764" w:rsidR="007739EF" w:rsidRPr="002D1723" w:rsidRDefault="007739EF" w:rsidP="002D1723">
      <w:pPr>
        <w:spacing w:line="360" w:lineRule="auto"/>
        <w:jc w:val="both"/>
        <w:rPr>
          <w:szCs w:val="24"/>
        </w:rPr>
      </w:pPr>
      <w:r w:rsidRPr="002D1723">
        <w:rPr>
          <w:szCs w:val="24"/>
        </w:rPr>
        <w:t>This project's scope</w:t>
      </w:r>
      <w:r w:rsidRPr="002D1723">
        <w:rPr>
          <w:szCs w:val="24"/>
        </w:rPr>
        <w:t xml:space="preserve"> extends beyond office spaces; it encompasses a variety of amenities to promote a productive workplace. The aforementioned amenities, which include cafes, a gym, a multi-use games area (MUGA), and swimming pools, highlight Google's dedication to </w:t>
      </w:r>
      <w:r w:rsidRPr="002D1723">
        <w:rPr>
          <w:szCs w:val="24"/>
        </w:rPr>
        <w:t>providing</w:t>
      </w:r>
      <w:r w:rsidRPr="002D1723">
        <w:rPr>
          <w:szCs w:val="24"/>
        </w:rPr>
        <w:t xml:space="preserve"> a full workspace. The designs also include rooftop outdoor amenities like a running track, landscaped terraces, and other outdoor spaces to provide plenty of space for staff members to unwind and have fun.</w:t>
      </w:r>
    </w:p>
    <w:p w14:paraId="6261E32D" w14:textId="7062B4D8" w:rsidR="007739EF" w:rsidRPr="002D1723" w:rsidRDefault="007739EF" w:rsidP="002D1723">
      <w:pPr>
        <w:spacing w:line="360" w:lineRule="auto"/>
        <w:jc w:val="both"/>
        <w:rPr>
          <w:szCs w:val="24"/>
        </w:rPr>
      </w:pPr>
      <w:r w:rsidRPr="002D1723">
        <w:rPr>
          <w:szCs w:val="24"/>
        </w:rPr>
        <w:t xml:space="preserve">This monumental project is anticipated to significantly impact the local economy of King's Cross and contribute to the Knowledge Quarter's burgeoning knowledge-based economy. The establishment of Google's new headquarters is poised to catalyze economic growth, create employment opportunities, and </w:t>
      </w:r>
      <w:r w:rsidRPr="002D1723">
        <w:rPr>
          <w:szCs w:val="24"/>
        </w:rPr>
        <w:t>further solidify</w:t>
      </w:r>
      <w:r w:rsidRPr="002D1723">
        <w:rPr>
          <w:szCs w:val="24"/>
        </w:rPr>
        <w:t xml:space="preserve"> the area's reputation as a hub for innovation and technology.</w:t>
      </w:r>
    </w:p>
    <w:p w14:paraId="21F191E4" w14:textId="63DE3DB0" w:rsidR="007739EF" w:rsidRPr="002D1723" w:rsidRDefault="007739EF" w:rsidP="002D1723">
      <w:pPr>
        <w:spacing w:line="360" w:lineRule="auto"/>
        <w:jc w:val="both"/>
        <w:rPr>
          <w:szCs w:val="24"/>
        </w:rPr>
      </w:pPr>
      <w:r w:rsidRPr="002D1723">
        <w:rPr>
          <w:szCs w:val="24"/>
        </w:rPr>
        <w:t xml:space="preserve">A critical evaluation of the project's success will be conducted based on </w:t>
      </w:r>
      <w:r w:rsidRPr="002D1723">
        <w:rPr>
          <w:szCs w:val="24"/>
        </w:rPr>
        <w:t>several</w:t>
      </w:r>
      <w:r w:rsidRPr="002D1723">
        <w:rPr>
          <w:szCs w:val="24"/>
        </w:rPr>
        <w:t xml:space="preserve"> determined key criteria. These include time management, budgetary constraints, quality standards, stakeholder involvement tactics, and a thorough risk assessment. These assessment standards </w:t>
      </w:r>
      <w:r w:rsidRPr="002D1723">
        <w:rPr>
          <w:szCs w:val="24"/>
        </w:rPr>
        <w:t>are</w:t>
      </w:r>
      <w:r w:rsidRPr="002D1723">
        <w:rPr>
          <w:szCs w:val="24"/>
        </w:rPr>
        <w:t xml:space="preserve"> the cornerstones for determining the project's effectiveness, efficiency, and overall success; they guarantee careful attention to detail in every aspect of its implementation.</w:t>
      </w:r>
    </w:p>
    <w:p w14:paraId="30E6913C" w14:textId="77777777" w:rsidR="007739EF" w:rsidRPr="002D1723" w:rsidRDefault="007739EF" w:rsidP="002D1723">
      <w:pPr>
        <w:spacing w:line="360" w:lineRule="auto"/>
        <w:rPr>
          <w:b/>
          <w:bCs/>
          <w:szCs w:val="24"/>
        </w:rPr>
      </w:pPr>
      <w:r w:rsidRPr="002D1723">
        <w:rPr>
          <w:b/>
          <w:bCs/>
          <w:szCs w:val="24"/>
        </w:rPr>
        <w:br w:type="page"/>
      </w:r>
    </w:p>
    <w:p w14:paraId="19343A2B" w14:textId="6A8CA6C4" w:rsidR="007739EF" w:rsidRPr="002D1723" w:rsidRDefault="007739EF" w:rsidP="002D1723">
      <w:pPr>
        <w:pStyle w:val="Style1"/>
      </w:pPr>
      <w:bookmarkStart w:id="1" w:name="_Toc151105460"/>
      <w:r w:rsidRPr="002D1723">
        <w:lastRenderedPageBreak/>
        <w:t>CORE ELEMENTS EVALUATION</w:t>
      </w:r>
      <w:bookmarkEnd w:id="1"/>
    </w:p>
    <w:p w14:paraId="03A84C88" w14:textId="77777777" w:rsidR="007739EF" w:rsidRPr="002D1723" w:rsidRDefault="007739EF" w:rsidP="002D1723">
      <w:pPr>
        <w:pStyle w:val="Style2"/>
      </w:pPr>
      <w:bookmarkStart w:id="2" w:name="_Toc151105461"/>
      <w:r w:rsidRPr="002D1723">
        <w:t>BUDGET ANALYSIS</w:t>
      </w:r>
      <w:bookmarkEnd w:id="2"/>
    </w:p>
    <w:p w14:paraId="58EBA8F1" w14:textId="238BBB17" w:rsidR="007739EF" w:rsidRPr="002D1723" w:rsidRDefault="007739EF" w:rsidP="002D1723">
      <w:pPr>
        <w:spacing w:line="360" w:lineRule="auto"/>
        <w:jc w:val="both"/>
        <w:rPr>
          <w:szCs w:val="24"/>
        </w:rPr>
      </w:pPr>
      <w:r w:rsidRPr="002D1723">
        <w:rPr>
          <w:szCs w:val="24"/>
        </w:rPr>
        <w:t xml:space="preserve">The Google Headquarters project, located at King's Cross, London, has an enormous </w:t>
      </w:r>
      <w:proofErr w:type="gramStart"/>
      <w:r w:rsidRPr="002D1723">
        <w:rPr>
          <w:szCs w:val="24"/>
        </w:rPr>
        <w:t>one billion-pound</w:t>
      </w:r>
      <w:proofErr w:type="gramEnd"/>
      <w:r w:rsidRPr="002D1723">
        <w:rPr>
          <w:szCs w:val="24"/>
        </w:rPr>
        <w:t xml:space="preserve"> budget. This large sum covers </w:t>
      </w:r>
      <w:r w:rsidRPr="002D1723">
        <w:rPr>
          <w:szCs w:val="24"/>
        </w:rPr>
        <w:t>various expenses</w:t>
      </w:r>
      <w:r w:rsidRPr="002D1723">
        <w:rPr>
          <w:szCs w:val="24"/>
        </w:rPr>
        <w:t xml:space="preserve"> necessary for its completion, such as site purchase, building, fit-out, and professional fees for project managers, engineers, and architects.</w:t>
      </w:r>
    </w:p>
    <w:p w14:paraId="63BCF99E" w14:textId="77777777" w:rsidR="007739EF" w:rsidRPr="002D1723" w:rsidRDefault="007739EF" w:rsidP="002D1723">
      <w:pPr>
        <w:spacing w:line="360" w:lineRule="auto"/>
        <w:jc w:val="both"/>
        <w:rPr>
          <w:szCs w:val="24"/>
        </w:rPr>
      </w:pPr>
    </w:p>
    <w:p w14:paraId="63C11AF5" w14:textId="77777777" w:rsidR="007739EF" w:rsidRPr="002D1723" w:rsidRDefault="007739EF" w:rsidP="002D1723">
      <w:pPr>
        <w:spacing w:line="360" w:lineRule="auto"/>
        <w:jc w:val="both"/>
        <w:rPr>
          <w:szCs w:val="24"/>
        </w:rPr>
      </w:pPr>
      <w:r w:rsidRPr="002D1723">
        <w:rPr>
          <w:szCs w:val="24"/>
        </w:rPr>
        <w:t>The budget is divided into the following segments:</w:t>
      </w:r>
    </w:p>
    <w:p w14:paraId="179FEDE5" w14:textId="77777777" w:rsidR="007739EF" w:rsidRPr="002D1723" w:rsidRDefault="007739EF" w:rsidP="002D1723">
      <w:pPr>
        <w:spacing w:line="360" w:lineRule="auto"/>
        <w:jc w:val="both"/>
        <w:rPr>
          <w:szCs w:val="24"/>
        </w:rPr>
      </w:pPr>
      <w:r w:rsidRPr="002D1723">
        <w:rPr>
          <w:szCs w:val="24"/>
        </w:rPr>
        <w:t>Land: £200 million</w:t>
      </w:r>
    </w:p>
    <w:p w14:paraId="6D761ECA" w14:textId="77777777" w:rsidR="007739EF" w:rsidRPr="002D1723" w:rsidRDefault="007739EF" w:rsidP="002D1723">
      <w:pPr>
        <w:spacing w:line="360" w:lineRule="auto"/>
        <w:jc w:val="both"/>
        <w:rPr>
          <w:szCs w:val="24"/>
        </w:rPr>
      </w:pPr>
      <w:r w:rsidRPr="002D1723">
        <w:rPr>
          <w:szCs w:val="24"/>
        </w:rPr>
        <w:t>Construction: £600 million</w:t>
      </w:r>
    </w:p>
    <w:p w14:paraId="678818DA" w14:textId="77777777" w:rsidR="007739EF" w:rsidRPr="002D1723" w:rsidRDefault="007739EF" w:rsidP="002D1723">
      <w:pPr>
        <w:spacing w:line="360" w:lineRule="auto"/>
        <w:jc w:val="both"/>
        <w:rPr>
          <w:szCs w:val="24"/>
        </w:rPr>
      </w:pPr>
      <w:r w:rsidRPr="002D1723">
        <w:rPr>
          <w:szCs w:val="24"/>
        </w:rPr>
        <w:t>Fit-out: £100 million</w:t>
      </w:r>
    </w:p>
    <w:p w14:paraId="6B2E4B91" w14:textId="77777777" w:rsidR="007739EF" w:rsidRPr="002D1723" w:rsidRDefault="007739EF" w:rsidP="002D1723">
      <w:pPr>
        <w:spacing w:line="360" w:lineRule="auto"/>
        <w:jc w:val="both"/>
        <w:rPr>
          <w:szCs w:val="24"/>
        </w:rPr>
      </w:pPr>
      <w:r w:rsidRPr="002D1723">
        <w:rPr>
          <w:szCs w:val="24"/>
        </w:rPr>
        <w:t>Professional fees: £100 million</w:t>
      </w:r>
    </w:p>
    <w:p w14:paraId="55F1E56A" w14:textId="77777777" w:rsidR="007739EF" w:rsidRPr="002D1723" w:rsidRDefault="007739EF" w:rsidP="002D1723">
      <w:pPr>
        <w:spacing w:line="360" w:lineRule="auto"/>
        <w:jc w:val="both"/>
        <w:rPr>
          <w:szCs w:val="24"/>
        </w:rPr>
      </w:pPr>
    </w:p>
    <w:p w14:paraId="31DC3D12" w14:textId="77777777" w:rsidR="007739EF" w:rsidRPr="002D1723" w:rsidRDefault="007739EF" w:rsidP="002D1723">
      <w:pPr>
        <w:spacing w:line="360" w:lineRule="auto"/>
        <w:jc w:val="both"/>
        <w:rPr>
          <w:b/>
          <w:bCs/>
          <w:szCs w:val="24"/>
        </w:rPr>
      </w:pPr>
    </w:p>
    <w:p w14:paraId="68455CBA" w14:textId="14D105E7" w:rsidR="007739EF" w:rsidRPr="002D1723" w:rsidRDefault="007739EF" w:rsidP="002D1723">
      <w:pPr>
        <w:pStyle w:val="Style3"/>
      </w:pPr>
      <w:bookmarkStart w:id="3" w:name="_Toc151105462"/>
      <w:r w:rsidRPr="002D1723">
        <w:t>Potential Cost Overruns</w:t>
      </w:r>
      <w:bookmarkEnd w:id="3"/>
    </w:p>
    <w:p w14:paraId="25BAD222" w14:textId="2B669407" w:rsidR="007739EF" w:rsidRPr="002D1723" w:rsidRDefault="007739EF" w:rsidP="002D1723">
      <w:pPr>
        <w:pStyle w:val="ListParagraph"/>
        <w:numPr>
          <w:ilvl w:val="0"/>
          <w:numId w:val="1"/>
        </w:numPr>
        <w:spacing w:line="360" w:lineRule="auto"/>
        <w:jc w:val="both"/>
        <w:rPr>
          <w:szCs w:val="24"/>
        </w:rPr>
      </w:pPr>
      <w:r w:rsidRPr="002D1723">
        <w:rPr>
          <w:szCs w:val="24"/>
        </w:rPr>
        <w:t xml:space="preserve">Project Scope Modifications: Known as "scope creep," scope modifications </w:t>
      </w:r>
      <w:r w:rsidR="00955253">
        <w:rPr>
          <w:szCs w:val="24"/>
        </w:rPr>
        <w:t>significantly affect</w:t>
      </w:r>
      <w:r w:rsidRPr="002D1723">
        <w:rPr>
          <w:szCs w:val="24"/>
        </w:rPr>
        <w:t xml:space="preserve"> project costs. Changes in regulations, technology, or </w:t>
      </w:r>
      <w:r w:rsidR="00955253">
        <w:rPr>
          <w:szCs w:val="24"/>
        </w:rPr>
        <w:t xml:space="preserve">customer needs can all lead to these </w:t>
      </w:r>
      <w:r w:rsidRPr="002D1723">
        <w:rPr>
          <w:szCs w:val="24"/>
        </w:rPr>
        <w:t xml:space="preserve">adjustments. According to Tengan, </w:t>
      </w:r>
      <w:proofErr w:type="spellStart"/>
      <w:r w:rsidRPr="002D1723">
        <w:rPr>
          <w:szCs w:val="24"/>
        </w:rPr>
        <w:t>Aigbavboa</w:t>
      </w:r>
      <w:proofErr w:type="spellEnd"/>
      <w:r w:rsidRPr="002D1723">
        <w:rPr>
          <w:szCs w:val="24"/>
        </w:rPr>
        <w:t xml:space="preserve">, and Thwala (2021), mismanaged scope </w:t>
      </w:r>
      <w:r w:rsidRPr="002D1723">
        <w:rPr>
          <w:szCs w:val="24"/>
        </w:rPr>
        <w:t>changes</w:t>
      </w:r>
      <w:r w:rsidRPr="002D1723">
        <w:rPr>
          <w:szCs w:val="24"/>
        </w:rPr>
        <w:t xml:space="preserve"> drive up costs and cause projects to take longer than anticipated.</w:t>
      </w:r>
    </w:p>
    <w:p w14:paraId="0B1C2E2F" w14:textId="462198F7" w:rsidR="007739EF" w:rsidRPr="002D1723" w:rsidRDefault="007739EF" w:rsidP="002D1723">
      <w:pPr>
        <w:pStyle w:val="ListParagraph"/>
        <w:numPr>
          <w:ilvl w:val="0"/>
          <w:numId w:val="1"/>
        </w:numPr>
        <w:spacing w:line="360" w:lineRule="auto"/>
        <w:jc w:val="both"/>
        <w:rPr>
          <w:szCs w:val="24"/>
        </w:rPr>
      </w:pPr>
      <w:r w:rsidRPr="002D1723">
        <w:rPr>
          <w:szCs w:val="24"/>
        </w:rPr>
        <w:t xml:space="preserve">Construction Delays: </w:t>
      </w:r>
      <w:r w:rsidR="00955253">
        <w:rPr>
          <w:szCs w:val="24"/>
        </w:rPr>
        <w:t>Construction delays are major factors in budget overruns</w:t>
      </w:r>
      <w:r w:rsidRPr="002D1723">
        <w:rPr>
          <w:szCs w:val="24"/>
        </w:rPr>
        <w:t xml:space="preserve">. Weather-related delays, </w:t>
      </w:r>
      <w:r w:rsidRPr="002D1723">
        <w:rPr>
          <w:szCs w:val="24"/>
        </w:rPr>
        <w:t>labor</w:t>
      </w:r>
      <w:r w:rsidRPr="002D1723">
        <w:rPr>
          <w:szCs w:val="24"/>
        </w:rPr>
        <w:t xml:space="preserve"> scarcities, or logistical challenges result in higher </w:t>
      </w:r>
      <w:r w:rsidRPr="002D1723">
        <w:rPr>
          <w:szCs w:val="24"/>
        </w:rPr>
        <w:t>labor</w:t>
      </w:r>
      <w:r w:rsidRPr="002D1723">
        <w:rPr>
          <w:szCs w:val="24"/>
        </w:rPr>
        <w:t xml:space="preserve"> costs, longer project timelines, and contractual penalties. Aziz et al. (2022) </w:t>
      </w:r>
      <w:r w:rsidRPr="002D1723">
        <w:rPr>
          <w:szCs w:val="24"/>
        </w:rPr>
        <w:t>emphasize</w:t>
      </w:r>
      <w:r w:rsidRPr="002D1723">
        <w:rPr>
          <w:szCs w:val="24"/>
        </w:rPr>
        <w:t xml:space="preserve"> that </w:t>
      </w:r>
      <w:r w:rsidR="00955253">
        <w:rPr>
          <w:szCs w:val="24"/>
        </w:rPr>
        <w:t>careful project management is essential to reduce these delays and the associated costs</w:t>
      </w:r>
      <w:r w:rsidRPr="002D1723">
        <w:rPr>
          <w:szCs w:val="24"/>
        </w:rPr>
        <w:t>.</w:t>
      </w:r>
    </w:p>
    <w:p w14:paraId="53246DA8" w14:textId="38347921" w:rsidR="007739EF" w:rsidRPr="002D1723" w:rsidRDefault="007739EF" w:rsidP="002D1723">
      <w:pPr>
        <w:pStyle w:val="ListParagraph"/>
        <w:numPr>
          <w:ilvl w:val="0"/>
          <w:numId w:val="1"/>
        </w:numPr>
        <w:spacing w:line="360" w:lineRule="auto"/>
        <w:jc w:val="both"/>
        <w:rPr>
          <w:szCs w:val="24"/>
        </w:rPr>
      </w:pPr>
      <w:r w:rsidRPr="002D1723">
        <w:rPr>
          <w:szCs w:val="24"/>
        </w:rPr>
        <w:t xml:space="preserve">Material Cost Escalations: Project budgets are seriously at risk from material cost fluctuations brought on by unstable markets or geopolitical issues. Budget </w:t>
      </w:r>
      <w:r w:rsidRPr="002D1723">
        <w:rPr>
          <w:szCs w:val="24"/>
        </w:rPr>
        <w:t>estimations</w:t>
      </w:r>
      <w:r w:rsidRPr="002D1723">
        <w:rPr>
          <w:szCs w:val="24"/>
        </w:rPr>
        <w:t xml:space="preserve"> </w:t>
      </w:r>
      <w:r w:rsidRPr="002D1723">
        <w:rPr>
          <w:szCs w:val="24"/>
        </w:rPr>
        <w:lastRenderedPageBreak/>
        <w:t xml:space="preserve">are disrupted by rising material costs, especially in long-term projects. It is imperative to monitor material costs </w:t>
      </w:r>
      <w:r w:rsidR="00955253">
        <w:rPr>
          <w:szCs w:val="24"/>
        </w:rPr>
        <w:t>to prevent budget exceedance, as Patil &amp; Mane (2015) suggested</w:t>
      </w:r>
      <w:r w:rsidRPr="002D1723">
        <w:rPr>
          <w:szCs w:val="24"/>
        </w:rPr>
        <w:t>.</w:t>
      </w:r>
    </w:p>
    <w:p w14:paraId="378FA2CB" w14:textId="366988DD" w:rsidR="007739EF" w:rsidRPr="002D1723" w:rsidRDefault="007739EF" w:rsidP="002D1723">
      <w:pPr>
        <w:pStyle w:val="ListParagraph"/>
        <w:numPr>
          <w:ilvl w:val="0"/>
          <w:numId w:val="1"/>
        </w:numPr>
        <w:spacing w:line="360" w:lineRule="auto"/>
        <w:jc w:val="both"/>
        <w:rPr>
          <w:szCs w:val="24"/>
        </w:rPr>
      </w:pPr>
      <w:r w:rsidRPr="002D1723">
        <w:rPr>
          <w:szCs w:val="24"/>
        </w:rPr>
        <w:t>Unexpected Expenses: Unexpected events that pose a serious financial risk include finding asbestos or coming across contaminated soil while building. These unreported expenses force additional remediation fees, which could put pressure on the budget</w:t>
      </w:r>
      <w:r w:rsidRPr="002D1723">
        <w:rPr>
          <w:szCs w:val="24"/>
        </w:rPr>
        <w:t xml:space="preserve"> </w:t>
      </w:r>
      <w:r w:rsidRPr="002D1723">
        <w:rPr>
          <w:szCs w:val="24"/>
        </w:rPr>
        <w:t xml:space="preserve">(2020, </w:t>
      </w:r>
      <w:proofErr w:type="spellStart"/>
      <w:r w:rsidRPr="002D1723">
        <w:rPr>
          <w:szCs w:val="24"/>
        </w:rPr>
        <w:t>Durdyev</w:t>
      </w:r>
      <w:proofErr w:type="spellEnd"/>
      <w:r w:rsidRPr="002D1723">
        <w:rPr>
          <w:szCs w:val="24"/>
        </w:rPr>
        <w:t>).</w:t>
      </w:r>
    </w:p>
    <w:p w14:paraId="1C651AA4" w14:textId="77777777" w:rsidR="007739EF" w:rsidRPr="002D1723" w:rsidRDefault="007739EF" w:rsidP="002D1723">
      <w:pPr>
        <w:spacing w:line="360" w:lineRule="auto"/>
        <w:jc w:val="both"/>
        <w:rPr>
          <w:szCs w:val="24"/>
        </w:rPr>
      </w:pPr>
    </w:p>
    <w:p w14:paraId="605E37DA" w14:textId="77777777" w:rsidR="007739EF" w:rsidRPr="002D1723" w:rsidRDefault="007739EF" w:rsidP="002D1723">
      <w:pPr>
        <w:spacing w:line="360" w:lineRule="auto"/>
        <w:jc w:val="both"/>
        <w:rPr>
          <w:szCs w:val="24"/>
        </w:rPr>
      </w:pPr>
    </w:p>
    <w:p w14:paraId="199195FE" w14:textId="77777777" w:rsidR="007739EF" w:rsidRPr="002D1723" w:rsidRDefault="007739EF" w:rsidP="002D1723">
      <w:pPr>
        <w:pStyle w:val="Style3"/>
      </w:pPr>
      <w:bookmarkStart w:id="4" w:name="_Toc151105463"/>
      <w:r w:rsidRPr="002D1723">
        <w:t>Areas for Budget Optimization</w:t>
      </w:r>
      <w:bookmarkEnd w:id="4"/>
    </w:p>
    <w:p w14:paraId="5A4ECADD" w14:textId="13134725" w:rsidR="007739EF" w:rsidRPr="002D1723" w:rsidRDefault="007739EF" w:rsidP="002D1723">
      <w:pPr>
        <w:pStyle w:val="ListParagraph"/>
        <w:numPr>
          <w:ilvl w:val="0"/>
          <w:numId w:val="4"/>
        </w:numPr>
        <w:spacing w:line="360" w:lineRule="auto"/>
        <w:jc w:val="both"/>
        <w:rPr>
          <w:szCs w:val="24"/>
        </w:rPr>
      </w:pPr>
      <w:r w:rsidRPr="002D1723">
        <w:rPr>
          <w:szCs w:val="24"/>
        </w:rPr>
        <w:t xml:space="preserve">Value engineering: Value engineering is the process of carefully </w:t>
      </w:r>
      <w:r w:rsidRPr="002D1723">
        <w:rPr>
          <w:szCs w:val="24"/>
        </w:rPr>
        <w:t>analyzing</w:t>
      </w:r>
      <w:r w:rsidRPr="002D1723">
        <w:rPr>
          <w:szCs w:val="24"/>
        </w:rPr>
        <w:t xml:space="preserve"> a project's design to find areas where costs might be reduced without sacrificing quality. According to Atabay &amp; </w:t>
      </w:r>
      <w:proofErr w:type="spellStart"/>
      <w:r w:rsidRPr="002D1723">
        <w:rPr>
          <w:szCs w:val="24"/>
        </w:rPr>
        <w:t>Galipogullari</w:t>
      </w:r>
      <w:proofErr w:type="spellEnd"/>
      <w:r w:rsidRPr="002D1723">
        <w:rPr>
          <w:szCs w:val="24"/>
        </w:rPr>
        <w:t xml:space="preserve"> (2013), this strategic approach provides possible answers, such </w:t>
      </w:r>
      <w:r w:rsidRPr="002D1723">
        <w:rPr>
          <w:szCs w:val="24"/>
        </w:rPr>
        <w:t>as accounting</w:t>
      </w:r>
      <w:r w:rsidRPr="002D1723">
        <w:rPr>
          <w:szCs w:val="24"/>
        </w:rPr>
        <w:t xml:space="preserve"> </w:t>
      </w:r>
      <w:r w:rsidRPr="002D1723">
        <w:rPr>
          <w:szCs w:val="24"/>
        </w:rPr>
        <w:t xml:space="preserve">for </w:t>
      </w:r>
      <w:r w:rsidRPr="002D1723">
        <w:rPr>
          <w:szCs w:val="24"/>
        </w:rPr>
        <w:t>more affordable material options or simplifying the building's design.</w:t>
      </w:r>
    </w:p>
    <w:p w14:paraId="1BC95C3A" w14:textId="474D2F6A" w:rsidR="007739EF" w:rsidRPr="002D1723" w:rsidRDefault="007739EF" w:rsidP="002D1723">
      <w:pPr>
        <w:pStyle w:val="ListParagraph"/>
        <w:numPr>
          <w:ilvl w:val="0"/>
          <w:numId w:val="4"/>
        </w:numPr>
        <w:spacing w:line="360" w:lineRule="auto"/>
        <w:jc w:val="both"/>
        <w:rPr>
          <w:szCs w:val="24"/>
        </w:rPr>
      </w:pPr>
      <w:r w:rsidRPr="002D1723">
        <w:rPr>
          <w:szCs w:val="24"/>
        </w:rPr>
        <w:t>Procurement: Strategies for procurement are essential for obtaining goods and services at reasonable costs. Effective procurement strategies can be investigated through supplier negotiation, in-depth market research, and a proactive strategy, as demonstrated by Tiwari, Chan, and Mubarak (2018).</w:t>
      </w:r>
    </w:p>
    <w:p w14:paraId="16E3CBAE" w14:textId="2748AF4E" w:rsidR="007739EF" w:rsidRPr="002D1723" w:rsidRDefault="007739EF" w:rsidP="002D1723">
      <w:pPr>
        <w:pStyle w:val="ListParagraph"/>
        <w:numPr>
          <w:ilvl w:val="0"/>
          <w:numId w:val="4"/>
        </w:numPr>
        <w:spacing w:line="360" w:lineRule="auto"/>
        <w:jc w:val="both"/>
        <w:rPr>
          <w:szCs w:val="24"/>
        </w:rPr>
      </w:pPr>
      <w:r w:rsidRPr="002D1723">
        <w:rPr>
          <w:szCs w:val="24"/>
        </w:rPr>
        <w:t xml:space="preserve">Construction Management: As described by Tengan, </w:t>
      </w:r>
      <w:proofErr w:type="spellStart"/>
      <w:r w:rsidRPr="002D1723">
        <w:rPr>
          <w:szCs w:val="24"/>
        </w:rPr>
        <w:t>Aigbavboa</w:t>
      </w:r>
      <w:proofErr w:type="spellEnd"/>
      <w:r w:rsidRPr="002D1723">
        <w:rPr>
          <w:szCs w:val="24"/>
        </w:rPr>
        <w:t>, and Thwala (2021), efficient construction management is essential to planning, directing, and overseeing the completion of a project. Using strong management techniques reduces the possibility of cost increases brought on by inefficiencies by ensuring that deadlines and financial restrictions are met.</w:t>
      </w:r>
    </w:p>
    <w:p w14:paraId="3C0984F0" w14:textId="77777777" w:rsidR="007739EF" w:rsidRPr="002D1723" w:rsidRDefault="007739EF" w:rsidP="002D1723">
      <w:pPr>
        <w:spacing w:line="360" w:lineRule="auto"/>
        <w:jc w:val="both"/>
        <w:rPr>
          <w:szCs w:val="24"/>
        </w:rPr>
      </w:pPr>
    </w:p>
    <w:p w14:paraId="51E9F457" w14:textId="77777777" w:rsidR="007739EF" w:rsidRPr="002D1723" w:rsidRDefault="007739EF" w:rsidP="002D1723">
      <w:pPr>
        <w:spacing w:line="360" w:lineRule="auto"/>
        <w:rPr>
          <w:b/>
          <w:bCs/>
          <w:szCs w:val="24"/>
        </w:rPr>
      </w:pPr>
      <w:r w:rsidRPr="002D1723">
        <w:rPr>
          <w:b/>
          <w:bCs/>
          <w:szCs w:val="24"/>
        </w:rPr>
        <w:br w:type="page"/>
      </w:r>
    </w:p>
    <w:p w14:paraId="5DFC4CE5" w14:textId="13C0437E" w:rsidR="007739EF" w:rsidRPr="002D1723" w:rsidRDefault="007739EF" w:rsidP="002D1723">
      <w:pPr>
        <w:pStyle w:val="Style2"/>
      </w:pPr>
      <w:bookmarkStart w:id="5" w:name="_Toc151105464"/>
      <w:r w:rsidRPr="002D1723">
        <w:lastRenderedPageBreak/>
        <w:t>TIME MANAGEMENT</w:t>
      </w:r>
      <w:bookmarkEnd w:id="5"/>
    </w:p>
    <w:p w14:paraId="635EF750" w14:textId="0BBAA7C3" w:rsidR="007739EF" w:rsidRPr="002D1723" w:rsidRDefault="007739EF" w:rsidP="002D1723">
      <w:pPr>
        <w:spacing w:line="360" w:lineRule="auto"/>
        <w:jc w:val="both"/>
        <w:rPr>
          <w:szCs w:val="24"/>
        </w:rPr>
      </w:pPr>
      <w:r w:rsidRPr="002D1723">
        <w:rPr>
          <w:szCs w:val="24"/>
        </w:rPr>
        <w:t>Planning Phase (12 months)</w:t>
      </w:r>
    </w:p>
    <w:p w14:paraId="41E33603" w14:textId="7D706F96" w:rsidR="007739EF" w:rsidRPr="002D1723" w:rsidRDefault="007739EF" w:rsidP="002D1723">
      <w:pPr>
        <w:spacing w:line="360" w:lineRule="auto"/>
        <w:jc w:val="both"/>
        <w:rPr>
          <w:szCs w:val="24"/>
        </w:rPr>
      </w:pPr>
      <w:r w:rsidRPr="002D1723">
        <w:rPr>
          <w:szCs w:val="24"/>
        </w:rPr>
        <w:t xml:space="preserve">Crucial tasks in this phase include Regulatory Compliance and Approvals to secure necessary permits; Feasibility Studies and Site Selection involving thorough site assessments; Project Scope </w:t>
      </w:r>
      <w:r w:rsidRPr="002D1723">
        <w:rPr>
          <w:szCs w:val="24"/>
        </w:rPr>
        <w:t>Conceptualization</w:t>
      </w:r>
      <w:r w:rsidRPr="002D1723">
        <w:rPr>
          <w:szCs w:val="24"/>
        </w:rPr>
        <w:t xml:space="preserve"> and Stakeholder Engagement for defining project scope and obtaining alignment with stakeholders.</w:t>
      </w:r>
    </w:p>
    <w:p w14:paraId="449BD9B2" w14:textId="77777777" w:rsidR="007739EF" w:rsidRPr="002D1723" w:rsidRDefault="007739EF" w:rsidP="002D1723">
      <w:pPr>
        <w:spacing w:line="360" w:lineRule="auto"/>
        <w:jc w:val="both"/>
        <w:rPr>
          <w:szCs w:val="24"/>
        </w:rPr>
      </w:pPr>
    </w:p>
    <w:p w14:paraId="116CAFD0" w14:textId="1695D5BE" w:rsidR="007739EF" w:rsidRPr="002D1723" w:rsidRDefault="007739EF" w:rsidP="002D1723">
      <w:pPr>
        <w:spacing w:line="360" w:lineRule="auto"/>
        <w:jc w:val="both"/>
        <w:rPr>
          <w:szCs w:val="24"/>
        </w:rPr>
      </w:pPr>
      <w:r w:rsidRPr="002D1723">
        <w:rPr>
          <w:szCs w:val="24"/>
        </w:rPr>
        <w:t>Design Phase (18 months)</w:t>
      </w:r>
    </w:p>
    <w:p w14:paraId="2B0094E4" w14:textId="40083D40" w:rsidR="007739EF" w:rsidRPr="002D1723" w:rsidRDefault="007739EF" w:rsidP="002D1723">
      <w:pPr>
        <w:spacing w:line="360" w:lineRule="auto"/>
        <w:jc w:val="both"/>
        <w:rPr>
          <w:szCs w:val="24"/>
        </w:rPr>
      </w:pPr>
      <w:r w:rsidRPr="002D1723">
        <w:rPr>
          <w:szCs w:val="24"/>
        </w:rPr>
        <w:t xml:space="preserve">This phase starts with eight months of engineering plans and architectural designs, during which time comprehensive designs are created and preliminary approvals are secured. The next step is the refinement and </w:t>
      </w:r>
      <w:r w:rsidRPr="002D1723">
        <w:rPr>
          <w:szCs w:val="24"/>
        </w:rPr>
        <w:t>finalization</w:t>
      </w:r>
      <w:r w:rsidRPr="002D1723">
        <w:rPr>
          <w:szCs w:val="24"/>
        </w:rPr>
        <w:t xml:space="preserve"> of designs, </w:t>
      </w:r>
      <w:r w:rsidRPr="002D1723">
        <w:rPr>
          <w:szCs w:val="24"/>
        </w:rPr>
        <w:t xml:space="preserve">which </w:t>
      </w:r>
      <w:r w:rsidRPr="002D1723">
        <w:rPr>
          <w:szCs w:val="24"/>
        </w:rPr>
        <w:t>involves incorporating stakeholder comments to create final blueprints.</w:t>
      </w:r>
    </w:p>
    <w:p w14:paraId="505CB39D" w14:textId="77777777" w:rsidR="007739EF" w:rsidRPr="002D1723" w:rsidRDefault="007739EF" w:rsidP="002D1723">
      <w:pPr>
        <w:spacing w:line="360" w:lineRule="auto"/>
        <w:jc w:val="both"/>
        <w:rPr>
          <w:szCs w:val="24"/>
        </w:rPr>
      </w:pPr>
    </w:p>
    <w:p w14:paraId="0F635E23" w14:textId="526F1D0F" w:rsidR="007739EF" w:rsidRPr="002D1723" w:rsidRDefault="007739EF" w:rsidP="002D1723">
      <w:pPr>
        <w:spacing w:line="360" w:lineRule="auto"/>
        <w:jc w:val="both"/>
        <w:rPr>
          <w:szCs w:val="24"/>
        </w:rPr>
      </w:pPr>
      <w:r w:rsidRPr="002D1723">
        <w:rPr>
          <w:szCs w:val="24"/>
        </w:rPr>
        <w:t>Phase of construction (24 months)</w:t>
      </w:r>
    </w:p>
    <w:p w14:paraId="721F1EDB" w14:textId="4648BEB6" w:rsidR="007739EF" w:rsidRPr="002D1723" w:rsidRDefault="007739EF" w:rsidP="002D1723">
      <w:pPr>
        <w:spacing w:line="360" w:lineRule="auto"/>
        <w:jc w:val="both"/>
        <w:rPr>
          <w:szCs w:val="24"/>
        </w:rPr>
      </w:pPr>
      <w:r w:rsidRPr="002D1723">
        <w:rPr>
          <w:szCs w:val="24"/>
        </w:rPr>
        <w:t xml:space="preserve">This stage, which begins after the design phase, includes ground preparation, building construction, and the start of structural development and groundwork. </w:t>
      </w:r>
      <w:r w:rsidRPr="002D1723">
        <w:rPr>
          <w:szCs w:val="24"/>
        </w:rPr>
        <w:t>It</w:t>
      </w:r>
      <w:r w:rsidRPr="002D1723">
        <w:rPr>
          <w:szCs w:val="24"/>
        </w:rPr>
        <w:t xml:space="preserve"> also covers interior fit-outs and facility installation, ensuring safety and quality standards followed by a 4-month Finalization and Inspection phase.</w:t>
      </w:r>
    </w:p>
    <w:p w14:paraId="2EEFB5F7" w14:textId="77777777" w:rsidR="007739EF" w:rsidRPr="002D1723" w:rsidRDefault="007739EF" w:rsidP="002D1723">
      <w:pPr>
        <w:spacing w:line="360" w:lineRule="auto"/>
        <w:jc w:val="both"/>
        <w:rPr>
          <w:szCs w:val="24"/>
        </w:rPr>
      </w:pPr>
    </w:p>
    <w:p w14:paraId="14C9B905" w14:textId="111AF67F" w:rsidR="007739EF" w:rsidRPr="002D1723" w:rsidRDefault="007739EF" w:rsidP="002D1723">
      <w:pPr>
        <w:spacing w:line="360" w:lineRule="auto"/>
        <w:jc w:val="both"/>
        <w:rPr>
          <w:szCs w:val="24"/>
        </w:rPr>
      </w:pPr>
      <w:r w:rsidRPr="002D1723">
        <w:rPr>
          <w:szCs w:val="24"/>
        </w:rPr>
        <w:t>Completion and Handover Phase (6 months)</w:t>
      </w:r>
    </w:p>
    <w:p w14:paraId="3D9CBE79" w14:textId="1B90CC35" w:rsidR="007739EF" w:rsidRPr="002D1723" w:rsidRDefault="007739EF" w:rsidP="002D1723">
      <w:pPr>
        <w:spacing w:line="360" w:lineRule="auto"/>
        <w:jc w:val="both"/>
        <w:rPr>
          <w:szCs w:val="24"/>
        </w:rPr>
      </w:pPr>
      <w:r w:rsidRPr="002D1723">
        <w:rPr>
          <w:szCs w:val="24"/>
        </w:rPr>
        <w:t>This last phase consists of a Handover and Operational trans</w:t>
      </w:r>
      <w:r w:rsidRPr="002D1723">
        <w:rPr>
          <w:szCs w:val="24"/>
        </w:rPr>
        <w:t>ition</w:t>
      </w:r>
      <w:r w:rsidRPr="002D1723">
        <w:rPr>
          <w:szCs w:val="24"/>
        </w:rPr>
        <w:t xml:space="preserve"> stage to ensure a smooth transfer to operational status, and a Readiness for Occupancy stage to ensure facilities are operationally ready for handover to Google.</w:t>
      </w:r>
    </w:p>
    <w:p w14:paraId="41440F6F" w14:textId="77777777" w:rsidR="007739EF" w:rsidRPr="002D1723" w:rsidRDefault="007739EF" w:rsidP="002D1723">
      <w:pPr>
        <w:spacing w:line="360" w:lineRule="auto"/>
        <w:jc w:val="both"/>
        <w:rPr>
          <w:szCs w:val="24"/>
        </w:rPr>
      </w:pPr>
    </w:p>
    <w:p w14:paraId="6B10E93E" w14:textId="77777777" w:rsidR="007739EF" w:rsidRPr="002D1723" w:rsidRDefault="007739EF" w:rsidP="002D1723">
      <w:pPr>
        <w:spacing w:line="360" w:lineRule="auto"/>
        <w:jc w:val="both"/>
        <w:rPr>
          <w:szCs w:val="24"/>
        </w:rPr>
      </w:pPr>
    </w:p>
    <w:p w14:paraId="3262BA3F" w14:textId="77777777" w:rsidR="007739EF" w:rsidRPr="002D1723" w:rsidRDefault="007739EF" w:rsidP="002D1723">
      <w:pPr>
        <w:spacing w:line="360" w:lineRule="auto"/>
        <w:jc w:val="both"/>
        <w:rPr>
          <w:szCs w:val="24"/>
        </w:rPr>
      </w:pPr>
    </w:p>
    <w:p w14:paraId="1D378A75" w14:textId="77777777" w:rsidR="007739EF" w:rsidRPr="002D1723" w:rsidRDefault="007739EF" w:rsidP="002D1723">
      <w:pPr>
        <w:spacing w:line="360" w:lineRule="auto"/>
        <w:jc w:val="both"/>
        <w:rPr>
          <w:szCs w:val="24"/>
        </w:rPr>
        <w:sectPr w:rsidR="007739EF" w:rsidRPr="002D1723" w:rsidSect="007739EF">
          <w:footerReference w:type="default" r:id="rId8"/>
          <w:pgSz w:w="12240" w:h="15840"/>
          <w:pgMar w:top="1440" w:right="1440" w:bottom="1440" w:left="1440" w:header="720" w:footer="720" w:gutter="0"/>
          <w:cols w:space="720"/>
          <w:docGrid w:linePitch="360"/>
        </w:sectPr>
      </w:pPr>
    </w:p>
    <w:p w14:paraId="76C76E76" w14:textId="77777777" w:rsidR="007739EF" w:rsidRPr="002D1723" w:rsidRDefault="007739EF" w:rsidP="002D1723">
      <w:pPr>
        <w:pStyle w:val="Style3"/>
      </w:pPr>
      <w:bookmarkStart w:id="6" w:name="_Toc151105465"/>
      <w:r w:rsidRPr="002D1723">
        <w:lastRenderedPageBreak/>
        <w:t>WBS for Google Headquarters Project in London, UK</w:t>
      </w:r>
      <w:bookmarkEnd w:id="6"/>
    </w:p>
    <w:p w14:paraId="5BE59B67" w14:textId="77777777" w:rsidR="007739EF" w:rsidRPr="002D1723" w:rsidRDefault="007739EF" w:rsidP="002D1723">
      <w:pPr>
        <w:spacing w:line="360" w:lineRule="auto"/>
        <w:jc w:val="both"/>
        <w:rPr>
          <w:szCs w:val="24"/>
        </w:rPr>
      </w:pPr>
    </w:p>
    <w:p w14:paraId="1287A60C" w14:textId="77777777" w:rsidR="007739EF" w:rsidRPr="002D1723" w:rsidRDefault="007739EF" w:rsidP="002D1723">
      <w:pPr>
        <w:spacing w:line="360" w:lineRule="auto"/>
        <w:jc w:val="both"/>
        <w:rPr>
          <w:szCs w:val="24"/>
        </w:rPr>
      </w:pPr>
      <w:r w:rsidRPr="002D1723">
        <w:rPr>
          <w:noProof/>
          <w:szCs w:val="24"/>
        </w:rPr>
        <w:drawing>
          <wp:inline distT="0" distB="0" distL="0" distR="0" wp14:anchorId="6A791766" wp14:editId="42838F0D">
            <wp:extent cx="8456177" cy="4321147"/>
            <wp:effectExtent l="0" t="0" r="0" b="22860"/>
            <wp:docPr id="3578695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8F9D5D9" w14:textId="77777777" w:rsidR="007739EF" w:rsidRPr="002D1723" w:rsidRDefault="007739EF" w:rsidP="002D1723">
      <w:pPr>
        <w:spacing w:line="360" w:lineRule="auto"/>
        <w:rPr>
          <w:szCs w:val="24"/>
        </w:rPr>
      </w:pPr>
      <w:r w:rsidRPr="002D1723">
        <w:rPr>
          <w:szCs w:val="24"/>
        </w:rPr>
        <w:br w:type="page"/>
      </w:r>
    </w:p>
    <w:p w14:paraId="238DEE94" w14:textId="77777777" w:rsidR="007739EF" w:rsidRPr="002D1723" w:rsidRDefault="007739EF" w:rsidP="002D1723">
      <w:pPr>
        <w:spacing w:line="360" w:lineRule="auto"/>
        <w:jc w:val="both"/>
        <w:rPr>
          <w:szCs w:val="24"/>
        </w:rPr>
        <w:sectPr w:rsidR="007739EF" w:rsidRPr="002D1723" w:rsidSect="007739EF">
          <w:pgSz w:w="15840" w:h="12240" w:orient="landscape"/>
          <w:pgMar w:top="1440" w:right="1440" w:bottom="1440" w:left="1440" w:header="720" w:footer="720" w:gutter="0"/>
          <w:cols w:space="720"/>
          <w:docGrid w:linePitch="360"/>
        </w:sectPr>
      </w:pPr>
    </w:p>
    <w:p w14:paraId="17066A47" w14:textId="77777777" w:rsidR="007739EF" w:rsidRPr="002D1723" w:rsidRDefault="007739EF" w:rsidP="002D1723">
      <w:pPr>
        <w:pStyle w:val="Style3"/>
      </w:pPr>
      <w:bookmarkStart w:id="7" w:name="_Toc151105466"/>
      <w:r w:rsidRPr="002D1723">
        <w:lastRenderedPageBreak/>
        <w:t>Gantt chart for Google Headquarters Project in London, UK</w:t>
      </w:r>
      <w:bookmarkEnd w:id="7"/>
    </w:p>
    <w:p w14:paraId="6C27D658" w14:textId="77777777" w:rsidR="007739EF" w:rsidRPr="002D1723" w:rsidRDefault="007739EF" w:rsidP="002D1723">
      <w:pPr>
        <w:spacing w:line="360" w:lineRule="auto"/>
        <w:jc w:val="both"/>
        <w:rPr>
          <w:szCs w:val="24"/>
        </w:rPr>
      </w:pPr>
    </w:p>
    <w:p w14:paraId="4F56E2C8" w14:textId="77777777" w:rsidR="007739EF" w:rsidRPr="002D1723" w:rsidRDefault="007739EF" w:rsidP="002D1723">
      <w:pPr>
        <w:spacing w:line="360" w:lineRule="auto"/>
        <w:rPr>
          <w:b/>
          <w:bCs/>
          <w:szCs w:val="24"/>
        </w:rPr>
      </w:pPr>
      <w:r w:rsidRPr="002D1723">
        <w:rPr>
          <w:noProof/>
          <w:szCs w:val="24"/>
        </w:rPr>
        <w:drawing>
          <wp:inline distT="0" distB="0" distL="0" distR="0" wp14:anchorId="4C13CE3F" wp14:editId="2EDC2FA3">
            <wp:extent cx="7666289" cy="3366287"/>
            <wp:effectExtent l="0" t="0" r="0" b="5715"/>
            <wp:docPr id="214539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73336" cy="3369381"/>
                    </a:xfrm>
                    <a:prstGeom prst="rect">
                      <a:avLst/>
                    </a:prstGeom>
                    <a:noFill/>
                    <a:ln>
                      <a:noFill/>
                    </a:ln>
                  </pic:spPr>
                </pic:pic>
              </a:graphicData>
            </a:graphic>
          </wp:inline>
        </w:drawing>
      </w:r>
    </w:p>
    <w:p w14:paraId="5346F363" w14:textId="77777777" w:rsidR="007739EF" w:rsidRPr="002D1723" w:rsidRDefault="007739EF" w:rsidP="002D1723">
      <w:pPr>
        <w:spacing w:line="360" w:lineRule="auto"/>
        <w:rPr>
          <w:b/>
          <w:bCs/>
          <w:szCs w:val="24"/>
        </w:rPr>
      </w:pPr>
    </w:p>
    <w:p w14:paraId="63F409E9" w14:textId="77777777" w:rsidR="007739EF" w:rsidRPr="002D1723" w:rsidRDefault="007739EF" w:rsidP="002D1723">
      <w:pPr>
        <w:spacing w:line="360" w:lineRule="auto"/>
        <w:rPr>
          <w:b/>
          <w:bCs/>
          <w:szCs w:val="24"/>
        </w:rPr>
      </w:pPr>
    </w:p>
    <w:p w14:paraId="2838A796" w14:textId="2081FC56" w:rsidR="007739EF" w:rsidRPr="002D1723" w:rsidRDefault="007739EF" w:rsidP="002D1723">
      <w:pPr>
        <w:spacing w:line="360" w:lineRule="auto"/>
        <w:rPr>
          <w:b/>
          <w:bCs/>
          <w:szCs w:val="24"/>
        </w:rPr>
      </w:pPr>
      <w:r w:rsidRPr="002D1723">
        <w:rPr>
          <w:b/>
          <w:bCs/>
          <w:noProof/>
          <w:szCs w:val="24"/>
        </w:rPr>
        <w:lastRenderedPageBreak/>
        <w:drawing>
          <wp:inline distT="0" distB="0" distL="0" distR="0" wp14:anchorId="35BA36BA" wp14:editId="43D23BFC">
            <wp:extent cx="7816906" cy="2811080"/>
            <wp:effectExtent l="0" t="0" r="0" b="8890"/>
            <wp:docPr id="10541897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831130" cy="2816195"/>
                    </a:xfrm>
                    <a:prstGeom prst="rect">
                      <a:avLst/>
                    </a:prstGeom>
                    <a:noFill/>
                    <a:ln>
                      <a:noFill/>
                    </a:ln>
                  </pic:spPr>
                </pic:pic>
              </a:graphicData>
            </a:graphic>
          </wp:inline>
        </w:drawing>
      </w:r>
    </w:p>
    <w:p w14:paraId="242D0D88" w14:textId="77777777" w:rsidR="007739EF" w:rsidRPr="002D1723" w:rsidRDefault="007739EF" w:rsidP="002D1723">
      <w:pPr>
        <w:spacing w:line="360" w:lineRule="auto"/>
        <w:rPr>
          <w:b/>
          <w:bCs/>
          <w:szCs w:val="24"/>
        </w:rPr>
      </w:pPr>
    </w:p>
    <w:p w14:paraId="1432A61A" w14:textId="77777777" w:rsidR="007739EF" w:rsidRPr="002D1723" w:rsidRDefault="007739EF" w:rsidP="002D1723">
      <w:pPr>
        <w:spacing w:line="360" w:lineRule="auto"/>
        <w:jc w:val="both"/>
        <w:rPr>
          <w:szCs w:val="24"/>
        </w:rPr>
      </w:pPr>
    </w:p>
    <w:p w14:paraId="020402DF" w14:textId="77777777" w:rsidR="007739EF" w:rsidRPr="002D1723" w:rsidRDefault="007739EF" w:rsidP="002D1723">
      <w:pPr>
        <w:spacing w:line="360" w:lineRule="auto"/>
        <w:jc w:val="both"/>
        <w:rPr>
          <w:szCs w:val="24"/>
        </w:rPr>
      </w:pPr>
    </w:p>
    <w:p w14:paraId="5A6D16AC" w14:textId="77777777" w:rsidR="007739EF" w:rsidRPr="002D1723" w:rsidRDefault="007739EF" w:rsidP="002D1723">
      <w:pPr>
        <w:spacing w:line="360" w:lineRule="auto"/>
        <w:jc w:val="both"/>
        <w:rPr>
          <w:szCs w:val="24"/>
        </w:rPr>
      </w:pPr>
    </w:p>
    <w:p w14:paraId="27EADAA2" w14:textId="77777777" w:rsidR="007739EF" w:rsidRPr="002D1723" w:rsidRDefault="007739EF" w:rsidP="002D1723">
      <w:pPr>
        <w:spacing w:line="360" w:lineRule="auto"/>
        <w:rPr>
          <w:szCs w:val="24"/>
        </w:rPr>
      </w:pPr>
      <w:r w:rsidRPr="002D1723">
        <w:rPr>
          <w:szCs w:val="24"/>
        </w:rPr>
        <w:br w:type="page"/>
      </w:r>
    </w:p>
    <w:p w14:paraId="77D253E3" w14:textId="77777777" w:rsidR="007739EF" w:rsidRPr="002D1723" w:rsidRDefault="007739EF" w:rsidP="002D1723">
      <w:pPr>
        <w:spacing w:line="360" w:lineRule="auto"/>
        <w:jc w:val="both"/>
        <w:rPr>
          <w:szCs w:val="24"/>
        </w:rPr>
        <w:sectPr w:rsidR="007739EF" w:rsidRPr="002D1723" w:rsidSect="007739EF">
          <w:pgSz w:w="15840" w:h="12240" w:orient="landscape"/>
          <w:pgMar w:top="1440" w:right="1440" w:bottom="1440" w:left="1440" w:header="720" w:footer="720" w:gutter="0"/>
          <w:cols w:space="720"/>
          <w:docGrid w:linePitch="360"/>
        </w:sectPr>
      </w:pPr>
    </w:p>
    <w:p w14:paraId="5AE91FE7" w14:textId="77777777" w:rsidR="007739EF" w:rsidRPr="002D1723" w:rsidRDefault="007739EF" w:rsidP="002D1723">
      <w:pPr>
        <w:pStyle w:val="Style2"/>
      </w:pPr>
      <w:bookmarkStart w:id="8" w:name="_Toc151105467"/>
      <w:r w:rsidRPr="002D1723">
        <w:lastRenderedPageBreak/>
        <w:t>QUALITY ASSESSMENT</w:t>
      </w:r>
      <w:bookmarkEnd w:id="8"/>
    </w:p>
    <w:p w14:paraId="3C79C53F" w14:textId="77777777" w:rsidR="007739EF" w:rsidRPr="002D1723" w:rsidRDefault="007739EF" w:rsidP="002D1723">
      <w:pPr>
        <w:pStyle w:val="Style3"/>
      </w:pPr>
      <w:bookmarkStart w:id="9" w:name="_Toc151105468"/>
      <w:r w:rsidRPr="002D1723">
        <w:t>Standards And Quality Benchmarks Set for The Construction and Facilities</w:t>
      </w:r>
      <w:bookmarkEnd w:id="9"/>
    </w:p>
    <w:p w14:paraId="64B9264B" w14:textId="77777777" w:rsidR="007739EF" w:rsidRPr="002D1723" w:rsidRDefault="007739EF" w:rsidP="002D1723">
      <w:pPr>
        <w:spacing w:line="360" w:lineRule="auto"/>
        <w:jc w:val="both"/>
        <w:rPr>
          <w:szCs w:val="24"/>
        </w:rPr>
      </w:pPr>
      <w:r w:rsidRPr="002D1723">
        <w:rPr>
          <w:szCs w:val="24"/>
        </w:rPr>
        <w:t>Construction Standards</w:t>
      </w:r>
    </w:p>
    <w:p w14:paraId="217702BC" w14:textId="18AC3050" w:rsidR="007739EF" w:rsidRPr="002D1723" w:rsidRDefault="007739EF" w:rsidP="002D1723">
      <w:pPr>
        <w:spacing w:line="360" w:lineRule="auto"/>
        <w:jc w:val="both"/>
        <w:rPr>
          <w:szCs w:val="24"/>
        </w:rPr>
      </w:pPr>
      <w:r w:rsidRPr="002D1723">
        <w:rPr>
          <w:szCs w:val="24"/>
        </w:rPr>
        <w:t xml:space="preserve">The project </w:t>
      </w:r>
      <w:r w:rsidRPr="002D1723">
        <w:rPr>
          <w:szCs w:val="24"/>
        </w:rPr>
        <w:t>emphasizes</w:t>
      </w:r>
      <w:r w:rsidRPr="002D1723">
        <w:rPr>
          <w:szCs w:val="24"/>
        </w:rPr>
        <w:t xml:space="preserve"> using cutting-edge technologies and sustainable construction </w:t>
      </w:r>
      <w:r w:rsidRPr="002D1723">
        <w:rPr>
          <w:szCs w:val="24"/>
        </w:rPr>
        <w:t>practices</w:t>
      </w:r>
      <w:r w:rsidRPr="002D1723">
        <w:rPr>
          <w:szCs w:val="24"/>
        </w:rPr>
        <w:t>, which makes it clear that it has strict construction requirements. Modern construction materials and attention to green building guidelines demonstrate a dedication to long-term environmental sustainability. According to studies by Mavi et al. (2021), these procedures are crucial for maintaining structural integrity over the long term and reducing their negative effects on the environment.</w:t>
      </w:r>
    </w:p>
    <w:p w14:paraId="6DB0B5F1" w14:textId="77777777" w:rsidR="007739EF" w:rsidRPr="002D1723" w:rsidRDefault="007739EF" w:rsidP="002D1723">
      <w:pPr>
        <w:spacing w:line="360" w:lineRule="auto"/>
        <w:jc w:val="both"/>
        <w:rPr>
          <w:szCs w:val="24"/>
        </w:rPr>
      </w:pPr>
    </w:p>
    <w:p w14:paraId="50E16169" w14:textId="77777777" w:rsidR="007739EF" w:rsidRPr="002D1723" w:rsidRDefault="007739EF" w:rsidP="002D1723">
      <w:pPr>
        <w:spacing w:line="360" w:lineRule="auto"/>
        <w:jc w:val="both"/>
        <w:rPr>
          <w:szCs w:val="24"/>
        </w:rPr>
      </w:pPr>
      <w:r w:rsidRPr="002D1723">
        <w:rPr>
          <w:szCs w:val="24"/>
        </w:rPr>
        <w:t>Facility Amenities</w:t>
      </w:r>
    </w:p>
    <w:p w14:paraId="6729FE5F" w14:textId="6F9294FF" w:rsidR="007739EF" w:rsidRPr="002D1723" w:rsidRDefault="007739EF" w:rsidP="002D1723">
      <w:pPr>
        <w:spacing w:line="360" w:lineRule="auto"/>
        <w:jc w:val="both"/>
        <w:rPr>
          <w:szCs w:val="24"/>
        </w:rPr>
      </w:pPr>
      <w:r w:rsidRPr="002D1723">
        <w:rPr>
          <w:szCs w:val="24"/>
        </w:rPr>
        <w:t xml:space="preserve">The facility's suggested amenities highlight the importance of worker productivity and well-being. The project's goal is to establish a comfortable working atmosphere, complete with outdoor entertainment areas and on-site eateries and fitness </w:t>
      </w:r>
      <w:r w:rsidRPr="002D1723">
        <w:rPr>
          <w:szCs w:val="24"/>
        </w:rPr>
        <w:t>centers</w:t>
      </w:r>
      <w:r w:rsidRPr="002D1723">
        <w:rPr>
          <w:szCs w:val="24"/>
        </w:rPr>
        <w:t>. Senthil (2021) highlights the importance of amenities that are welcoming to employees in creating a happy work environment and increasing productivity.</w:t>
      </w:r>
    </w:p>
    <w:p w14:paraId="51107873" w14:textId="77777777" w:rsidR="007739EF" w:rsidRPr="002D1723" w:rsidRDefault="007739EF" w:rsidP="002D1723">
      <w:pPr>
        <w:spacing w:line="360" w:lineRule="auto"/>
        <w:jc w:val="both"/>
        <w:rPr>
          <w:szCs w:val="24"/>
        </w:rPr>
      </w:pPr>
    </w:p>
    <w:p w14:paraId="1A1EB85F" w14:textId="77777777" w:rsidR="007739EF" w:rsidRPr="002D1723" w:rsidRDefault="007739EF" w:rsidP="002D1723">
      <w:pPr>
        <w:spacing w:line="360" w:lineRule="auto"/>
        <w:jc w:val="both"/>
        <w:rPr>
          <w:szCs w:val="24"/>
        </w:rPr>
      </w:pPr>
      <w:r w:rsidRPr="002D1723">
        <w:rPr>
          <w:szCs w:val="24"/>
        </w:rPr>
        <w:t>Safety and Compliance</w:t>
      </w:r>
    </w:p>
    <w:p w14:paraId="42269E89" w14:textId="77777777" w:rsidR="007739EF" w:rsidRPr="002D1723" w:rsidRDefault="007739EF" w:rsidP="002D1723">
      <w:pPr>
        <w:spacing w:line="360" w:lineRule="auto"/>
        <w:jc w:val="both"/>
        <w:rPr>
          <w:szCs w:val="24"/>
        </w:rPr>
      </w:pPr>
      <w:r w:rsidRPr="002D1723">
        <w:rPr>
          <w:szCs w:val="24"/>
        </w:rPr>
        <w:t>Adherence to safety requirements and building rules is crucial. The project places a strong emphasis on following local building rules and adhering to strict safety procedures. A safe working environment for construction teams and future inhabitants is ensured by ongoing safety audits and inspections (</w:t>
      </w:r>
      <w:proofErr w:type="spellStart"/>
      <w:r w:rsidRPr="002D1723">
        <w:rPr>
          <w:szCs w:val="24"/>
        </w:rPr>
        <w:t>Ijaola</w:t>
      </w:r>
      <w:proofErr w:type="spellEnd"/>
      <w:r w:rsidRPr="002D1723">
        <w:rPr>
          <w:szCs w:val="24"/>
        </w:rPr>
        <w:t xml:space="preserve"> et al., 2021).</w:t>
      </w:r>
    </w:p>
    <w:p w14:paraId="5E9CD565" w14:textId="77777777" w:rsidR="007739EF" w:rsidRPr="002D1723" w:rsidRDefault="007739EF" w:rsidP="002D1723">
      <w:pPr>
        <w:spacing w:line="360" w:lineRule="auto"/>
        <w:jc w:val="both"/>
        <w:rPr>
          <w:szCs w:val="24"/>
        </w:rPr>
      </w:pPr>
    </w:p>
    <w:p w14:paraId="111A782C" w14:textId="77777777" w:rsidR="007739EF" w:rsidRPr="002D1723" w:rsidRDefault="007739EF" w:rsidP="002D1723">
      <w:pPr>
        <w:spacing w:line="360" w:lineRule="auto"/>
        <w:jc w:val="both"/>
        <w:rPr>
          <w:szCs w:val="24"/>
        </w:rPr>
      </w:pPr>
      <w:r w:rsidRPr="002D1723">
        <w:rPr>
          <w:szCs w:val="24"/>
        </w:rPr>
        <w:t>Design Aesthetics</w:t>
      </w:r>
    </w:p>
    <w:p w14:paraId="1A4B8E3E" w14:textId="4127292D" w:rsidR="007739EF" w:rsidRPr="002D1723" w:rsidRDefault="007739EF" w:rsidP="002D1723">
      <w:pPr>
        <w:spacing w:line="360" w:lineRule="auto"/>
        <w:jc w:val="both"/>
        <w:rPr>
          <w:szCs w:val="24"/>
        </w:rPr>
      </w:pPr>
      <w:r w:rsidRPr="002D1723">
        <w:rPr>
          <w:szCs w:val="24"/>
        </w:rPr>
        <w:t xml:space="preserve">The design concept appears to be in line with current architectural trends, seeking to combine practicality with visual appeal. According to (Meinel et al. 2017), the combination </w:t>
      </w:r>
      <w:r w:rsidRPr="002D1723">
        <w:rPr>
          <w:szCs w:val="24"/>
        </w:rPr>
        <w:lastRenderedPageBreak/>
        <w:t xml:space="preserve">of planted terraces, outdoor recreation areas, and creative interior designs implies a deliberate commitment </w:t>
      </w:r>
      <w:r w:rsidRPr="002D1723">
        <w:rPr>
          <w:szCs w:val="24"/>
        </w:rPr>
        <w:t>to</w:t>
      </w:r>
      <w:r w:rsidRPr="002D1723">
        <w:rPr>
          <w:szCs w:val="24"/>
        </w:rPr>
        <w:t xml:space="preserve"> creating an exciting and engaging workspace.</w:t>
      </w:r>
    </w:p>
    <w:p w14:paraId="5F9CA6F4" w14:textId="77777777" w:rsidR="007739EF" w:rsidRPr="002D1723" w:rsidRDefault="007739EF" w:rsidP="002D1723">
      <w:pPr>
        <w:spacing w:line="360" w:lineRule="auto"/>
        <w:jc w:val="both"/>
        <w:rPr>
          <w:szCs w:val="24"/>
        </w:rPr>
      </w:pPr>
    </w:p>
    <w:p w14:paraId="0261A521" w14:textId="77777777" w:rsidR="007739EF" w:rsidRPr="002D1723" w:rsidRDefault="007739EF" w:rsidP="002D1723">
      <w:pPr>
        <w:spacing w:line="360" w:lineRule="auto"/>
        <w:jc w:val="both"/>
        <w:rPr>
          <w:szCs w:val="24"/>
        </w:rPr>
      </w:pPr>
      <w:r w:rsidRPr="002D1723">
        <w:rPr>
          <w:szCs w:val="24"/>
        </w:rPr>
        <w:t>Technology Integration</w:t>
      </w:r>
    </w:p>
    <w:p w14:paraId="689F6736" w14:textId="77777777" w:rsidR="007739EF" w:rsidRPr="002D1723" w:rsidRDefault="007739EF" w:rsidP="002D1723">
      <w:pPr>
        <w:spacing w:line="360" w:lineRule="auto"/>
        <w:jc w:val="both"/>
        <w:rPr>
          <w:szCs w:val="24"/>
        </w:rPr>
      </w:pPr>
      <w:r w:rsidRPr="002D1723">
        <w:rPr>
          <w:szCs w:val="24"/>
        </w:rPr>
        <w:t xml:space="preserve">Using cutting-edge technologies shows a forward-thinking attitude to facility management, such as energy-efficient solutions and smart building systems. According to </w:t>
      </w:r>
      <w:proofErr w:type="spellStart"/>
      <w:r w:rsidRPr="002D1723">
        <w:rPr>
          <w:szCs w:val="24"/>
        </w:rPr>
        <w:t>Orikipete</w:t>
      </w:r>
      <w:proofErr w:type="spellEnd"/>
      <w:r w:rsidRPr="002D1723">
        <w:rPr>
          <w:szCs w:val="24"/>
        </w:rPr>
        <w:t xml:space="preserve">, Ikemba, and </w:t>
      </w:r>
      <w:proofErr w:type="spellStart"/>
      <w:r w:rsidRPr="002D1723">
        <w:rPr>
          <w:szCs w:val="24"/>
        </w:rPr>
        <w:t>Ewim</w:t>
      </w:r>
      <w:proofErr w:type="spellEnd"/>
      <w:r w:rsidRPr="002D1723">
        <w:rPr>
          <w:szCs w:val="24"/>
        </w:rPr>
        <w:t xml:space="preserve"> (2023), this kind of technological integration not only improves operating efficiency but also supports sustainability goals.</w:t>
      </w:r>
    </w:p>
    <w:p w14:paraId="464762E6" w14:textId="77777777" w:rsidR="007739EF" w:rsidRPr="002D1723" w:rsidRDefault="007739EF" w:rsidP="002D1723">
      <w:pPr>
        <w:spacing w:line="360" w:lineRule="auto"/>
        <w:jc w:val="both"/>
        <w:rPr>
          <w:szCs w:val="24"/>
        </w:rPr>
      </w:pPr>
    </w:p>
    <w:p w14:paraId="00BC2C27" w14:textId="77777777" w:rsidR="007739EF" w:rsidRPr="002D1723" w:rsidRDefault="007739EF" w:rsidP="002D1723">
      <w:pPr>
        <w:spacing w:line="360" w:lineRule="auto"/>
        <w:jc w:val="both"/>
        <w:rPr>
          <w:szCs w:val="24"/>
        </w:rPr>
      </w:pPr>
    </w:p>
    <w:p w14:paraId="4DF69129" w14:textId="77777777" w:rsidR="007739EF" w:rsidRPr="002D1723" w:rsidRDefault="007739EF" w:rsidP="002D1723">
      <w:pPr>
        <w:pStyle w:val="Style3"/>
      </w:pPr>
      <w:bookmarkStart w:id="10" w:name="_Toc151105469"/>
      <w:r w:rsidRPr="002D1723">
        <w:t>Measures to ensure high-quality outcomes</w:t>
      </w:r>
      <w:bookmarkEnd w:id="10"/>
    </w:p>
    <w:p w14:paraId="03111857" w14:textId="7EE29CD3" w:rsidR="007739EF" w:rsidRPr="002D1723" w:rsidRDefault="007739EF" w:rsidP="002D1723">
      <w:pPr>
        <w:spacing w:line="360" w:lineRule="auto"/>
        <w:jc w:val="both"/>
        <w:rPr>
          <w:szCs w:val="24"/>
        </w:rPr>
      </w:pPr>
      <w:r w:rsidRPr="002D1723">
        <w:rPr>
          <w:szCs w:val="24"/>
        </w:rPr>
        <w:t xml:space="preserve">The construction and amenities of the Google Headquarters project at King's Cross, London, require high-quality results, which necessitate a multifaceted approach that incorporates strict measures and best </w:t>
      </w:r>
      <w:r w:rsidRPr="002D1723">
        <w:rPr>
          <w:szCs w:val="24"/>
        </w:rPr>
        <w:t>practices</w:t>
      </w:r>
      <w:r w:rsidRPr="002D1723">
        <w:rPr>
          <w:szCs w:val="24"/>
        </w:rPr>
        <w:t xml:space="preserve">. </w:t>
      </w:r>
    </w:p>
    <w:p w14:paraId="41DF6353" w14:textId="758C7ED8" w:rsidR="007739EF" w:rsidRPr="002D1723" w:rsidRDefault="007739EF" w:rsidP="002D1723">
      <w:pPr>
        <w:spacing w:line="360" w:lineRule="auto"/>
        <w:jc w:val="both"/>
        <w:rPr>
          <w:szCs w:val="24"/>
        </w:rPr>
      </w:pPr>
      <w:r w:rsidRPr="002D1723">
        <w:rPr>
          <w:szCs w:val="24"/>
        </w:rPr>
        <w:t xml:space="preserve">Firstly, adopting a Quality Management System (QMS) is essential. By putting ISO 9001 standards into </w:t>
      </w:r>
      <w:r w:rsidRPr="002D1723">
        <w:rPr>
          <w:szCs w:val="24"/>
        </w:rPr>
        <w:t>practice</w:t>
      </w:r>
      <w:r w:rsidRPr="002D1723">
        <w:rPr>
          <w:szCs w:val="24"/>
        </w:rPr>
        <w:t xml:space="preserve">, </w:t>
      </w:r>
      <w:r w:rsidRPr="002D1723">
        <w:rPr>
          <w:szCs w:val="24"/>
        </w:rPr>
        <w:t>standardized</w:t>
      </w:r>
      <w:r w:rsidRPr="002D1723">
        <w:rPr>
          <w:szCs w:val="24"/>
        </w:rPr>
        <w:t xml:space="preserve"> processes for quality control are established for the </w:t>
      </w:r>
      <w:r w:rsidRPr="002D1723">
        <w:rPr>
          <w:szCs w:val="24"/>
        </w:rPr>
        <w:t>lifecycle</w:t>
      </w:r>
      <w:r w:rsidRPr="002D1723">
        <w:rPr>
          <w:szCs w:val="24"/>
        </w:rPr>
        <w:t xml:space="preserve"> of the project. Consistency and </w:t>
      </w:r>
      <w:r w:rsidRPr="002D1723">
        <w:rPr>
          <w:szCs w:val="24"/>
        </w:rPr>
        <w:t>e</w:t>
      </w:r>
      <w:r w:rsidR="00E613F2" w:rsidRPr="002D1723">
        <w:rPr>
          <w:szCs w:val="24"/>
        </w:rPr>
        <w:t>xcellence</w:t>
      </w:r>
      <w:r w:rsidRPr="002D1723">
        <w:rPr>
          <w:szCs w:val="24"/>
        </w:rPr>
        <w:t xml:space="preserve"> in results are ensured by regular quality audits and adherence to established quality benchmarks (Patil &amp; Mane, 2015).</w:t>
      </w:r>
    </w:p>
    <w:p w14:paraId="31F236F4" w14:textId="250A1AD1" w:rsidR="007739EF" w:rsidRPr="002D1723" w:rsidRDefault="007739EF" w:rsidP="002D1723">
      <w:pPr>
        <w:spacing w:line="360" w:lineRule="auto"/>
        <w:jc w:val="both"/>
        <w:rPr>
          <w:szCs w:val="24"/>
        </w:rPr>
      </w:pPr>
      <w:r w:rsidRPr="002D1723">
        <w:rPr>
          <w:szCs w:val="24"/>
        </w:rPr>
        <w:t xml:space="preserve">Second, strong selection procedures for contractors and suppliers </w:t>
      </w:r>
      <w:r w:rsidR="00E613F2" w:rsidRPr="002D1723">
        <w:rPr>
          <w:szCs w:val="24"/>
        </w:rPr>
        <w:t>are crucial</w:t>
      </w:r>
      <w:r w:rsidRPr="002D1723">
        <w:rPr>
          <w:szCs w:val="24"/>
        </w:rPr>
        <w:t>. Adherence to high-quality standards is ensured by conducting a comprehensive prequalification procedure and forming partnerships with reliable suppliers and contractors. Assessing their historical project results, industry standards compliance, and track records reduces risks and guarantees high-quality deliverables (De Araújo, Alencar, and De Miranda Mota, 2018).</w:t>
      </w:r>
    </w:p>
    <w:p w14:paraId="34330A47" w14:textId="749A7917" w:rsidR="007739EF" w:rsidRPr="002D1723" w:rsidRDefault="007739EF" w:rsidP="002D1723">
      <w:pPr>
        <w:spacing w:line="360" w:lineRule="auto"/>
        <w:jc w:val="both"/>
        <w:rPr>
          <w:szCs w:val="24"/>
        </w:rPr>
      </w:pPr>
      <w:r w:rsidRPr="002D1723">
        <w:rPr>
          <w:szCs w:val="24"/>
        </w:rPr>
        <w:t xml:space="preserve">Thirdly, </w:t>
      </w:r>
      <w:r w:rsidR="00E613F2" w:rsidRPr="002D1723">
        <w:rPr>
          <w:szCs w:val="24"/>
        </w:rPr>
        <w:t>the incorporation of Building Information Modeling (BIM) technology plays a pivotal role in enhancing construction quality</w:t>
      </w:r>
      <w:r w:rsidRPr="002D1723">
        <w:rPr>
          <w:szCs w:val="24"/>
        </w:rPr>
        <w:t xml:space="preserve">. Construction quality and efficiency are greatly increased by BIM's capacity to promote collaboration, identify conflicts, and </w:t>
      </w:r>
      <w:r w:rsidR="00E613F2" w:rsidRPr="002D1723">
        <w:rPr>
          <w:szCs w:val="24"/>
        </w:rPr>
        <w:lastRenderedPageBreak/>
        <w:t>optimize</w:t>
      </w:r>
      <w:r w:rsidRPr="002D1723">
        <w:rPr>
          <w:szCs w:val="24"/>
        </w:rPr>
        <w:t xml:space="preserve"> design (Maliha, Tayeh, and </w:t>
      </w:r>
      <w:proofErr w:type="spellStart"/>
      <w:r w:rsidRPr="002D1723">
        <w:rPr>
          <w:szCs w:val="24"/>
        </w:rPr>
        <w:t>Aisheh</w:t>
      </w:r>
      <w:proofErr w:type="spellEnd"/>
      <w:r w:rsidRPr="002D1723">
        <w:rPr>
          <w:szCs w:val="24"/>
        </w:rPr>
        <w:t xml:space="preserve">, 2020). During the design and construction phases, real-time coordination, </w:t>
      </w:r>
      <w:r w:rsidR="00E613F2" w:rsidRPr="002D1723">
        <w:rPr>
          <w:szCs w:val="24"/>
        </w:rPr>
        <w:t>visualization</w:t>
      </w:r>
      <w:r w:rsidRPr="002D1723">
        <w:rPr>
          <w:szCs w:val="24"/>
        </w:rPr>
        <w:t>, and error reduction are made possible by this technology.</w:t>
      </w:r>
      <w:r w:rsidR="00E613F2" w:rsidRPr="002D1723">
        <w:rPr>
          <w:szCs w:val="24"/>
        </w:rPr>
        <w:t xml:space="preserve"> </w:t>
      </w:r>
    </w:p>
    <w:p w14:paraId="251E2541" w14:textId="77777777" w:rsidR="007739EF" w:rsidRPr="002D1723" w:rsidRDefault="007739EF" w:rsidP="002D1723">
      <w:pPr>
        <w:spacing w:line="360" w:lineRule="auto"/>
        <w:jc w:val="both"/>
        <w:rPr>
          <w:szCs w:val="24"/>
        </w:rPr>
      </w:pPr>
      <w:r w:rsidRPr="002D1723">
        <w:rPr>
          <w:szCs w:val="24"/>
        </w:rPr>
        <w:t>Strong quality assurance and control procedures are also essential. Structural integrity and adherence to safety and quality requirements are ensured by carrying out thorough inspections at different phases of construction, following ASTM guidelines, and using Non-Destructive Testing (NDT) techniques (Salvi, 2021).</w:t>
      </w:r>
    </w:p>
    <w:p w14:paraId="1087F1D4" w14:textId="3CF3F552" w:rsidR="007739EF" w:rsidRPr="002D1723" w:rsidRDefault="007739EF" w:rsidP="002D1723">
      <w:pPr>
        <w:spacing w:line="360" w:lineRule="auto"/>
        <w:jc w:val="both"/>
        <w:rPr>
          <w:szCs w:val="24"/>
        </w:rPr>
      </w:pPr>
      <w:r w:rsidRPr="002D1723">
        <w:rPr>
          <w:szCs w:val="24"/>
        </w:rPr>
        <w:t xml:space="preserve">Furthermore, it's critical to promote employee training and a culture of continual improvement. Teams can be empowered to maintain and improve quality standards throughout the project lifecycle by promoting feedback loops and holding frequent training sessions on modern construction </w:t>
      </w:r>
      <w:r w:rsidR="00E613F2" w:rsidRPr="002D1723">
        <w:rPr>
          <w:szCs w:val="24"/>
        </w:rPr>
        <w:t>practices</w:t>
      </w:r>
      <w:r w:rsidRPr="002D1723">
        <w:rPr>
          <w:szCs w:val="24"/>
        </w:rPr>
        <w:t xml:space="preserve"> and technologies (Akintoye, Goulding &amp; Zawdie, 2012). </w:t>
      </w:r>
    </w:p>
    <w:p w14:paraId="4A5502DE" w14:textId="77777777" w:rsidR="007739EF" w:rsidRPr="002D1723" w:rsidRDefault="007739EF" w:rsidP="002D1723">
      <w:pPr>
        <w:spacing w:line="360" w:lineRule="auto"/>
        <w:jc w:val="both"/>
        <w:rPr>
          <w:szCs w:val="24"/>
        </w:rPr>
      </w:pPr>
    </w:p>
    <w:p w14:paraId="3A5BE8F9" w14:textId="77777777" w:rsidR="007739EF" w:rsidRPr="002D1723" w:rsidRDefault="007739EF" w:rsidP="002D1723">
      <w:pPr>
        <w:spacing w:line="360" w:lineRule="auto"/>
        <w:jc w:val="both"/>
        <w:rPr>
          <w:szCs w:val="24"/>
        </w:rPr>
      </w:pPr>
    </w:p>
    <w:p w14:paraId="730568A1" w14:textId="77777777" w:rsidR="007739EF" w:rsidRPr="002D1723" w:rsidRDefault="007739EF" w:rsidP="002D1723">
      <w:pPr>
        <w:spacing w:line="360" w:lineRule="auto"/>
        <w:jc w:val="both"/>
        <w:rPr>
          <w:szCs w:val="24"/>
        </w:rPr>
      </w:pPr>
    </w:p>
    <w:p w14:paraId="318BCFF7" w14:textId="77777777" w:rsidR="007739EF" w:rsidRPr="002D1723" w:rsidRDefault="007739EF" w:rsidP="002D1723">
      <w:pPr>
        <w:spacing w:line="360" w:lineRule="auto"/>
        <w:jc w:val="both"/>
        <w:rPr>
          <w:szCs w:val="24"/>
        </w:rPr>
      </w:pPr>
    </w:p>
    <w:p w14:paraId="5BB60AB9" w14:textId="77777777" w:rsidR="007739EF" w:rsidRPr="002D1723" w:rsidRDefault="007739EF" w:rsidP="002D1723">
      <w:pPr>
        <w:spacing w:line="360" w:lineRule="auto"/>
        <w:jc w:val="both"/>
        <w:rPr>
          <w:szCs w:val="24"/>
        </w:rPr>
      </w:pPr>
    </w:p>
    <w:p w14:paraId="71C64CCC" w14:textId="77777777" w:rsidR="007739EF" w:rsidRPr="002D1723" w:rsidRDefault="007739EF" w:rsidP="002D1723">
      <w:pPr>
        <w:spacing w:line="360" w:lineRule="auto"/>
        <w:jc w:val="both"/>
        <w:rPr>
          <w:szCs w:val="24"/>
        </w:rPr>
      </w:pPr>
    </w:p>
    <w:p w14:paraId="5F7D1609" w14:textId="77777777" w:rsidR="007739EF" w:rsidRPr="002D1723" w:rsidRDefault="007739EF" w:rsidP="002D1723">
      <w:pPr>
        <w:spacing w:line="360" w:lineRule="auto"/>
        <w:jc w:val="both"/>
        <w:rPr>
          <w:szCs w:val="24"/>
        </w:rPr>
      </w:pPr>
    </w:p>
    <w:p w14:paraId="5CC32EB6" w14:textId="77777777" w:rsidR="007739EF" w:rsidRPr="002D1723" w:rsidRDefault="007739EF" w:rsidP="002D1723">
      <w:pPr>
        <w:spacing w:line="360" w:lineRule="auto"/>
        <w:jc w:val="both"/>
        <w:rPr>
          <w:szCs w:val="24"/>
        </w:rPr>
      </w:pPr>
    </w:p>
    <w:p w14:paraId="46E3D4FB" w14:textId="77777777" w:rsidR="007739EF" w:rsidRPr="002D1723" w:rsidRDefault="007739EF" w:rsidP="002D1723">
      <w:pPr>
        <w:spacing w:line="360" w:lineRule="auto"/>
        <w:jc w:val="both"/>
        <w:rPr>
          <w:szCs w:val="24"/>
        </w:rPr>
      </w:pPr>
      <w:r w:rsidRPr="002D1723">
        <w:rPr>
          <w:szCs w:val="24"/>
        </w:rPr>
        <w:t xml:space="preserve"> </w:t>
      </w:r>
    </w:p>
    <w:p w14:paraId="124D3193" w14:textId="77777777" w:rsidR="00E613F2" w:rsidRPr="002D1723" w:rsidRDefault="00E613F2" w:rsidP="002D1723">
      <w:pPr>
        <w:spacing w:line="360" w:lineRule="auto"/>
        <w:rPr>
          <w:szCs w:val="24"/>
        </w:rPr>
      </w:pPr>
      <w:r w:rsidRPr="002D1723">
        <w:rPr>
          <w:szCs w:val="24"/>
        </w:rPr>
        <w:br w:type="page"/>
      </w:r>
    </w:p>
    <w:p w14:paraId="36737F69" w14:textId="77777777" w:rsidR="00E613F2" w:rsidRPr="002D1723" w:rsidRDefault="00E613F2" w:rsidP="002D1723">
      <w:pPr>
        <w:spacing w:line="360" w:lineRule="auto"/>
        <w:jc w:val="both"/>
        <w:rPr>
          <w:szCs w:val="24"/>
        </w:rPr>
        <w:sectPr w:rsidR="00E613F2" w:rsidRPr="002D1723" w:rsidSect="007739EF">
          <w:pgSz w:w="12240" w:h="15840"/>
          <w:pgMar w:top="1440" w:right="1440" w:bottom="1440" w:left="1440" w:header="720" w:footer="720" w:gutter="0"/>
          <w:cols w:space="720"/>
          <w:docGrid w:linePitch="360"/>
        </w:sectPr>
      </w:pPr>
    </w:p>
    <w:p w14:paraId="07EBC307" w14:textId="77777777" w:rsidR="00E613F2" w:rsidRPr="002D1723" w:rsidRDefault="00E613F2" w:rsidP="002D1723">
      <w:pPr>
        <w:pStyle w:val="Style2"/>
      </w:pPr>
      <w:bookmarkStart w:id="11" w:name="_Toc151105470"/>
      <w:r w:rsidRPr="002D1723">
        <w:lastRenderedPageBreak/>
        <w:t>STAKEHOLDER ANALYSIS</w:t>
      </w:r>
      <w:bookmarkEnd w:id="11"/>
    </w:p>
    <w:p w14:paraId="7AA59BE3" w14:textId="77777777" w:rsidR="00E613F2" w:rsidRPr="002D1723" w:rsidRDefault="00E613F2" w:rsidP="002D1723">
      <w:pPr>
        <w:spacing w:line="360" w:lineRule="auto"/>
        <w:rPr>
          <w:szCs w:val="24"/>
        </w:rPr>
      </w:pPr>
    </w:p>
    <w:tbl>
      <w:tblPr>
        <w:tblStyle w:val="TableGrid"/>
        <w:tblW w:w="0" w:type="auto"/>
        <w:tblLook w:val="04A0" w:firstRow="1" w:lastRow="0" w:firstColumn="1" w:lastColumn="0" w:noHBand="0" w:noVBand="1"/>
      </w:tblPr>
      <w:tblGrid>
        <w:gridCol w:w="2155"/>
        <w:gridCol w:w="2160"/>
        <w:gridCol w:w="2610"/>
        <w:gridCol w:w="2610"/>
        <w:gridCol w:w="3167"/>
      </w:tblGrid>
      <w:tr w:rsidR="00E613F2" w:rsidRPr="002D1723" w14:paraId="69317924" w14:textId="77777777" w:rsidTr="00F96CB8">
        <w:trPr>
          <w:trHeight w:val="822"/>
        </w:trPr>
        <w:tc>
          <w:tcPr>
            <w:tcW w:w="2155" w:type="dxa"/>
          </w:tcPr>
          <w:p w14:paraId="3E5A4415" w14:textId="77777777" w:rsidR="00E613F2" w:rsidRPr="002D1723" w:rsidRDefault="00E613F2" w:rsidP="002D1723">
            <w:pPr>
              <w:spacing w:line="360" w:lineRule="auto"/>
              <w:rPr>
                <w:szCs w:val="24"/>
              </w:rPr>
            </w:pPr>
            <w:r w:rsidRPr="002D1723">
              <w:rPr>
                <w:szCs w:val="24"/>
              </w:rPr>
              <w:t>Stakeholder</w:t>
            </w:r>
          </w:p>
        </w:tc>
        <w:tc>
          <w:tcPr>
            <w:tcW w:w="2160" w:type="dxa"/>
          </w:tcPr>
          <w:p w14:paraId="27F2B3C5" w14:textId="77777777" w:rsidR="00E613F2" w:rsidRPr="002D1723" w:rsidRDefault="00E613F2" w:rsidP="002D1723">
            <w:pPr>
              <w:spacing w:line="360" w:lineRule="auto"/>
              <w:rPr>
                <w:szCs w:val="24"/>
              </w:rPr>
            </w:pPr>
            <w:r w:rsidRPr="002D1723">
              <w:rPr>
                <w:szCs w:val="24"/>
              </w:rPr>
              <w:t>Role</w:t>
            </w:r>
          </w:p>
        </w:tc>
        <w:tc>
          <w:tcPr>
            <w:tcW w:w="2610" w:type="dxa"/>
          </w:tcPr>
          <w:p w14:paraId="24E753C0" w14:textId="77777777" w:rsidR="00E613F2" w:rsidRPr="002D1723" w:rsidRDefault="00E613F2" w:rsidP="002D1723">
            <w:pPr>
              <w:spacing w:line="360" w:lineRule="auto"/>
              <w:rPr>
                <w:szCs w:val="24"/>
              </w:rPr>
            </w:pPr>
            <w:r w:rsidRPr="002D1723">
              <w:rPr>
                <w:szCs w:val="24"/>
              </w:rPr>
              <w:t>Interests</w:t>
            </w:r>
          </w:p>
        </w:tc>
        <w:tc>
          <w:tcPr>
            <w:tcW w:w="2610" w:type="dxa"/>
          </w:tcPr>
          <w:p w14:paraId="5984B5A7" w14:textId="77777777" w:rsidR="00E613F2" w:rsidRPr="002D1723" w:rsidRDefault="00E613F2" w:rsidP="002D1723">
            <w:pPr>
              <w:spacing w:line="360" w:lineRule="auto"/>
              <w:rPr>
                <w:szCs w:val="24"/>
              </w:rPr>
            </w:pPr>
            <w:r w:rsidRPr="002D1723">
              <w:rPr>
                <w:szCs w:val="24"/>
              </w:rPr>
              <w:t>Expectations</w:t>
            </w:r>
          </w:p>
        </w:tc>
        <w:tc>
          <w:tcPr>
            <w:tcW w:w="3167" w:type="dxa"/>
          </w:tcPr>
          <w:p w14:paraId="5339BDC1" w14:textId="77777777" w:rsidR="00E613F2" w:rsidRPr="002D1723" w:rsidRDefault="00E613F2" w:rsidP="002D1723">
            <w:pPr>
              <w:spacing w:line="360" w:lineRule="auto"/>
              <w:rPr>
                <w:szCs w:val="24"/>
              </w:rPr>
            </w:pPr>
            <w:r w:rsidRPr="002D1723">
              <w:rPr>
                <w:szCs w:val="24"/>
              </w:rPr>
              <w:t>Communication Strategies</w:t>
            </w:r>
          </w:p>
        </w:tc>
      </w:tr>
      <w:tr w:rsidR="00E613F2" w:rsidRPr="002D1723" w14:paraId="13973315" w14:textId="77777777" w:rsidTr="00F96CB8">
        <w:trPr>
          <w:trHeight w:val="962"/>
        </w:trPr>
        <w:tc>
          <w:tcPr>
            <w:tcW w:w="2155" w:type="dxa"/>
          </w:tcPr>
          <w:p w14:paraId="2A0146BA" w14:textId="77777777" w:rsidR="00E613F2" w:rsidRPr="002D1723" w:rsidRDefault="00E613F2" w:rsidP="002D1723">
            <w:pPr>
              <w:spacing w:line="360" w:lineRule="auto"/>
              <w:rPr>
                <w:szCs w:val="24"/>
              </w:rPr>
            </w:pPr>
            <w:r w:rsidRPr="002D1723">
              <w:rPr>
                <w:szCs w:val="24"/>
              </w:rPr>
              <w:t>Google Executives</w:t>
            </w:r>
          </w:p>
        </w:tc>
        <w:tc>
          <w:tcPr>
            <w:tcW w:w="2160" w:type="dxa"/>
          </w:tcPr>
          <w:p w14:paraId="0E030F96" w14:textId="77777777" w:rsidR="00E613F2" w:rsidRPr="002D1723" w:rsidRDefault="00E613F2" w:rsidP="002D1723">
            <w:pPr>
              <w:spacing w:line="360" w:lineRule="auto"/>
              <w:rPr>
                <w:szCs w:val="24"/>
              </w:rPr>
            </w:pPr>
            <w:r w:rsidRPr="002D1723">
              <w:rPr>
                <w:szCs w:val="24"/>
              </w:rPr>
              <w:t>Project Sponsors</w:t>
            </w:r>
          </w:p>
        </w:tc>
        <w:tc>
          <w:tcPr>
            <w:tcW w:w="2610" w:type="dxa"/>
          </w:tcPr>
          <w:p w14:paraId="2679A1F2" w14:textId="77777777" w:rsidR="00E613F2" w:rsidRPr="002D1723" w:rsidRDefault="00E613F2" w:rsidP="002D1723">
            <w:pPr>
              <w:spacing w:line="360" w:lineRule="auto"/>
              <w:rPr>
                <w:szCs w:val="24"/>
              </w:rPr>
            </w:pPr>
            <w:r w:rsidRPr="002D1723">
              <w:rPr>
                <w:szCs w:val="24"/>
              </w:rPr>
              <w:t>Timely completion, quality</w:t>
            </w:r>
          </w:p>
        </w:tc>
        <w:tc>
          <w:tcPr>
            <w:tcW w:w="2610" w:type="dxa"/>
          </w:tcPr>
          <w:p w14:paraId="23467A16" w14:textId="77777777" w:rsidR="00E613F2" w:rsidRPr="002D1723" w:rsidRDefault="00E613F2" w:rsidP="002D1723">
            <w:pPr>
              <w:spacing w:line="360" w:lineRule="auto"/>
              <w:rPr>
                <w:szCs w:val="24"/>
              </w:rPr>
            </w:pPr>
            <w:r w:rsidRPr="002D1723">
              <w:rPr>
                <w:szCs w:val="24"/>
              </w:rPr>
              <w:t>High-quality infrastructure</w:t>
            </w:r>
          </w:p>
        </w:tc>
        <w:tc>
          <w:tcPr>
            <w:tcW w:w="3167" w:type="dxa"/>
          </w:tcPr>
          <w:p w14:paraId="61C6682B" w14:textId="77777777" w:rsidR="00E613F2" w:rsidRPr="002D1723" w:rsidRDefault="00E613F2" w:rsidP="002D1723">
            <w:pPr>
              <w:spacing w:line="360" w:lineRule="auto"/>
              <w:rPr>
                <w:szCs w:val="24"/>
              </w:rPr>
            </w:pPr>
            <w:r w:rsidRPr="002D1723">
              <w:rPr>
                <w:szCs w:val="24"/>
              </w:rPr>
              <w:t>Direct meetings, progress reports</w:t>
            </w:r>
          </w:p>
        </w:tc>
      </w:tr>
      <w:tr w:rsidR="00E613F2" w:rsidRPr="002D1723" w14:paraId="5DE68FF3" w14:textId="77777777" w:rsidTr="00F96CB8">
        <w:trPr>
          <w:trHeight w:val="971"/>
        </w:trPr>
        <w:tc>
          <w:tcPr>
            <w:tcW w:w="2155" w:type="dxa"/>
          </w:tcPr>
          <w:p w14:paraId="2A8F70F7" w14:textId="77777777" w:rsidR="00E613F2" w:rsidRPr="002D1723" w:rsidRDefault="00E613F2" w:rsidP="002D1723">
            <w:pPr>
              <w:spacing w:line="360" w:lineRule="auto"/>
              <w:rPr>
                <w:szCs w:val="24"/>
              </w:rPr>
            </w:pPr>
            <w:r w:rsidRPr="002D1723">
              <w:rPr>
                <w:szCs w:val="24"/>
              </w:rPr>
              <w:t>Local Community</w:t>
            </w:r>
          </w:p>
        </w:tc>
        <w:tc>
          <w:tcPr>
            <w:tcW w:w="2160" w:type="dxa"/>
          </w:tcPr>
          <w:p w14:paraId="5BED8061" w14:textId="77777777" w:rsidR="00E613F2" w:rsidRPr="002D1723" w:rsidRDefault="00E613F2" w:rsidP="002D1723">
            <w:pPr>
              <w:spacing w:line="360" w:lineRule="auto"/>
              <w:rPr>
                <w:szCs w:val="24"/>
              </w:rPr>
            </w:pPr>
            <w:r w:rsidRPr="002D1723">
              <w:rPr>
                <w:szCs w:val="24"/>
              </w:rPr>
              <w:t>Residents, Businesses</w:t>
            </w:r>
          </w:p>
        </w:tc>
        <w:tc>
          <w:tcPr>
            <w:tcW w:w="2610" w:type="dxa"/>
          </w:tcPr>
          <w:p w14:paraId="41630279" w14:textId="77777777" w:rsidR="00E613F2" w:rsidRPr="002D1723" w:rsidRDefault="00E613F2" w:rsidP="002D1723">
            <w:pPr>
              <w:spacing w:line="360" w:lineRule="auto"/>
              <w:rPr>
                <w:szCs w:val="24"/>
              </w:rPr>
            </w:pPr>
            <w:r w:rsidRPr="002D1723">
              <w:rPr>
                <w:szCs w:val="24"/>
              </w:rPr>
              <w:t>Minimal disruption, benefits</w:t>
            </w:r>
          </w:p>
        </w:tc>
        <w:tc>
          <w:tcPr>
            <w:tcW w:w="2610" w:type="dxa"/>
          </w:tcPr>
          <w:p w14:paraId="0E62B1C1" w14:textId="77777777" w:rsidR="00E613F2" w:rsidRPr="002D1723" w:rsidRDefault="00E613F2" w:rsidP="002D1723">
            <w:pPr>
              <w:spacing w:line="360" w:lineRule="auto"/>
              <w:rPr>
                <w:szCs w:val="24"/>
              </w:rPr>
            </w:pPr>
            <w:r w:rsidRPr="002D1723">
              <w:rPr>
                <w:szCs w:val="24"/>
              </w:rPr>
              <w:t>Job creation, economic growth</w:t>
            </w:r>
          </w:p>
        </w:tc>
        <w:tc>
          <w:tcPr>
            <w:tcW w:w="3167" w:type="dxa"/>
          </w:tcPr>
          <w:p w14:paraId="7B49EBC3" w14:textId="77777777" w:rsidR="00E613F2" w:rsidRPr="002D1723" w:rsidRDefault="00E613F2" w:rsidP="002D1723">
            <w:pPr>
              <w:spacing w:line="360" w:lineRule="auto"/>
              <w:rPr>
                <w:szCs w:val="24"/>
              </w:rPr>
            </w:pPr>
            <w:r w:rsidRPr="002D1723">
              <w:rPr>
                <w:szCs w:val="24"/>
              </w:rPr>
              <w:t>Community meetings, newsletters</w:t>
            </w:r>
          </w:p>
        </w:tc>
      </w:tr>
      <w:tr w:rsidR="00E613F2" w:rsidRPr="002D1723" w14:paraId="451C0DD7" w14:textId="77777777" w:rsidTr="00F96CB8">
        <w:trPr>
          <w:trHeight w:val="1070"/>
        </w:trPr>
        <w:tc>
          <w:tcPr>
            <w:tcW w:w="2155" w:type="dxa"/>
          </w:tcPr>
          <w:p w14:paraId="712D3DB5" w14:textId="77777777" w:rsidR="00E613F2" w:rsidRPr="002D1723" w:rsidRDefault="00E613F2" w:rsidP="002D1723">
            <w:pPr>
              <w:spacing w:line="360" w:lineRule="auto"/>
              <w:rPr>
                <w:szCs w:val="24"/>
              </w:rPr>
            </w:pPr>
            <w:r w:rsidRPr="002D1723">
              <w:rPr>
                <w:szCs w:val="24"/>
              </w:rPr>
              <w:t>Construction Firms</w:t>
            </w:r>
          </w:p>
        </w:tc>
        <w:tc>
          <w:tcPr>
            <w:tcW w:w="2160" w:type="dxa"/>
          </w:tcPr>
          <w:p w14:paraId="6FA54030" w14:textId="77777777" w:rsidR="00E613F2" w:rsidRPr="002D1723" w:rsidRDefault="00E613F2" w:rsidP="002D1723">
            <w:pPr>
              <w:spacing w:line="360" w:lineRule="auto"/>
              <w:rPr>
                <w:szCs w:val="24"/>
              </w:rPr>
            </w:pPr>
            <w:r w:rsidRPr="002D1723">
              <w:rPr>
                <w:szCs w:val="24"/>
              </w:rPr>
              <w:t>Contractors</w:t>
            </w:r>
          </w:p>
        </w:tc>
        <w:tc>
          <w:tcPr>
            <w:tcW w:w="2610" w:type="dxa"/>
          </w:tcPr>
          <w:p w14:paraId="319C5FF5" w14:textId="77777777" w:rsidR="00E613F2" w:rsidRPr="002D1723" w:rsidRDefault="00E613F2" w:rsidP="002D1723">
            <w:pPr>
              <w:spacing w:line="360" w:lineRule="auto"/>
              <w:rPr>
                <w:szCs w:val="24"/>
              </w:rPr>
            </w:pPr>
            <w:r w:rsidRPr="002D1723">
              <w:rPr>
                <w:szCs w:val="24"/>
              </w:rPr>
              <w:t>Project success, profitability</w:t>
            </w:r>
          </w:p>
        </w:tc>
        <w:tc>
          <w:tcPr>
            <w:tcW w:w="2610" w:type="dxa"/>
          </w:tcPr>
          <w:p w14:paraId="571A10D8" w14:textId="77777777" w:rsidR="00E613F2" w:rsidRPr="002D1723" w:rsidRDefault="00E613F2" w:rsidP="002D1723">
            <w:pPr>
              <w:spacing w:line="360" w:lineRule="auto"/>
              <w:rPr>
                <w:szCs w:val="24"/>
              </w:rPr>
            </w:pPr>
            <w:r w:rsidRPr="002D1723">
              <w:rPr>
                <w:szCs w:val="24"/>
              </w:rPr>
              <w:t>Adherence to plans, payment on time</w:t>
            </w:r>
          </w:p>
        </w:tc>
        <w:tc>
          <w:tcPr>
            <w:tcW w:w="3167" w:type="dxa"/>
          </w:tcPr>
          <w:p w14:paraId="1E051C51" w14:textId="77777777" w:rsidR="00E613F2" w:rsidRPr="002D1723" w:rsidRDefault="00E613F2" w:rsidP="002D1723">
            <w:pPr>
              <w:spacing w:line="360" w:lineRule="auto"/>
              <w:rPr>
                <w:szCs w:val="24"/>
              </w:rPr>
            </w:pPr>
            <w:r w:rsidRPr="002D1723">
              <w:rPr>
                <w:szCs w:val="24"/>
              </w:rPr>
              <w:t>Regular site meetings, reports</w:t>
            </w:r>
          </w:p>
        </w:tc>
      </w:tr>
      <w:tr w:rsidR="00E613F2" w:rsidRPr="002D1723" w14:paraId="75C3975A" w14:textId="77777777" w:rsidTr="00F96CB8">
        <w:trPr>
          <w:trHeight w:val="890"/>
        </w:trPr>
        <w:tc>
          <w:tcPr>
            <w:tcW w:w="2155" w:type="dxa"/>
          </w:tcPr>
          <w:p w14:paraId="604BD6B5" w14:textId="77777777" w:rsidR="00E613F2" w:rsidRPr="002D1723" w:rsidRDefault="00E613F2" w:rsidP="002D1723">
            <w:pPr>
              <w:spacing w:line="360" w:lineRule="auto"/>
              <w:rPr>
                <w:szCs w:val="24"/>
              </w:rPr>
            </w:pPr>
            <w:r w:rsidRPr="002D1723">
              <w:rPr>
                <w:szCs w:val="24"/>
              </w:rPr>
              <w:t>Employees</w:t>
            </w:r>
          </w:p>
        </w:tc>
        <w:tc>
          <w:tcPr>
            <w:tcW w:w="2160" w:type="dxa"/>
          </w:tcPr>
          <w:p w14:paraId="5878C348" w14:textId="77777777" w:rsidR="00E613F2" w:rsidRPr="002D1723" w:rsidRDefault="00E613F2" w:rsidP="002D1723">
            <w:pPr>
              <w:spacing w:line="360" w:lineRule="auto"/>
              <w:rPr>
                <w:szCs w:val="24"/>
              </w:rPr>
            </w:pPr>
            <w:r w:rsidRPr="002D1723">
              <w:rPr>
                <w:szCs w:val="24"/>
              </w:rPr>
              <w:t>Future Occupants</w:t>
            </w:r>
          </w:p>
        </w:tc>
        <w:tc>
          <w:tcPr>
            <w:tcW w:w="2610" w:type="dxa"/>
          </w:tcPr>
          <w:p w14:paraId="2BE87FB8" w14:textId="77777777" w:rsidR="00E613F2" w:rsidRPr="002D1723" w:rsidRDefault="00E613F2" w:rsidP="002D1723">
            <w:pPr>
              <w:spacing w:line="360" w:lineRule="auto"/>
              <w:rPr>
                <w:szCs w:val="24"/>
              </w:rPr>
            </w:pPr>
            <w:r w:rsidRPr="002D1723">
              <w:rPr>
                <w:szCs w:val="24"/>
              </w:rPr>
              <w:t>Comfortable workspace</w:t>
            </w:r>
          </w:p>
        </w:tc>
        <w:tc>
          <w:tcPr>
            <w:tcW w:w="2610" w:type="dxa"/>
          </w:tcPr>
          <w:p w14:paraId="1178722A" w14:textId="77777777" w:rsidR="00E613F2" w:rsidRPr="002D1723" w:rsidRDefault="00E613F2" w:rsidP="002D1723">
            <w:pPr>
              <w:spacing w:line="360" w:lineRule="auto"/>
              <w:rPr>
                <w:szCs w:val="24"/>
              </w:rPr>
            </w:pPr>
            <w:r w:rsidRPr="002D1723">
              <w:rPr>
                <w:szCs w:val="24"/>
              </w:rPr>
              <w:t>State-of-the-art facilities</w:t>
            </w:r>
          </w:p>
        </w:tc>
        <w:tc>
          <w:tcPr>
            <w:tcW w:w="3167" w:type="dxa"/>
          </w:tcPr>
          <w:p w14:paraId="54C07133" w14:textId="77777777" w:rsidR="00E613F2" w:rsidRPr="002D1723" w:rsidRDefault="00E613F2" w:rsidP="002D1723">
            <w:pPr>
              <w:spacing w:line="360" w:lineRule="auto"/>
              <w:rPr>
                <w:szCs w:val="24"/>
              </w:rPr>
            </w:pPr>
            <w:r w:rsidRPr="002D1723">
              <w:rPr>
                <w:szCs w:val="24"/>
              </w:rPr>
              <w:t>Surveys, meetings, internal updates</w:t>
            </w:r>
          </w:p>
        </w:tc>
      </w:tr>
      <w:tr w:rsidR="00E613F2" w:rsidRPr="002D1723" w14:paraId="5A841C14" w14:textId="77777777" w:rsidTr="00F96CB8">
        <w:trPr>
          <w:trHeight w:val="1070"/>
        </w:trPr>
        <w:tc>
          <w:tcPr>
            <w:tcW w:w="2155" w:type="dxa"/>
          </w:tcPr>
          <w:p w14:paraId="6B925220" w14:textId="77777777" w:rsidR="00E613F2" w:rsidRPr="002D1723" w:rsidRDefault="00E613F2" w:rsidP="002D1723">
            <w:pPr>
              <w:spacing w:line="360" w:lineRule="auto"/>
              <w:rPr>
                <w:szCs w:val="24"/>
              </w:rPr>
            </w:pPr>
            <w:r w:rsidRPr="002D1723">
              <w:rPr>
                <w:szCs w:val="24"/>
              </w:rPr>
              <w:t>Regulatory Bodies</w:t>
            </w:r>
          </w:p>
        </w:tc>
        <w:tc>
          <w:tcPr>
            <w:tcW w:w="2160" w:type="dxa"/>
          </w:tcPr>
          <w:p w14:paraId="67658E55" w14:textId="77777777" w:rsidR="00E613F2" w:rsidRPr="002D1723" w:rsidRDefault="00E613F2" w:rsidP="002D1723">
            <w:pPr>
              <w:spacing w:line="360" w:lineRule="auto"/>
              <w:rPr>
                <w:szCs w:val="24"/>
              </w:rPr>
            </w:pPr>
            <w:r w:rsidRPr="002D1723">
              <w:rPr>
                <w:szCs w:val="24"/>
              </w:rPr>
              <w:t>Government Agencies</w:t>
            </w:r>
          </w:p>
        </w:tc>
        <w:tc>
          <w:tcPr>
            <w:tcW w:w="2610" w:type="dxa"/>
          </w:tcPr>
          <w:p w14:paraId="3E1244B2" w14:textId="77777777" w:rsidR="00E613F2" w:rsidRPr="002D1723" w:rsidRDefault="00E613F2" w:rsidP="002D1723">
            <w:pPr>
              <w:spacing w:line="360" w:lineRule="auto"/>
              <w:rPr>
                <w:szCs w:val="24"/>
              </w:rPr>
            </w:pPr>
            <w:r w:rsidRPr="002D1723">
              <w:rPr>
                <w:szCs w:val="24"/>
              </w:rPr>
              <w:t>Compliance, public safety</w:t>
            </w:r>
          </w:p>
        </w:tc>
        <w:tc>
          <w:tcPr>
            <w:tcW w:w="2610" w:type="dxa"/>
          </w:tcPr>
          <w:p w14:paraId="5DE23721" w14:textId="77777777" w:rsidR="00E613F2" w:rsidRPr="002D1723" w:rsidRDefault="00E613F2" w:rsidP="002D1723">
            <w:pPr>
              <w:spacing w:line="360" w:lineRule="auto"/>
              <w:rPr>
                <w:szCs w:val="24"/>
              </w:rPr>
            </w:pPr>
            <w:r w:rsidRPr="002D1723">
              <w:rPr>
                <w:szCs w:val="24"/>
              </w:rPr>
              <w:t>Adherence to regulations</w:t>
            </w:r>
          </w:p>
        </w:tc>
        <w:tc>
          <w:tcPr>
            <w:tcW w:w="3167" w:type="dxa"/>
          </w:tcPr>
          <w:p w14:paraId="4A69DE5B" w14:textId="77777777" w:rsidR="00E613F2" w:rsidRPr="002D1723" w:rsidRDefault="00E613F2" w:rsidP="002D1723">
            <w:pPr>
              <w:spacing w:line="360" w:lineRule="auto"/>
              <w:rPr>
                <w:szCs w:val="24"/>
              </w:rPr>
            </w:pPr>
            <w:r w:rsidRPr="002D1723">
              <w:rPr>
                <w:szCs w:val="24"/>
              </w:rPr>
              <w:t>Inspections, official correspondence</w:t>
            </w:r>
          </w:p>
        </w:tc>
      </w:tr>
      <w:tr w:rsidR="00E613F2" w:rsidRPr="002D1723" w14:paraId="083302A8" w14:textId="77777777" w:rsidTr="00F96CB8">
        <w:trPr>
          <w:trHeight w:val="809"/>
        </w:trPr>
        <w:tc>
          <w:tcPr>
            <w:tcW w:w="2155" w:type="dxa"/>
          </w:tcPr>
          <w:p w14:paraId="19360EFF" w14:textId="77777777" w:rsidR="00E613F2" w:rsidRPr="002D1723" w:rsidRDefault="00E613F2" w:rsidP="002D1723">
            <w:pPr>
              <w:spacing w:line="360" w:lineRule="auto"/>
              <w:rPr>
                <w:szCs w:val="24"/>
              </w:rPr>
            </w:pPr>
            <w:r w:rsidRPr="002D1723">
              <w:rPr>
                <w:szCs w:val="24"/>
              </w:rPr>
              <w:t>Investors</w:t>
            </w:r>
          </w:p>
        </w:tc>
        <w:tc>
          <w:tcPr>
            <w:tcW w:w="2160" w:type="dxa"/>
          </w:tcPr>
          <w:p w14:paraId="49EA1D69" w14:textId="77777777" w:rsidR="00E613F2" w:rsidRPr="002D1723" w:rsidRDefault="00E613F2" w:rsidP="002D1723">
            <w:pPr>
              <w:spacing w:line="360" w:lineRule="auto"/>
              <w:rPr>
                <w:szCs w:val="24"/>
              </w:rPr>
            </w:pPr>
            <w:r w:rsidRPr="002D1723">
              <w:rPr>
                <w:szCs w:val="24"/>
              </w:rPr>
              <w:t>Financial Backers</w:t>
            </w:r>
          </w:p>
        </w:tc>
        <w:tc>
          <w:tcPr>
            <w:tcW w:w="2610" w:type="dxa"/>
          </w:tcPr>
          <w:p w14:paraId="357717A4" w14:textId="77777777" w:rsidR="00E613F2" w:rsidRPr="002D1723" w:rsidRDefault="00E613F2" w:rsidP="002D1723">
            <w:pPr>
              <w:spacing w:line="360" w:lineRule="auto"/>
              <w:rPr>
                <w:szCs w:val="24"/>
              </w:rPr>
            </w:pPr>
            <w:r w:rsidRPr="002D1723">
              <w:rPr>
                <w:szCs w:val="24"/>
              </w:rPr>
              <w:t>Return on investment</w:t>
            </w:r>
          </w:p>
        </w:tc>
        <w:tc>
          <w:tcPr>
            <w:tcW w:w="2610" w:type="dxa"/>
          </w:tcPr>
          <w:p w14:paraId="34D2C7E5" w14:textId="77777777" w:rsidR="00E613F2" w:rsidRPr="002D1723" w:rsidRDefault="00E613F2" w:rsidP="002D1723">
            <w:pPr>
              <w:spacing w:line="360" w:lineRule="auto"/>
              <w:rPr>
                <w:szCs w:val="24"/>
              </w:rPr>
            </w:pPr>
            <w:r w:rsidRPr="002D1723">
              <w:rPr>
                <w:szCs w:val="24"/>
              </w:rPr>
              <w:t>Project profitability</w:t>
            </w:r>
          </w:p>
        </w:tc>
        <w:tc>
          <w:tcPr>
            <w:tcW w:w="3167" w:type="dxa"/>
          </w:tcPr>
          <w:p w14:paraId="154B6373" w14:textId="77777777" w:rsidR="00E613F2" w:rsidRPr="002D1723" w:rsidRDefault="00E613F2" w:rsidP="002D1723">
            <w:pPr>
              <w:spacing w:line="360" w:lineRule="auto"/>
              <w:rPr>
                <w:szCs w:val="24"/>
              </w:rPr>
            </w:pPr>
            <w:r w:rsidRPr="002D1723">
              <w:rPr>
                <w:szCs w:val="24"/>
              </w:rPr>
              <w:t>Financial reports, meetings</w:t>
            </w:r>
          </w:p>
        </w:tc>
      </w:tr>
    </w:tbl>
    <w:p w14:paraId="27F98C46" w14:textId="77777777" w:rsidR="00E613F2" w:rsidRPr="002D1723" w:rsidRDefault="00E613F2" w:rsidP="002D1723">
      <w:pPr>
        <w:spacing w:line="360" w:lineRule="auto"/>
        <w:jc w:val="both"/>
        <w:rPr>
          <w:szCs w:val="24"/>
        </w:rPr>
      </w:pPr>
    </w:p>
    <w:p w14:paraId="2B871779" w14:textId="77777777" w:rsidR="00E613F2" w:rsidRPr="002D1723" w:rsidRDefault="00E613F2" w:rsidP="002D1723">
      <w:pPr>
        <w:spacing w:line="360" w:lineRule="auto"/>
        <w:jc w:val="both"/>
        <w:rPr>
          <w:szCs w:val="24"/>
        </w:rPr>
      </w:pPr>
      <w:r w:rsidRPr="002D1723">
        <w:rPr>
          <w:szCs w:val="24"/>
        </w:rPr>
        <w:t>Stakeholder Matrix</w:t>
      </w:r>
    </w:p>
    <w:p w14:paraId="4EAE186F" w14:textId="77777777" w:rsidR="00E613F2" w:rsidRPr="002D1723" w:rsidRDefault="00E613F2" w:rsidP="002D1723">
      <w:pPr>
        <w:spacing w:line="360" w:lineRule="auto"/>
        <w:jc w:val="both"/>
        <w:rPr>
          <w:szCs w:val="24"/>
        </w:rPr>
        <w:sectPr w:rsidR="00E613F2" w:rsidRPr="002D1723" w:rsidSect="00E613F2">
          <w:pgSz w:w="15840" w:h="12240" w:orient="landscape"/>
          <w:pgMar w:top="1440" w:right="1440" w:bottom="1440" w:left="1440" w:header="720" w:footer="720" w:gutter="0"/>
          <w:cols w:space="720"/>
          <w:docGrid w:linePitch="360"/>
        </w:sectPr>
      </w:pPr>
    </w:p>
    <w:p w14:paraId="25B688C2" w14:textId="0E49FD8F" w:rsidR="00E613F2" w:rsidRPr="002D1723" w:rsidRDefault="00E613F2" w:rsidP="002D1723">
      <w:pPr>
        <w:pStyle w:val="Style3"/>
      </w:pPr>
      <w:bookmarkStart w:id="12" w:name="_Toc151105471"/>
      <w:r w:rsidRPr="002D1723">
        <w:lastRenderedPageBreak/>
        <w:t>Key Stakeholders and Roles</w:t>
      </w:r>
      <w:bookmarkEnd w:id="12"/>
    </w:p>
    <w:p w14:paraId="593CD962" w14:textId="77777777" w:rsidR="009222B0" w:rsidRPr="002D1723" w:rsidRDefault="009222B0" w:rsidP="002D1723">
      <w:pPr>
        <w:spacing w:line="360" w:lineRule="auto"/>
        <w:jc w:val="both"/>
        <w:rPr>
          <w:szCs w:val="24"/>
        </w:rPr>
      </w:pPr>
      <w:r w:rsidRPr="002D1723">
        <w:rPr>
          <w:szCs w:val="24"/>
        </w:rPr>
        <w:t>The project's main internal stakeholders are the Google executives who are funding the infrastructure work. As the project's sponsors, they have a vested interest in seeing it completed on schedule and at a high standard (Kloppenborg, Tesch, and Manolis, 2014). Their primary goal is to achieve excellent outcomes. Communication methods for this stakeholder group will include holding direct meetings and sending frequent progress reports to manage expectations.</w:t>
      </w:r>
    </w:p>
    <w:p w14:paraId="0E6C71ED" w14:textId="77777777" w:rsidR="009222B0" w:rsidRPr="002D1723" w:rsidRDefault="009222B0" w:rsidP="002D1723">
      <w:pPr>
        <w:spacing w:line="360" w:lineRule="auto"/>
        <w:jc w:val="both"/>
        <w:rPr>
          <w:szCs w:val="24"/>
        </w:rPr>
      </w:pPr>
      <w:r w:rsidRPr="002D1723">
        <w:rPr>
          <w:szCs w:val="24"/>
        </w:rPr>
        <w:t>A significant external stakeholder group that will be affected by any construction-related interruptions is the nearby community. Reducing disturbances is in their best interests as citizens and businesses (</w:t>
      </w:r>
      <w:proofErr w:type="spellStart"/>
      <w:r w:rsidRPr="002D1723">
        <w:rPr>
          <w:szCs w:val="24"/>
        </w:rPr>
        <w:t>Zikargae</w:t>
      </w:r>
      <w:proofErr w:type="spellEnd"/>
      <w:r w:rsidRPr="002D1723">
        <w:rPr>
          <w:szCs w:val="24"/>
        </w:rPr>
        <w:t xml:space="preserve">, </w:t>
      </w:r>
      <w:proofErr w:type="spellStart"/>
      <w:r w:rsidRPr="002D1723">
        <w:rPr>
          <w:szCs w:val="24"/>
        </w:rPr>
        <w:t>Woldearegay</w:t>
      </w:r>
      <w:proofErr w:type="spellEnd"/>
      <w:r w:rsidRPr="002D1723">
        <w:rPr>
          <w:szCs w:val="24"/>
        </w:rPr>
        <w:t>, &amp; Skjerdal, 2022). They anticipate the initiative will yield advantages such as increased employment prospects and economic expansion. Newsletters and community gatherings will be crucial for communicating updates, resolving issues, and upholding these standards.</w:t>
      </w:r>
    </w:p>
    <w:p w14:paraId="715B4518" w14:textId="77777777" w:rsidR="009222B0" w:rsidRPr="002D1723" w:rsidRDefault="009222B0" w:rsidP="002D1723">
      <w:pPr>
        <w:spacing w:line="360" w:lineRule="auto"/>
        <w:jc w:val="both"/>
        <w:rPr>
          <w:szCs w:val="24"/>
        </w:rPr>
      </w:pPr>
      <w:r w:rsidRPr="002D1723">
        <w:rPr>
          <w:szCs w:val="24"/>
        </w:rPr>
        <w:t>Key stakeholders include the construction companies hired to do the building work. These contractors are interested in the project succeeding (</w:t>
      </w:r>
      <w:proofErr w:type="spellStart"/>
      <w:r w:rsidRPr="002D1723">
        <w:rPr>
          <w:szCs w:val="24"/>
        </w:rPr>
        <w:t>Oke</w:t>
      </w:r>
      <w:proofErr w:type="spellEnd"/>
      <w:r w:rsidRPr="002D1723">
        <w:rPr>
          <w:szCs w:val="24"/>
        </w:rPr>
        <w:t>, 2022). Thus, they must follow the schedules and pay for services on time. Maintaining open communication and managing their expectations on timely completion and payment will be possible by holding regular site meetings and reporting.</w:t>
      </w:r>
    </w:p>
    <w:p w14:paraId="5576AC2B" w14:textId="77777777" w:rsidR="009222B0" w:rsidRPr="002D1723" w:rsidRDefault="009222B0" w:rsidP="002D1723">
      <w:pPr>
        <w:spacing w:line="360" w:lineRule="auto"/>
        <w:jc w:val="both"/>
        <w:rPr>
          <w:szCs w:val="24"/>
        </w:rPr>
      </w:pPr>
      <w:r w:rsidRPr="002D1723">
        <w:rPr>
          <w:szCs w:val="24"/>
        </w:rPr>
        <w:t>Stakeholders interested in comfortable workspaces are the future employees who will eventually occupy the completed new workstations. Their primary expectation is for cutting-edge workspaces. Surveys will be used as part of this group's communication tactics to learn about their needs, and updates will be sent internally at each stage (Galli, 2021).</w:t>
      </w:r>
    </w:p>
    <w:p w14:paraId="44B7D09A" w14:textId="77777777" w:rsidR="009222B0" w:rsidRPr="002D1723" w:rsidRDefault="009222B0" w:rsidP="002D1723">
      <w:pPr>
        <w:spacing w:line="360" w:lineRule="auto"/>
        <w:jc w:val="both"/>
        <w:rPr>
          <w:szCs w:val="24"/>
        </w:rPr>
      </w:pPr>
      <w:r w:rsidRPr="002D1723">
        <w:rPr>
          <w:szCs w:val="24"/>
        </w:rPr>
        <w:t>Regulatory bodies, which are represented by government institutions, are in charge of keeping an eye on compliance and ensuring public safety (</w:t>
      </w:r>
      <w:proofErr w:type="spellStart"/>
      <w:r w:rsidRPr="002D1723">
        <w:rPr>
          <w:szCs w:val="24"/>
        </w:rPr>
        <w:t>Mwelu</w:t>
      </w:r>
      <w:proofErr w:type="spellEnd"/>
      <w:r w:rsidRPr="002D1723">
        <w:rPr>
          <w:szCs w:val="24"/>
        </w:rPr>
        <w:t xml:space="preserve"> et al., 2020). Enforcing adherence to local construction regulations, relying on inspections, and carefully following laws and safety regulations are in their best interests. Their primary means of contact are formal letters, inspections, and updates on regulatory compliance.</w:t>
      </w:r>
    </w:p>
    <w:p w14:paraId="5ACA7BC3" w14:textId="77777777" w:rsidR="009222B0" w:rsidRPr="002D1723" w:rsidRDefault="009222B0" w:rsidP="002D1723">
      <w:pPr>
        <w:spacing w:line="360" w:lineRule="auto"/>
        <w:jc w:val="both"/>
        <w:rPr>
          <w:szCs w:val="24"/>
        </w:rPr>
      </w:pPr>
    </w:p>
    <w:p w14:paraId="24FABD2F" w14:textId="77777777" w:rsidR="009222B0" w:rsidRPr="002D1723" w:rsidRDefault="009222B0" w:rsidP="002D1723">
      <w:pPr>
        <w:spacing w:line="360" w:lineRule="auto"/>
        <w:jc w:val="both"/>
        <w:rPr>
          <w:szCs w:val="24"/>
        </w:rPr>
      </w:pPr>
      <w:r w:rsidRPr="002D1723">
        <w:rPr>
          <w:szCs w:val="24"/>
        </w:rPr>
        <w:lastRenderedPageBreak/>
        <w:t>Investors prioritize project profitability and return on investment because they are the initiative's financial backers (Lappé &amp; Spang, 2014). They expect to get regular financial reports and updates on project financials so they can assess the performance of their investments. Financial reports, meetings, and in-depth updates on the financial performance of the project produce effective communication.</w:t>
      </w:r>
    </w:p>
    <w:p w14:paraId="4164BA8A" w14:textId="77777777" w:rsidR="00E613F2" w:rsidRPr="002D1723" w:rsidRDefault="00E613F2" w:rsidP="002D1723">
      <w:pPr>
        <w:spacing w:line="360" w:lineRule="auto"/>
        <w:jc w:val="both"/>
        <w:rPr>
          <w:szCs w:val="24"/>
        </w:rPr>
      </w:pPr>
    </w:p>
    <w:p w14:paraId="6BB2988D" w14:textId="77777777" w:rsidR="00E613F2" w:rsidRPr="002D1723" w:rsidRDefault="00E613F2" w:rsidP="002D1723">
      <w:pPr>
        <w:spacing w:line="360" w:lineRule="auto"/>
        <w:jc w:val="both"/>
        <w:rPr>
          <w:szCs w:val="24"/>
        </w:rPr>
      </w:pPr>
    </w:p>
    <w:p w14:paraId="5414D362" w14:textId="77777777" w:rsidR="00E613F2" w:rsidRPr="002D1723" w:rsidRDefault="00E613F2" w:rsidP="002D1723">
      <w:pPr>
        <w:spacing w:line="360" w:lineRule="auto"/>
        <w:jc w:val="both"/>
        <w:rPr>
          <w:szCs w:val="24"/>
        </w:rPr>
      </w:pPr>
    </w:p>
    <w:p w14:paraId="5B9DD055" w14:textId="49D4D2EF" w:rsidR="009222B0" w:rsidRPr="002D1723" w:rsidRDefault="009222B0" w:rsidP="002D1723">
      <w:pPr>
        <w:spacing w:line="360" w:lineRule="auto"/>
        <w:rPr>
          <w:szCs w:val="24"/>
        </w:rPr>
      </w:pPr>
      <w:r w:rsidRPr="002D1723">
        <w:rPr>
          <w:szCs w:val="24"/>
        </w:rPr>
        <w:br w:type="page"/>
      </w:r>
    </w:p>
    <w:p w14:paraId="7980B772" w14:textId="77777777" w:rsidR="009222B0" w:rsidRPr="002D1723" w:rsidRDefault="009222B0" w:rsidP="002D1723">
      <w:pPr>
        <w:spacing w:line="360" w:lineRule="auto"/>
        <w:jc w:val="both"/>
        <w:rPr>
          <w:szCs w:val="24"/>
        </w:rPr>
        <w:sectPr w:rsidR="009222B0" w:rsidRPr="002D1723" w:rsidSect="00E613F2">
          <w:pgSz w:w="12240" w:h="15840"/>
          <w:pgMar w:top="1440" w:right="1440" w:bottom="1440" w:left="1440" w:header="720" w:footer="720" w:gutter="0"/>
          <w:cols w:space="720"/>
          <w:docGrid w:linePitch="360"/>
        </w:sectPr>
      </w:pPr>
    </w:p>
    <w:p w14:paraId="5A0A8321" w14:textId="77777777" w:rsidR="009222B0" w:rsidRPr="002D1723" w:rsidRDefault="009222B0" w:rsidP="002D1723">
      <w:pPr>
        <w:pStyle w:val="Style2"/>
      </w:pPr>
      <w:bookmarkStart w:id="13" w:name="_Toc151105472"/>
      <w:r w:rsidRPr="002D1723">
        <w:lastRenderedPageBreak/>
        <w:t>RISK ANALYSIS</w:t>
      </w:r>
      <w:bookmarkEnd w:id="13"/>
    </w:p>
    <w:p w14:paraId="6055666C" w14:textId="77777777" w:rsidR="009222B0" w:rsidRPr="002D1723" w:rsidRDefault="009222B0" w:rsidP="002D1723">
      <w:pPr>
        <w:spacing w:line="360" w:lineRule="auto"/>
        <w:jc w:val="both"/>
        <w:rPr>
          <w:b/>
          <w:bCs/>
          <w:szCs w:val="24"/>
        </w:rPr>
      </w:pPr>
    </w:p>
    <w:tbl>
      <w:tblPr>
        <w:tblStyle w:val="TableGrid"/>
        <w:tblW w:w="0" w:type="auto"/>
        <w:tblLook w:val="04A0" w:firstRow="1" w:lastRow="0" w:firstColumn="1" w:lastColumn="0" w:noHBand="0" w:noVBand="1"/>
      </w:tblPr>
      <w:tblGrid>
        <w:gridCol w:w="1885"/>
        <w:gridCol w:w="2070"/>
        <w:gridCol w:w="1620"/>
        <w:gridCol w:w="7022"/>
      </w:tblGrid>
      <w:tr w:rsidR="009222B0" w:rsidRPr="002D1723" w14:paraId="5440AEDA" w14:textId="77777777" w:rsidTr="00F96CB8">
        <w:trPr>
          <w:trHeight w:val="411"/>
        </w:trPr>
        <w:tc>
          <w:tcPr>
            <w:tcW w:w="1885" w:type="dxa"/>
          </w:tcPr>
          <w:p w14:paraId="47472A7B" w14:textId="77777777" w:rsidR="009222B0" w:rsidRPr="002D1723" w:rsidRDefault="009222B0" w:rsidP="002D1723">
            <w:pPr>
              <w:spacing w:line="360" w:lineRule="auto"/>
              <w:rPr>
                <w:szCs w:val="24"/>
              </w:rPr>
            </w:pPr>
            <w:r w:rsidRPr="002D1723">
              <w:rPr>
                <w:szCs w:val="24"/>
              </w:rPr>
              <w:t>Risk Event</w:t>
            </w:r>
          </w:p>
        </w:tc>
        <w:tc>
          <w:tcPr>
            <w:tcW w:w="2070" w:type="dxa"/>
          </w:tcPr>
          <w:p w14:paraId="10358415" w14:textId="77777777" w:rsidR="009222B0" w:rsidRPr="002D1723" w:rsidRDefault="009222B0" w:rsidP="002D1723">
            <w:pPr>
              <w:spacing w:line="360" w:lineRule="auto"/>
              <w:rPr>
                <w:szCs w:val="24"/>
              </w:rPr>
            </w:pPr>
            <w:r w:rsidRPr="002D1723">
              <w:rPr>
                <w:szCs w:val="24"/>
              </w:rPr>
              <w:t>Potential Impact</w:t>
            </w:r>
          </w:p>
        </w:tc>
        <w:tc>
          <w:tcPr>
            <w:tcW w:w="1620" w:type="dxa"/>
          </w:tcPr>
          <w:p w14:paraId="7018D379" w14:textId="77777777" w:rsidR="009222B0" w:rsidRPr="002D1723" w:rsidRDefault="009222B0" w:rsidP="002D1723">
            <w:pPr>
              <w:spacing w:line="360" w:lineRule="auto"/>
              <w:rPr>
                <w:szCs w:val="24"/>
              </w:rPr>
            </w:pPr>
            <w:r w:rsidRPr="002D1723">
              <w:rPr>
                <w:szCs w:val="24"/>
              </w:rPr>
              <w:t>Likelihood</w:t>
            </w:r>
          </w:p>
        </w:tc>
        <w:tc>
          <w:tcPr>
            <w:tcW w:w="7022" w:type="dxa"/>
          </w:tcPr>
          <w:p w14:paraId="0375AB7E" w14:textId="77777777" w:rsidR="009222B0" w:rsidRPr="002D1723" w:rsidRDefault="009222B0" w:rsidP="002D1723">
            <w:pPr>
              <w:spacing w:line="360" w:lineRule="auto"/>
              <w:rPr>
                <w:szCs w:val="24"/>
              </w:rPr>
            </w:pPr>
            <w:r w:rsidRPr="002D1723">
              <w:rPr>
                <w:szCs w:val="24"/>
              </w:rPr>
              <w:t>Mitigation Strategy</w:t>
            </w:r>
          </w:p>
        </w:tc>
      </w:tr>
      <w:tr w:rsidR="009222B0" w:rsidRPr="002D1723" w14:paraId="485F02FE" w14:textId="77777777" w:rsidTr="00F96CB8">
        <w:trPr>
          <w:trHeight w:val="1295"/>
        </w:trPr>
        <w:tc>
          <w:tcPr>
            <w:tcW w:w="1885" w:type="dxa"/>
          </w:tcPr>
          <w:p w14:paraId="5080D63C" w14:textId="77777777" w:rsidR="009222B0" w:rsidRPr="002D1723" w:rsidRDefault="009222B0" w:rsidP="002D1723">
            <w:pPr>
              <w:spacing w:line="360" w:lineRule="auto"/>
              <w:rPr>
                <w:szCs w:val="24"/>
              </w:rPr>
            </w:pPr>
            <w:r w:rsidRPr="002D1723">
              <w:rPr>
                <w:szCs w:val="24"/>
              </w:rPr>
              <w:t>Changes in Regulatory Requirements</w:t>
            </w:r>
          </w:p>
        </w:tc>
        <w:tc>
          <w:tcPr>
            <w:tcW w:w="2070" w:type="dxa"/>
          </w:tcPr>
          <w:p w14:paraId="79A78AFE" w14:textId="77777777" w:rsidR="009222B0" w:rsidRPr="002D1723" w:rsidRDefault="009222B0" w:rsidP="002D1723">
            <w:pPr>
              <w:spacing w:line="360" w:lineRule="auto"/>
              <w:rPr>
                <w:szCs w:val="24"/>
              </w:rPr>
            </w:pPr>
            <w:r w:rsidRPr="002D1723">
              <w:rPr>
                <w:szCs w:val="24"/>
              </w:rPr>
              <w:t>Delays, Increased Costs</w:t>
            </w:r>
          </w:p>
        </w:tc>
        <w:tc>
          <w:tcPr>
            <w:tcW w:w="1620" w:type="dxa"/>
          </w:tcPr>
          <w:p w14:paraId="2B8C3241" w14:textId="77777777" w:rsidR="009222B0" w:rsidRPr="002D1723" w:rsidRDefault="009222B0" w:rsidP="002D1723">
            <w:pPr>
              <w:spacing w:line="360" w:lineRule="auto"/>
              <w:rPr>
                <w:szCs w:val="24"/>
              </w:rPr>
            </w:pPr>
            <w:r w:rsidRPr="002D1723">
              <w:rPr>
                <w:szCs w:val="24"/>
              </w:rPr>
              <w:t>High</w:t>
            </w:r>
          </w:p>
        </w:tc>
        <w:tc>
          <w:tcPr>
            <w:tcW w:w="7022" w:type="dxa"/>
          </w:tcPr>
          <w:p w14:paraId="3C70A461" w14:textId="77777777" w:rsidR="009222B0" w:rsidRPr="002D1723" w:rsidRDefault="009222B0" w:rsidP="002D1723">
            <w:pPr>
              <w:spacing w:line="360" w:lineRule="auto"/>
              <w:rPr>
                <w:szCs w:val="24"/>
              </w:rPr>
            </w:pPr>
            <w:r w:rsidRPr="002D1723">
              <w:rPr>
                <w:szCs w:val="24"/>
              </w:rPr>
              <w:t>Regular engagement with regulatory bodies, proactive compliance checks, and agile adaptation strategies</w:t>
            </w:r>
          </w:p>
        </w:tc>
      </w:tr>
      <w:tr w:rsidR="009222B0" w:rsidRPr="002D1723" w14:paraId="17E8B8B9" w14:textId="77777777" w:rsidTr="00F96CB8">
        <w:trPr>
          <w:trHeight w:val="1340"/>
        </w:trPr>
        <w:tc>
          <w:tcPr>
            <w:tcW w:w="1885" w:type="dxa"/>
          </w:tcPr>
          <w:p w14:paraId="00029761" w14:textId="77777777" w:rsidR="009222B0" w:rsidRPr="002D1723" w:rsidRDefault="009222B0" w:rsidP="002D1723">
            <w:pPr>
              <w:spacing w:line="360" w:lineRule="auto"/>
              <w:rPr>
                <w:szCs w:val="24"/>
              </w:rPr>
            </w:pPr>
            <w:r w:rsidRPr="002D1723">
              <w:rPr>
                <w:szCs w:val="24"/>
              </w:rPr>
              <w:t>Adverse Weather Conditions</w:t>
            </w:r>
          </w:p>
        </w:tc>
        <w:tc>
          <w:tcPr>
            <w:tcW w:w="2070" w:type="dxa"/>
          </w:tcPr>
          <w:p w14:paraId="7E761430" w14:textId="77777777" w:rsidR="009222B0" w:rsidRPr="002D1723" w:rsidRDefault="009222B0" w:rsidP="002D1723">
            <w:pPr>
              <w:spacing w:line="360" w:lineRule="auto"/>
              <w:rPr>
                <w:szCs w:val="24"/>
              </w:rPr>
            </w:pPr>
            <w:r w:rsidRPr="002D1723">
              <w:rPr>
                <w:szCs w:val="24"/>
              </w:rPr>
              <w:t>Construction Delays</w:t>
            </w:r>
          </w:p>
        </w:tc>
        <w:tc>
          <w:tcPr>
            <w:tcW w:w="1620" w:type="dxa"/>
          </w:tcPr>
          <w:p w14:paraId="12F17F3C" w14:textId="77777777" w:rsidR="009222B0" w:rsidRPr="002D1723" w:rsidRDefault="009222B0" w:rsidP="002D1723">
            <w:pPr>
              <w:spacing w:line="360" w:lineRule="auto"/>
              <w:rPr>
                <w:szCs w:val="24"/>
              </w:rPr>
            </w:pPr>
            <w:r w:rsidRPr="002D1723">
              <w:rPr>
                <w:szCs w:val="24"/>
              </w:rPr>
              <w:t>Moderate</w:t>
            </w:r>
          </w:p>
        </w:tc>
        <w:tc>
          <w:tcPr>
            <w:tcW w:w="7022" w:type="dxa"/>
          </w:tcPr>
          <w:p w14:paraId="55AAE38F" w14:textId="77777777" w:rsidR="009222B0" w:rsidRPr="002D1723" w:rsidRDefault="009222B0" w:rsidP="002D1723">
            <w:pPr>
              <w:spacing w:line="360" w:lineRule="auto"/>
              <w:rPr>
                <w:szCs w:val="24"/>
              </w:rPr>
            </w:pPr>
            <w:r w:rsidRPr="002D1723">
              <w:rPr>
                <w:szCs w:val="24"/>
              </w:rPr>
              <w:t>Contingency plans for weather-induced delays, flexible project scheduling, and mitigation measures</w:t>
            </w:r>
          </w:p>
        </w:tc>
      </w:tr>
      <w:tr w:rsidR="009222B0" w:rsidRPr="002D1723" w14:paraId="7AE1C296" w14:textId="77777777" w:rsidTr="00F96CB8">
        <w:trPr>
          <w:trHeight w:val="890"/>
        </w:trPr>
        <w:tc>
          <w:tcPr>
            <w:tcW w:w="1885" w:type="dxa"/>
          </w:tcPr>
          <w:p w14:paraId="56034787" w14:textId="77777777" w:rsidR="009222B0" w:rsidRPr="002D1723" w:rsidRDefault="009222B0" w:rsidP="002D1723">
            <w:pPr>
              <w:spacing w:line="360" w:lineRule="auto"/>
              <w:rPr>
                <w:szCs w:val="24"/>
              </w:rPr>
            </w:pPr>
            <w:r w:rsidRPr="002D1723">
              <w:rPr>
                <w:szCs w:val="24"/>
              </w:rPr>
              <w:t>Supply Chain Disruptions</w:t>
            </w:r>
          </w:p>
        </w:tc>
        <w:tc>
          <w:tcPr>
            <w:tcW w:w="2070" w:type="dxa"/>
          </w:tcPr>
          <w:p w14:paraId="56DBFA55" w14:textId="77777777" w:rsidR="009222B0" w:rsidRPr="002D1723" w:rsidRDefault="009222B0" w:rsidP="002D1723">
            <w:pPr>
              <w:spacing w:line="360" w:lineRule="auto"/>
              <w:rPr>
                <w:szCs w:val="24"/>
              </w:rPr>
            </w:pPr>
            <w:r w:rsidRPr="002D1723">
              <w:rPr>
                <w:szCs w:val="24"/>
              </w:rPr>
              <w:t>Material Shortages</w:t>
            </w:r>
          </w:p>
        </w:tc>
        <w:tc>
          <w:tcPr>
            <w:tcW w:w="1620" w:type="dxa"/>
          </w:tcPr>
          <w:p w14:paraId="501F651F" w14:textId="77777777" w:rsidR="009222B0" w:rsidRPr="002D1723" w:rsidRDefault="009222B0" w:rsidP="002D1723">
            <w:pPr>
              <w:spacing w:line="360" w:lineRule="auto"/>
              <w:rPr>
                <w:szCs w:val="24"/>
              </w:rPr>
            </w:pPr>
            <w:r w:rsidRPr="002D1723">
              <w:rPr>
                <w:szCs w:val="24"/>
              </w:rPr>
              <w:t>Moderate</w:t>
            </w:r>
          </w:p>
        </w:tc>
        <w:tc>
          <w:tcPr>
            <w:tcW w:w="7022" w:type="dxa"/>
          </w:tcPr>
          <w:p w14:paraId="5F7732B9" w14:textId="77777777" w:rsidR="009222B0" w:rsidRPr="002D1723" w:rsidRDefault="009222B0" w:rsidP="002D1723">
            <w:pPr>
              <w:spacing w:line="360" w:lineRule="auto"/>
              <w:rPr>
                <w:szCs w:val="24"/>
              </w:rPr>
            </w:pPr>
            <w:r w:rsidRPr="002D1723">
              <w:rPr>
                <w:szCs w:val="24"/>
              </w:rPr>
              <w:t>Diversification of suppliers, buffer stock, and alternative sourcing strategies</w:t>
            </w:r>
          </w:p>
        </w:tc>
      </w:tr>
      <w:tr w:rsidR="009222B0" w:rsidRPr="002D1723" w14:paraId="5EE42044" w14:textId="77777777" w:rsidTr="00F96CB8">
        <w:trPr>
          <w:trHeight w:val="1246"/>
        </w:trPr>
        <w:tc>
          <w:tcPr>
            <w:tcW w:w="1885" w:type="dxa"/>
          </w:tcPr>
          <w:p w14:paraId="41F2FD76" w14:textId="77777777" w:rsidR="009222B0" w:rsidRPr="002D1723" w:rsidRDefault="009222B0" w:rsidP="002D1723">
            <w:pPr>
              <w:spacing w:line="360" w:lineRule="auto"/>
              <w:rPr>
                <w:szCs w:val="24"/>
              </w:rPr>
            </w:pPr>
            <w:r w:rsidRPr="002D1723">
              <w:rPr>
                <w:szCs w:val="24"/>
              </w:rPr>
              <w:t>Scope Creep</w:t>
            </w:r>
          </w:p>
        </w:tc>
        <w:tc>
          <w:tcPr>
            <w:tcW w:w="2070" w:type="dxa"/>
          </w:tcPr>
          <w:p w14:paraId="21F27335" w14:textId="77777777" w:rsidR="009222B0" w:rsidRPr="002D1723" w:rsidRDefault="009222B0" w:rsidP="002D1723">
            <w:pPr>
              <w:spacing w:line="360" w:lineRule="auto"/>
              <w:rPr>
                <w:szCs w:val="24"/>
              </w:rPr>
            </w:pPr>
            <w:r w:rsidRPr="002D1723">
              <w:rPr>
                <w:szCs w:val="24"/>
              </w:rPr>
              <w:t>Budget Overruns, Timeline Delays</w:t>
            </w:r>
          </w:p>
        </w:tc>
        <w:tc>
          <w:tcPr>
            <w:tcW w:w="1620" w:type="dxa"/>
          </w:tcPr>
          <w:p w14:paraId="6D3A7BD6" w14:textId="77777777" w:rsidR="009222B0" w:rsidRPr="002D1723" w:rsidRDefault="009222B0" w:rsidP="002D1723">
            <w:pPr>
              <w:spacing w:line="360" w:lineRule="auto"/>
              <w:rPr>
                <w:szCs w:val="24"/>
              </w:rPr>
            </w:pPr>
            <w:r w:rsidRPr="002D1723">
              <w:rPr>
                <w:szCs w:val="24"/>
              </w:rPr>
              <w:t>High</w:t>
            </w:r>
          </w:p>
        </w:tc>
        <w:tc>
          <w:tcPr>
            <w:tcW w:w="7022" w:type="dxa"/>
          </w:tcPr>
          <w:p w14:paraId="77ADBACC" w14:textId="77777777" w:rsidR="009222B0" w:rsidRPr="002D1723" w:rsidRDefault="009222B0" w:rsidP="002D1723">
            <w:pPr>
              <w:spacing w:line="360" w:lineRule="auto"/>
              <w:rPr>
                <w:szCs w:val="24"/>
              </w:rPr>
            </w:pPr>
            <w:r w:rsidRPr="002D1723">
              <w:rPr>
                <w:szCs w:val="24"/>
              </w:rPr>
              <w:t>Rigorous change control processes, regular scope reviews, and stakeholder alignment</w:t>
            </w:r>
          </w:p>
        </w:tc>
      </w:tr>
      <w:tr w:rsidR="009222B0" w:rsidRPr="002D1723" w14:paraId="00AB0D7E" w14:textId="77777777" w:rsidTr="00F96CB8">
        <w:trPr>
          <w:trHeight w:val="1656"/>
        </w:trPr>
        <w:tc>
          <w:tcPr>
            <w:tcW w:w="1885" w:type="dxa"/>
          </w:tcPr>
          <w:p w14:paraId="70B6A9CA" w14:textId="77777777" w:rsidR="009222B0" w:rsidRPr="002D1723" w:rsidRDefault="009222B0" w:rsidP="002D1723">
            <w:pPr>
              <w:spacing w:line="360" w:lineRule="auto"/>
              <w:rPr>
                <w:szCs w:val="24"/>
              </w:rPr>
            </w:pPr>
            <w:r w:rsidRPr="002D1723">
              <w:rPr>
                <w:szCs w:val="24"/>
              </w:rPr>
              <w:t>Labor Shortages</w:t>
            </w:r>
          </w:p>
        </w:tc>
        <w:tc>
          <w:tcPr>
            <w:tcW w:w="2070" w:type="dxa"/>
          </w:tcPr>
          <w:p w14:paraId="2A9CA976" w14:textId="77777777" w:rsidR="009222B0" w:rsidRPr="002D1723" w:rsidRDefault="009222B0" w:rsidP="002D1723">
            <w:pPr>
              <w:spacing w:line="360" w:lineRule="auto"/>
              <w:rPr>
                <w:szCs w:val="24"/>
              </w:rPr>
            </w:pPr>
            <w:r w:rsidRPr="002D1723">
              <w:rPr>
                <w:szCs w:val="24"/>
              </w:rPr>
              <w:t>Construction Delays</w:t>
            </w:r>
          </w:p>
        </w:tc>
        <w:tc>
          <w:tcPr>
            <w:tcW w:w="1620" w:type="dxa"/>
          </w:tcPr>
          <w:p w14:paraId="571DF01A" w14:textId="77777777" w:rsidR="009222B0" w:rsidRPr="002D1723" w:rsidRDefault="009222B0" w:rsidP="002D1723">
            <w:pPr>
              <w:spacing w:line="360" w:lineRule="auto"/>
              <w:rPr>
                <w:szCs w:val="24"/>
              </w:rPr>
            </w:pPr>
            <w:r w:rsidRPr="002D1723">
              <w:rPr>
                <w:szCs w:val="24"/>
              </w:rPr>
              <w:t>Moderate</w:t>
            </w:r>
          </w:p>
        </w:tc>
        <w:tc>
          <w:tcPr>
            <w:tcW w:w="7022" w:type="dxa"/>
          </w:tcPr>
          <w:p w14:paraId="3291064A" w14:textId="77777777" w:rsidR="009222B0" w:rsidRPr="002D1723" w:rsidRDefault="009222B0" w:rsidP="002D1723">
            <w:pPr>
              <w:spacing w:line="360" w:lineRule="auto"/>
              <w:rPr>
                <w:szCs w:val="24"/>
              </w:rPr>
            </w:pPr>
            <w:r w:rsidRPr="002D1723">
              <w:rPr>
                <w:szCs w:val="24"/>
              </w:rPr>
              <w:t>Workforce contingency plans, skill development programs, and collaboration with multiple labor sources</w:t>
            </w:r>
          </w:p>
        </w:tc>
      </w:tr>
      <w:tr w:rsidR="009222B0" w:rsidRPr="002D1723" w14:paraId="5D4A6F10" w14:textId="77777777" w:rsidTr="00F96CB8">
        <w:trPr>
          <w:trHeight w:val="1160"/>
        </w:trPr>
        <w:tc>
          <w:tcPr>
            <w:tcW w:w="1885" w:type="dxa"/>
          </w:tcPr>
          <w:p w14:paraId="3D314EA0" w14:textId="77777777" w:rsidR="009222B0" w:rsidRPr="002D1723" w:rsidRDefault="009222B0" w:rsidP="002D1723">
            <w:pPr>
              <w:spacing w:line="360" w:lineRule="auto"/>
              <w:rPr>
                <w:szCs w:val="24"/>
              </w:rPr>
            </w:pPr>
            <w:r w:rsidRPr="002D1723">
              <w:rPr>
                <w:szCs w:val="24"/>
              </w:rPr>
              <w:t>Cost Escalation in Materials</w:t>
            </w:r>
          </w:p>
        </w:tc>
        <w:tc>
          <w:tcPr>
            <w:tcW w:w="2070" w:type="dxa"/>
          </w:tcPr>
          <w:p w14:paraId="27A21E47" w14:textId="77777777" w:rsidR="009222B0" w:rsidRPr="002D1723" w:rsidRDefault="009222B0" w:rsidP="002D1723">
            <w:pPr>
              <w:spacing w:line="360" w:lineRule="auto"/>
              <w:rPr>
                <w:szCs w:val="24"/>
              </w:rPr>
            </w:pPr>
            <w:r w:rsidRPr="002D1723">
              <w:rPr>
                <w:szCs w:val="24"/>
              </w:rPr>
              <w:t>Budget Overruns</w:t>
            </w:r>
          </w:p>
        </w:tc>
        <w:tc>
          <w:tcPr>
            <w:tcW w:w="1620" w:type="dxa"/>
          </w:tcPr>
          <w:p w14:paraId="11705A0B" w14:textId="77777777" w:rsidR="009222B0" w:rsidRPr="002D1723" w:rsidRDefault="009222B0" w:rsidP="002D1723">
            <w:pPr>
              <w:spacing w:line="360" w:lineRule="auto"/>
              <w:rPr>
                <w:szCs w:val="24"/>
              </w:rPr>
            </w:pPr>
            <w:r w:rsidRPr="002D1723">
              <w:rPr>
                <w:szCs w:val="24"/>
              </w:rPr>
              <w:t>Moderate</w:t>
            </w:r>
          </w:p>
        </w:tc>
        <w:tc>
          <w:tcPr>
            <w:tcW w:w="7022" w:type="dxa"/>
          </w:tcPr>
          <w:p w14:paraId="1E3B2014" w14:textId="77777777" w:rsidR="009222B0" w:rsidRPr="002D1723" w:rsidRDefault="009222B0" w:rsidP="002D1723">
            <w:pPr>
              <w:spacing w:line="360" w:lineRule="auto"/>
              <w:rPr>
                <w:szCs w:val="24"/>
              </w:rPr>
            </w:pPr>
            <w:r w:rsidRPr="002D1723">
              <w:rPr>
                <w:szCs w:val="24"/>
              </w:rPr>
              <w:t>Continuous monitoring of material costs, long-term procurement agreements, and value engineering</w:t>
            </w:r>
          </w:p>
        </w:tc>
      </w:tr>
      <w:tr w:rsidR="009222B0" w:rsidRPr="002D1723" w14:paraId="3210E18A" w14:textId="77777777" w:rsidTr="00F96CB8">
        <w:trPr>
          <w:trHeight w:val="1656"/>
        </w:trPr>
        <w:tc>
          <w:tcPr>
            <w:tcW w:w="1885" w:type="dxa"/>
          </w:tcPr>
          <w:p w14:paraId="0B93A3D0" w14:textId="77777777" w:rsidR="009222B0" w:rsidRPr="002D1723" w:rsidRDefault="009222B0" w:rsidP="002D1723">
            <w:pPr>
              <w:spacing w:line="360" w:lineRule="auto"/>
              <w:rPr>
                <w:szCs w:val="24"/>
              </w:rPr>
            </w:pPr>
            <w:r w:rsidRPr="002D1723">
              <w:rPr>
                <w:szCs w:val="24"/>
              </w:rPr>
              <w:lastRenderedPageBreak/>
              <w:t>Design Changes</w:t>
            </w:r>
          </w:p>
        </w:tc>
        <w:tc>
          <w:tcPr>
            <w:tcW w:w="2070" w:type="dxa"/>
          </w:tcPr>
          <w:p w14:paraId="3A0024BA" w14:textId="77777777" w:rsidR="009222B0" w:rsidRPr="002D1723" w:rsidRDefault="009222B0" w:rsidP="002D1723">
            <w:pPr>
              <w:spacing w:line="360" w:lineRule="auto"/>
              <w:rPr>
                <w:szCs w:val="24"/>
              </w:rPr>
            </w:pPr>
            <w:r w:rsidRPr="002D1723">
              <w:rPr>
                <w:szCs w:val="24"/>
              </w:rPr>
              <w:t>Budget Overruns, Timeline Delays</w:t>
            </w:r>
          </w:p>
        </w:tc>
        <w:tc>
          <w:tcPr>
            <w:tcW w:w="1620" w:type="dxa"/>
          </w:tcPr>
          <w:p w14:paraId="328DB5F5" w14:textId="77777777" w:rsidR="009222B0" w:rsidRPr="002D1723" w:rsidRDefault="009222B0" w:rsidP="002D1723">
            <w:pPr>
              <w:spacing w:line="360" w:lineRule="auto"/>
              <w:rPr>
                <w:szCs w:val="24"/>
              </w:rPr>
            </w:pPr>
            <w:r w:rsidRPr="002D1723">
              <w:rPr>
                <w:szCs w:val="24"/>
              </w:rPr>
              <w:t>High</w:t>
            </w:r>
          </w:p>
        </w:tc>
        <w:tc>
          <w:tcPr>
            <w:tcW w:w="7022" w:type="dxa"/>
          </w:tcPr>
          <w:p w14:paraId="018A4F4D" w14:textId="77777777" w:rsidR="009222B0" w:rsidRPr="002D1723" w:rsidRDefault="009222B0" w:rsidP="002D1723">
            <w:pPr>
              <w:spacing w:line="360" w:lineRule="auto"/>
              <w:rPr>
                <w:szCs w:val="24"/>
              </w:rPr>
            </w:pPr>
            <w:r w:rsidRPr="002D1723">
              <w:rPr>
                <w:szCs w:val="24"/>
              </w:rPr>
              <w:t>Robust change management protocols, impact assessments, and stakeholder alignment for any modifications</w:t>
            </w:r>
          </w:p>
        </w:tc>
      </w:tr>
      <w:tr w:rsidR="009222B0" w:rsidRPr="002D1723" w14:paraId="0469E345" w14:textId="77777777" w:rsidTr="00F96CB8">
        <w:trPr>
          <w:trHeight w:val="935"/>
        </w:trPr>
        <w:tc>
          <w:tcPr>
            <w:tcW w:w="1885" w:type="dxa"/>
          </w:tcPr>
          <w:p w14:paraId="4CA93730" w14:textId="77777777" w:rsidR="009222B0" w:rsidRPr="002D1723" w:rsidRDefault="009222B0" w:rsidP="002D1723">
            <w:pPr>
              <w:spacing w:line="360" w:lineRule="auto"/>
              <w:rPr>
                <w:szCs w:val="24"/>
              </w:rPr>
            </w:pPr>
            <w:r w:rsidRPr="002D1723">
              <w:rPr>
                <w:szCs w:val="24"/>
              </w:rPr>
              <w:t>Unforeseen Site Conditions</w:t>
            </w:r>
          </w:p>
        </w:tc>
        <w:tc>
          <w:tcPr>
            <w:tcW w:w="2070" w:type="dxa"/>
          </w:tcPr>
          <w:p w14:paraId="12B6F96E" w14:textId="77777777" w:rsidR="009222B0" w:rsidRPr="002D1723" w:rsidRDefault="009222B0" w:rsidP="002D1723">
            <w:pPr>
              <w:spacing w:line="360" w:lineRule="auto"/>
              <w:rPr>
                <w:szCs w:val="24"/>
              </w:rPr>
            </w:pPr>
            <w:r w:rsidRPr="002D1723">
              <w:rPr>
                <w:szCs w:val="24"/>
              </w:rPr>
              <w:t>Additional Costs, Project Delays</w:t>
            </w:r>
          </w:p>
        </w:tc>
        <w:tc>
          <w:tcPr>
            <w:tcW w:w="1620" w:type="dxa"/>
          </w:tcPr>
          <w:p w14:paraId="108BA99C" w14:textId="77777777" w:rsidR="009222B0" w:rsidRPr="002D1723" w:rsidRDefault="009222B0" w:rsidP="002D1723">
            <w:pPr>
              <w:spacing w:line="360" w:lineRule="auto"/>
              <w:rPr>
                <w:szCs w:val="24"/>
              </w:rPr>
            </w:pPr>
            <w:r w:rsidRPr="002D1723">
              <w:rPr>
                <w:szCs w:val="24"/>
              </w:rPr>
              <w:t>Moderate</w:t>
            </w:r>
          </w:p>
        </w:tc>
        <w:tc>
          <w:tcPr>
            <w:tcW w:w="7022" w:type="dxa"/>
          </w:tcPr>
          <w:p w14:paraId="58F6856F" w14:textId="77777777" w:rsidR="009222B0" w:rsidRPr="002D1723" w:rsidRDefault="009222B0" w:rsidP="002D1723">
            <w:pPr>
              <w:spacing w:line="360" w:lineRule="auto"/>
              <w:rPr>
                <w:szCs w:val="24"/>
              </w:rPr>
            </w:pPr>
            <w:r w:rsidRPr="002D1723">
              <w:rPr>
                <w:szCs w:val="24"/>
              </w:rPr>
              <w:t>Comprehensive site assessments, risk contingency budget, and preemptive risk response plans</w:t>
            </w:r>
          </w:p>
        </w:tc>
      </w:tr>
    </w:tbl>
    <w:p w14:paraId="6D408FC7" w14:textId="77777777" w:rsidR="009222B0" w:rsidRPr="002D1723" w:rsidRDefault="009222B0" w:rsidP="002D1723">
      <w:pPr>
        <w:spacing w:line="360" w:lineRule="auto"/>
        <w:jc w:val="both"/>
        <w:rPr>
          <w:szCs w:val="24"/>
        </w:rPr>
      </w:pPr>
    </w:p>
    <w:p w14:paraId="60D8AA98" w14:textId="77777777" w:rsidR="009222B0" w:rsidRPr="002D1723" w:rsidRDefault="009222B0" w:rsidP="002D1723">
      <w:pPr>
        <w:spacing w:line="360" w:lineRule="auto"/>
        <w:jc w:val="both"/>
        <w:rPr>
          <w:szCs w:val="24"/>
        </w:rPr>
        <w:sectPr w:rsidR="009222B0" w:rsidRPr="002D1723" w:rsidSect="004F3BB4">
          <w:pgSz w:w="15840" w:h="12240" w:orient="landscape"/>
          <w:pgMar w:top="1440" w:right="1440" w:bottom="1440" w:left="1440" w:header="720" w:footer="720" w:gutter="0"/>
          <w:cols w:space="720"/>
          <w:docGrid w:linePitch="360"/>
        </w:sectPr>
      </w:pPr>
      <w:r w:rsidRPr="002D1723">
        <w:rPr>
          <w:szCs w:val="24"/>
        </w:rPr>
        <w:t>Table Showing Risk Analysis</w:t>
      </w:r>
    </w:p>
    <w:p w14:paraId="4D5AC119" w14:textId="77777777" w:rsidR="002D1723" w:rsidRPr="002D1723" w:rsidRDefault="002D1723" w:rsidP="002D1723">
      <w:pPr>
        <w:pStyle w:val="Style3"/>
      </w:pPr>
      <w:bookmarkStart w:id="14" w:name="_Toc151105473"/>
      <w:r w:rsidRPr="002D1723">
        <w:lastRenderedPageBreak/>
        <w:t>Risk Factors and possible mitigation strategies</w:t>
      </w:r>
      <w:bookmarkEnd w:id="14"/>
      <w:r w:rsidRPr="002D1723">
        <w:t xml:space="preserve"> </w:t>
      </w:r>
    </w:p>
    <w:p w14:paraId="3F35AF2F" w14:textId="12ACF283" w:rsidR="007739EF" w:rsidRPr="002D1723" w:rsidRDefault="002D1723" w:rsidP="002D1723">
      <w:pPr>
        <w:pStyle w:val="ListParagraph"/>
        <w:numPr>
          <w:ilvl w:val="0"/>
          <w:numId w:val="6"/>
        </w:numPr>
        <w:spacing w:line="360" w:lineRule="auto"/>
        <w:ind w:left="360"/>
        <w:jc w:val="both"/>
        <w:rPr>
          <w:szCs w:val="24"/>
        </w:rPr>
      </w:pPr>
      <w:r w:rsidRPr="002D1723">
        <w:rPr>
          <w:szCs w:val="24"/>
        </w:rPr>
        <w:t>Changes in Regulatory Requirements</w:t>
      </w:r>
      <w:r w:rsidRPr="002D1723">
        <w:rPr>
          <w:szCs w:val="24"/>
        </w:rPr>
        <w:t xml:space="preserve">: </w:t>
      </w:r>
      <w:r w:rsidR="007739EF" w:rsidRPr="002D1723">
        <w:rPr>
          <w:szCs w:val="24"/>
        </w:rPr>
        <w:t>Changes in regulatory regulations are one of the possible hazards associated with the Google Headquarters project, and they could cause delays and higher project costs. Proactive compliance inspections, flexible adaption techniques, and regular contact with regulatory bodies are crucial in mitigating this risk (Božić, 2023).</w:t>
      </w:r>
    </w:p>
    <w:p w14:paraId="0732E559" w14:textId="2294E169" w:rsidR="007739EF" w:rsidRPr="002D1723" w:rsidRDefault="002D1723" w:rsidP="002D1723">
      <w:pPr>
        <w:pStyle w:val="ListParagraph"/>
        <w:numPr>
          <w:ilvl w:val="0"/>
          <w:numId w:val="6"/>
        </w:numPr>
        <w:spacing w:line="360" w:lineRule="auto"/>
        <w:ind w:left="360"/>
        <w:jc w:val="both"/>
        <w:rPr>
          <w:szCs w:val="24"/>
        </w:rPr>
      </w:pPr>
      <w:r w:rsidRPr="002D1723">
        <w:rPr>
          <w:szCs w:val="24"/>
        </w:rPr>
        <w:t>Unfavorable weath</w:t>
      </w:r>
      <w:r w:rsidRPr="002D1723">
        <w:rPr>
          <w:szCs w:val="24"/>
        </w:rPr>
        <w:t>er Conditions</w:t>
      </w:r>
      <w:r w:rsidRPr="002D1723">
        <w:rPr>
          <w:szCs w:val="24"/>
        </w:rPr>
        <w:t>: Unfavorable</w:t>
      </w:r>
      <w:r w:rsidR="007739EF" w:rsidRPr="002D1723">
        <w:rPr>
          <w:szCs w:val="24"/>
        </w:rPr>
        <w:t xml:space="preserve"> weather conditions have also been noted as a risk factor that could cause delays in construction. Important mitigating techniques include using backup plans in case of weather-related delays and keeping a flexible schedule for projects (Schuldt et al., 2021).</w:t>
      </w:r>
    </w:p>
    <w:p w14:paraId="07D72E1D" w14:textId="008748EB" w:rsidR="007739EF" w:rsidRPr="002D1723" w:rsidRDefault="002D1723" w:rsidP="002D1723">
      <w:pPr>
        <w:pStyle w:val="ListParagraph"/>
        <w:numPr>
          <w:ilvl w:val="0"/>
          <w:numId w:val="6"/>
        </w:numPr>
        <w:spacing w:line="360" w:lineRule="auto"/>
        <w:ind w:left="360"/>
        <w:jc w:val="both"/>
        <w:rPr>
          <w:szCs w:val="24"/>
        </w:rPr>
      </w:pPr>
      <w:r w:rsidRPr="002D1723">
        <w:rPr>
          <w:szCs w:val="24"/>
        </w:rPr>
        <w:t>Supply Chain Disruptions</w:t>
      </w:r>
      <w:r w:rsidRPr="002D1723">
        <w:rPr>
          <w:szCs w:val="24"/>
        </w:rPr>
        <w:t xml:space="preserve">: </w:t>
      </w:r>
      <w:r w:rsidR="007739EF" w:rsidRPr="002D1723">
        <w:rPr>
          <w:szCs w:val="24"/>
        </w:rPr>
        <w:t>A moderate risk is the possibility of supply chain interruptions resulting in a lack of materials. Strategies like buffer stock maintenance, supplier diversification, and investigating alternate sourcing techniques are advised as a countermeasure (Paul, Sarker &amp; Essam, 2015).</w:t>
      </w:r>
    </w:p>
    <w:p w14:paraId="77EA5BB3" w14:textId="1A2DFB7E" w:rsidR="007739EF" w:rsidRPr="002D1723" w:rsidRDefault="002D1723" w:rsidP="002D1723">
      <w:pPr>
        <w:pStyle w:val="ListParagraph"/>
        <w:numPr>
          <w:ilvl w:val="0"/>
          <w:numId w:val="6"/>
        </w:numPr>
        <w:spacing w:line="360" w:lineRule="auto"/>
        <w:ind w:left="360"/>
        <w:jc w:val="both"/>
        <w:rPr>
          <w:szCs w:val="24"/>
        </w:rPr>
      </w:pPr>
      <w:r w:rsidRPr="002D1723">
        <w:rPr>
          <w:szCs w:val="24"/>
        </w:rPr>
        <w:t>Scope Creep</w:t>
      </w:r>
      <w:r w:rsidRPr="002D1723">
        <w:rPr>
          <w:szCs w:val="24"/>
        </w:rPr>
        <w:t xml:space="preserve">: </w:t>
      </w:r>
      <w:r w:rsidR="007739EF" w:rsidRPr="002D1723">
        <w:rPr>
          <w:szCs w:val="24"/>
        </w:rPr>
        <w:t xml:space="preserve">Uncontrolled modifications to a project's scope, or scope creep, provide a significant </w:t>
      </w:r>
      <w:r w:rsidRPr="002D1723">
        <w:rPr>
          <w:szCs w:val="24"/>
        </w:rPr>
        <w:t>risk</w:t>
      </w:r>
      <w:r w:rsidR="007739EF" w:rsidRPr="002D1723">
        <w:rPr>
          <w:szCs w:val="24"/>
        </w:rPr>
        <w:t xml:space="preserve">. Establishing strict change control procedures, regular scope reviews, and stakeholder alignment </w:t>
      </w:r>
      <w:r w:rsidRPr="002D1723">
        <w:rPr>
          <w:szCs w:val="24"/>
        </w:rPr>
        <w:t>is</w:t>
      </w:r>
      <w:r w:rsidR="007739EF" w:rsidRPr="002D1723">
        <w:rPr>
          <w:szCs w:val="24"/>
        </w:rPr>
        <w:t xml:space="preserve"> crucial to reducing this (Komal et al., 2020).</w:t>
      </w:r>
    </w:p>
    <w:p w14:paraId="6C91E84C" w14:textId="281AB483" w:rsidR="007739EF" w:rsidRPr="002D1723" w:rsidRDefault="00955253" w:rsidP="002D1723">
      <w:pPr>
        <w:pStyle w:val="ListParagraph"/>
        <w:numPr>
          <w:ilvl w:val="0"/>
          <w:numId w:val="6"/>
        </w:numPr>
        <w:spacing w:line="360" w:lineRule="auto"/>
        <w:ind w:left="360"/>
        <w:jc w:val="both"/>
        <w:rPr>
          <w:szCs w:val="24"/>
        </w:rPr>
      </w:pPr>
      <w:r w:rsidRPr="002D1723">
        <w:rPr>
          <w:szCs w:val="24"/>
        </w:rPr>
        <w:t>Labor Shortages</w:t>
      </w:r>
      <w:r>
        <w:rPr>
          <w:szCs w:val="24"/>
        </w:rPr>
        <w:t xml:space="preserve">: </w:t>
      </w:r>
      <w:r w:rsidR="002D1723" w:rsidRPr="002D1723">
        <w:rPr>
          <w:szCs w:val="24"/>
        </w:rPr>
        <w:t>Another</w:t>
      </w:r>
      <w:r w:rsidR="007739EF" w:rsidRPr="002D1723">
        <w:rPr>
          <w:szCs w:val="24"/>
        </w:rPr>
        <w:t xml:space="preserve"> moderate risk that could cause delays in construction is </w:t>
      </w:r>
      <w:r w:rsidR="002D1723" w:rsidRPr="002D1723">
        <w:rPr>
          <w:szCs w:val="24"/>
        </w:rPr>
        <w:t>labor</w:t>
      </w:r>
      <w:r w:rsidR="007739EF" w:rsidRPr="002D1723">
        <w:rPr>
          <w:szCs w:val="24"/>
        </w:rPr>
        <w:t xml:space="preserve"> shortages. Workforce contingency planning, skill development initiatives, and cooperation with various </w:t>
      </w:r>
      <w:r w:rsidR="002D1723" w:rsidRPr="002D1723">
        <w:rPr>
          <w:szCs w:val="24"/>
        </w:rPr>
        <w:t>labor</w:t>
      </w:r>
      <w:r w:rsidR="007739EF" w:rsidRPr="002D1723">
        <w:rPr>
          <w:szCs w:val="24"/>
        </w:rPr>
        <w:t xml:space="preserve"> sources are examples of mitigation solutions (Rahim et al., 2016).</w:t>
      </w:r>
    </w:p>
    <w:p w14:paraId="5C779D3E" w14:textId="27099A5A" w:rsidR="007739EF" w:rsidRPr="002D1723" w:rsidRDefault="002D1723" w:rsidP="002D1723">
      <w:pPr>
        <w:pStyle w:val="ListParagraph"/>
        <w:numPr>
          <w:ilvl w:val="0"/>
          <w:numId w:val="6"/>
        </w:numPr>
        <w:spacing w:line="360" w:lineRule="auto"/>
        <w:ind w:left="360"/>
        <w:jc w:val="both"/>
        <w:rPr>
          <w:szCs w:val="24"/>
        </w:rPr>
      </w:pPr>
      <w:r w:rsidRPr="002D1723">
        <w:rPr>
          <w:szCs w:val="24"/>
        </w:rPr>
        <w:t>Cost Escalation in Materials</w:t>
      </w:r>
      <w:r w:rsidRPr="002D1723">
        <w:rPr>
          <w:szCs w:val="24"/>
        </w:rPr>
        <w:t xml:space="preserve">: </w:t>
      </w:r>
      <w:r w:rsidRPr="002D1723">
        <w:rPr>
          <w:szCs w:val="24"/>
        </w:rPr>
        <w:t>Escalation in material costs is a moderate risk</w:t>
      </w:r>
      <w:r w:rsidR="007739EF" w:rsidRPr="002D1723">
        <w:rPr>
          <w:szCs w:val="24"/>
        </w:rPr>
        <w:t xml:space="preserve">. </w:t>
      </w:r>
      <w:r w:rsidR="00955253">
        <w:rPr>
          <w:szCs w:val="24"/>
        </w:rPr>
        <w:t>Advised mitigation techniques</w:t>
      </w:r>
      <w:r w:rsidR="007739EF" w:rsidRPr="002D1723">
        <w:rPr>
          <w:szCs w:val="24"/>
        </w:rPr>
        <w:t xml:space="preserve"> include employing value engineering </w:t>
      </w:r>
      <w:r w:rsidRPr="002D1723">
        <w:rPr>
          <w:szCs w:val="24"/>
        </w:rPr>
        <w:t>practices</w:t>
      </w:r>
      <w:r w:rsidR="007739EF" w:rsidRPr="002D1723">
        <w:rPr>
          <w:szCs w:val="24"/>
        </w:rPr>
        <w:t>, negotiating long-term procurement agreements, and continuously monitoring material costs (Shane et al., 2009).</w:t>
      </w:r>
    </w:p>
    <w:p w14:paraId="110061CF" w14:textId="621266C1" w:rsidR="007739EF" w:rsidRPr="002D1723" w:rsidRDefault="007739EF" w:rsidP="002D1723">
      <w:pPr>
        <w:pStyle w:val="ListParagraph"/>
        <w:numPr>
          <w:ilvl w:val="0"/>
          <w:numId w:val="6"/>
        </w:numPr>
        <w:spacing w:line="360" w:lineRule="auto"/>
        <w:ind w:left="360"/>
        <w:jc w:val="both"/>
        <w:rPr>
          <w:szCs w:val="24"/>
        </w:rPr>
      </w:pPr>
      <w:r w:rsidRPr="002D1723">
        <w:rPr>
          <w:szCs w:val="24"/>
        </w:rPr>
        <w:t>Modifications in Design</w:t>
      </w:r>
      <w:r w:rsidR="002D1723" w:rsidRPr="002D1723">
        <w:rPr>
          <w:szCs w:val="24"/>
        </w:rPr>
        <w:t xml:space="preserve">: </w:t>
      </w:r>
      <w:r w:rsidRPr="002D1723">
        <w:rPr>
          <w:szCs w:val="24"/>
        </w:rPr>
        <w:t>Modifications to the design carry a significant risk of exceeding the budget and delaying the schedule. Stakeholder alignment for any alterations, impact assessments, and strict change management protocols are all components of mitigation methods (Abdul-Rahman, Wang &amp; Yap, 2017).</w:t>
      </w:r>
    </w:p>
    <w:p w14:paraId="7B1BB328" w14:textId="3CAAFA59" w:rsidR="007739EF" w:rsidRPr="002D1723" w:rsidRDefault="002D1723" w:rsidP="002D1723">
      <w:pPr>
        <w:pStyle w:val="ListParagraph"/>
        <w:numPr>
          <w:ilvl w:val="0"/>
          <w:numId w:val="6"/>
        </w:numPr>
        <w:spacing w:line="360" w:lineRule="auto"/>
        <w:ind w:left="360"/>
        <w:jc w:val="both"/>
        <w:rPr>
          <w:szCs w:val="24"/>
        </w:rPr>
      </w:pPr>
      <w:r w:rsidRPr="002D1723">
        <w:rPr>
          <w:szCs w:val="24"/>
        </w:rPr>
        <w:t>Unforeseen Site Conditions</w:t>
      </w:r>
      <w:r w:rsidRPr="002D1723">
        <w:rPr>
          <w:szCs w:val="24"/>
        </w:rPr>
        <w:t xml:space="preserve">: </w:t>
      </w:r>
      <w:r w:rsidR="007739EF" w:rsidRPr="002D1723">
        <w:rPr>
          <w:szCs w:val="24"/>
        </w:rPr>
        <w:t xml:space="preserve">Unexpected site circumstances pose a moderate risk of incurring extra expenses and delaying the project. Comprehensive site assessments, </w:t>
      </w:r>
      <w:r w:rsidR="007739EF" w:rsidRPr="002D1723">
        <w:rPr>
          <w:szCs w:val="24"/>
        </w:rPr>
        <w:lastRenderedPageBreak/>
        <w:t>the setting aside of funds for a risk contingency, and proactive risk response strategies are necessary to lessen this (</w:t>
      </w:r>
      <w:proofErr w:type="spellStart"/>
      <w:r w:rsidR="007739EF" w:rsidRPr="002D1723">
        <w:rPr>
          <w:szCs w:val="24"/>
        </w:rPr>
        <w:t>Banaitienė</w:t>
      </w:r>
      <w:proofErr w:type="spellEnd"/>
      <w:r w:rsidR="007739EF" w:rsidRPr="002D1723">
        <w:rPr>
          <w:szCs w:val="24"/>
        </w:rPr>
        <w:t xml:space="preserve"> &amp; </w:t>
      </w:r>
      <w:proofErr w:type="spellStart"/>
      <w:r w:rsidR="007739EF" w:rsidRPr="002D1723">
        <w:rPr>
          <w:szCs w:val="24"/>
        </w:rPr>
        <w:t>Banaitis</w:t>
      </w:r>
      <w:proofErr w:type="spellEnd"/>
      <w:r w:rsidR="007739EF" w:rsidRPr="002D1723">
        <w:rPr>
          <w:szCs w:val="24"/>
        </w:rPr>
        <w:t>, 2012).</w:t>
      </w:r>
    </w:p>
    <w:p w14:paraId="6C7BA587" w14:textId="77777777" w:rsidR="007739EF" w:rsidRDefault="007739EF" w:rsidP="002D1723">
      <w:pPr>
        <w:spacing w:line="360" w:lineRule="auto"/>
        <w:jc w:val="both"/>
        <w:rPr>
          <w:szCs w:val="24"/>
        </w:rPr>
      </w:pPr>
    </w:p>
    <w:p w14:paraId="2CBF439A" w14:textId="77777777" w:rsidR="00955253" w:rsidRPr="002D1723" w:rsidRDefault="00955253" w:rsidP="002D1723">
      <w:pPr>
        <w:spacing w:line="360" w:lineRule="auto"/>
        <w:jc w:val="both"/>
        <w:rPr>
          <w:szCs w:val="24"/>
        </w:rPr>
      </w:pPr>
    </w:p>
    <w:p w14:paraId="2E2F2163" w14:textId="77777777" w:rsidR="002D1723" w:rsidRPr="002D1723" w:rsidRDefault="002D1723" w:rsidP="002D1723">
      <w:pPr>
        <w:pStyle w:val="Style1"/>
      </w:pPr>
      <w:bookmarkStart w:id="15" w:name="_Toc151105474"/>
      <w:r w:rsidRPr="002D1723">
        <w:t>CONCLUSION</w:t>
      </w:r>
      <w:bookmarkEnd w:id="15"/>
    </w:p>
    <w:p w14:paraId="2DACF924" w14:textId="187DC098" w:rsidR="002D1723" w:rsidRPr="002D1723" w:rsidRDefault="002D1723" w:rsidP="002D1723">
      <w:pPr>
        <w:spacing w:line="360" w:lineRule="auto"/>
        <w:jc w:val="both"/>
        <w:rPr>
          <w:szCs w:val="24"/>
        </w:rPr>
      </w:pPr>
      <w:r w:rsidRPr="002D1723">
        <w:rPr>
          <w:szCs w:val="24"/>
        </w:rPr>
        <w:t xml:space="preserve">The development of Google's headquarters at King's Cross, London, is a substantial investment in the UK that could boost the local economy and technology hub status. Time management, budgetary issues, quality benchmarks, stakeholder involvement strategies, and detailed risk assessment are critical evaluation criteria to ensure its success. </w:t>
      </w:r>
    </w:p>
    <w:p w14:paraId="5FDEB75D" w14:textId="674C6E5A" w:rsidR="002D1723" w:rsidRPr="002D1723" w:rsidRDefault="002D1723" w:rsidP="002D1723">
      <w:pPr>
        <w:spacing w:line="360" w:lineRule="auto"/>
        <w:jc w:val="both"/>
        <w:rPr>
          <w:szCs w:val="24"/>
        </w:rPr>
      </w:pPr>
      <w:r w:rsidRPr="002D1723">
        <w:rPr>
          <w:szCs w:val="24"/>
        </w:rPr>
        <w:t xml:space="preserve">Estimated cost overruns from budget analysis show the need for value engineering and effective construction management. Time management </w:t>
      </w:r>
      <w:r w:rsidRPr="002D1723">
        <w:rPr>
          <w:szCs w:val="24"/>
        </w:rPr>
        <w:t>emphasizes</w:t>
      </w:r>
      <w:r w:rsidRPr="002D1723">
        <w:rPr>
          <w:szCs w:val="24"/>
        </w:rPr>
        <w:t xml:space="preserve"> planning and executing tasks accurately to meet deadlines. Detailed methods for judging quality </w:t>
      </w:r>
      <w:r w:rsidRPr="002D1723">
        <w:rPr>
          <w:szCs w:val="24"/>
        </w:rPr>
        <w:t>emphasize</w:t>
      </w:r>
      <w:r w:rsidRPr="002D1723">
        <w:rPr>
          <w:szCs w:val="24"/>
        </w:rPr>
        <w:t xml:space="preserve"> stringent building codes, safety procedures, and high-quality outcomes. Stakeholder </w:t>
      </w:r>
      <w:r w:rsidRPr="002D1723">
        <w:rPr>
          <w:szCs w:val="24"/>
        </w:rPr>
        <w:t>analysis</w:t>
      </w:r>
      <w:r w:rsidRPr="002D1723">
        <w:rPr>
          <w:szCs w:val="24"/>
        </w:rPr>
        <w:t xml:space="preserve"> revealed key stakeholders, their issues, and communication strategies, </w:t>
      </w:r>
      <w:r w:rsidRPr="002D1723">
        <w:rPr>
          <w:szCs w:val="24"/>
        </w:rPr>
        <w:t>emphasizing</w:t>
      </w:r>
      <w:r w:rsidRPr="002D1723">
        <w:rPr>
          <w:szCs w:val="24"/>
        </w:rPr>
        <w:t xml:space="preserve"> the need for open and efficient engagement. Risk analysis identified potential risk events and offered mitigation methods such </w:t>
      </w:r>
      <w:r w:rsidRPr="002D1723">
        <w:rPr>
          <w:szCs w:val="24"/>
        </w:rPr>
        <w:t xml:space="preserve">as </w:t>
      </w:r>
      <w:r w:rsidRPr="002D1723">
        <w:rPr>
          <w:szCs w:val="24"/>
        </w:rPr>
        <w:t>proactive compliance checks, backup plans, and stringent change control.</w:t>
      </w:r>
    </w:p>
    <w:p w14:paraId="0054699B" w14:textId="57124816" w:rsidR="00DA1392" w:rsidRPr="002D1723" w:rsidRDefault="00955253" w:rsidP="002D1723">
      <w:pPr>
        <w:spacing w:line="360" w:lineRule="auto"/>
        <w:jc w:val="both"/>
        <w:rPr>
          <w:szCs w:val="24"/>
        </w:rPr>
      </w:pPr>
      <w:r>
        <w:rPr>
          <w:szCs w:val="24"/>
        </w:rPr>
        <w:t>Value engineering and effective construction management strategies should be implemented to optimize the budget</w:t>
      </w:r>
      <w:r w:rsidR="002D1723" w:rsidRPr="002D1723">
        <w:rPr>
          <w:szCs w:val="24"/>
        </w:rPr>
        <w:t>.</w:t>
      </w:r>
      <w:r w:rsidR="002D1723" w:rsidRPr="002D1723">
        <w:rPr>
          <w:szCs w:val="24"/>
        </w:rPr>
        <w:t xml:space="preserve"> Careful planning and execution are needed to meet deadlines and ensure a smooth transfer. </w:t>
      </w:r>
      <w:r>
        <w:rPr>
          <w:szCs w:val="24"/>
        </w:rPr>
        <w:t>A solid Quality Management System, careful supplier and contractor selection, and continuing improvement projects should maintain quality standards</w:t>
      </w:r>
      <w:r w:rsidR="002D1723" w:rsidRPr="002D1723">
        <w:rPr>
          <w:szCs w:val="24"/>
        </w:rPr>
        <w:t xml:space="preserve">. </w:t>
      </w:r>
    </w:p>
    <w:p w14:paraId="3C3787A1" w14:textId="367339B3" w:rsidR="00955253" w:rsidRDefault="002D1723" w:rsidP="00955253">
      <w:pPr>
        <w:spacing w:line="360" w:lineRule="auto"/>
        <w:jc w:val="both"/>
        <w:rPr>
          <w:szCs w:val="24"/>
        </w:rPr>
      </w:pPr>
      <w:r w:rsidRPr="002D1723">
        <w:rPr>
          <w:szCs w:val="24"/>
        </w:rPr>
        <w:t>Effective and transparent communication with all relevant parties</w:t>
      </w:r>
      <w:r w:rsidR="00955253">
        <w:rPr>
          <w:szCs w:val="24"/>
        </w:rPr>
        <w:t>, including Google executives, the neighborhood, building companies, workers, authorities, and investors, is crucial</w:t>
      </w:r>
      <w:r w:rsidRPr="002D1723">
        <w:rPr>
          <w:szCs w:val="24"/>
        </w:rPr>
        <w:t xml:space="preserve">. </w:t>
      </w:r>
      <w:r w:rsidRPr="002D1723">
        <w:rPr>
          <w:szCs w:val="24"/>
        </w:rPr>
        <w:t>It is advised to implement proactive compliance inspections, backup plans, supplier diversification, strict change control procedures, and proactive risk response plans to reduce potential risks</w:t>
      </w:r>
      <w:r w:rsidRPr="002D1723">
        <w:rPr>
          <w:szCs w:val="24"/>
        </w:rPr>
        <w:t xml:space="preserve">. The project can </w:t>
      </w:r>
      <w:r w:rsidRPr="002D1723">
        <w:rPr>
          <w:szCs w:val="24"/>
        </w:rPr>
        <w:t>fulfill</w:t>
      </w:r>
      <w:r w:rsidRPr="002D1723">
        <w:rPr>
          <w:szCs w:val="24"/>
        </w:rPr>
        <w:t xml:space="preserve"> its promise as a ground-breaking emblem of creativity and economic expansion by </w:t>
      </w:r>
      <w:r w:rsidR="00955253">
        <w:rPr>
          <w:szCs w:val="24"/>
        </w:rPr>
        <w:t>implementing these tactics</w:t>
      </w:r>
      <w:r w:rsidRPr="002D1723">
        <w:rPr>
          <w:szCs w:val="24"/>
        </w:rPr>
        <w:t>.</w:t>
      </w:r>
      <w:r w:rsidR="00955253">
        <w:rPr>
          <w:szCs w:val="24"/>
        </w:rPr>
        <w:br w:type="page"/>
      </w:r>
    </w:p>
    <w:p w14:paraId="182778E2" w14:textId="685AEB2F" w:rsidR="002D1723" w:rsidRDefault="00955253" w:rsidP="00955253">
      <w:pPr>
        <w:pStyle w:val="Style1"/>
      </w:pPr>
      <w:bookmarkStart w:id="16" w:name="_Toc151105475"/>
      <w:r>
        <w:lastRenderedPageBreak/>
        <w:t>REFERENCES</w:t>
      </w:r>
      <w:bookmarkEnd w:id="16"/>
    </w:p>
    <w:p w14:paraId="6BF84B50"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Abdul-Rahman, H., Wang, C., &amp; Yap, J. B. H. (2017). Impacts of design changes on construction project performance: Insights from literature review. </w:t>
      </w:r>
      <w:r w:rsidRPr="0098528D">
        <w:rPr>
          <w:rFonts w:ascii="Arial" w:hAnsi="Arial" w:cs="Arial"/>
          <w:i/>
          <w:iCs/>
        </w:rPr>
        <w:t>ResearchGate</w:t>
      </w:r>
      <w:r w:rsidRPr="0098528D">
        <w:rPr>
          <w:rFonts w:ascii="Arial" w:hAnsi="Arial" w:cs="Arial"/>
        </w:rPr>
        <w:t xml:space="preserve">. </w:t>
      </w:r>
      <w:hyperlink r:id="rId16" w:history="1">
        <w:r w:rsidRPr="0098528D">
          <w:rPr>
            <w:rStyle w:val="Hyperlink"/>
            <w:rFonts w:ascii="Arial" w:hAnsi="Arial" w:cs="Arial"/>
          </w:rPr>
          <w:t>https://www.researchgate.net/publication/315510968_Impacts_of_design_changes_on_construction_project_performance_Insights_from_literature_review</w:t>
        </w:r>
      </w:hyperlink>
    </w:p>
    <w:p w14:paraId="2F6E2005" w14:textId="77777777" w:rsidR="0029756A"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Akintoye, A., Goulding, J., &amp; Zawdie, G. (2012). Construction Innovation and Process Improvement. </w:t>
      </w:r>
      <w:proofErr w:type="spellStart"/>
      <w:r w:rsidRPr="0098528D">
        <w:rPr>
          <w:rFonts w:ascii="Arial" w:hAnsi="Arial" w:cs="Arial"/>
        </w:rPr>
        <w:t>doi</w:t>
      </w:r>
      <w:proofErr w:type="spellEnd"/>
      <w:r w:rsidRPr="0098528D">
        <w:rPr>
          <w:rFonts w:ascii="Arial" w:hAnsi="Arial" w:cs="Arial"/>
        </w:rPr>
        <w:t>: 10.1002/9781118280294.ch1</w:t>
      </w:r>
    </w:p>
    <w:p w14:paraId="2ECF1F48"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Atabay, Ş., &amp; </w:t>
      </w:r>
      <w:proofErr w:type="spellStart"/>
      <w:r w:rsidRPr="0098528D">
        <w:rPr>
          <w:rFonts w:ascii="Arial" w:hAnsi="Arial" w:cs="Arial"/>
        </w:rPr>
        <w:t>Galipogullari</w:t>
      </w:r>
      <w:proofErr w:type="spellEnd"/>
      <w:r w:rsidRPr="0098528D">
        <w:rPr>
          <w:rFonts w:ascii="Arial" w:hAnsi="Arial" w:cs="Arial"/>
        </w:rPr>
        <w:t xml:space="preserve">, N. (2013). Application of value engineering in construction projects. </w:t>
      </w:r>
      <w:r w:rsidRPr="0098528D">
        <w:rPr>
          <w:rFonts w:ascii="Arial" w:hAnsi="Arial" w:cs="Arial"/>
          <w:i/>
          <w:iCs/>
        </w:rPr>
        <w:t>Journal of Traffic and Transportation Engineering</w:t>
      </w:r>
      <w:r w:rsidRPr="0098528D">
        <w:rPr>
          <w:rFonts w:ascii="Arial" w:hAnsi="Arial" w:cs="Arial"/>
        </w:rPr>
        <w:t xml:space="preserve">, </w:t>
      </w:r>
      <w:r w:rsidRPr="0098528D">
        <w:rPr>
          <w:rFonts w:ascii="Arial" w:hAnsi="Arial" w:cs="Arial"/>
          <w:i/>
          <w:iCs/>
        </w:rPr>
        <w:t>1</w:t>
      </w:r>
      <w:r w:rsidRPr="0098528D">
        <w:rPr>
          <w:rFonts w:ascii="Arial" w:hAnsi="Arial" w:cs="Arial"/>
        </w:rPr>
        <w:t xml:space="preserve">(12). </w:t>
      </w:r>
      <w:hyperlink r:id="rId17" w:history="1">
        <w:r w:rsidRPr="0098528D">
          <w:rPr>
            <w:rStyle w:val="Hyperlink"/>
            <w:rFonts w:ascii="Arial" w:hAnsi="Arial" w:cs="Arial"/>
          </w:rPr>
          <w:t>https://doi.org/10.17265/2328-2142/2013.12.005</w:t>
        </w:r>
      </w:hyperlink>
    </w:p>
    <w:p w14:paraId="5AEFE139"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Aziz, N. A., Rahim, F. a. M., &amp; Aziz, N. M. (2022). DELAY MITIGATION STRATEGIES AND THE IMPLICATION ON THE CONSTRUCTION INDUSTRY: A SYSTEMATIC LITERATURE REVIEW. </w:t>
      </w:r>
      <w:r w:rsidRPr="0098528D">
        <w:rPr>
          <w:rFonts w:ascii="Arial" w:hAnsi="Arial" w:cs="Arial"/>
          <w:i/>
          <w:iCs/>
        </w:rPr>
        <w:t>PLANNING MALAYSIA JOURNAL</w:t>
      </w:r>
      <w:r w:rsidRPr="0098528D">
        <w:rPr>
          <w:rFonts w:ascii="Arial" w:hAnsi="Arial" w:cs="Arial"/>
        </w:rPr>
        <w:t xml:space="preserve">, </w:t>
      </w:r>
      <w:r w:rsidRPr="0098528D">
        <w:rPr>
          <w:rFonts w:ascii="Arial" w:hAnsi="Arial" w:cs="Arial"/>
          <w:i/>
          <w:iCs/>
        </w:rPr>
        <w:t>20</w:t>
      </w:r>
      <w:r w:rsidRPr="0098528D">
        <w:rPr>
          <w:rFonts w:ascii="Arial" w:hAnsi="Arial" w:cs="Arial"/>
        </w:rPr>
        <w:t xml:space="preserve">. </w:t>
      </w:r>
      <w:hyperlink r:id="rId18" w:history="1">
        <w:r w:rsidRPr="0098528D">
          <w:rPr>
            <w:rStyle w:val="Hyperlink"/>
            <w:rFonts w:ascii="Arial" w:hAnsi="Arial" w:cs="Arial"/>
          </w:rPr>
          <w:t>https://doi.org/10.21837/pm.v20i24.1199</w:t>
        </w:r>
      </w:hyperlink>
    </w:p>
    <w:p w14:paraId="3FA04044"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proofErr w:type="spellStart"/>
      <w:r w:rsidRPr="0098528D">
        <w:rPr>
          <w:rFonts w:ascii="Arial" w:hAnsi="Arial" w:cs="Arial"/>
        </w:rPr>
        <w:t>Banaitienė</w:t>
      </w:r>
      <w:proofErr w:type="spellEnd"/>
      <w:r w:rsidRPr="0098528D">
        <w:rPr>
          <w:rFonts w:ascii="Arial" w:hAnsi="Arial" w:cs="Arial"/>
        </w:rPr>
        <w:t xml:space="preserve">, N., &amp; </w:t>
      </w:r>
      <w:proofErr w:type="spellStart"/>
      <w:r w:rsidRPr="0098528D">
        <w:rPr>
          <w:rFonts w:ascii="Arial" w:hAnsi="Arial" w:cs="Arial"/>
        </w:rPr>
        <w:t>Banaitis</w:t>
      </w:r>
      <w:proofErr w:type="spellEnd"/>
      <w:r w:rsidRPr="0098528D">
        <w:rPr>
          <w:rFonts w:ascii="Arial" w:hAnsi="Arial" w:cs="Arial"/>
        </w:rPr>
        <w:t xml:space="preserve">, A. (2012). Risk management in construction projects. In </w:t>
      </w:r>
      <w:proofErr w:type="spellStart"/>
      <w:r w:rsidRPr="0098528D">
        <w:rPr>
          <w:rFonts w:ascii="Arial" w:hAnsi="Arial" w:cs="Arial"/>
          <w:i/>
          <w:iCs/>
        </w:rPr>
        <w:t>InTech</w:t>
      </w:r>
      <w:proofErr w:type="spellEnd"/>
      <w:r w:rsidRPr="0098528D">
        <w:rPr>
          <w:rFonts w:ascii="Arial" w:hAnsi="Arial" w:cs="Arial"/>
          <w:i/>
          <w:iCs/>
        </w:rPr>
        <w:t xml:space="preserve"> eBooks</w:t>
      </w:r>
      <w:r w:rsidRPr="0098528D">
        <w:rPr>
          <w:rFonts w:ascii="Arial" w:hAnsi="Arial" w:cs="Arial"/>
        </w:rPr>
        <w:t xml:space="preserve">. </w:t>
      </w:r>
      <w:hyperlink r:id="rId19" w:history="1">
        <w:r w:rsidRPr="0098528D">
          <w:rPr>
            <w:rStyle w:val="Hyperlink"/>
            <w:rFonts w:ascii="Arial" w:hAnsi="Arial" w:cs="Arial"/>
          </w:rPr>
          <w:t>https://doi.org/10.5772/51460</w:t>
        </w:r>
      </w:hyperlink>
    </w:p>
    <w:p w14:paraId="01CE5483"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Božić, V. (2023). Intelligent and agile risk management. </w:t>
      </w:r>
      <w:r w:rsidRPr="0098528D">
        <w:rPr>
          <w:rFonts w:ascii="Arial" w:hAnsi="Arial" w:cs="Arial"/>
          <w:i/>
          <w:iCs/>
        </w:rPr>
        <w:t>ResearchGate</w:t>
      </w:r>
      <w:r w:rsidRPr="0098528D">
        <w:rPr>
          <w:rFonts w:ascii="Arial" w:hAnsi="Arial" w:cs="Arial"/>
        </w:rPr>
        <w:t xml:space="preserve">. </w:t>
      </w:r>
      <w:hyperlink r:id="rId20" w:history="1">
        <w:r w:rsidRPr="0098528D">
          <w:rPr>
            <w:rStyle w:val="Hyperlink"/>
            <w:rFonts w:ascii="Arial" w:hAnsi="Arial" w:cs="Arial"/>
          </w:rPr>
          <w:t>https://doi.org/10.13140/RG.2.2.10875.90402</w:t>
        </w:r>
      </w:hyperlink>
    </w:p>
    <w:p w14:paraId="638CD6F7"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De Araújo, M.C.B., Alencar, L.H. and De Miranda Mota, C.M. (2018) 'Decision Criteria for Contractor Selection in Construction Industry: A Literature Review.' </w:t>
      </w:r>
      <w:hyperlink r:id="rId21" w:history="1">
        <w:r w:rsidRPr="0098528D">
          <w:rPr>
            <w:rStyle w:val="Hyperlink"/>
            <w:rFonts w:ascii="Arial" w:hAnsi="Arial" w:cs="Arial"/>
          </w:rPr>
          <w:t>https://doi.org/10.1109/ieem.2018.8607809</w:t>
        </w:r>
      </w:hyperlink>
      <w:r w:rsidRPr="0098528D">
        <w:rPr>
          <w:rFonts w:ascii="Arial" w:hAnsi="Arial" w:cs="Arial"/>
        </w:rPr>
        <w:t>.</w:t>
      </w:r>
    </w:p>
    <w:p w14:paraId="2D1FB679"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proofErr w:type="spellStart"/>
      <w:r w:rsidRPr="0098528D">
        <w:rPr>
          <w:rFonts w:ascii="Arial" w:hAnsi="Arial" w:cs="Arial"/>
        </w:rPr>
        <w:t>Durdyev</w:t>
      </w:r>
      <w:proofErr w:type="spellEnd"/>
      <w:r w:rsidRPr="0098528D">
        <w:rPr>
          <w:rFonts w:ascii="Arial" w:hAnsi="Arial" w:cs="Arial"/>
        </w:rPr>
        <w:t xml:space="preserve">, S. (2020). Review of construction journals on causes of project cost overruns. </w:t>
      </w:r>
      <w:r w:rsidRPr="0098528D">
        <w:rPr>
          <w:rFonts w:ascii="Arial" w:hAnsi="Arial" w:cs="Arial"/>
          <w:i/>
          <w:iCs/>
        </w:rPr>
        <w:t>Engineering, Construction and Architectural Management</w:t>
      </w:r>
      <w:r w:rsidRPr="0098528D">
        <w:rPr>
          <w:rFonts w:ascii="Arial" w:hAnsi="Arial" w:cs="Arial"/>
        </w:rPr>
        <w:t xml:space="preserve">, </w:t>
      </w:r>
      <w:r w:rsidRPr="0098528D">
        <w:rPr>
          <w:rFonts w:ascii="Arial" w:hAnsi="Arial" w:cs="Arial"/>
          <w:i/>
          <w:iCs/>
        </w:rPr>
        <w:t>28</w:t>
      </w:r>
      <w:r w:rsidRPr="0098528D">
        <w:rPr>
          <w:rFonts w:ascii="Arial" w:hAnsi="Arial" w:cs="Arial"/>
        </w:rPr>
        <w:t xml:space="preserve">(4), 1241–1260. </w:t>
      </w:r>
      <w:hyperlink r:id="rId22" w:history="1">
        <w:r w:rsidRPr="0098528D">
          <w:rPr>
            <w:rStyle w:val="Hyperlink"/>
            <w:rFonts w:ascii="Arial" w:hAnsi="Arial" w:cs="Arial"/>
          </w:rPr>
          <w:t>https://doi.org/10.1108/ecam-02-2020-0137</w:t>
        </w:r>
      </w:hyperlink>
    </w:p>
    <w:p w14:paraId="34A80A49"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Galli, B. J. (2021). Effective strategies for communicating and managing communication in a project team. </w:t>
      </w:r>
      <w:r w:rsidRPr="0098528D">
        <w:rPr>
          <w:rFonts w:ascii="Arial" w:hAnsi="Arial" w:cs="Arial"/>
          <w:i/>
          <w:iCs/>
        </w:rPr>
        <w:t>International Journal of Applied Industrial Engineering</w:t>
      </w:r>
      <w:r w:rsidRPr="0098528D">
        <w:rPr>
          <w:rFonts w:ascii="Arial" w:hAnsi="Arial" w:cs="Arial"/>
        </w:rPr>
        <w:t xml:space="preserve">, </w:t>
      </w:r>
      <w:r w:rsidRPr="0098528D">
        <w:rPr>
          <w:rFonts w:ascii="Arial" w:hAnsi="Arial" w:cs="Arial"/>
          <w:i/>
          <w:iCs/>
        </w:rPr>
        <w:t>8</w:t>
      </w:r>
      <w:r w:rsidRPr="0098528D">
        <w:rPr>
          <w:rFonts w:ascii="Arial" w:hAnsi="Arial" w:cs="Arial"/>
        </w:rPr>
        <w:t xml:space="preserve">(1), 1–11. </w:t>
      </w:r>
      <w:hyperlink r:id="rId23" w:history="1">
        <w:r w:rsidRPr="0098528D">
          <w:rPr>
            <w:rStyle w:val="Hyperlink"/>
            <w:rFonts w:ascii="Arial" w:hAnsi="Arial" w:cs="Arial"/>
          </w:rPr>
          <w:t>https://doi.org/10.4018/ijaie.20210101.oa1</w:t>
        </w:r>
      </w:hyperlink>
    </w:p>
    <w:p w14:paraId="2D9F738E"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proofErr w:type="spellStart"/>
      <w:r w:rsidRPr="0098528D">
        <w:rPr>
          <w:rFonts w:ascii="Arial" w:hAnsi="Arial" w:cs="Arial"/>
        </w:rPr>
        <w:t>Ijaola</w:t>
      </w:r>
      <w:proofErr w:type="spellEnd"/>
      <w:r w:rsidRPr="0098528D">
        <w:rPr>
          <w:rFonts w:ascii="Arial" w:hAnsi="Arial" w:cs="Arial"/>
        </w:rPr>
        <w:t xml:space="preserve">, I. A., Omolayo, O. H., Akerele, A. O., Osas, E. F., &amp; </w:t>
      </w:r>
      <w:proofErr w:type="spellStart"/>
      <w:r w:rsidRPr="0098528D">
        <w:rPr>
          <w:rFonts w:ascii="Arial" w:hAnsi="Arial" w:cs="Arial"/>
        </w:rPr>
        <w:t>Sonibare</w:t>
      </w:r>
      <w:proofErr w:type="spellEnd"/>
      <w:r w:rsidRPr="0098528D">
        <w:rPr>
          <w:rFonts w:ascii="Arial" w:hAnsi="Arial" w:cs="Arial"/>
        </w:rPr>
        <w:t xml:space="preserve">, S. A. (2021). Perceived Implications of Non-Compliance with Safety Practices in Construction Projects: Construction Professionals’ Awareness Level. </w:t>
      </w:r>
      <w:r w:rsidRPr="0098528D">
        <w:rPr>
          <w:rFonts w:ascii="Arial" w:hAnsi="Arial" w:cs="Arial"/>
          <w:i/>
          <w:iCs/>
        </w:rPr>
        <w:t>Malaysian Journal of Real Estate</w:t>
      </w:r>
      <w:r w:rsidRPr="0098528D">
        <w:rPr>
          <w:rFonts w:ascii="Arial" w:hAnsi="Arial" w:cs="Arial"/>
        </w:rPr>
        <w:t xml:space="preserve">, </w:t>
      </w:r>
      <w:r w:rsidRPr="0098528D">
        <w:rPr>
          <w:rFonts w:ascii="Arial" w:hAnsi="Arial" w:cs="Arial"/>
          <w:i/>
          <w:iCs/>
        </w:rPr>
        <w:t>15</w:t>
      </w:r>
      <w:r w:rsidRPr="0098528D">
        <w:rPr>
          <w:rFonts w:ascii="Arial" w:hAnsi="Arial" w:cs="Arial"/>
        </w:rPr>
        <w:t xml:space="preserve">(1), 16–26. </w:t>
      </w:r>
      <w:hyperlink r:id="rId24" w:history="1">
        <w:r w:rsidRPr="0098528D">
          <w:rPr>
            <w:rStyle w:val="Hyperlink"/>
            <w:rFonts w:ascii="Arial" w:hAnsi="Arial" w:cs="Arial"/>
          </w:rPr>
          <w:t>https://doi.org/10.11113/intrest.v15n1.5</w:t>
        </w:r>
      </w:hyperlink>
    </w:p>
    <w:p w14:paraId="5920CAAD"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lastRenderedPageBreak/>
        <w:t xml:space="preserve">Kloppenborg, T. J., Tesch, D., &amp; Manolis, C. (2014). Project success and executive sponsor behaviors: Empirical life cycle stage investigations. </w:t>
      </w:r>
      <w:r w:rsidRPr="0098528D">
        <w:rPr>
          <w:rFonts w:ascii="Arial" w:hAnsi="Arial" w:cs="Arial"/>
          <w:i/>
          <w:iCs/>
        </w:rPr>
        <w:t>Project Management Journal</w:t>
      </w:r>
      <w:r w:rsidRPr="0098528D">
        <w:rPr>
          <w:rFonts w:ascii="Arial" w:hAnsi="Arial" w:cs="Arial"/>
        </w:rPr>
        <w:t xml:space="preserve">, </w:t>
      </w:r>
      <w:r w:rsidRPr="0098528D">
        <w:rPr>
          <w:rFonts w:ascii="Arial" w:hAnsi="Arial" w:cs="Arial"/>
          <w:i/>
          <w:iCs/>
        </w:rPr>
        <w:t>45</w:t>
      </w:r>
      <w:r w:rsidRPr="0098528D">
        <w:rPr>
          <w:rFonts w:ascii="Arial" w:hAnsi="Arial" w:cs="Arial"/>
        </w:rPr>
        <w:t xml:space="preserve">(1), 9–20. </w:t>
      </w:r>
      <w:hyperlink r:id="rId25" w:history="1">
        <w:r w:rsidRPr="0098528D">
          <w:rPr>
            <w:rStyle w:val="Hyperlink"/>
            <w:rFonts w:ascii="Arial" w:hAnsi="Arial" w:cs="Arial"/>
          </w:rPr>
          <w:t>https://doi.org/10.1002/pmj.21396</w:t>
        </w:r>
      </w:hyperlink>
    </w:p>
    <w:p w14:paraId="5A0C429C"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Komal, B., Janjua, U. I., Anwar, F., Madni, T. M., Cheema, M. F., Malik, M. F., &amp; Raza, B. (2020). The impact of scope creep on project success: An Empirical investigation. </w:t>
      </w:r>
      <w:r w:rsidRPr="0098528D">
        <w:rPr>
          <w:rFonts w:ascii="Arial" w:hAnsi="Arial" w:cs="Arial"/>
          <w:i/>
          <w:iCs/>
        </w:rPr>
        <w:t>IEEE Access</w:t>
      </w:r>
      <w:r w:rsidRPr="0098528D">
        <w:rPr>
          <w:rFonts w:ascii="Arial" w:hAnsi="Arial" w:cs="Arial"/>
        </w:rPr>
        <w:t xml:space="preserve">, </w:t>
      </w:r>
      <w:r w:rsidRPr="0098528D">
        <w:rPr>
          <w:rFonts w:ascii="Arial" w:hAnsi="Arial" w:cs="Arial"/>
          <w:i/>
          <w:iCs/>
        </w:rPr>
        <w:t>8</w:t>
      </w:r>
      <w:r w:rsidRPr="0098528D">
        <w:rPr>
          <w:rFonts w:ascii="Arial" w:hAnsi="Arial" w:cs="Arial"/>
        </w:rPr>
        <w:t xml:space="preserve">, 125755–125775. </w:t>
      </w:r>
      <w:hyperlink r:id="rId26" w:history="1">
        <w:r w:rsidRPr="0098528D">
          <w:rPr>
            <w:rStyle w:val="Hyperlink"/>
            <w:rFonts w:ascii="Arial" w:hAnsi="Arial" w:cs="Arial"/>
          </w:rPr>
          <w:t>https://doi.org/10.1109/access.2020.3007098</w:t>
        </w:r>
      </w:hyperlink>
    </w:p>
    <w:p w14:paraId="23644CDD"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Lappé, M., &amp; Spang, K. (2014). Investments in project management are profitable: A case study-based analysis of the relationship between the costs and benefits of project management. </w:t>
      </w:r>
      <w:r w:rsidRPr="0098528D">
        <w:rPr>
          <w:rFonts w:ascii="Arial" w:hAnsi="Arial" w:cs="Arial"/>
          <w:i/>
          <w:iCs/>
        </w:rPr>
        <w:t>International Journal of Project Management</w:t>
      </w:r>
      <w:r w:rsidRPr="0098528D">
        <w:rPr>
          <w:rFonts w:ascii="Arial" w:hAnsi="Arial" w:cs="Arial"/>
        </w:rPr>
        <w:t xml:space="preserve">, </w:t>
      </w:r>
      <w:r w:rsidRPr="0098528D">
        <w:rPr>
          <w:rFonts w:ascii="Arial" w:hAnsi="Arial" w:cs="Arial"/>
          <w:i/>
          <w:iCs/>
        </w:rPr>
        <w:t>32</w:t>
      </w:r>
      <w:r w:rsidRPr="0098528D">
        <w:rPr>
          <w:rFonts w:ascii="Arial" w:hAnsi="Arial" w:cs="Arial"/>
        </w:rPr>
        <w:t xml:space="preserve">(4), 603–612. </w:t>
      </w:r>
      <w:hyperlink r:id="rId27" w:history="1">
        <w:r w:rsidRPr="0098528D">
          <w:rPr>
            <w:rStyle w:val="Hyperlink"/>
            <w:rFonts w:ascii="Arial" w:hAnsi="Arial" w:cs="Arial"/>
          </w:rPr>
          <w:t>https://doi.org/10.1016/j.ijproman.2013.10.005</w:t>
        </w:r>
      </w:hyperlink>
    </w:p>
    <w:p w14:paraId="59E58D3B"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Maliha, M.N., Tayeh, B.A. and </w:t>
      </w:r>
      <w:proofErr w:type="spellStart"/>
      <w:r w:rsidRPr="0098528D">
        <w:rPr>
          <w:rFonts w:ascii="Arial" w:hAnsi="Arial" w:cs="Arial"/>
        </w:rPr>
        <w:t>Aisheh</w:t>
      </w:r>
      <w:proofErr w:type="spellEnd"/>
      <w:r w:rsidRPr="0098528D">
        <w:rPr>
          <w:rFonts w:ascii="Arial" w:hAnsi="Arial" w:cs="Arial"/>
        </w:rPr>
        <w:t xml:space="preserve">, Y.I.A. (2020) 'Building Information Modeling (BIM) in enhancing the applying of knowledge areas in the Architecture, Engineering and Construction (AEC) industry,' </w:t>
      </w:r>
      <w:r w:rsidRPr="0098528D">
        <w:rPr>
          <w:rFonts w:ascii="Arial" w:hAnsi="Arial" w:cs="Arial"/>
          <w:i/>
          <w:iCs/>
        </w:rPr>
        <w:t>The Open Civil Engineering Journal</w:t>
      </w:r>
      <w:r w:rsidRPr="0098528D">
        <w:rPr>
          <w:rFonts w:ascii="Arial" w:hAnsi="Arial" w:cs="Arial"/>
        </w:rPr>
        <w:t xml:space="preserve">, 14(1), pp. 388–401. </w:t>
      </w:r>
      <w:hyperlink r:id="rId28" w:history="1">
        <w:r w:rsidRPr="0098528D">
          <w:rPr>
            <w:rStyle w:val="Hyperlink"/>
            <w:rFonts w:ascii="Arial" w:hAnsi="Arial" w:cs="Arial"/>
          </w:rPr>
          <w:t>https://doi.org/10.2174/1874149502014010388</w:t>
        </w:r>
      </w:hyperlink>
      <w:r w:rsidRPr="0098528D">
        <w:rPr>
          <w:rFonts w:ascii="Arial" w:hAnsi="Arial" w:cs="Arial"/>
        </w:rPr>
        <w:t>.</w:t>
      </w:r>
    </w:p>
    <w:p w14:paraId="5667ED32"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Mavi, R.K. </w:t>
      </w:r>
      <w:r w:rsidRPr="0098528D">
        <w:rPr>
          <w:rFonts w:ascii="Arial" w:hAnsi="Arial" w:cs="Arial"/>
          <w:i/>
          <w:iCs/>
        </w:rPr>
        <w:t>et al.</w:t>
      </w:r>
      <w:r w:rsidRPr="0098528D">
        <w:rPr>
          <w:rFonts w:ascii="Arial" w:hAnsi="Arial" w:cs="Arial"/>
        </w:rPr>
        <w:t xml:space="preserve"> (2021) 'Sustainability in Construction Projects: A Systematic Literature review,' </w:t>
      </w:r>
      <w:r w:rsidRPr="0098528D">
        <w:rPr>
          <w:rFonts w:ascii="Arial" w:hAnsi="Arial" w:cs="Arial"/>
          <w:i/>
          <w:iCs/>
        </w:rPr>
        <w:t>Sustainability</w:t>
      </w:r>
      <w:r w:rsidRPr="0098528D">
        <w:rPr>
          <w:rFonts w:ascii="Arial" w:hAnsi="Arial" w:cs="Arial"/>
        </w:rPr>
        <w:t xml:space="preserve">, 13(4), p. 1932. </w:t>
      </w:r>
      <w:hyperlink r:id="rId29" w:history="1">
        <w:r w:rsidRPr="0098528D">
          <w:rPr>
            <w:rStyle w:val="Hyperlink"/>
            <w:rFonts w:ascii="Arial" w:hAnsi="Arial" w:cs="Arial"/>
          </w:rPr>
          <w:t>https://doi.org/10.3390/su13041932</w:t>
        </w:r>
      </w:hyperlink>
      <w:r w:rsidRPr="0098528D">
        <w:rPr>
          <w:rFonts w:ascii="Arial" w:hAnsi="Arial" w:cs="Arial"/>
        </w:rPr>
        <w:t>.</w:t>
      </w:r>
    </w:p>
    <w:p w14:paraId="6C036C0E"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Meinel, M., Maier, L., Wagner, T. F., &amp; Voigt, K. (2017). Designing Creativity-Enhancing Workspaces: A Critical look at Empirical evidence. </w:t>
      </w:r>
      <w:r w:rsidRPr="0098528D">
        <w:rPr>
          <w:rFonts w:ascii="Arial" w:hAnsi="Arial" w:cs="Arial"/>
          <w:i/>
          <w:iCs/>
        </w:rPr>
        <w:t>ResearchGate</w:t>
      </w:r>
      <w:r w:rsidRPr="0098528D">
        <w:rPr>
          <w:rFonts w:ascii="Arial" w:hAnsi="Arial" w:cs="Arial"/>
        </w:rPr>
        <w:t xml:space="preserve">. </w:t>
      </w:r>
      <w:hyperlink r:id="rId30" w:history="1">
        <w:r w:rsidRPr="0098528D">
          <w:rPr>
            <w:rStyle w:val="Hyperlink"/>
            <w:rFonts w:ascii="Arial" w:hAnsi="Arial" w:cs="Arial"/>
          </w:rPr>
          <w:t>https://www.researchgate.net/publication/320323715_Designing_Creativity-Enhancing_Workspaces_A_Critical_Look_at_Empirical_Evidence</w:t>
        </w:r>
      </w:hyperlink>
    </w:p>
    <w:p w14:paraId="5A554D92"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proofErr w:type="spellStart"/>
      <w:r w:rsidRPr="0098528D">
        <w:rPr>
          <w:rFonts w:ascii="Arial" w:hAnsi="Arial" w:cs="Arial"/>
        </w:rPr>
        <w:t>Mwelu</w:t>
      </w:r>
      <w:proofErr w:type="spellEnd"/>
      <w:r w:rsidRPr="0098528D">
        <w:rPr>
          <w:rFonts w:ascii="Arial" w:hAnsi="Arial" w:cs="Arial"/>
        </w:rPr>
        <w:t xml:space="preserve">, N., Davis, P., Ke, Y., &amp; </w:t>
      </w:r>
      <w:proofErr w:type="spellStart"/>
      <w:r w:rsidRPr="0098528D">
        <w:rPr>
          <w:rFonts w:ascii="Arial" w:hAnsi="Arial" w:cs="Arial"/>
        </w:rPr>
        <w:t>Watundu</w:t>
      </w:r>
      <w:proofErr w:type="spellEnd"/>
      <w:r w:rsidRPr="0098528D">
        <w:rPr>
          <w:rFonts w:ascii="Arial" w:hAnsi="Arial" w:cs="Arial"/>
        </w:rPr>
        <w:t xml:space="preserve">, S. (2020). Compliance mediating role within road construction regulatory framework. </w:t>
      </w:r>
      <w:r w:rsidRPr="0098528D">
        <w:rPr>
          <w:rFonts w:ascii="Arial" w:hAnsi="Arial" w:cs="Arial"/>
          <w:i/>
          <w:iCs/>
        </w:rPr>
        <w:t>Journal of Public Procurement</w:t>
      </w:r>
      <w:r w:rsidRPr="0098528D">
        <w:rPr>
          <w:rFonts w:ascii="Arial" w:hAnsi="Arial" w:cs="Arial"/>
        </w:rPr>
        <w:t xml:space="preserve">, </w:t>
      </w:r>
      <w:r w:rsidRPr="0098528D">
        <w:rPr>
          <w:rFonts w:ascii="Arial" w:hAnsi="Arial" w:cs="Arial"/>
          <w:i/>
          <w:iCs/>
        </w:rPr>
        <w:t>20</w:t>
      </w:r>
      <w:r w:rsidRPr="0098528D">
        <w:rPr>
          <w:rFonts w:ascii="Arial" w:hAnsi="Arial" w:cs="Arial"/>
        </w:rPr>
        <w:t xml:space="preserve">(3), 209–233. </w:t>
      </w:r>
      <w:hyperlink r:id="rId31" w:history="1">
        <w:r w:rsidRPr="0098528D">
          <w:rPr>
            <w:rStyle w:val="Hyperlink"/>
            <w:rFonts w:ascii="Arial" w:hAnsi="Arial" w:cs="Arial"/>
          </w:rPr>
          <w:t>https://doi.org/10.1108/jopp-12-2018-0052</w:t>
        </w:r>
      </w:hyperlink>
    </w:p>
    <w:p w14:paraId="158DB6E1"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proofErr w:type="spellStart"/>
      <w:r w:rsidRPr="0098528D">
        <w:rPr>
          <w:rFonts w:ascii="Arial" w:hAnsi="Arial" w:cs="Arial"/>
        </w:rPr>
        <w:t>Oke</w:t>
      </w:r>
      <w:proofErr w:type="spellEnd"/>
      <w:r w:rsidRPr="0098528D">
        <w:rPr>
          <w:rFonts w:ascii="Arial" w:hAnsi="Arial" w:cs="Arial"/>
        </w:rPr>
        <w:t xml:space="preserve">, A. E. (2022). Profitability: a measure of project success. In </w:t>
      </w:r>
      <w:r w:rsidRPr="0098528D">
        <w:rPr>
          <w:rFonts w:ascii="Arial" w:hAnsi="Arial" w:cs="Arial"/>
          <w:i/>
          <w:iCs/>
        </w:rPr>
        <w:t>Emerald Publishing Limited eBooks</w:t>
      </w:r>
      <w:r w:rsidRPr="0098528D">
        <w:rPr>
          <w:rFonts w:ascii="Arial" w:hAnsi="Arial" w:cs="Arial"/>
        </w:rPr>
        <w:t xml:space="preserve"> (pp. 115–122). </w:t>
      </w:r>
      <w:hyperlink r:id="rId32" w:history="1">
        <w:r w:rsidRPr="0098528D">
          <w:rPr>
            <w:rStyle w:val="Hyperlink"/>
            <w:rFonts w:ascii="Arial" w:hAnsi="Arial" w:cs="Arial"/>
          </w:rPr>
          <w:t>https://doi.org/10.1108/978-1-80382-997-520221030</w:t>
        </w:r>
      </w:hyperlink>
    </w:p>
    <w:p w14:paraId="78AD8B3C"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proofErr w:type="spellStart"/>
      <w:r w:rsidRPr="0098528D">
        <w:rPr>
          <w:rFonts w:ascii="Arial" w:hAnsi="Arial" w:cs="Arial"/>
        </w:rPr>
        <w:t>Orikpete</w:t>
      </w:r>
      <w:proofErr w:type="spellEnd"/>
      <w:r w:rsidRPr="0098528D">
        <w:rPr>
          <w:rFonts w:ascii="Arial" w:hAnsi="Arial" w:cs="Arial"/>
        </w:rPr>
        <w:t xml:space="preserve">, O. F., Ikemba, S., &amp; </w:t>
      </w:r>
      <w:proofErr w:type="spellStart"/>
      <w:r w:rsidRPr="0098528D">
        <w:rPr>
          <w:rFonts w:ascii="Arial" w:hAnsi="Arial" w:cs="Arial"/>
        </w:rPr>
        <w:t>Ewim</w:t>
      </w:r>
      <w:proofErr w:type="spellEnd"/>
      <w:r w:rsidRPr="0098528D">
        <w:rPr>
          <w:rFonts w:ascii="Arial" w:hAnsi="Arial" w:cs="Arial"/>
        </w:rPr>
        <w:t xml:space="preserve">, D. R. E. (2023). Integration of renewable energy technologies in smart building design for enhanced energy efficiency and Self-Sufficiency. </w:t>
      </w:r>
      <w:r w:rsidRPr="0098528D">
        <w:rPr>
          <w:rFonts w:ascii="Arial" w:hAnsi="Arial" w:cs="Arial"/>
          <w:i/>
          <w:iCs/>
        </w:rPr>
        <w:t>The Journal of Engineering and Exact Sciences</w:t>
      </w:r>
      <w:r w:rsidRPr="0098528D">
        <w:rPr>
          <w:rFonts w:ascii="Arial" w:hAnsi="Arial" w:cs="Arial"/>
        </w:rPr>
        <w:t xml:space="preserve">, </w:t>
      </w:r>
      <w:r w:rsidRPr="0098528D">
        <w:rPr>
          <w:rFonts w:ascii="Arial" w:hAnsi="Arial" w:cs="Arial"/>
          <w:i/>
          <w:iCs/>
        </w:rPr>
        <w:t>9</w:t>
      </w:r>
      <w:r w:rsidRPr="0098528D">
        <w:rPr>
          <w:rFonts w:ascii="Arial" w:hAnsi="Arial" w:cs="Arial"/>
        </w:rPr>
        <w:t xml:space="preserve">(9), 16423–01e. </w:t>
      </w:r>
      <w:hyperlink r:id="rId33" w:history="1">
        <w:r w:rsidRPr="0098528D">
          <w:rPr>
            <w:rStyle w:val="Hyperlink"/>
            <w:rFonts w:ascii="Arial" w:hAnsi="Arial" w:cs="Arial"/>
          </w:rPr>
          <w:t>https://doi.org/10.18540/jcecvl9iss9pp16423-01e</w:t>
        </w:r>
      </w:hyperlink>
    </w:p>
    <w:p w14:paraId="34C37129"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lastRenderedPageBreak/>
        <w:t xml:space="preserve">Patil, J., &amp; Mane, P. (2015). Quality Management system at construction projects. </w:t>
      </w:r>
      <w:r w:rsidRPr="0098528D">
        <w:rPr>
          <w:rFonts w:ascii="Arial" w:hAnsi="Arial" w:cs="Arial"/>
          <w:i/>
          <w:iCs/>
        </w:rPr>
        <w:t>ResearchGate</w:t>
      </w:r>
      <w:r w:rsidRPr="0098528D">
        <w:rPr>
          <w:rFonts w:ascii="Arial" w:hAnsi="Arial" w:cs="Arial"/>
        </w:rPr>
        <w:t xml:space="preserve">. </w:t>
      </w:r>
      <w:hyperlink r:id="rId34" w:history="1">
        <w:r w:rsidRPr="0098528D">
          <w:rPr>
            <w:rStyle w:val="Hyperlink"/>
            <w:rFonts w:ascii="Arial" w:hAnsi="Arial" w:cs="Arial"/>
          </w:rPr>
          <w:t>https://www.researchgate.net/publication/329526111_Quality_Management_System_at_Construction_Projects</w:t>
        </w:r>
      </w:hyperlink>
    </w:p>
    <w:p w14:paraId="48D90F2E"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Paul, S. K., Sarker, R. A., &amp; Essam, D. (2015). Managing risk and disruption in production-inventory and supply chain systems: A review. </w:t>
      </w:r>
      <w:r w:rsidRPr="0098528D">
        <w:rPr>
          <w:rFonts w:ascii="Arial" w:hAnsi="Arial" w:cs="Arial"/>
          <w:i/>
          <w:iCs/>
        </w:rPr>
        <w:t>Journal of Industrial and Management Optimization</w:t>
      </w:r>
      <w:r w:rsidRPr="0098528D">
        <w:rPr>
          <w:rFonts w:ascii="Arial" w:hAnsi="Arial" w:cs="Arial"/>
        </w:rPr>
        <w:t xml:space="preserve">, </w:t>
      </w:r>
      <w:r w:rsidRPr="0098528D">
        <w:rPr>
          <w:rFonts w:ascii="Arial" w:hAnsi="Arial" w:cs="Arial"/>
          <w:i/>
          <w:iCs/>
        </w:rPr>
        <w:t>12</w:t>
      </w:r>
      <w:r w:rsidRPr="0098528D">
        <w:rPr>
          <w:rFonts w:ascii="Arial" w:hAnsi="Arial" w:cs="Arial"/>
        </w:rPr>
        <w:t xml:space="preserve">(3), 1009–1029. </w:t>
      </w:r>
      <w:hyperlink r:id="rId35" w:history="1">
        <w:r w:rsidRPr="0098528D">
          <w:rPr>
            <w:rStyle w:val="Hyperlink"/>
            <w:rFonts w:ascii="Arial" w:hAnsi="Arial" w:cs="Arial"/>
          </w:rPr>
          <w:t>https://doi.org/10.3934/jimo.2016.12.1009</w:t>
        </w:r>
      </w:hyperlink>
    </w:p>
    <w:p w14:paraId="4A283705"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Rahim, F. a. M., Yusoff, N. S. M., Chen, W., Zainon, N., Yusoff, S., &amp; Deraman, R. (2016). THE CHALLENGE OF LABOUR SHORTAGE FOR SUSTAINABLE CONSTRUCTION. </w:t>
      </w:r>
      <w:r w:rsidRPr="0098528D">
        <w:rPr>
          <w:rFonts w:ascii="Arial" w:hAnsi="Arial" w:cs="Arial"/>
          <w:i/>
          <w:iCs/>
        </w:rPr>
        <w:t>PLANNING MALAYSIA JOURNAL</w:t>
      </w:r>
      <w:r w:rsidRPr="0098528D">
        <w:rPr>
          <w:rFonts w:ascii="Arial" w:hAnsi="Arial" w:cs="Arial"/>
        </w:rPr>
        <w:t xml:space="preserve">, </w:t>
      </w:r>
      <w:r w:rsidRPr="0098528D">
        <w:rPr>
          <w:rFonts w:ascii="Arial" w:hAnsi="Arial" w:cs="Arial"/>
          <w:i/>
          <w:iCs/>
        </w:rPr>
        <w:t>14</w:t>
      </w:r>
      <w:r w:rsidRPr="0098528D">
        <w:rPr>
          <w:rFonts w:ascii="Arial" w:hAnsi="Arial" w:cs="Arial"/>
        </w:rPr>
        <w:t xml:space="preserve">(5). </w:t>
      </w:r>
      <w:hyperlink r:id="rId36" w:history="1">
        <w:r w:rsidRPr="0098528D">
          <w:rPr>
            <w:rStyle w:val="Hyperlink"/>
            <w:rFonts w:ascii="Arial" w:hAnsi="Arial" w:cs="Arial"/>
          </w:rPr>
          <w:t>https://doi.org/10.21837/pmjournal.v14.i5.194</w:t>
        </w:r>
      </w:hyperlink>
    </w:p>
    <w:p w14:paraId="03D39675"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Salvi, S. S. (2021). Quality assurance and quality control for project effectiveness in construction and management. </w:t>
      </w:r>
      <w:r w:rsidRPr="0098528D">
        <w:rPr>
          <w:rFonts w:ascii="Arial" w:hAnsi="Arial" w:cs="Arial"/>
          <w:i/>
          <w:iCs/>
        </w:rPr>
        <w:t>ResearchGate</w:t>
      </w:r>
      <w:r w:rsidRPr="0098528D">
        <w:rPr>
          <w:rFonts w:ascii="Arial" w:hAnsi="Arial" w:cs="Arial"/>
        </w:rPr>
        <w:t xml:space="preserve">. </w:t>
      </w:r>
      <w:hyperlink r:id="rId37" w:history="1">
        <w:r w:rsidRPr="0098528D">
          <w:rPr>
            <w:rStyle w:val="Hyperlink"/>
            <w:rFonts w:ascii="Arial" w:hAnsi="Arial" w:cs="Arial"/>
          </w:rPr>
          <w:t>https://www.researchgate.net/publication/351984189_Quality_Assurance_and_Quality_Control_for_Project_Effectiveness_in_Construction_and_Management</w:t>
        </w:r>
      </w:hyperlink>
    </w:p>
    <w:p w14:paraId="673FBF99"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Schuldt, S. J., Nicholson, M. R., Adams, Y. A., &amp; </w:t>
      </w:r>
      <w:proofErr w:type="spellStart"/>
      <w:r w:rsidRPr="0098528D">
        <w:rPr>
          <w:rFonts w:ascii="Arial" w:hAnsi="Arial" w:cs="Arial"/>
        </w:rPr>
        <w:t>Delorit</w:t>
      </w:r>
      <w:proofErr w:type="spellEnd"/>
      <w:r w:rsidRPr="0098528D">
        <w:rPr>
          <w:rFonts w:ascii="Arial" w:hAnsi="Arial" w:cs="Arial"/>
        </w:rPr>
        <w:t xml:space="preserve">, J. D. (2021). Weather-Related Construction Delays in a Changing Climate: A Systematic State-of-the-Art Review. </w:t>
      </w:r>
      <w:r w:rsidRPr="0098528D">
        <w:rPr>
          <w:rFonts w:ascii="Arial" w:hAnsi="Arial" w:cs="Arial"/>
          <w:i/>
          <w:iCs/>
        </w:rPr>
        <w:t>Sustainability</w:t>
      </w:r>
      <w:r w:rsidRPr="0098528D">
        <w:rPr>
          <w:rFonts w:ascii="Arial" w:hAnsi="Arial" w:cs="Arial"/>
        </w:rPr>
        <w:t xml:space="preserve">, </w:t>
      </w:r>
      <w:r w:rsidRPr="0098528D">
        <w:rPr>
          <w:rFonts w:ascii="Arial" w:hAnsi="Arial" w:cs="Arial"/>
          <w:i/>
          <w:iCs/>
        </w:rPr>
        <w:t>13</w:t>
      </w:r>
      <w:r w:rsidRPr="0098528D">
        <w:rPr>
          <w:rFonts w:ascii="Arial" w:hAnsi="Arial" w:cs="Arial"/>
        </w:rPr>
        <w:t xml:space="preserve">(5), 2861. </w:t>
      </w:r>
      <w:hyperlink r:id="rId38" w:history="1">
        <w:r w:rsidRPr="0098528D">
          <w:rPr>
            <w:rStyle w:val="Hyperlink"/>
            <w:rFonts w:ascii="Arial" w:hAnsi="Arial" w:cs="Arial"/>
          </w:rPr>
          <w:t>https://doi.org/10.3390/su13052861</w:t>
        </w:r>
      </w:hyperlink>
    </w:p>
    <w:p w14:paraId="13A63A29"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Senthil, B. (2021). IMPACT OF EMPLOYEE WELL BEING ON ORGANIZATIONAL PERFORMANCE IN WORKPLACE. </w:t>
      </w:r>
      <w:r w:rsidRPr="0098528D">
        <w:rPr>
          <w:rFonts w:ascii="Arial" w:hAnsi="Arial" w:cs="Arial"/>
          <w:i/>
          <w:iCs/>
        </w:rPr>
        <w:t>ResearchGate</w:t>
      </w:r>
      <w:r w:rsidRPr="0098528D">
        <w:rPr>
          <w:rFonts w:ascii="Arial" w:hAnsi="Arial" w:cs="Arial"/>
        </w:rPr>
        <w:t xml:space="preserve">. </w:t>
      </w:r>
      <w:hyperlink r:id="rId39" w:history="1">
        <w:r w:rsidRPr="0098528D">
          <w:rPr>
            <w:rStyle w:val="Hyperlink"/>
            <w:rFonts w:ascii="Arial" w:hAnsi="Arial" w:cs="Arial"/>
          </w:rPr>
          <w:t>https://www.researchgate.net/publication/356001595_IMPACT_OF_EMPLOYEE_WELL_BEING_ON_ORGANIZATIONAL_PERFORMANCE_IN_WORKPLACE</w:t>
        </w:r>
      </w:hyperlink>
    </w:p>
    <w:p w14:paraId="6B11E7BF"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Shane, J., Molenaar, K. R., Anderson, S., &amp; Schexnayder, C. (2009). Construction project cost escalation factors. </w:t>
      </w:r>
      <w:r w:rsidRPr="0098528D">
        <w:rPr>
          <w:rFonts w:ascii="Arial" w:hAnsi="Arial" w:cs="Arial"/>
          <w:i/>
          <w:iCs/>
        </w:rPr>
        <w:t>ResearchGate</w:t>
      </w:r>
      <w:r w:rsidRPr="0098528D">
        <w:rPr>
          <w:rFonts w:ascii="Arial" w:hAnsi="Arial" w:cs="Arial"/>
        </w:rPr>
        <w:t xml:space="preserve">. </w:t>
      </w:r>
      <w:hyperlink r:id="rId40" w:history="1">
        <w:r w:rsidRPr="0098528D">
          <w:rPr>
            <w:rStyle w:val="Hyperlink"/>
            <w:rFonts w:ascii="Arial" w:hAnsi="Arial" w:cs="Arial"/>
          </w:rPr>
          <w:t>https://doi.org/10.1061/(ASCE)0742-597X(2009)25:4(221</w:t>
        </w:r>
      </w:hyperlink>
    </w:p>
    <w:p w14:paraId="28F474B6"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Tengan, C., </w:t>
      </w:r>
      <w:proofErr w:type="spellStart"/>
      <w:r w:rsidRPr="0098528D">
        <w:rPr>
          <w:rFonts w:ascii="Arial" w:hAnsi="Arial" w:cs="Arial"/>
        </w:rPr>
        <w:t>Aigbavboa</w:t>
      </w:r>
      <w:proofErr w:type="spellEnd"/>
      <w:r w:rsidRPr="0098528D">
        <w:rPr>
          <w:rFonts w:ascii="Arial" w:hAnsi="Arial" w:cs="Arial"/>
        </w:rPr>
        <w:t xml:space="preserve">, C., &amp; Thwala, W. (2021). Project management. In </w:t>
      </w:r>
      <w:r w:rsidRPr="0098528D">
        <w:rPr>
          <w:rFonts w:ascii="Arial" w:hAnsi="Arial" w:cs="Arial"/>
          <w:i/>
          <w:iCs/>
        </w:rPr>
        <w:t>Routledge eBooks</w:t>
      </w:r>
      <w:r w:rsidRPr="0098528D">
        <w:rPr>
          <w:rFonts w:ascii="Arial" w:hAnsi="Arial" w:cs="Arial"/>
        </w:rPr>
        <w:t xml:space="preserve"> (pp. 3–11). </w:t>
      </w:r>
      <w:hyperlink r:id="rId41" w:history="1">
        <w:r w:rsidRPr="0098528D">
          <w:rPr>
            <w:rStyle w:val="Hyperlink"/>
            <w:rFonts w:ascii="Arial" w:hAnsi="Arial" w:cs="Arial"/>
          </w:rPr>
          <w:t>https://doi.org/10.1201/9781003137979-1</w:t>
        </w:r>
      </w:hyperlink>
    </w:p>
    <w:p w14:paraId="452E3A5E"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r w:rsidRPr="0098528D">
        <w:rPr>
          <w:rFonts w:ascii="Arial" w:hAnsi="Arial" w:cs="Arial"/>
        </w:rPr>
        <w:t xml:space="preserve">Tiwari, S., Chan, S. W., &amp; Mubarak, M. F. (2018). Critical analysis of procurement techniques in construction management sectors. </w:t>
      </w:r>
      <w:r w:rsidRPr="0098528D">
        <w:rPr>
          <w:rFonts w:ascii="Arial" w:hAnsi="Arial" w:cs="Arial"/>
          <w:i/>
          <w:iCs/>
        </w:rPr>
        <w:t>ResearchGate</w:t>
      </w:r>
      <w:r w:rsidRPr="0098528D">
        <w:rPr>
          <w:rFonts w:ascii="Arial" w:hAnsi="Arial" w:cs="Arial"/>
        </w:rPr>
        <w:t xml:space="preserve">. </w:t>
      </w:r>
      <w:hyperlink r:id="rId42" w:history="1">
        <w:r w:rsidRPr="0098528D">
          <w:rPr>
            <w:rStyle w:val="Hyperlink"/>
            <w:rFonts w:ascii="Arial" w:hAnsi="Arial" w:cs="Arial"/>
          </w:rPr>
          <w:t>https://www.researchgate.net/publication/327623649_Critical_Analysis_of_Procurement_Techniques_in_Construction_Management_Sectors</w:t>
        </w:r>
      </w:hyperlink>
    </w:p>
    <w:p w14:paraId="1981F03B"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proofErr w:type="spellStart"/>
      <w:r w:rsidRPr="0098528D">
        <w:rPr>
          <w:rFonts w:ascii="Arial" w:hAnsi="Arial" w:cs="Arial"/>
        </w:rPr>
        <w:t>Zikargae</w:t>
      </w:r>
      <w:proofErr w:type="spellEnd"/>
      <w:r w:rsidRPr="0098528D">
        <w:rPr>
          <w:rFonts w:ascii="Arial" w:hAnsi="Arial" w:cs="Arial"/>
        </w:rPr>
        <w:t xml:space="preserve">, M. H., </w:t>
      </w:r>
      <w:proofErr w:type="spellStart"/>
      <w:r w:rsidRPr="0098528D">
        <w:rPr>
          <w:rFonts w:ascii="Arial" w:hAnsi="Arial" w:cs="Arial"/>
        </w:rPr>
        <w:t>Woldearegay</w:t>
      </w:r>
      <w:proofErr w:type="spellEnd"/>
      <w:r w:rsidRPr="0098528D">
        <w:rPr>
          <w:rFonts w:ascii="Arial" w:hAnsi="Arial" w:cs="Arial"/>
        </w:rPr>
        <w:t xml:space="preserve">, A. G., &amp; Skjerdal, T. (2022). Assessing the roles of stakeholders in community projects on environmental security and livelihood of impoverished rural society: A nongovernmental organization implementation strategy in focus. </w:t>
      </w:r>
      <w:proofErr w:type="spellStart"/>
      <w:r w:rsidRPr="0098528D">
        <w:rPr>
          <w:rFonts w:ascii="Arial" w:hAnsi="Arial" w:cs="Arial"/>
          <w:i/>
          <w:iCs/>
        </w:rPr>
        <w:t>Heliyon</w:t>
      </w:r>
      <w:proofErr w:type="spellEnd"/>
      <w:r w:rsidRPr="0098528D">
        <w:rPr>
          <w:rFonts w:ascii="Arial" w:hAnsi="Arial" w:cs="Arial"/>
        </w:rPr>
        <w:t xml:space="preserve">, </w:t>
      </w:r>
      <w:r w:rsidRPr="0098528D">
        <w:rPr>
          <w:rFonts w:ascii="Arial" w:hAnsi="Arial" w:cs="Arial"/>
          <w:i/>
          <w:iCs/>
        </w:rPr>
        <w:t>8</w:t>
      </w:r>
      <w:r w:rsidRPr="0098528D">
        <w:rPr>
          <w:rFonts w:ascii="Arial" w:hAnsi="Arial" w:cs="Arial"/>
        </w:rPr>
        <w:t xml:space="preserve">(10), e10987. </w:t>
      </w:r>
      <w:hyperlink r:id="rId43" w:history="1">
        <w:r w:rsidRPr="0098528D">
          <w:rPr>
            <w:rStyle w:val="Hyperlink"/>
            <w:rFonts w:ascii="Arial" w:hAnsi="Arial" w:cs="Arial"/>
          </w:rPr>
          <w:t>https://doi.org/10.1016/j.heliyon.2022.e10987</w:t>
        </w:r>
      </w:hyperlink>
    </w:p>
    <w:p w14:paraId="28E9D73C" w14:textId="77777777" w:rsidR="0029756A" w:rsidRPr="0098528D" w:rsidRDefault="0029756A" w:rsidP="0029756A">
      <w:pPr>
        <w:pStyle w:val="NormalWeb"/>
        <w:spacing w:before="0" w:beforeAutospacing="0" w:after="0" w:afterAutospacing="0" w:line="360" w:lineRule="auto"/>
        <w:ind w:left="720" w:hanging="720"/>
        <w:rPr>
          <w:rFonts w:ascii="Arial" w:hAnsi="Arial" w:cs="Arial"/>
        </w:rPr>
      </w:pPr>
    </w:p>
    <w:p w14:paraId="2DF2DD6F" w14:textId="77777777" w:rsidR="0029756A" w:rsidRPr="0098528D" w:rsidRDefault="0029756A" w:rsidP="0029756A">
      <w:pPr>
        <w:spacing w:line="360" w:lineRule="auto"/>
        <w:ind w:left="720" w:hanging="720"/>
        <w:jc w:val="both"/>
        <w:rPr>
          <w:szCs w:val="24"/>
        </w:rPr>
      </w:pPr>
    </w:p>
    <w:p w14:paraId="4A695828" w14:textId="02FD5F57" w:rsidR="002D1723" w:rsidRDefault="002D1723">
      <w:pPr>
        <w:rPr>
          <w:szCs w:val="24"/>
        </w:rPr>
      </w:pPr>
    </w:p>
    <w:sectPr w:rsidR="002D1723" w:rsidSect="009222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E181D" w14:textId="77777777" w:rsidR="002E2178" w:rsidRDefault="002E2178" w:rsidP="007739EF">
      <w:pPr>
        <w:spacing w:after="0" w:line="240" w:lineRule="auto"/>
      </w:pPr>
      <w:r>
        <w:separator/>
      </w:r>
    </w:p>
  </w:endnote>
  <w:endnote w:type="continuationSeparator" w:id="0">
    <w:p w14:paraId="3242CEDC" w14:textId="77777777" w:rsidR="002E2178" w:rsidRDefault="002E2178" w:rsidP="00773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78860"/>
      <w:docPartObj>
        <w:docPartGallery w:val="Page Numbers (Bottom of Page)"/>
        <w:docPartUnique/>
      </w:docPartObj>
    </w:sdtPr>
    <w:sdtEndPr>
      <w:rPr>
        <w:noProof/>
      </w:rPr>
    </w:sdtEndPr>
    <w:sdtContent>
      <w:p w14:paraId="48032E6E" w14:textId="70F41A05" w:rsidR="007739EF" w:rsidRDefault="007739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566C42" w14:textId="77777777" w:rsidR="007739EF" w:rsidRDefault="00773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610A8" w14:textId="77777777" w:rsidR="002E2178" w:rsidRDefault="002E2178" w:rsidP="007739EF">
      <w:pPr>
        <w:spacing w:after="0" w:line="240" w:lineRule="auto"/>
      </w:pPr>
      <w:r>
        <w:separator/>
      </w:r>
    </w:p>
  </w:footnote>
  <w:footnote w:type="continuationSeparator" w:id="0">
    <w:p w14:paraId="36584221" w14:textId="77777777" w:rsidR="002E2178" w:rsidRDefault="002E2178" w:rsidP="007739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B37D5"/>
    <w:multiLevelType w:val="hybridMultilevel"/>
    <w:tmpl w:val="6ABAEA2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993181E"/>
    <w:multiLevelType w:val="hybridMultilevel"/>
    <w:tmpl w:val="735C1B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296A81"/>
    <w:multiLevelType w:val="hybridMultilevel"/>
    <w:tmpl w:val="6C8E00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5B0E2D"/>
    <w:multiLevelType w:val="hybridMultilevel"/>
    <w:tmpl w:val="D3D8AC9E"/>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E1A2488"/>
    <w:multiLevelType w:val="hybridMultilevel"/>
    <w:tmpl w:val="41BC14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A6224E"/>
    <w:multiLevelType w:val="hybridMultilevel"/>
    <w:tmpl w:val="8C36804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23953599">
    <w:abstractNumId w:val="0"/>
  </w:num>
  <w:num w:numId="2" w16cid:durableId="490605933">
    <w:abstractNumId w:val="1"/>
  </w:num>
  <w:num w:numId="3" w16cid:durableId="2090274003">
    <w:abstractNumId w:val="2"/>
  </w:num>
  <w:num w:numId="4" w16cid:durableId="2023310579">
    <w:abstractNumId w:val="3"/>
  </w:num>
  <w:num w:numId="5" w16cid:durableId="888611921">
    <w:abstractNumId w:val="4"/>
  </w:num>
  <w:num w:numId="6" w16cid:durableId="8186907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9EF"/>
    <w:rsid w:val="0029756A"/>
    <w:rsid w:val="002D1723"/>
    <w:rsid w:val="002E2178"/>
    <w:rsid w:val="007739EF"/>
    <w:rsid w:val="009222B0"/>
    <w:rsid w:val="00955253"/>
    <w:rsid w:val="00DA1392"/>
    <w:rsid w:val="00E12658"/>
    <w:rsid w:val="00E61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0FFDC0"/>
  <w15:chartTrackingRefBased/>
  <w15:docId w15:val="{BBE17AC5-68AD-4FE9-BE9D-740BD3927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5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975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9756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9EF"/>
    <w:pPr>
      <w:ind w:left="720"/>
      <w:contextualSpacing/>
    </w:pPr>
  </w:style>
  <w:style w:type="paragraph" w:styleId="Header">
    <w:name w:val="header"/>
    <w:basedOn w:val="Normal"/>
    <w:link w:val="HeaderChar"/>
    <w:uiPriority w:val="99"/>
    <w:unhideWhenUsed/>
    <w:rsid w:val="007739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9EF"/>
  </w:style>
  <w:style w:type="paragraph" w:styleId="Footer">
    <w:name w:val="footer"/>
    <w:basedOn w:val="Normal"/>
    <w:link w:val="FooterChar"/>
    <w:uiPriority w:val="99"/>
    <w:unhideWhenUsed/>
    <w:rsid w:val="007739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9EF"/>
  </w:style>
  <w:style w:type="table" w:styleId="TableGrid">
    <w:name w:val="Table Grid"/>
    <w:basedOn w:val="TableNormal"/>
    <w:uiPriority w:val="39"/>
    <w:rsid w:val="00E61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link w:val="Style1Char"/>
    <w:qFormat/>
    <w:rsid w:val="002D1723"/>
    <w:pPr>
      <w:spacing w:line="360" w:lineRule="auto"/>
      <w:jc w:val="center"/>
    </w:pPr>
    <w:rPr>
      <w:b/>
      <w:bCs/>
      <w:szCs w:val="24"/>
    </w:rPr>
  </w:style>
  <w:style w:type="character" w:customStyle="1" w:styleId="Style1Char">
    <w:name w:val="Style1 Char"/>
    <w:basedOn w:val="DefaultParagraphFont"/>
    <w:link w:val="Style1"/>
    <w:rsid w:val="002D1723"/>
    <w:rPr>
      <w:b/>
      <w:bCs/>
      <w:szCs w:val="24"/>
    </w:rPr>
  </w:style>
  <w:style w:type="paragraph" w:customStyle="1" w:styleId="Style2">
    <w:name w:val="Style2"/>
    <w:basedOn w:val="Normal"/>
    <w:link w:val="Style2Char"/>
    <w:qFormat/>
    <w:rsid w:val="002D1723"/>
    <w:pPr>
      <w:spacing w:line="360" w:lineRule="auto"/>
      <w:jc w:val="center"/>
    </w:pPr>
    <w:rPr>
      <w:b/>
      <w:bCs/>
      <w:szCs w:val="24"/>
    </w:rPr>
  </w:style>
  <w:style w:type="character" w:customStyle="1" w:styleId="Style2Char">
    <w:name w:val="Style2 Char"/>
    <w:basedOn w:val="DefaultParagraphFont"/>
    <w:link w:val="Style2"/>
    <w:rsid w:val="002D1723"/>
    <w:rPr>
      <w:b/>
      <w:bCs/>
      <w:szCs w:val="24"/>
    </w:rPr>
  </w:style>
  <w:style w:type="paragraph" w:customStyle="1" w:styleId="Style3">
    <w:name w:val="Style3"/>
    <w:basedOn w:val="Normal"/>
    <w:link w:val="Style3Char"/>
    <w:qFormat/>
    <w:rsid w:val="002D1723"/>
    <w:pPr>
      <w:spacing w:line="360" w:lineRule="auto"/>
      <w:jc w:val="both"/>
    </w:pPr>
    <w:rPr>
      <w:b/>
      <w:bCs/>
      <w:szCs w:val="24"/>
    </w:rPr>
  </w:style>
  <w:style w:type="character" w:customStyle="1" w:styleId="Style3Char">
    <w:name w:val="Style3 Char"/>
    <w:basedOn w:val="DefaultParagraphFont"/>
    <w:link w:val="Style3"/>
    <w:rsid w:val="002D1723"/>
    <w:rPr>
      <w:b/>
      <w:bCs/>
      <w:szCs w:val="24"/>
    </w:rPr>
  </w:style>
  <w:style w:type="paragraph" w:styleId="NormalWeb">
    <w:name w:val="Normal (Web)"/>
    <w:basedOn w:val="Normal"/>
    <w:uiPriority w:val="99"/>
    <w:unhideWhenUsed/>
    <w:rsid w:val="0029756A"/>
    <w:pPr>
      <w:spacing w:before="100" w:beforeAutospacing="1" w:after="100" w:afterAutospacing="1" w:line="240" w:lineRule="auto"/>
    </w:pPr>
    <w:rPr>
      <w:rFonts w:ascii="Times New Roman" w:eastAsia="Times New Roman" w:hAnsi="Times New Roman" w:cs="Times New Roman"/>
      <w:kern w:val="0"/>
      <w:szCs w:val="24"/>
      <w14:ligatures w14:val="none"/>
    </w:rPr>
  </w:style>
  <w:style w:type="character" w:styleId="Hyperlink">
    <w:name w:val="Hyperlink"/>
    <w:basedOn w:val="DefaultParagraphFont"/>
    <w:uiPriority w:val="99"/>
    <w:unhideWhenUsed/>
    <w:rsid w:val="0029756A"/>
    <w:rPr>
      <w:color w:val="0563C1" w:themeColor="hyperlink"/>
      <w:u w:val="single"/>
    </w:rPr>
  </w:style>
  <w:style w:type="character" w:customStyle="1" w:styleId="Heading1Char">
    <w:name w:val="Heading 1 Char"/>
    <w:basedOn w:val="DefaultParagraphFont"/>
    <w:link w:val="Heading1"/>
    <w:uiPriority w:val="9"/>
    <w:rsid w:val="002975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9756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9756A"/>
    <w:rPr>
      <w:rFonts w:asciiTheme="majorHAnsi" w:eastAsiaTheme="majorEastAsia" w:hAnsiTheme="majorHAnsi" w:cstheme="majorBidi"/>
      <w:color w:val="1F3763" w:themeColor="accent1" w:themeShade="7F"/>
      <w:szCs w:val="24"/>
    </w:rPr>
  </w:style>
  <w:style w:type="paragraph" w:styleId="TOC1">
    <w:name w:val="toc 1"/>
    <w:basedOn w:val="Normal"/>
    <w:next w:val="Normal"/>
    <w:autoRedefine/>
    <w:uiPriority w:val="39"/>
    <w:unhideWhenUsed/>
    <w:rsid w:val="0029756A"/>
    <w:pPr>
      <w:spacing w:after="100"/>
    </w:pPr>
  </w:style>
  <w:style w:type="paragraph" w:styleId="TOC2">
    <w:name w:val="toc 2"/>
    <w:basedOn w:val="Normal"/>
    <w:next w:val="Normal"/>
    <w:autoRedefine/>
    <w:uiPriority w:val="39"/>
    <w:unhideWhenUsed/>
    <w:rsid w:val="0029756A"/>
    <w:pPr>
      <w:spacing w:after="100"/>
      <w:ind w:left="240"/>
    </w:pPr>
  </w:style>
  <w:style w:type="paragraph" w:styleId="TOC3">
    <w:name w:val="toc 3"/>
    <w:basedOn w:val="Normal"/>
    <w:next w:val="Normal"/>
    <w:autoRedefine/>
    <w:uiPriority w:val="39"/>
    <w:unhideWhenUsed/>
    <w:rsid w:val="0029756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21837/pm.v20i24.1199" TargetMode="External"/><Relationship Id="rId26" Type="http://schemas.openxmlformats.org/officeDocument/2006/relationships/hyperlink" Target="https://doi.org/10.1109/access.2020.3007098" TargetMode="External"/><Relationship Id="rId39" Type="http://schemas.openxmlformats.org/officeDocument/2006/relationships/hyperlink" Target="https://www.researchgate.net/publication/356001595_IMPACT_OF_EMPLOYEE_WELL_BEING_ON_ORGANIZATIONAL_PERFORMANCE_IN_WORKPLACE" TargetMode="External"/><Relationship Id="rId21" Type="http://schemas.openxmlformats.org/officeDocument/2006/relationships/hyperlink" Target="https://doi.org/10.1109/ieem.2018.8607809" TargetMode="External"/><Relationship Id="rId34" Type="http://schemas.openxmlformats.org/officeDocument/2006/relationships/hyperlink" Target="https://www.researchgate.net/publication/329526111_Quality_Management_System_at_Construction_Projects" TargetMode="External"/><Relationship Id="rId42" Type="http://schemas.openxmlformats.org/officeDocument/2006/relationships/hyperlink" Target="https://www.researchgate.net/publication/327623649_Critical_Analysis_of_Procurement_Techniques_in_Construction_Management_Sector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ublication/315510968_Impacts_of_design_changes_on_construction_project_performance_Insights_from_literature_review" TargetMode="External"/><Relationship Id="rId29" Type="http://schemas.openxmlformats.org/officeDocument/2006/relationships/hyperlink" Target="https://doi.org/10.3390/su130419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doi.org/10.11113/intrest.v15n1.5" TargetMode="External"/><Relationship Id="rId32" Type="http://schemas.openxmlformats.org/officeDocument/2006/relationships/hyperlink" Target="https://doi.org/10.1108/978-1-80382-997-520221030" TargetMode="External"/><Relationship Id="rId37" Type="http://schemas.openxmlformats.org/officeDocument/2006/relationships/hyperlink" Target="https://www.researchgate.net/publication/351984189_Quality_Assurance_and_Quality_Control_for_Project_Effectiveness_in_Construction_and_Management" TargetMode="External"/><Relationship Id="rId40" Type="http://schemas.openxmlformats.org/officeDocument/2006/relationships/hyperlink" Target="https://doi.org/10.1061/(ASCE)0742-597X(2009)25:4(221"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hyperlink" Target="https://doi.org/10.4018/ijaie.20210101.oa1" TargetMode="External"/><Relationship Id="rId28" Type="http://schemas.openxmlformats.org/officeDocument/2006/relationships/hyperlink" Target="https://doi.org/10.2174/1874149502014010388" TargetMode="External"/><Relationship Id="rId36" Type="http://schemas.openxmlformats.org/officeDocument/2006/relationships/hyperlink" Target="https://doi.org/10.21837/pmjournal.v14.i5.194" TargetMode="External"/><Relationship Id="rId10" Type="http://schemas.openxmlformats.org/officeDocument/2006/relationships/diagramLayout" Target="diagrams/layout1.xml"/><Relationship Id="rId19" Type="http://schemas.openxmlformats.org/officeDocument/2006/relationships/hyperlink" Target="https://doi.org/10.5772/51460" TargetMode="External"/><Relationship Id="rId31" Type="http://schemas.openxmlformats.org/officeDocument/2006/relationships/hyperlink" Target="https://doi.org/10.1108/jopp-12-2018-0052"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emf"/><Relationship Id="rId22" Type="http://schemas.openxmlformats.org/officeDocument/2006/relationships/hyperlink" Target="https://doi.org/10.1108/ecam-02-2020-0137" TargetMode="External"/><Relationship Id="rId27" Type="http://schemas.openxmlformats.org/officeDocument/2006/relationships/hyperlink" Target="https://doi.org/10.1016/j.ijproman.2013.10.005" TargetMode="External"/><Relationship Id="rId30" Type="http://schemas.openxmlformats.org/officeDocument/2006/relationships/hyperlink" Target="https://www.researchgate.net/publication/320323715_Designing_Creativity-Enhancing_Workspaces_A_Critical_Look_at_Empirical_Evidence" TargetMode="External"/><Relationship Id="rId35" Type="http://schemas.openxmlformats.org/officeDocument/2006/relationships/hyperlink" Target="https://doi.org/10.3934/jimo.2016.12.1009" TargetMode="External"/><Relationship Id="rId43" Type="http://schemas.openxmlformats.org/officeDocument/2006/relationships/hyperlink" Target="https://doi.org/10.1016/j.heliyon.2022.e10987" TargetMode="Externa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doi.org/10.17265/2328-2142/2013.12.005" TargetMode="External"/><Relationship Id="rId25" Type="http://schemas.openxmlformats.org/officeDocument/2006/relationships/hyperlink" Target="https://doi.org/10.1002/pmj.21396" TargetMode="External"/><Relationship Id="rId33" Type="http://schemas.openxmlformats.org/officeDocument/2006/relationships/hyperlink" Target="https://doi.org/10.18540/jcecvl9iss9pp16423-01e" TargetMode="External"/><Relationship Id="rId38" Type="http://schemas.openxmlformats.org/officeDocument/2006/relationships/hyperlink" Target="https://doi.org/10.3390/su13052861" TargetMode="External"/><Relationship Id="rId20" Type="http://schemas.openxmlformats.org/officeDocument/2006/relationships/hyperlink" Target="https://doi.org/10.13140/RG.2.2.10875.90402" TargetMode="External"/><Relationship Id="rId41" Type="http://schemas.openxmlformats.org/officeDocument/2006/relationships/hyperlink" Target="https://doi.org/10.1201/9781003137979-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E124A4-C1D6-4CCB-A283-4D681C6136C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B6C5FE8D-D429-4583-9F5E-32D49D571000}">
      <dgm:prSet phldrT="[Text]"/>
      <dgm:spPr/>
      <dgm:t>
        <a:bodyPr/>
        <a:lstStyle/>
        <a:p>
          <a:r>
            <a:rPr lang="en-US"/>
            <a:t>Google Headquarters Project in London, UK</a:t>
          </a:r>
        </a:p>
      </dgm:t>
    </dgm:pt>
    <dgm:pt modelId="{5E29C3DC-DA15-4AF9-86BF-4AA1317CD4F9}" type="parTrans" cxnId="{8FFFDCA1-D92D-4DF2-B7DE-58642EE8A636}">
      <dgm:prSet/>
      <dgm:spPr/>
      <dgm:t>
        <a:bodyPr/>
        <a:lstStyle/>
        <a:p>
          <a:endParaRPr lang="en-US"/>
        </a:p>
      </dgm:t>
    </dgm:pt>
    <dgm:pt modelId="{74719A7D-6CE4-495C-AD4B-DDC488C5349C}" type="sibTrans" cxnId="{8FFFDCA1-D92D-4DF2-B7DE-58642EE8A636}">
      <dgm:prSet/>
      <dgm:spPr/>
      <dgm:t>
        <a:bodyPr/>
        <a:lstStyle/>
        <a:p>
          <a:endParaRPr lang="en-US"/>
        </a:p>
      </dgm:t>
    </dgm:pt>
    <dgm:pt modelId="{2A13E13E-E07D-4DBD-A51F-C9AF9E407BD1}">
      <dgm:prSet phldrT="[Text]"/>
      <dgm:spPr/>
      <dgm:t>
        <a:bodyPr/>
        <a:lstStyle/>
        <a:p>
          <a:r>
            <a:rPr lang="en-US"/>
            <a:t>Planning Phase </a:t>
          </a:r>
        </a:p>
      </dgm:t>
    </dgm:pt>
    <dgm:pt modelId="{37052212-9E9A-47C6-9811-B2A55EF56443}" type="parTrans" cxnId="{EF70F048-743D-48BE-80CC-8FFB551E6EB8}">
      <dgm:prSet/>
      <dgm:spPr/>
      <dgm:t>
        <a:bodyPr/>
        <a:lstStyle/>
        <a:p>
          <a:endParaRPr lang="en-US"/>
        </a:p>
      </dgm:t>
    </dgm:pt>
    <dgm:pt modelId="{E1706ECE-3E2F-4B44-9632-B00DB73FBB1F}" type="sibTrans" cxnId="{EF70F048-743D-48BE-80CC-8FFB551E6EB8}">
      <dgm:prSet/>
      <dgm:spPr/>
      <dgm:t>
        <a:bodyPr/>
        <a:lstStyle/>
        <a:p>
          <a:endParaRPr lang="en-US"/>
        </a:p>
      </dgm:t>
    </dgm:pt>
    <dgm:pt modelId="{3226F05E-8522-490D-AFF3-0D9D3E283A14}">
      <dgm:prSet phldrT="[Text]"/>
      <dgm:spPr/>
      <dgm:t>
        <a:bodyPr/>
        <a:lstStyle/>
        <a:p>
          <a:r>
            <a:rPr lang="en-US"/>
            <a:t>Design Phase</a:t>
          </a:r>
        </a:p>
      </dgm:t>
    </dgm:pt>
    <dgm:pt modelId="{6B276610-5CC0-429B-8A18-CC9AFBCB41EF}" type="parTrans" cxnId="{AF2FF7B2-70EB-42FF-B1D6-1134A75591D5}">
      <dgm:prSet/>
      <dgm:spPr/>
      <dgm:t>
        <a:bodyPr/>
        <a:lstStyle/>
        <a:p>
          <a:endParaRPr lang="en-US"/>
        </a:p>
      </dgm:t>
    </dgm:pt>
    <dgm:pt modelId="{F99AE107-A512-4A56-9D9D-C10CAFE319AE}" type="sibTrans" cxnId="{AF2FF7B2-70EB-42FF-B1D6-1134A75591D5}">
      <dgm:prSet/>
      <dgm:spPr/>
      <dgm:t>
        <a:bodyPr/>
        <a:lstStyle/>
        <a:p>
          <a:endParaRPr lang="en-US"/>
        </a:p>
      </dgm:t>
    </dgm:pt>
    <dgm:pt modelId="{8143F67B-22EF-4FAE-84A7-44A144A9677A}">
      <dgm:prSet phldrT="[Text]"/>
      <dgm:spPr/>
      <dgm:t>
        <a:bodyPr/>
        <a:lstStyle/>
        <a:p>
          <a:r>
            <a:rPr lang="en-US"/>
            <a:t>Construction Phase </a:t>
          </a:r>
        </a:p>
      </dgm:t>
    </dgm:pt>
    <dgm:pt modelId="{5A0D6632-37F3-4B00-B0E0-CFFD99E24B2D}" type="parTrans" cxnId="{AB108C0F-AA49-4E34-9AF6-D3DEC30D84C7}">
      <dgm:prSet/>
      <dgm:spPr/>
      <dgm:t>
        <a:bodyPr/>
        <a:lstStyle/>
        <a:p>
          <a:endParaRPr lang="en-US"/>
        </a:p>
      </dgm:t>
    </dgm:pt>
    <dgm:pt modelId="{A9D3EB5D-FD55-4AEE-B51C-CA4A1633E283}" type="sibTrans" cxnId="{AB108C0F-AA49-4E34-9AF6-D3DEC30D84C7}">
      <dgm:prSet/>
      <dgm:spPr/>
      <dgm:t>
        <a:bodyPr/>
        <a:lstStyle/>
        <a:p>
          <a:endParaRPr lang="en-US"/>
        </a:p>
      </dgm:t>
    </dgm:pt>
    <dgm:pt modelId="{935BDA53-92AF-44BC-90B5-CC55600887AA}">
      <dgm:prSet/>
      <dgm:spPr/>
      <dgm:t>
        <a:bodyPr/>
        <a:lstStyle/>
        <a:p>
          <a:r>
            <a:rPr lang="en-US"/>
            <a:t>Completion and Handover Phase </a:t>
          </a:r>
        </a:p>
      </dgm:t>
    </dgm:pt>
    <dgm:pt modelId="{4303096C-E009-49E3-B5E7-877F9FA5534F}" type="parTrans" cxnId="{B8D1FDA6-50CE-435F-B5F1-7CDDA3479A75}">
      <dgm:prSet/>
      <dgm:spPr/>
      <dgm:t>
        <a:bodyPr/>
        <a:lstStyle/>
        <a:p>
          <a:endParaRPr lang="en-US"/>
        </a:p>
      </dgm:t>
    </dgm:pt>
    <dgm:pt modelId="{5D9B12CC-D02D-441A-9015-113041C5EA4D}" type="sibTrans" cxnId="{B8D1FDA6-50CE-435F-B5F1-7CDDA3479A75}">
      <dgm:prSet/>
      <dgm:spPr/>
      <dgm:t>
        <a:bodyPr/>
        <a:lstStyle/>
        <a:p>
          <a:endParaRPr lang="en-US"/>
        </a:p>
      </dgm:t>
    </dgm:pt>
    <dgm:pt modelId="{C09F2103-3C70-459B-AC34-90FDE34234E3}">
      <dgm:prSet/>
      <dgm:spPr/>
      <dgm:t>
        <a:bodyPr/>
        <a:lstStyle/>
        <a:p>
          <a:r>
            <a:rPr lang="en-US"/>
            <a:t>Feasibility Studies and Site Selection</a:t>
          </a:r>
        </a:p>
      </dgm:t>
    </dgm:pt>
    <dgm:pt modelId="{ACA7D8A6-2DDF-4415-8C3F-B0F7A70815AD}" type="parTrans" cxnId="{7D2C223B-7415-49EE-9C2F-0BFB08D777AA}">
      <dgm:prSet/>
      <dgm:spPr/>
      <dgm:t>
        <a:bodyPr/>
        <a:lstStyle/>
        <a:p>
          <a:endParaRPr lang="en-US"/>
        </a:p>
      </dgm:t>
    </dgm:pt>
    <dgm:pt modelId="{B08039E9-B2BD-471C-B739-9DCB508C698C}" type="sibTrans" cxnId="{7D2C223B-7415-49EE-9C2F-0BFB08D777AA}">
      <dgm:prSet/>
      <dgm:spPr/>
      <dgm:t>
        <a:bodyPr/>
        <a:lstStyle/>
        <a:p>
          <a:endParaRPr lang="en-US"/>
        </a:p>
      </dgm:t>
    </dgm:pt>
    <dgm:pt modelId="{6DEDCACE-FAF0-4C91-B267-C466D01CF539}">
      <dgm:prSet/>
      <dgm:spPr/>
      <dgm:t>
        <a:bodyPr/>
        <a:lstStyle/>
        <a:p>
          <a:r>
            <a:rPr lang="en-US"/>
            <a:t>Readiness for Occupancy</a:t>
          </a:r>
        </a:p>
      </dgm:t>
    </dgm:pt>
    <dgm:pt modelId="{8655404A-C543-439B-83BD-1D2582E86DC5}" type="parTrans" cxnId="{3EA461EB-0003-4DE7-B1D3-49C6D291346F}">
      <dgm:prSet/>
      <dgm:spPr/>
      <dgm:t>
        <a:bodyPr/>
        <a:lstStyle/>
        <a:p>
          <a:endParaRPr lang="en-US"/>
        </a:p>
      </dgm:t>
    </dgm:pt>
    <dgm:pt modelId="{CF62691E-17AF-4D83-B8DE-0E41EDA81F03}" type="sibTrans" cxnId="{3EA461EB-0003-4DE7-B1D3-49C6D291346F}">
      <dgm:prSet/>
      <dgm:spPr/>
      <dgm:t>
        <a:bodyPr/>
        <a:lstStyle/>
        <a:p>
          <a:endParaRPr lang="en-US"/>
        </a:p>
      </dgm:t>
    </dgm:pt>
    <dgm:pt modelId="{BF652438-1763-4362-B818-1AF0A9F2E103}">
      <dgm:prSet/>
      <dgm:spPr/>
      <dgm:t>
        <a:bodyPr/>
        <a:lstStyle/>
        <a:p>
          <a:r>
            <a:rPr lang="en-US"/>
            <a:t>Handover and Operational Transition</a:t>
          </a:r>
        </a:p>
      </dgm:t>
    </dgm:pt>
    <dgm:pt modelId="{1222AB60-BE68-43CB-9BB8-057F3B3AFF1B}" type="parTrans" cxnId="{E110CCA9-7794-44A3-B8C7-515B71D0AC25}">
      <dgm:prSet/>
      <dgm:spPr/>
      <dgm:t>
        <a:bodyPr/>
        <a:lstStyle/>
        <a:p>
          <a:endParaRPr lang="en-US"/>
        </a:p>
      </dgm:t>
    </dgm:pt>
    <dgm:pt modelId="{282DAE72-3B46-440A-85DF-14919EFFBCEA}" type="sibTrans" cxnId="{E110CCA9-7794-44A3-B8C7-515B71D0AC25}">
      <dgm:prSet/>
      <dgm:spPr/>
      <dgm:t>
        <a:bodyPr/>
        <a:lstStyle/>
        <a:p>
          <a:endParaRPr lang="en-US"/>
        </a:p>
      </dgm:t>
    </dgm:pt>
    <dgm:pt modelId="{1C654FA7-8497-41E7-8AB0-768BF056EB51}">
      <dgm:prSet/>
      <dgm:spPr/>
      <dgm:t>
        <a:bodyPr/>
        <a:lstStyle/>
        <a:p>
          <a:r>
            <a:rPr lang="en-US"/>
            <a:t>Ground Preparation and Building Construction</a:t>
          </a:r>
        </a:p>
      </dgm:t>
    </dgm:pt>
    <dgm:pt modelId="{60D143CE-9294-44C1-B896-167E96777E69}" type="parTrans" cxnId="{E454B862-4919-4BAC-947E-2A8FE63E00A6}">
      <dgm:prSet/>
      <dgm:spPr/>
      <dgm:t>
        <a:bodyPr/>
        <a:lstStyle/>
        <a:p>
          <a:endParaRPr lang="en-US"/>
        </a:p>
      </dgm:t>
    </dgm:pt>
    <dgm:pt modelId="{9D320EB7-3F12-4E46-B0A2-3A4AF5864956}" type="sibTrans" cxnId="{E454B862-4919-4BAC-947E-2A8FE63E00A6}">
      <dgm:prSet/>
      <dgm:spPr/>
      <dgm:t>
        <a:bodyPr/>
        <a:lstStyle/>
        <a:p>
          <a:endParaRPr lang="en-US"/>
        </a:p>
      </dgm:t>
    </dgm:pt>
    <dgm:pt modelId="{6B29A262-6B63-4C0C-A8BD-EA18FC7738B0}">
      <dgm:prSet/>
      <dgm:spPr/>
      <dgm:t>
        <a:bodyPr/>
        <a:lstStyle/>
        <a:p>
          <a:r>
            <a:rPr lang="en-US"/>
            <a:t>Interior Fit-Outs and Facilities Installation</a:t>
          </a:r>
        </a:p>
      </dgm:t>
    </dgm:pt>
    <dgm:pt modelId="{D5793EA0-1090-4718-8EB3-DEF983506DFB}" type="parTrans" cxnId="{6A126FF2-8288-4FF8-A8E1-5A075C2FD7EB}">
      <dgm:prSet/>
      <dgm:spPr/>
      <dgm:t>
        <a:bodyPr/>
        <a:lstStyle/>
        <a:p>
          <a:endParaRPr lang="en-US"/>
        </a:p>
      </dgm:t>
    </dgm:pt>
    <dgm:pt modelId="{F8335B61-922E-4E53-802C-F1F9756FBAC1}" type="sibTrans" cxnId="{6A126FF2-8288-4FF8-A8E1-5A075C2FD7EB}">
      <dgm:prSet/>
      <dgm:spPr/>
      <dgm:t>
        <a:bodyPr/>
        <a:lstStyle/>
        <a:p>
          <a:endParaRPr lang="en-US"/>
        </a:p>
      </dgm:t>
    </dgm:pt>
    <dgm:pt modelId="{49F5192D-03D4-474E-89E9-2B89D895E818}">
      <dgm:prSet/>
      <dgm:spPr/>
      <dgm:t>
        <a:bodyPr/>
        <a:lstStyle/>
        <a:p>
          <a:r>
            <a:rPr lang="en-US"/>
            <a:t>Finalization and Inspection Phase</a:t>
          </a:r>
        </a:p>
      </dgm:t>
    </dgm:pt>
    <dgm:pt modelId="{85FD8A88-9EB0-48C0-B7D3-02987FFC7F51}" type="parTrans" cxnId="{8863CBE9-2729-42E0-BD59-5CA477B9A2D1}">
      <dgm:prSet/>
      <dgm:spPr/>
      <dgm:t>
        <a:bodyPr/>
        <a:lstStyle/>
        <a:p>
          <a:endParaRPr lang="en-US"/>
        </a:p>
      </dgm:t>
    </dgm:pt>
    <dgm:pt modelId="{E346859D-D08F-4F5C-84E1-9D0DE951D6A8}" type="sibTrans" cxnId="{8863CBE9-2729-42E0-BD59-5CA477B9A2D1}">
      <dgm:prSet/>
      <dgm:spPr/>
      <dgm:t>
        <a:bodyPr/>
        <a:lstStyle/>
        <a:p>
          <a:endParaRPr lang="en-US"/>
        </a:p>
      </dgm:t>
    </dgm:pt>
    <dgm:pt modelId="{E8DF1D83-9B34-4CC1-86B6-75E34A83C1FF}">
      <dgm:prSet/>
      <dgm:spPr/>
      <dgm:t>
        <a:bodyPr/>
        <a:lstStyle/>
        <a:p>
          <a:r>
            <a:rPr lang="en-US"/>
            <a:t>Architectural Designs and Engineering Plans</a:t>
          </a:r>
        </a:p>
      </dgm:t>
    </dgm:pt>
    <dgm:pt modelId="{C9CF9934-2237-47BB-A7A9-C36DF623B5AA}" type="parTrans" cxnId="{4C652B27-12D3-4DE5-9088-246C0DCD3A2B}">
      <dgm:prSet/>
      <dgm:spPr/>
      <dgm:t>
        <a:bodyPr/>
        <a:lstStyle/>
        <a:p>
          <a:endParaRPr lang="en-US"/>
        </a:p>
      </dgm:t>
    </dgm:pt>
    <dgm:pt modelId="{303E5682-224B-4DFF-9F21-3796B0F1DACB}" type="sibTrans" cxnId="{4C652B27-12D3-4DE5-9088-246C0DCD3A2B}">
      <dgm:prSet/>
      <dgm:spPr/>
      <dgm:t>
        <a:bodyPr/>
        <a:lstStyle/>
        <a:p>
          <a:endParaRPr lang="en-US"/>
        </a:p>
      </dgm:t>
    </dgm:pt>
    <dgm:pt modelId="{A932FFF6-7F60-4276-A483-9153A13664BF}">
      <dgm:prSet/>
      <dgm:spPr/>
      <dgm:t>
        <a:bodyPr/>
        <a:lstStyle/>
        <a:p>
          <a:r>
            <a:rPr lang="en-US"/>
            <a:t>Refinement and Finalization of Designs</a:t>
          </a:r>
        </a:p>
      </dgm:t>
    </dgm:pt>
    <dgm:pt modelId="{63255E63-E71F-4A45-A480-84FC89D48D87}" type="parTrans" cxnId="{7ADE4D52-243E-4E68-AC06-D4650B721356}">
      <dgm:prSet/>
      <dgm:spPr/>
      <dgm:t>
        <a:bodyPr/>
        <a:lstStyle/>
        <a:p>
          <a:endParaRPr lang="en-US"/>
        </a:p>
      </dgm:t>
    </dgm:pt>
    <dgm:pt modelId="{E3A0EB2E-A3B1-44F3-BA40-D271F093EF21}" type="sibTrans" cxnId="{7ADE4D52-243E-4E68-AC06-D4650B721356}">
      <dgm:prSet/>
      <dgm:spPr/>
      <dgm:t>
        <a:bodyPr/>
        <a:lstStyle/>
        <a:p>
          <a:endParaRPr lang="en-US"/>
        </a:p>
      </dgm:t>
    </dgm:pt>
    <dgm:pt modelId="{5F4470C9-A8F8-4DCA-B5E4-BE8E2AC1BCE5}">
      <dgm:prSet/>
      <dgm:spPr/>
      <dgm:t>
        <a:bodyPr/>
        <a:lstStyle/>
        <a:p>
          <a:r>
            <a:rPr lang="en-US"/>
            <a:t>Project Scope Conceptualization and Stakeholder Engagement</a:t>
          </a:r>
        </a:p>
      </dgm:t>
    </dgm:pt>
    <dgm:pt modelId="{3F47C190-D70F-40B2-B497-5B6909BC8B47}" type="parTrans" cxnId="{90106D9B-69CE-4674-9A7E-3D85B2CBC042}">
      <dgm:prSet/>
      <dgm:spPr/>
      <dgm:t>
        <a:bodyPr/>
        <a:lstStyle/>
        <a:p>
          <a:endParaRPr lang="en-US"/>
        </a:p>
      </dgm:t>
    </dgm:pt>
    <dgm:pt modelId="{EA9914CE-F1C3-4735-86B7-683BCEB1F916}" type="sibTrans" cxnId="{90106D9B-69CE-4674-9A7E-3D85B2CBC042}">
      <dgm:prSet/>
      <dgm:spPr/>
      <dgm:t>
        <a:bodyPr/>
        <a:lstStyle/>
        <a:p>
          <a:endParaRPr lang="en-US"/>
        </a:p>
      </dgm:t>
    </dgm:pt>
    <dgm:pt modelId="{7681B1D9-DAF3-4E76-AB3D-A7F8BD6A012F}">
      <dgm:prSet/>
      <dgm:spPr/>
      <dgm:t>
        <a:bodyPr/>
        <a:lstStyle/>
        <a:p>
          <a:r>
            <a:rPr lang="en-US"/>
            <a:t>Regulatory Compliance and Approvals</a:t>
          </a:r>
        </a:p>
      </dgm:t>
    </dgm:pt>
    <dgm:pt modelId="{2962CAB2-8D3D-41FA-9BD4-B7C1C410DB0F}" type="parTrans" cxnId="{3F09CD1E-3AE3-4816-BFA3-15DDC34D46FC}">
      <dgm:prSet/>
      <dgm:spPr/>
      <dgm:t>
        <a:bodyPr/>
        <a:lstStyle/>
        <a:p>
          <a:endParaRPr lang="en-US"/>
        </a:p>
      </dgm:t>
    </dgm:pt>
    <dgm:pt modelId="{52138792-C5D0-44DD-9F04-298FA04EED05}" type="sibTrans" cxnId="{3F09CD1E-3AE3-4816-BFA3-15DDC34D46FC}">
      <dgm:prSet/>
      <dgm:spPr/>
      <dgm:t>
        <a:bodyPr/>
        <a:lstStyle/>
        <a:p>
          <a:endParaRPr lang="en-US"/>
        </a:p>
      </dgm:t>
    </dgm:pt>
    <dgm:pt modelId="{A9D6F790-365A-4A90-9100-CC0B57BE7A7A}" type="pres">
      <dgm:prSet presAssocID="{D7E124A4-C1D6-4CCB-A283-4D681C6136C5}" presName="hierChild1" presStyleCnt="0">
        <dgm:presLayoutVars>
          <dgm:orgChart val="1"/>
          <dgm:chPref val="1"/>
          <dgm:dir/>
          <dgm:animOne val="branch"/>
          <dgm:animLvl val="lvl"/>
          <dgm:resizeHandles/>
        </dgm:presLayoutVars>
      </dgm:prSet>
      <dgm:spPr/>
    </dgm:pt>
    <dgm:pt modelId="{E9565EBF-E186-4766-9F1A-15537207280F}" type="pres">
      <dgm:prSet presAssocID="{B6C5FE8D-D429-4583-9F5E-32D49D571000}" presName="hierRoot1" presStyleCnt="0">
        <dgm:presLayoutVars>
          <dgm:hierBranch val="init"/>
        </dgm:presLayoutVars>
      </dgm:prSet>
      <dgm:spPr/>
    </dgm:pt>
    <dgm:pt modelId="{5701A79A-F7FF-4C2E-9E19-FF45E77E088D}" type="pres">
      <dgm:prSet presAssocID="{B6C5FE8D-D429-4583-9F5E-32D49D571000}" presName="rootComposite1" presStyleCnt="0"/>
      <dgm:spPr/>
    </dgm:pt>
    <dgm:pt modelId="{CDA50C7D-9CAB-4A9C-A069-8F0F6542F6B7}" type="pres">
      <dgm:prSet presAssocID="{B6C5FE8D-D429-4583-9F5E-32D49D571000}" presName="rootText1" presStyleLbl="node0" presStyleIdx="0" presStyleCnt="1">
        <dgm:presLayoutVars>
          <dgm:chPref val="3"/>
        </dgm:presLayoutVars>
      </dgm:prSet>
      <dgm:spPr/>
    </dgm:pt>
    <dgm:pt modelId="{A2A1745D-521A-46B9-889E-88157F34AC34}" type="pres">
      <dgm:prSet presAssocID="{B6C5FE8D-D429-4583-9F5E-32D49D571000}" presName="rootConnector1" presStyleLbl="node1" presStyleIdx="0" presStyleCnt="0"/>
      <dgm:spPr/>
    </dgm:pt>
    <dgm:pt modelId="{2CC0BE48-1357-4F81-AD80-08EB5CAFD202}" type="pres">
      <dgm:prSet presAssocID="{B6C5FE8D-D429-4583-9F5E-32D49D571000}" presName="hierChild2" presStyleCnt="0"/>
      <dgm:spPr/>
    </dgm:pt>
    <dgm:pt modelId="{0BFBEAD8-AA32-454A-900E-01B89E344BFD}" type="pres">
      <dgm:prSet presAssocID="{37052212-9E9A-47C6-9811-B2A55EF56443}" presName="Name37" presStyleLbl="parChTrans1D2" presStyleIdx="0" presStyleCnt="4"/>
      <dgm:spPr/>
    </dgm:pt>
    <dgm:pt modelId="{59E7BFA6-045E-4F8A-9FCD-4B11A5AAACE5}" type="pres">
      <dgm:prSet presAssocID="{2A13E13E-E07D-4DBD-A51F-C9AF9E407BD1}" presName="hierRoot2" presStyleCnt="0">
        <dgm:presLayoutVars>
          <dgm:hierBranch val="init"/>
        </dgm:presLayoutVars>
      </dgm:prSet>
      <dgm:spPr/>
    </dgm:pt>
    <dgm:pt modelId="{E83A5CD8-340E-4B0C-B4C1-CE6C3E7CBF8C}" type="pres">
      <dgm:prSet presAssocID="{2A13E13E-E07D-4DBD-A51F-C9AF9E407BD1}" presName="rootComposite" presStyleCnt="0"/>
      <dgm:spPr/>
    </dgm:pt>
    <dgm:pt modelId="{2D2897FE-7E40-4955-AF3C-885D496BF667}" type="pres">
      <dgm:prSet presAssocID="{2A13E13E-E07D-4DBD-A51F-C9AF9E407BD1}" presName="rootText" presStyleLbl="node2" presStyleIdx="0" presStyleCnt="4">
        <dgm:presLayoutVars>
          <dgm:chPref val="3"/>
        </dgm:presLayoutVars>
      </dgm:prSet>
      <dgm:spPr/>
    </dgm:pt>
    <dgm:pt modelId="{5880DEBF-2FEC-42D0-B2B6-D72F69D6CB13}" type="pres">
      <dgm:prSet presAssocID="{2A13E13E-E07D-4DBD-A51F-C9AF9E407BD1}" presName="rootConnector" presStyleLbl="node2" presStyleIdx="0" presStyleCnt="4"/>
      <dgm:spPr/>
    </dgm:pt>
    <dgm:pt modelId="{94B55E49-BB38-41CE-8FD7-CFF4D0FFC57F}" type="pres">
      <dgm:prSet presAssocID="{2A13E13E-E07D-4DBD-A51F-C9AF9E407BD1}" presName="hierChild4" presStyleCnt="0"/>
      <dgm:spPr/>
    </dgm:pt>
    <dgm:pt modelId="{C143DF70-92DC-4F53-902B-8750A9A3978C}" type="pres">
      <dgm:prSet presAssocID="{ACA7D8A6-2DDF-4415-8C3F-B0F7A70815AD}" presName="Name37" presStyleLbl="parChTrans1D3" presStyleIdx="0" presStyleCnt="10"/>
      <dgm:spPr/>
    </dgm:pt>
    <dgm:pt modelId="{EBA14BD4-7BB5-4FA6-BA32-FD4A0BD2692A}" type="pres">
      <dgm:prSet presAssocID="{C09F2103-3C70-459B-AC34-90FDE34234E3}" presName="hierRoot2" presStyleCnt="0">
        <dgm:presLayoutVars>
          <dgm:hierBranch val="init"/>
        </dgm:presLayoutVars>
      </dgm:prSet>
      <dgm:spPr/>
    </dgm:pt>
    <dgm:pt modelId="{EC56B175-C719-435B-A654-E3916886F11D}" type="pres">
      <dgm:prSet presAssocID="{C09F2103-3C70-459B-AC34-90FDE34234E3}" presName="rootComposite" presStyleCnt="0"/>
      <dgm:spPr/>
    </dgm:pt>
    <dgm:pt modelId="{33CC03CB-A1DD-47E8-A88A-4F84BCE53AAA}" type="pres">
      <dgm:prSet presAssocID="{C09F2103-3C70-459B-AC34-90FDE34234E3}" presName="rootText" presStyleLbl="node3" presStyleIdx="0" presStyleCnt="10">
        <dgm:presLayoutVars>
          <dgm:chPref val="3"/>
        </dgm:presLayoutVars>
      </dgm:prSet>
      <dgm:spPr/>
    </dgm:pt>
    <dgm:pt modelId="{4C6D6C05-743E-432A-82DB-07B896C03ED5}" type="pres">
      <dgm:prSet presAssocID="{C09F2103-3C70-459B-AC34-90FDE34234E3}" presName="rootConnector" presStyleLbl="node3" presStyleIdx="0" presStyleCnt="10"/>
      <dgm:spPr/>
    </dgm:pt>
    <dgm:pt modelId="{B8838AEC-1A4E-4756-A1D7-9939C630106D}" type="pres">
      <dgm:prSet presAssocID="{C09F2103-3C70-459B-AC34-90FDE34234E3}" presName="hierChild4" presStyleCnt="0"/>
      <dgm:spPr/>
    </dgm:pt>
    <dgm:pt modelId="{092735BC-E39D-4C0E-A87F-550624B45C84}" type="pres">
      <dgm:prSet presAssocID="{C09F2103-3C70-459B-AC34-90FDE34234E3}" presName="hierChild5" presStyleCnt="0"/>
      <dgm:spPr/>
    </dgm:pt>
    <dgm:pt modelId="{4D0BEA03-6620-4DE1-9396-9F3E2316FC96}" type="pres">
      <dgm:prSet presAssocID="{3F47C190-D70F-40B2-B497-5B6909BC8B47}" presName="Name37" presStyleLbl="parChTrans1D3" presStyleIdx="1" presStyleCnt="10"/>
      <dgm:spPr/>
    </dgm:pt>
    <dgm:pt modelId="{BEC10992-8625-49CA-B054-97E1658CF4C3}" type="pres">
      <dgm:prSet presAssocID="{5F4470C9-A8F8-4DCA-B5E4-BE8E2AC1BCE5}" presName="hierRoot2" presStyleCnt="0">
        <dgm:presLayoutVars>
          <dgm:hierBranch val="init"/>
        </dgm:presLayoutVars>
      </dgm:prSet>
      <dgm:spPr/>
    </dgm:pt>
    <dgm:pt modelId="{A49831DE-925B-4B71-8821-463BD1871400}" type="pres">
      <dgm:prSet presAssocID="{5F4470C9-A8F8-4DCA-B5E4-BE8E2AC1BCE5}" presName="rootComposite" presStyleCnt="0"/>
      <dgm:spPr/>
    </dgm:pt>
    <dgm:pt modelId="{CBF57FC0-61C0-459D-B483-89841CDB7A68}" type="pres">
      <dgm:prSet presAssocID="{5F4470C9-A8F8-4DCA-B5E4-BE8E2AC1BCE5}" presName="rootText" presStyleLbl="node3" presStyleIdx="1" presStyleCnt="10">
        <dgm:presLayoutVars>
          <dgm:chPref val="3"/>
        </dgm:presLayoutVars>
      </dgm:prSet>
      <dgm:spPr/>
    </dgm:pt>
    <dgm:pt modelId="{FE746A0F-9184-45A5-996C-2CD5ABA3E9D8}" type="pres">
      <dgm:prSet presAssocID="{5F4470C9-A8F8-4DCA-B5E4-BE8E2AC1BCE5}" presName="rootConnector" presStyleLbl="node3" presStyleIdx="1" presStyleCnt="10"/>
      <dgm:spPr/>
    </dgm:pt>
    <dgm:pt modelId="{6D9A2648-C646-41D2-8DA8-6AEB5436D69C}" type="pres">
      <dgm:prSet presAssocID="{5F4470C9-A8F8-4DCA-B5E4-BE8E2AC1BCE5}" presName="hierChild4" presStyleCnt="0"/>
      <dgm:spPr/>
    </dgm:pt>
    <dgm:pt modelId="{50E6325F-6E03-4DAE-9DA3-433841082AA4}" type="pres">
      <dgm:prSet presAssocID="{5F4470C9-A8F8-4DCA-B5E4-BE8E2AC1BCE5}" presName="hierChild5" presStyleCnt="0"/>
      <dgm:spPr/>
    </dgm:pt>
    <dgm:pt modelId="{5010078E-9AAA-4694-931E-0B1668B769E0}" type="pres">
      <dgm:prSet presAssocID="{2962CAB2-8D3D-41FA-9BD4-B7C1C410DB0F}" presName="Name37" presStyleLbl="parChTrans1D3" presStyleIdx="2" presStyleCnt="10"/>
      <dgm:spPr/>
    </dgm:pt>
    <dgm:pt modelId="{CE717FFF-29AF-47DB-8033-2559F7DAC476}" type="pres">
      <dgm:prSet presAssocID="{7681B1D9-DAF3-4E76-AB3D-A7F8BD6A012F}" presName="hierRoot2" presStyleCnt="0">
        <dgm:presLayoutVars>
          <dgm:hierBranch val="init"/>
        </dgm:presLayoutVars>
      </dgm:prSet>
      <dgm:spPr/>
    </dgm:pt>
    <dgm:pt modelId="{452824D0-C8F5-4B8D-8B9F-3473A3BCE60B}" type="pres">
      <dgm:prSet presAssocID="{7681B1D9-DAF3-4E76-AB3D-A7F8BD6A012F}" presName="rootComposite" presStyleCnt="0"/>
      <dgm:spPr/>
    </dgm:pt>
    <dgm:pt modelId="{85698DFB-315B-401C-98F8-B2CD953C35C0}" type="pres">
      <dgm:prSet presAssocID="{7681B1D9-DAF3-4E76-AB3D-A7F8BD6A012F}" presName="rootText" presStyleLbl="node3" presStyleIdx="2" presStyleCnt="10">
        <dgm:presLayoutVars>
          <dgm:chPref val="3"/>
        </dgm:presLayoutVars>
      </dgm:prSet>
      <dgm:spPr/>
    </dgm:pt>
    <dgm:pt modelId="{CBC7C519-A3A7-407A-A9CC-72F9B3276F33}" type="pres">
      <dgm:prSet presAssocID="{7681B1D9-DAF3-4E76-AB3D-A7F8BD6A012F}" presName="rootConnector" presStyleLbl="node3" presStyleIdx="2" presStyleCnt="10"/>
      <dgm:spPr/>
    </dgm:pt>
    <dgm:pt modelId="{2FB58CD5-2A46-4462-985A-A51A37AE8F33}" type="pres">
      <dgm:prSet presAssocID="{7681B1D9-DAF3-4E76-AB3D-A7F8BD6A012F}" presName="hierChild4" presStyleCnt="0"/>
      <dgm:spPr/>
    </dgm:pt>
    <dgm:pt modelId="{B10FBE00-778B-4045-B4F4-B7F05EEB0675}" type="pres">
      <dgm:prSet presAssocID="{7681B1D9-DAF3-4E76-AB3D-A7F8BD6A012F}" presName="hierChild5" presStyleCnt="0"/>
      <dgm:spPr/>
    </dgm:pt>
    <dgm:pt modelId="{DD51AE92-3FC8-40E6-A527-04FFDE4DA985}" type="pres">
      <dgm:prSet presAssocID="{2A13E13E-E07D-4DBD-A51F-C9AF9E407BD1}" presName="hierChild5" presStyleCnt="0"/>
      <dgm:spPr/>
    </dgm:pt>
    <dgm:pt modelId="{DE41D1F1-19FC-49F8-9B7C-4FDB8F1BDBA5}" type="pres">
      <dgm:prSet presAssocID="{6B276610-5CC0-429B-8A18-CC9AFBCB41EF}" presName="Name37" presStyleLbl="parChTrans1D2" presStyleIdx="1" presStyleCnt="4"/>
      <dgm:spPr/>
    </dgm:pt>
    <dgm:pt modelId="{466BC1C0-D74F-406B-97AA-05CE98073300}" type="pres">
      <dgm:prSet presAssocID="{3226F05E-8522-490D-AFF3-0D9D3E283A14}" presName="hierRoot2" presStyleCnt="0">
        <dgm:presLayoutVars>
          <dgm:hierBranch val="init"/>
        </dgm:presLayoutVars>
      </dgm:prSet>
      <dgm:spPr/>
    </dgm:pt>
    <dgm:pt modelId="{F711FAF4-E0B2-4C96-9B97-6F58F51E916B}" type="pres">
      <dgm:prSet presAssocID="{3226F05E-8522-490D-AFF3-0D9D3E283A14}" presName="rootComposite" presStyleCnt="0"/>
      <dgm:spPr/>
    </dgm:pt>
    <dgm:pt modelId="{10D53A6C-7A3F-4C47-B47C-892A29200E91}" type="pres">
      <dgm:prSet presAssocID="{3226F05E-8522-490D-AFF3-0D9D3E283A14}" presName="rootText" presStyleLbl="node2" presStyleIdx="1" presStyleCnt="4">
        <dgm:presLayoutVars>
          <dgm:chPref val="3"/>
        </dgm:presLayoutVars>
      </dgm:prSet>
      <dgm:spPr/>
    </dgm:pt>
    <dgm:pt modelId="{57D8A1D9-A2DC-4A72-AD34-4ED9B59CE007}" type="pres">
      <dgm:prSet presAssocID="{3226F05E-8522-490D-AFF3-0D9D3E283A14}" presName="rootConnector" presStyleLbl="node2" presStyleIdx="1" presStyleCnt="4"/>
      <dgm:spPr/>
    </dgm:pt>
    <dgm:pt modelId="{52AD5D9F-9400-43D4-9A15-3618196E6450}" type="pres">
      <dgm:prSet presAssocID="{3226F05E-8522-490D-AFF3-0D9D3E283A14}" presName="hierChild4" presStyleCnt="0"/>
      <dgm:spPr/>
    </dgm:pt>
    <dgm:pt modelId="{EF462488-10CD-4272-880A-CBA144EF040A}" type="pres">
      <dgm:prSet presAssocID="{C9CF9934-2237-47BB-A7A9-C36DF623B5AA}" presName="Name37" presStyleLbl="parChTrans1D3" presStyleIdx="3" presStyleCnt="10"/>
      <dgm:spPr/>
    </dgm:pt>
    <dgm:pt modelId="{E668AE44-CE4C-4F75-BBB9-99953E772F1F}" type="pres">
      <dgm:prSet presAssocID="{E8DF1D83-9B34-4CC1-86B6-75E34A83C1FF}" presName="hierRoot2" presStyleCnt="0">
        <dgm:presLayoutVars>
          <dgm:hierBranch val="init"/>
        </dgm:presLayoutVars>
      </dgm:prSet>
      <dgm:spPr/>
    </dgm:pt>
    <dgm:pt modelId="{9AFD9C3F-70DB-40AC-83E3-81D643446876}" type="pres">
      <dgm:prSet presAssocID="{E8DF1D83-9B34-4CC1-86B6-75E34A83C1FF}" presName="rootComposite" presStyleCnt="0"/>
      <dgm:spPr/>
    </dgm:pt>
    <dgm:pt modelId="{1032714F-94A3-466D-9074-AE9F07CFA3CA}" type="pres">
      <dgm:prSet presAssocID="{E8DF1D83-9B34-4CC1-86B6-75E34A83C1FF}" presName="rootText" presStyleLbl="node3" presStyleIdx="3" presStyleCnt="10">
        <dgm:presLayoutVars>
          <dgm:chPref val="3"/>
        </dgm:presLayoutVars>
      </dgm:prSet>
      <dgm:spPr/>
    </dgm:pt>
    <dgm:pt modelId="{7735B6DA-6D80-4D9A-B017-7EC613F41AD3}" type="pres">
      <dgm:prSet presAssocID="{E8DF1D83-9B34-4CC1-86B6-75E34A83C1FF}" presName="rootConnector" presStyleLbl="node3" presStyleIdx="3" presStyleCnt="10"/>
      <dgm:spPr/>
    </dgm:pt>
    <dgm:pt modelId="{41A31F3F-6687-4156-8758-2AFE266E7F82}" type="pres">
      <dgm:prSet presAssocID="{E8DF1D83-9B34-4CC1-86B6-75E34A83C1FF}" presName="hierChild4" presStyleCnt="0"/>
      <dgm:spPr/>
    </dgm:pt>
    <dgm:pt modelId="{532A85C9-47EE-400A-B350-762B79A6AD4E}" type="pres">
      <dgm:prSet presAssocID="{E8DF1D83-9B34-4CC1-86B6-75E34A83C1FF}" presName="hierChild5" presStyleCnt="0"/>
      <dgm:spPr/>
    </dgm:pt>
    <dgm:pt modelId="{E6D2971D-3669-45F8-9EED-9FDA1DFE0410}" type="pres">
      <dgm:prSet presAssocID="{63255E63-E71F-4A45-A480-84FC89D48D87}" presName="Name37" presStyleLbl="parChTrans1D3" presStyleIdx="4" presStyleCnt="10"/>
      <dgm:spPr/>
    </dgm:pt>
    <dgm:pt modelId="{115FF00C-C21B-4797-A68E-E23BA80C0D97}" type="pres">
      <dgm:prSet presAssocID="{A932FFF6-7F60-4276-A483-9153A13664BF}" presName="hierRoot2" presStyleCnt="0">
        <dgm:presLayoutVars>
          <dgm:hierBranch val="init"/>
        </dgm:presLayoutVars>
      </dgm:prSet>
      <dgm:spPr/>
    </dgm:pt>
    <dgm:pt modelId="{D26ED55A-FEB6-4133-8F19-E51C56161A1B}" type="pres">
      <dgm:prSet presAssocID="{A932FFF6-7F60-4276-A483-9153A13664BF}" presName="rootComposite" presStyleCnt="0"/>
      <dgm:spPr/>
    </dgm:pt>
    <dgm:pt modelId="{E8A47796-64E4-44DE-A44F-9F7885A61371}" type="pres">
      <dgm:prSet presAssocID="{A932FFF6-7F60-4276-A483-9153A13664BF}" presName="rootText" presStyleLbl="node3" presStyleIdx="4" presStyleCnt="10">
        <dgm:presLayoutVars>
          <dgm:chPref val="3"/>
        </dgm:presLayoutVars>
      </dgm:prSet>
      <dgm:spPr/>
    </dgm:pt>
    <dgm:pt modelId="{220323CE-AE85-416F-A249-A102571181B0}" type="pres">
      <dgm:prSet presAssocID="{A932FFF6-7F60-4276-A483-9153A13664BF}" presName="rootConnector" presStyleLbl="node3" presStyleIdx="4" presStyleCnt="10"/>
      <dgm:spPr/>
    </dgm:pt>
    <dgm:pt modelId="{B31BD09D-D0BC-4B27-AAB7-BE99D7E0397E}" type="pres">
      <dgm:prSet presAssocID="{A932FFF6-7F60-4276-A483-9153A13664BF}" presName="hierChild4" presStyleCnt="0"/>
      <dgm:spPr/>
    </dgm:pt>
    <dgm:pt modelId="{A5703EB0-F884-4BD0-B037-23D58D57A001}" type="pres">
      <dgm:prSet presAssocID="{A932FFF6-7F60-4276-A483-9153A13664BF}" presName="hierChild5" presStyleCnt="0"/>
      <dgm:spPr/>
    </dgm:pt>
    <dgm:pt modelId="{E47A8009-1446-40C3-ADC8-5F76025E2D5E}" type="pres">
      <dgm:prSet presAssocID="{3226F05E-8522-490D-AFF3-0D9D3E283A14}" presName="hierChild5" presStyleCnt="0"/>
      <dgm:spPr/>
    </dgm:pt>
    <dgm:pt modelId="{F8140FC9-21A9-4EA4-A84E-8B3EDDF881BF}" type="pres">
      <dgm:prSet presAssocID="{5A0D6632-37F3-4B00-B0E0-CFFD99E24B2D}" presName="Name37" presStyleLbl="parChTrans1D2" presStyleIdx="2" presStyleCnt="4"/>
      <dgm:spPr/>
    </dgm:pt>
    <dgm:pt modelId="{79B6F232-E20E-43E3-A79E-AB2E8B4B0495}" type="pres">
      <dgm:prSet presAssocID="{8143F67B-22EF-4FAE-84A7-44A144A9677A}" presName="hierRoot2" presStyleCnt="0">
        <dgm:presLayoutVars>
          <dgm:hierBranch val="init"/>
        </dgm:presLayoutVars>
      </dgm:prSet>
      <dgm:spPr/>
    </dgm:pt>
    <dgm:pt modelId="{5FF1891A-BF69-4DB4-8B00-26C20946F619}" type="pres">
      <dgm:prSet presAssocID="{8143F67B-22EF-4FAE-84A7-44A144A9677A}" presName="rootComposite" presStyleCnt="0"/>
      <dgm:spPr/>
    </dgm:pt>
    <dgm:pt modelId="{A58779D0-115E-4D5C-BDB6-2C2C3E6235D3}" type="pres">
      <dgm:prSet presAssocID="{8143F67B-22EF-4FAE-84A7-44A144A9677A}" presName="rootText" presStyleLbl="node2" presStyleIdx="2" presStyleCnt="4">
        <dgm:presLayoutVars>
          <dgm:chPref val="3"/>
        </dgm:presLayoutVars>
      </dgm:prSet>
      <dgm:spPr/>
    </dgm:pt>
    <dgm:pt modelId="{87E6B52F-4058-4712-949A-35BCBA260E3E}" type="pres">
      <dgm:prSet presAssocID="{8143F67B-22EF-4FAE-84A7-44A144A9677A}" presName="rootConnector" presStyleLbl="node2" presStyleIdx="2" presStyleCnt="4"/>
      <dgm:spPr/>
    </dgm:pt>
    <dgm:pt modelId="{BDF30999-B157-4ADC-B15E-2875593AD480}" type="pres">
      <dgm:prSet presAssocID="{8143F67B-22EF-4FAE-84A7-44A144A9677A}" presName="hierChild4" presStyleCnt="0"/>
      <dgm:spPr/>
    </dgm:pt>
    <dgm:pt modelId="{AAA26656-3520-41A8-9322-41FB97DDE083}" type="pres">
      <dgm:prSet presAssocID="{60D143CE-9294-44C1-B896-167E96777E69}" presName="Name37" presStyleLbl="parChTrans1D3" presStyleIdx="5" presStyleCnt="10"/>
      <dgm:spPr/>
    </dgm:pt>
    <dgm:pt modelId="{98E39C7F-5139-4FD3-863B-045FB826D6A5}" type="pres">
      <dgm:prSet presAssocID="{1C654FA7-8497-41E7-8AB0-768BF056EB51}" presName="hierRoot2" presStyleCnt="0">
        <dgm:presLayoutVars>
          <dgm:hierBranch val="init"/>
        </dgm:presLayoutVars>
      </dgm:prSet>
      <dgm:spPr/>
    </dgm:pt>
    <dgm:pt modelId="{A69170B2-F35D-4011-8703-2E6064575B74}" type="pres">
      <dgm:prSet presAssocID="{1C654FA7-8497-41E7-8AB0-768BF056EB51}" presName="rootComposite" presStyleCnt="0"/>
      <dgm:spPr/>
    </dgm:pt>
    <dgm:pt modelId="{16AB9C4B-068E-4430-BA62-E48366F0521B}" type="pres">
      <dgm:prSet presAssocID="{1C654FA7-8497-41E7-8AB0-768BF056EB51}" presName="rootText" presStyleLbl="node3" presStyleIdx="5" presStyleCnt="10">
        <dgm:presLayoutVars>
          <dgm:chPref val="3"/>
        </dgm:presLayoutVars>
      </dgm:prSet>
      <dgm:spPr/>
    </dgm:pt>
    <dgm:pt modelId="{1A34138F-E55E-4E0F-9015-8FD2D38C0CA4}" type="pres">
      <dgm:prSet presAssocID="{1C654FA7-8497-41E7-8AB0-768BF056EB51}" presName="rootConnector" presStyleLbl="node3" presStyleIdx="5" presStyleCnt="10"/>
      <dgm:spPr/>
    </dgm:pt>
    <dgm:pt modelId="{4B7AC822-6BF9-49E6-9B19-A0A4013E622F}" type="pres">
      <dgm:prSet presAssocID="{1C654FA7-8497-41E7-8AB0-768BF056EB51}" presName="hierChild4" presStyleCnt="0"/>
      <dgm:spPr/>
    </dgm:pt>
    <dgm:pt modelId="{AAEFDDE4-6379-4FDD-99CD-D574DAD49B79}" type="pres">
      <dgm:prSet presAssocID="{1C654FA7-8497-41E7-8AB0-768BF056EB51}" presName="hierChild5" presStyleCnt="0"/>
      <dgm:spPr/>
    </dgm:pt>
    <dgm:pt modelId="{3176BD6E-BD1F-46FC-8AF5-057A86143035}" type="pres">
      <dgm:prSet presAssocID="{D5793EA0-1090-4718-8EB3-DEF983506DFB}" presName="Name37" presStyleLbl="parChTrans1D3" presStyleIdx="6" presStyleCnt="10"/>
      <dgm:spPr/>
    </dgm:pt>
    <dgm:pt modelId="{0AE9A7FF-8CB7-4452-9883-B846D960999E}" type="pres">
      <dgm:prSet presAssocID="{6B29A262-6B63-4C0C-A8BD-EA18FC7738B0}" presName="hierRoot2" presStyleCnt="0">
        <dgm:presLayoutVars>
          <dgm:hierBranch val="init"/>
        </dgm:presLayoutVars>
      </dgm:prSet>
      <dgm:spPr/>
    </dgm:pt>
    <dgm:pt modelId="{72CBF2DD-E4F0-4AD7-BAF1-E94750A843C5}" type="pres">
      <dgm:prSet presAssocID="{6B29A262-6B63-4C0C-A8BD-EA18FC7738B0}" presName="rootComposite" presStyleCnt="0"/>
      <dgm:spPr/>
    </dgm:pt>
    <dgm:pt modelId="{33F4BDA9-D26A-439F-9DA5-6D72616C3147}" type="pres">
      <dgm:prSet presAssocID="{6B29A262-6B63-4C0C-A8BD-EA18FC7738B0}" presName="rootText" presStyleLbl="node3" presStyleIdx="6" presStyleCnt="10">
        <dgm:presLayoutVars>
          <dgm:chPref val="3"/>
        </dgm:presLayoutVars>
      </dgm:prSet>
      <dgm:spPr/>
    </dgm:pt>
    <dgm:pt modelId="{0F883497-6451-4A80-92FB-78870FB01C39}" type="pres">
      <dgm:prSet presAssocID="{6B29A262-6B63-4C0C-A8BD-EA18FC7738B0}" presName="rootConnector" presStyleLbl="node3" presStyleIdx="6" presStyleCnt="10"/>
      <dgm:spPr/>
    </dgm:pt>
    <dgm:pt modelId="{CF0E9893-BBD9-462B-BC27-9775112BEEE6}" type="pres">
      <dgm:prSet presAssocID="{6B29A262-6B63-4C0C-A8BD-EA18FC7738B0}" presName="hierChild4" presStyleCnt="0"/>
      <dgm:spPr/>
    </dgm:pt>
    <dgm:pt modelId="{5DF7F153-5799-4DA0-9C01-B33F0716F259}" type="pres">
      <dgm:prSet presAssocID="{6B29A262-6B63-4C0C-A8BD-EA18FC7738B0}" presName="hierChild5" presStyleCnt="0"/>
      <dgm:spPr/>
    </dgm:pt>
    <dgm:pt modelId="{49818694-4E92-4FE1-9E29-F3D90E305265}" type="pres">
      <dgm:prSet presAssocID="{85FD8A88-9EB0-48C0-B7D3-02987FFC7F51}" presName="Name37" presStyleLbl="parChTrans1D3" presStyleIdx="7" presStyleCnt="10"/>
      <dgm:spPr/>
    </dgm:pt>
    <dgm:pt modelId="{73FAD7E4-DFD8-4D4F-8FF2-D6AA87CE99AD}" type="pres">
      <dgm:prSet presAssocID="{49F5192D-03D4-474E-89E9-2B89D895E818}" presName="hierRoot2" presStyleCnt="0">
        <dgm:presLayoutVars>
          <dgm:hierBranch val="init"/>
        </dgm:presLayoutVars>
      </dgm:prSet>
      <dgm:spPr/>
    </dgm:pt>
    <dgm:pt modelId="{85670027-3759-4353-8517-D166AE69776D}" type="pres">
      <dgm:prSet presAssocID="{49F5192D-03D4-474E-89E9-2B89D895E818}" presName="rootComposite" presStyleCnt="0"/>
      <dgm:spPr/>
    </dgm:pt>
    <dgm:pt modelId="{3F4CABF8-3AC4-4408-B411-9CFADCBBE702}" type="pres">
      <dgm:prSet presAssocID="{49F5192D-03D4-474E-89E9-2B89D895E818}" presName="rootText" presStyleLbl="node3" presStyleIdx="7" presStyleCnt="10">
        <dgm:presLayoutVars>
          <dgm:chPref val="3"/>
        </dgm:presLayoutVars>
      </dgm:prSet>
      <dgm:spPr/>
    </dgm:pt>
    <dgm:pt modelId="{A3B9AC75-9964-47BA-AE21-D6745858C5DC}" type="pres">
      <dgm:prSet presAssocID="{49F5192D-03D4-474E-89E9-2B89D895E818}" presName="rootConnector" presStyleLbl="node3" presStyleIdx="7" presStyleCnt="10"/>
      <dgm:spPr/>
    </dgm:pt>
    <dgm:pt modelId="{6AB44612-748B-4079-8481-56CA579EC168}" type="pres">
      <dgm:prSet presAssocID="{49F5192D-03D4-474E-89E9-2B89D895E818}" presName="hierChild4" presStyleCnt="0"/>
      <dgm:spPr/>
    </dgm:pt>
    <dgm:pt modelId="{C98B37B4-D620-40C6-8796-AB4FE2EB66DB}" type="pres">
      <dgm:prSet presAssocID="{49F5192D-03D4-474E-89E9-2B89D895E818}" presName="hierChild5" presStyleCnt="0"/>
      <dgm:spPr/>
    </dgm:pt>
    <dgm:pt modelId="{958A1365-3F82-4098-B561-8BCA35781817}" type="pres">
      <dgm:prSet presAssocID="{8143F67B-22EF-4FAE-84A7-44A144A9677A}" presName="hierChild5" presStyleCnt="0"/>
      <dgm:spPr/>
    </dgm:pt>
    <dgm:pt modelId="{A274C60A-5407-43C8-8401-F1321001CFA2}" type="pres">
      <dgm:prSet presAssocID="{4303096C-E009-49E3-B5E7-877F9FA5534F}" presName="Name37" presStyleLbl="parChTrans1D2" presStyleIdx="3" presStyleCnt="4"/>
      <dgm:spPr/>
    </dgm:pt>
    <dgm:pt modelId="{924A5D69-7DEC-4253-AD72-6117E81D9F2E}" type="pres">
      <dgm:prSet presAssocID="{935BDA53-92AF-44BC-90B5-CC55600887AA}" presName="hierRoot2" presStyleCnt="0">
        <dgm:presLayoutVars>
          <dgm:hierBranch val="init"/>
        </dgm:presLayoutVars>
      </dgm:prSet>
      <dgm:spPr/>
    </dgm:pt>
    <dgm:pt modelId="{937437AF-DFDD-488B-AB19-3951471E31B6}" type="pres">
      <dgm:prSet presAssocID="{935BDA53-92AF-44BC-90B5-CC55600887AA}" presName="rootComposite" presStyleCnt="0"/>
      <dgm:spPr/>
    </dgm:pt>
    <dgm:pt modelId="{6BE83796-09BE-4A3E-9F44-D7506EA30950}" type="pres">
      <dgm:prSet presAssocID="{935BDA53-92AF-44BC-90B5-CC55600887AA}" presName="rootText" presStyleLbl="node2" presStyleIdx="3" presStyleCnt="4">
        <dgm:presLayoutVars>
          <dgm:chPref val="3"/>
        </dgm:presLayoutVars>
      </dgm:prSet>
      <dgm:spPr/>
    </dgm:pt>
    <dgm:pt modelId="{BF4A4E93-A8D3-4A50-8488-B92C47D65609}" type="pres">
      <dgm:prSet presAssocID="{935BDA53-92AF-44BC-90B5-CC55600887AA}" presName="rootConnector" presStyleLbl="node2" presStyleIdx="3" presStyleCnt="4"/>
      <dgm:spPr/>
    </dgm:pt>
    <dgm:pt modelId="{C877E2E5-956B-4563-901A-1D438E05C1CF}" type="pres">
      <dgm:prSet presAssocID="{935BDA53-92AF-44BC-90B5-CC55600887AA}" presName="hierChild4" presStyleCnt="0"/>
      <dgm:spPr/>
    </dgm:pt>
    <dgm:pt modelId="{580273B6-F28E-4C84-AD3D-B582D34C8238}" type="pres">
      <dgm:prSet presAssocID="{8655404A-C543-439B-83BD-1D2582E86DC5}" presName="Name37" presStyleLbl="parChTrans1D3" presStyleIdx="8" presStyleCnt="10"/>
      <dgm:spPr/>
    </dgm:pt>
    <dgm:pt modelId="{11BBC7A2-6176-4CDF-B5D0-9992C17808FC}" type="pres">
      <dgm:prSet presAssocID="{6DEDCACE-FAF0-4C91-B267-C466D01CF539}" presName="hierRoot2" presStyleCnt="0">
        <dgm:presLayoutVars>
          <dgm:hierBranch val="init"/>
        </dgm:presLayoutVars>
      </dgm:prSet>
      <dgm:spPr/>
    </dgm:pt>
    <dgm:pt modelId="{057EB5BF-30B6-410A-97B5-87823EA17482}" type="pres">
      <dgm:prSet presAssocID="{6DEDCACE-FAF0-4C91-B267-C466D01CF539}" presName="rootComposite" presStyleCnt="0"/>
      <dgm:spPr/>
    </dgm:pt>
    <dgm:pt modelId="{81B54EB1-1B84-456B-9BB3-81E93360212B}" type="pres">
      <dgm:prSet presAssocID="{6DEDCACE-FAF0-4C91-B267-C466D01CF539}" presName="rootText" presStyleLbl="node3" presStyleIdx="8" presStyleCnt="10">
        <dgm:presLayoutVars>
          <dgm:chPref val="3"/>
        </dgm:presLayoutVars>
      </dgm:prSet>
      <dgm:spPr/>
    </dgm:pt>
    <dgm:pt modelId="{597792A9-D8CA-47A1-AFFA-81DF3A97D85B}" type="pres">
      <dgm:prSet presAssocID="{6DEDCACE-FAF0-4C91-B267-C466D01CF539}" presName="rootConnector" presStyleLbl="node3" presStyleIdx="8" presStyleCnt="10"/>
      <dgm:spPr/>
    </dgm:pt>
    <dgm:pt modelId="{EF002760-9011-4133-96C5-9712AFECF8CE}" type="pres">
      <dgm:prSet presAssocID="{6DEDCACE-FAF0-4C91-B267-C466D01CF539}" presName="hierChild4" presStyleCnt="0"/>
      <dgm:spPr/>
    </dgm:pt>
    <dgm:pt modelId="{2E353FDF-6CCB-44CB-86DD-B293B6C1A93C}" type="pres">
      <dgm:prSet presAssocID="{6DEDCACE-FAF0-4C91-B267-C466D01CF539}" presName="hierChild5" presStyleCnt="0"/>
      <dgm:spPr/>
    </dgm:pt>
    <dgm:pt modelId="{A185F5DC-BCCB-4B2B-9FC3-6884C54F635E}" type="pres">
      <dgm:prSet presAssocID="{1222AB60-BE68-43CB-9BB8-057F3B3AFF1B}" presName="Name37" presStyleLbl="parChTrans1D3" presStyleIdx="9" presStyleCnt="10"/>
      <dgm:spPr/>
    </dgm:pt>
    <dgm:pt modelId="{41C01A4E-5FEE-450A-B28E-3DD7A6ACA0E8}" type="pres">
      <dgm:prSet presAssocID="{BF652438-1763-4362-B818-1AF0A9F2E103}" presName="hierRoot2" presStyleCnt="0">
        <dgm:presLayoutVars>
          <dgm:hierBranch val="init"/>
        </dgm:presLayoutVars>
      </dgm:prSet>
      <dgm:spPr/>
    </dgm:pt>
    <dgm:pt modelId="{E2DD59DB-8E72-4566-8FE2-B051310A7432}" type="pres">
      <dgm:prSet presAssocID="{BF652438-1763-4362-B818-1AF0A9F2E103}" presName="rootComposite" presStyleCnt="0"/>
      <dgm:spPr/>
    </dgm:pt>
    <dgm:pt modelId="{A3AC2CA1-EA23-4154-9DC8-E86AEBDBA9F7}" type="pres">
      <dgm:prSet presAssocID="{BF652438-1763-4362-B818-1AF0A9F2E103}" presName="rootText" presStyleLbl="node3" presStyleIdx="9" presStyleCnt="10">
        <dgm:presLayoutVars>
          <dgm:chPref val="3"/>
        </dgm:presLayoutVars>
      </dgm:prSet>
      <dgm:spPr/>
    </dgm:pt>
    <dgm:pt modelId="{52CE74F6-6156-40C3-BA39-F40B805EE91A}" type="pres">
      <dgm:prSet presAssocID="{BF652438-1763-4362-B818-1AF0A9F2E103}" presName="rootConnector" presStyleLbl="node3" presStyleIdx="9" presStyleCnt="10"/>
      <dgm:spPr/>
    </dgm:pt>
    <dgm:pt modelId="{BF95C291-6EF9-4D21-B09C-3E2CA151BE96}" type="pres">
      <dgm:prSet presAssocID="{BF652438-1763-4362-B818-1AF0A9F2E103}" presName="hierChild4" presStyleCnt="0"/>
      <dgm:spPr/>
    </dgm:pt>
    <dgm:pt modelId="{02D3A257-6957-42B4-9F7C-6E706A103E5C}" type="pres">
      <dgm:prSet presAssocID="{BF652438-1763-4362-B818-1AF0A9F2E103}" presName="hierChild5" presStyleCnt="0"/>
      <dgm:spPr/>
    </dgm:pt>
    <dgm:pt modelId="{305E011E-4066-4F2A-B2FC-1D42E0699A63}" type="pres">
      <dgm:prSet presAssocID="{935BDA53-92AF-44BC-90B5-CC55600887AA}" presName="hierChild5" presStyleCnt="0"/>
      <dgm:spPr/>
    </dgm:pt>
    <dgm:pt modelId="{FF747ACE-4064-4BFB-B188-7E46341D9BA9}" type="pres">
      <dgm:prSet presAssocID="{B6C5FE8D-D429-4583-9F5E-32D49D571000}" presName="hierChild3" presStyleCnt="0"/>
      <dgm:spPr/>
    </dgm:pt>
  </dgm:ptLst>
  <dgm:cxnLst>
    <dgm:cxn modelId="{C36C8D01-6857-4391-817B-3751FB29CBEB}" type="presOf" srcId="{C09F2103-3C70-459B-AC34-90FDE34234E3}" destId="{33CC03CB-A1DD-47E8-A88A-4F84BCE53AAA}" srcOrd="0" destOrd="0" presId="urn:microsoft.com/office/officeart/2005/8/layout/orgChart1"/>
    <dgm:cxn modelId="{F0399F0E-8B4D-449F-90EE-DDD0E269F16B}" type="presOf" srcId="{2962CAB2-8D3D-41FA-9BD4-B7C1C410DB0F}" destId="{5010078E-9AAA-4694-931E-0B1668B769E0}" srcOrd="0" destOrd="0" presId="urn:microsoft.com/office/officeart/2005/8/layout/orgChart1"/>
    <dgm:cxn modelId="{D659670F-FA5E-4273-918B-D30F24D79F97}" type="presOf" srcId="{BF652438-1763-4362-B818-1AF0A9F2E103}" destId="{52CE74F6-6156-40C3-BA39-F40B805EE91A}" srcOrd="1" destOrd="0" presId="urn:microsoft.com/office/officeart/2005/8/layout/orgChart1"/>
    <dgm:cxn modelId="{AB108C0F-AA49-4E34-9AF6-D3DEC30D84C7}" srcId="{B6C5FE8D-D429-4583-9F5E-32D49D571000}" destId="{8143F67B-22EF-4FAE-84A7-44A144A9677A}" srcOrd="2" destOrd="0" parTransId="{5A0D6632-37F3-4B00-B0E0-CFFD99E24B2D}" sibTransId="{A9D3EB5D-FD55-4AEE-B51C-CA4A1633E283}"/>
    <dgm:cxn modelId="{AF2EB91B-5AB5-4A0A-ADF5-7F0641CD7A38}" type="presOf" srcId="{60D143CE-9294-44C1-B896-167E96777E69}" destId="{AAA26656-3520-41A8-9322-41FB97DDE083}" srcOrd="0" destOrd="0" presId="urn:microsoft.com/office/officeart/2005/8/layout/orgChart1"/>
    <dgm:cxn modelId="{3F09CD1E-3AE3-4816-BFA3-15DDC34D46FC}" srcId="{2A13E13E-E07D-4DBD-A51F-C9AF9E407BD1}" destId="{7681B1D9-DAF3-4E76-AB3D-A7F8BD6A012F}" srcOrd="2" destOrd="0" parTransId="{2962CAB2-8D3D-41FA-9BD4-B7C1C410DB0F}" sibTransId="{52138792-C5D0-44DD-9F04-298FA04EED05}"/>
    <dgm:cxn modelId="{42F29720-8AD4-4841-8ECB-DB7D04A049CC}" type="presOf" srcId="{A932FFF6-7F60-4276-A483-9153A13664BF}" destId="{E8A47796-64E4-44DE-A44F-9F7885A61371}" srcOrd="0" destOrd="0" presId="urn:microsoft.com/office/officeart/2005/8/layout/orgChart1"/>
    <dgm:cxn modelId="{4C652B27-12D3-4DE5-9088-246C0DCD3A2B}" srcId="{3226F05E-8522-490D-AFF3-0D9D3E283A14}" destId="{E8DF1D83-9B34-4CC1-86B6-75E34A83C1FF}" srcOrd="0" destOrd="0" parTransId="{C9CF9934-2237-47BB-A7A9-C36DF623B5AA}" sibTransId="{303E5682-224B-4DFF-9F21-3796B0F1DACB}"/>
    <dgm:cxn modelId="{BAF89C32-FDA6-4686-B0F4-1B56A571E529}" type="presOf" srcId="{A932FFF6-7F60-4276-A483-9153A13664BF}" destId="{220323CE-AE85-416F-A249-A102571181B0}" srcOrd="1" destOrd="0" presId="urn:microsoft.com/office/officeart/2005/8/layout/orgChart1"/>
    <dgm:cxn modelId="{7D2C223B-7415-49EE-9C2F-0BFB08D777AA}" srcId="{2A13E13E-E07D-4DBD-A51F-C9AF9E407BD1}" destId="{C09F2103-3C70-459B-AC34-90FDE34234E3}" srcOrd="0" destOrd="0" parTransId="{ACA7D8A6-2DDF-4415-8C3F-B0F7A70815AD}" sibTransId="{B08039E9-B2BD-471C-B739-9DCB508C698C}"/>
    <dgm:cxn modelId="{4CEA8B5F-4E38-4121-B5B0-F484D2EE4E53}" type="presOf" srcId="{6B29A262-6B63-4C0C-A8BD-EA18FC7738B0}" destId="{33F4BDA9-D26A-439F-9DA5-6D72616C3147}" srcOrd="0" destOrd="0" presId="urn:microsoft.com/office/officeart/2005/8/layout/orgChart1"/>
    <dgm:cxn modelId="{E454B862-4919-4BAC-947E-2A8FE63E00A6}" srcId="{8143F67B-22EF-4FAE-84A7-44A144A9677A}" destId="{1C654FA7-8497-41E7-8AB0-768BF056EB51}" srcOrd="0" destOrd="0" parTransId="{60D143CE-9294-44C1-B896-167E96777E69}" sibTransId="{9D320EB7-3F12-4E46-B0A2-3A4AF5864956}"/>
    <dgm:cxn modelId="{5DD65664-8494-4D8C-81BE-6E79AEEF41AA}" type="presOf" srcId="{E8DF1D83-9B34-4CC1-86B6-75E34A83C1FF}" destId="{7735B6DA-6D80-4D9A-B017-7EC613F41AD3}" srcOrd="1" destOrd="0" presId="urn:microsoft.com/office/officeart/2005/8/layout/orgChart1"/>
    <dgm:cxn modelId="{EF70F048-743D-48BE-80CC-8FFB551E6EB8}" srcId="{B6C5FE8D-D429-4583-9F5E-32D49D571000}" destId="{2A13E13E-E07D-4DBD-A51F-C9AF9E407BD1}" srcOrd="0" destOrd="0" parTransId="{37052212-9E9A-47C6-9811-B2A55EF56443}" sibTransId="{E1706ECE-3E2F-4B44-9632-B00DB73FBB1F}"/>
    <dgm:cxn modelId="{3D7EF46A-D320-45E2-829B-7F3C42F81E71}" type="presOf" srcId="{ACA7D8A6-2DDF-4415-8C3F-B0F7A70815AD}" destId="{C143DF70-92DC-4F53-902B-8750A9A3978C}" srcOrd="0" destOrd="0" presId="urn:microsoft.com/office/officeart/2005/8/layout/orgChart1"/>
    <dgm:cxn modelId="{7ADE4D52-243E-4E68-AC06-D4650B721356}" srcId="{3226F05E-8522-490D-AFF3-0D9D3E283A14}" destId="{A932FFF6-7F60-4276-A483-9153A13664BF}" srcOrd="1" destOrd="0" parTransId="{63255E63-E71F-4A45-A480-84FC89D48D87}" sibTransId="{E3A0EB2E-A3B1-44F3-BA40-D271F093EF21}"/>
    <dgm:cxn modelId="{056AD753-FFE2-475D-9619-7B95CAE5F2FC}" type="presOf" srcId="{B6C5FE8D-D429-4583-9F5E-32D49D571000}" destId="{A2A1745D-521A-46B9-889E-88157F34AC34}" srcOrd="1" destOrd="0" presId="urn:microsoft.com/office/officeart/2005/8/layout/orgChart1"/>
    <dgm:cxn modelId="{2BD2287B-6E5C-44CE-A30B-651295F1C7C0}" type="presOf" srcId="{37052212-9E9A-47C6-9811-B2A55EF56443}" destId="{0BFBEAD8-AA32-454A-900E-01B89E344BFD}" srcOrd="0" destOrd="0" presId="urn:microsoft.com/office/officeart/2005/8/layout/orgChart1"/>
    <dgm:cxn modelId="{EBF8587F-9989-4437-8670-C1C0BAB75797}" type="presOf" srcId="{4303096C-E009-49E3-B5E7-877F9FA5534F}" destId="{A274C60A-5407-43C8-8401-F1321001CFA2}" srcOrd="0" destOrd="0" presId="urn:microsoft.com/office/officeart/2005/8/layout/orgChart1"/>
    <dgm:cxn modelId="{4D10C480-D925-40D2-ADD3-55450E19D1A1}" type="presOf" srcId="{2A13E13E-E07D-4DBD-A51F-C9AF9E407BD1}" destId="{2D2897FE-7E40-4955-AF3C-885D496BF667}" srcOrd="0" destOrd="0" presId="urn:microsoft.com/office/officeart/2005/8/layout/orgChart1"/>
    <dgm:cxn modelId="{A9B5CB93-DD55-4EC3-A35C-61793750D095}" type="presOf" srcId="{8143F67B-22EF-4FAE-84A7-44A144A9677A}" destId="{A58779D0-115E-4D5C-BDB6-2C2C3E6235D3}" srcOrd="0" destOrd="0" presId="urn:microsoft.com/office/officeart/2005/8/layout/orgChart1"/>
    <dgm:cxn modelId="{CD4FF794-EF90-4EFA-9157-7334DA36F8AE}" type="presOf" srcId="{3226F05E-8522-490D-AFF3-0D9D3E283A14}" destId="{57D8A1D9-A2DC-4A72-AD34-4ED9B59CE007}" srcOrd="1" destOrd="0" presId="urn:microsoft.com/office/officeart/2005/8/layout/orgChart1"/>
    <dgm:cxn modelId="{2B183E95-97C4-4518-9B03-78C5CB4F6454}" type="presOf" srcId="{D7E124A4-C1D6-4CCB-A283-4D681C6136C5}" destId="{A9D6F790-365A-4A90-9100-CC0B57BE7A7A}" srcOrd="0" destOrd="0" presId="urn:microsoft.com/office/officeart/2005/8/layout/orgChart1"/>
    <dgm:cxn modelId="{07D5DE95-7795-4F06-ABC2-69CFFD9119D4}" type="presOf" srcId="{7681B1D9-DAF3-4E76-AB3D-A7F8BD6A012F}" destId="{85698DFB-315B-401C-98F8-B2CD953C35C0}" srcOrd="0" destOrd="0" presId="urn:microsoft.com/office/officeart/2005/8/layout/orgChart1"/>
    <dgm:cxn modelId="{90958596-8102-45A3-B1FE-CA1A79A770F4}" type="presOf" srcId="{7681B1D9-DAF3-4E76-AB3D-A7F8BD6A012F}" destId="{CBC7C519-A3A7-407A-A9CC-72F9B3276F33}" srcOrd="1" destOrd="0" presId="urn:microsoft.com/office/officeart/2005/8/layout/orgChart1"/>
    <dgm:cxn modelId="{472ED09A-B7F0-4F82-BDA1-855CD6D466A1}" type="presOf" srcId="{C9CF9934-2237-47BB-A7A9-C36DF623B5AA}" destId="{EF462488-10CD-4272-880A-CBA144EF040A}" srcOrd="0" destOrd="0" presId="urn:microsoft.com/office/officeart/2005/8/layout/orgChart1"/>
    <dgm:cxn modelId="{90106D9B-69CE-4674-9A7E-3D85B2CBC042}" srcId="{2A13E13E-E07D-4DBD-A51F-C9AF9E407BD1}" destId="{5F4470C9-A8F8-4DCA-B5E4-BE8E2AC1BCE5}" srcOrd="1" destOrd="0" parTransId="{3F47C190-D70F-40B2-B497-5B6909BC8B47}" sibTransId="{EA9914CE-F1C3-4735-86B7-683BCEB1F916}"/>
    <dgm:cxn modelId="{8FFFDCA1-D92D-4DF2-B7DE-58642EE8A636}" srcId="{D7E124A4-C1D6-4CCB-A283-4D681C6136C5}" destId="{B6C5FE8D-D429-4583-9F5E-32D49D571000}" srcOrd="0" destOrd="0" parTransId="{5E29C3DC-DA15-4AF9-86BF-4AA1317CD4F9}" sibTransId="{74719A7D-6CE4-495C-AD4B-DDC488C5349C}"/>
    <dgm:cxn modelId="{052D4FA3-2BB2-43F9-A324-7A0F9BB54818}" type="presOf" srcId="{6B29A262-6B63-4C0C-A8BD-EA18FC7738B0}" destId="{0F883497-6451-4A80-92FB-78870FB01C39}" srcOrd="1" destOrd="0" presId="urn:microsoft.com/office/officeart/2005/8/layout/orgChart1"/>
    <dgm:cxn modelId="{B8D1FDA6-50CE-435F-B5F1-7CDDA3479A75}" srcId="{B6C5FE8D-D429-4583-9F5E-32D49D571000}" destId="{935BDA53-92AF-44BC-90B5-CC55600887AA}" srcOrd="3" destOrd="0" parTransId="{4303096C-E009-49E3-B5E7-877F9FA5534F}" sibTransId="{5D9B12CC-D02D-441A-9015-113041C5EA4D}"/>
    <dgm:cxn modelId="{E110CCA9-7794-44A3-B8C7-515B71D0AC25}" srcId="{935BDA53-92AF-44BC-90B5-CC55600887AA}" destId="{BF652438-1763-4362-B818-1AF0A9F2E103}" srcOrd="1" destOrd="0" parTransId="{1222AB60-BE68-43CB-9BB8-057F3B3AFF1B}" sibTransId="{282DAE72-3B46-440A-85DF-14919EFFBCEA}"/>
    <dgm:cxn modelId="{E7A8D7A9-B657-48E4-A09A-F760B20E418E}" type="presOf" srcId="{C09F2103-3C70-459B-AC34-90FDE34234E3}" destId="{4C6D6C05-743E-432A-82DB-07B896C03ED5}" srcOrd="1" destOrd="0" presId="urn:microsoft.com/office/officeart/2005/8/layout/orgChart1"/>
    <dgm:cxn modelId="{35FAF3AD-2B7A-4FE4-A869-3807729D9A84}" type="presOf" srcId="{85FD8A88-9EB0-48C0-B7D3-02987FFC7F51}" destId="{49818694-4E92-4FE1-9E29-F3D90E305265}" srcOrd="0" destOrd="0" presId="urn:microsoft.com/office/officeart/2005/8/layout/orgChart1"/>
    <dgm:cxn modelId="{52E3B8B1-F0FA-416A-B0B8-DB2551F3F743}" type="presOf" srcId="{5F4470C9-A8F8-4DCA-B5E4-BE8E2AC1BCE5}" destId="{FE746A0F-9184-45A5-996C-2CD5ABA3E9D8}" srcOrd="1" destOrd="0" presId="urn:microsoft.com/office/officeart/2005/8/layout/orgChart1"/>
    <dgm:cxn modelId="{AF2FF7B2-70EB-42FF-B1D6-1134A75591D5}" srcId="{B6C5FE8D-D429-4583-9F5E-32D49D571000}" destId="{3226F05E-8522-490D-AFF3-0D9D3E283A14}" srcOrd="1" destOrd="0" parTransId="{6B276610-5CC0-429B-8A18-CC9AFBCB41EF}" sibTransId="{F99AE107-A512-4A56-9D9D-C10CAFE319AE}"/>
    <dgm:cxn modelId="{C437B8B5-08C6-4860-A75A-21CEF0558F58}" type="presOf" srcId="{3F47C190-D70F-40B2-B497-5B6909BC8B47}" destId="{4D0BEA03-6620-4DE1-9396-9F3E2316FC96}" srcOrd="0" destOrd="0" presId="urn:microsoft.com/office/officeart/2005/8/layout/orgChart1"/>
    <dgm:cxn modelId="{FEEBE3B8-7FDE-4364-997F-472C1059DC61}" type="presOf" srcId="{49F5192D-03D4-474E-89E9-2B89D895E818}" destId="{3F4CABF8-3AC4-4408-B411-9CFADCBBE702}" srcOrd="0" destOrd="0" presId="urn:microsoft.com/office/officeart/2005/8/layout/orgChart1"/>
    <dgm:cxn modelId="{7B76C8C6-E56A-41A3-B89F-BA4614CB2347}" type="presOf" srcId="{49F5192D-03D4-474E-89E9-2B89D895E818}" destId="{A3B9AC75-9964-47BA-AE21-D6745858C5DC}" srcOrd="1" destOrd="0" presId="urn:microsoft.com/office/officeart/2005/8/layout/orgChart1"/>
    <dgm:cxn modelId="{533CD4C7-74FF-44B0-8845-3CD9B8A10C45}" type="presOf" srcId="{63255E63-E71F-4A45-A480-84FC89D48D87}" destId="{E6D2971D-3669-45F8-9EED-9FDA1DFE0410}" srcOrd="0" destOrd="0" presId="urn:microsoft.com/office/officeart/2005/8/layout/orgChart1"/>
    <dgm:cxn modelId="{7EB8FAC7-8C3B-497A-9211-BAC642AD0831}" type="presOf" srcId="{8143F67B-22EF-4FAE-84A7-44A144A9677A}" destId="{87E6B52F-4058-4712-949A-35BCBA260E3E}" srcOrd="1" destOrd="0" presId="urn:microsoft.com/office/officeart/2005/8/layout/orgChart1"/>
    <dgm:cxn modelId="{B7E5B2C9-32F6-46CF-8765-C47AF0CD19C1}" type="presOf" srcId="{935BDA53-92AF-44BC-90B5-CC55600887AA}" destId="{BF4A4E93-A8D3-4A50-8488-B92C47D65609}" srcOrd="1" destOrd="0" presId="urn:microsoft.com/office/officeart/2005/8/layout/orgChart1"/>
    <dgm:cxn modelId="{E7F049D3-9EDE-40D9-95EB-C88D4F9E99FE}" type="presOf" srcId="{BF652438-1763-4362-B818-1AF0A9F2E103}" destId="{A3AC2CA1-EA23-4154-9DC8-E86AEBDBA9F7}" srcOrd="0" destOrd="0" presId="urn:microsoft.com/office/officeart/2005/8/layout/orgChart1"/>
    <dgm:cxn modelId="{6AE57DD6-823A-482E-A4DA-5609782F10E1}" type="presOf" srcId="{935BDA53-92AF-44BC-90B5-CC55600887AA}" destId="{6BE83796-09BE-4A3E-9F44-D7506EA30950}" srcOrd="0" destOrd="0" presId="urn:microsoft.com/office/officeart/2005/8/layout/orgChart1"/>
    <dgm:cxn modelId="{353091D6-B86B-4AFE-826F-EA0DB820AD68}" type="presOf" srcId="{B6C5FE8D-D429-4583-9F5E-32D49D571000}" destId="{CDA50C7D-9CAB-4A9C-A069-8F0F6542F6B7}" srcOrd="0" destOrd="0" presId="urn:microsoft.com/office/officeart/2005/8/layout/orgChart1"/>
    <dgm:cxn modelId="{42DD88D7-9948-4A78-A09D-7821200970AB}" type="presOf" srcId="{D5793EA0-1090-4718-8EB3-DEF983506DFB}" destId="{3176BD6E-BD1F-46FC-8AF5-057A86143035}" srcOrd="0" destOrd="0" presId="urn:microsoft.com/office/officeart/2005/8/layout/orgChart1"/>
    <dgm:cxn modelId="{458F03DA-5455-425F-A541-4460BB2F13A7}" type="presOf" srcId="{1C654FA7-8497-41E7-8AB0-768BF056EB51}" destId="{16AB9C4B-068E-4430-BA62-E48366F0521B}" srcOrd="0" destOrd="0" presId="urn:microsoft.com/office/officeart/2005/8/layout/orgChart1"/>
    <dgm:cxn modelId="{2CAE1FDD-7375-4880-BC49-991991AFEEBE}" type="presOf" srcId="{1222AB60-BE68-43CB-9BB8-057F3B3AFF1B}" destId="{A185F5DC-BCCB-4B2B-9FC3-6884C54F635E}" srcOrd="0" destOrd="0" presId="urn:microsoft.com/office/officeart/2005/8/layout/orgChart1"/>
    <dgm:cxn modelId="{1559C5DD-1CAF-4ABD-8052-C6557887F049}" type="presOf" srcId="{6DEDCACE-FAF0-4C91-B267-C466D01CF539}" destId="{597792A9-D8CA-47A1-AFFA-81DF3A97D85B}" srcOrd="1" destOrd="0" presId="urn:microsoft.com/office/officeart/2005/8/layout/orgChart1"/>
    <dgm:cxn modelId="{2483A2E6-8CA8-4B6F-BED2-F4957890F947}" type="presOf" srcId="{1C654FA7-8497-41E7-8AB0-768BF056EB51}" destId="{1A34138F-E55E-4E0F-9015-8FD2D38C0CA4}" srcOrd="1" destOrd="0" presId="urn:microsoft.com/office/officeart/2005/8/layout/orgChart1"/>
    <dgm:cxn modelId="{EAC3D4E6-B790-4680-8568-16A4C951AB9D}" type="presOf" srcId="{3226F05E-8522-490D-AFF3-0D9D3E283A14}" destId="{10D53A6C-7A3F-4C47-B47C-892A29200E91}" srcOrd="0" destOrd="0" presId="urn:microsoft.com/office/officeart/2005/8/layout/orgChart1"/>
    <dgm:cxn modelId="{7F297CE8-149C-480D-AE4F-421F7C0AEC56}" type="presOf" srcId="{2A13E13E-E07D-4DBD-A51F-C9AF9E407BD1}" destId="{5880DEBF-2FEC-42D0-B2B6-D72F69D6CB13}" srcOrd="1" destOrd="0" presId="urn:microsoft.com/office/officeart/2005/8/layout/orgChart1"/>
    <dgm:cxn modelId="{3CEE2AE9-4DFE-4D23-9E02-81D671B7C24B}" type="presOf" srcId="{6DEDCACE-FAF0-4C91-B267-C466D01CF539}" destId="{81B54EB1-1B84-456B-9BB3-81E93360212B}" srcOrd="0" destOrd="0" presId="urn:microsoft.com/office/officeart/2005/8/layout/orgChart1"/>
    <dgm:cxn modelId="{8863CBE9-2729-42E0-BD59-5CA477B9A2D1}" srcId="{8143F67B-22EF-4FAE-84A7-44A144A9677A}" destId="{49F5192D-03D4-474E-89E9-2B89D895E818}" srcOrd="2" destOrd="0" parTransId="{85FD8A88-9EB0-48C0-B7D3-02987FFC7F51}" sibTransId="{E346859D-D08F-4F5C-84E1-9D0DE951D6A8}"/>
    <dgm:cxn modelId="{3EA461EB-0003-4DE7-B1D3-49C6D291346F}" srcId="{935BDA53-92AF-44BC-90B5-CC55600887AA}" destId="{6DEDCACE-FAF0-4C91-B267-C466D01CF539}" srcOrd="0" destOrd="0" parTransId="{8655404A-C543-439B-83BD-1D2582E86DC5}" sibTransId="{CF62691E-17AF-4D83-B8DE-0E41EDA81F03}"/>
    <dgm:cxn modelId="{9E56C1EB-F28D-44B8-97B1-8FDF2EC8AC03}" type="presOf" srcId="{E8DF1D83-9B34-4CC1-86B6-75E34A83C1FF}" destId="{1032714F-94A3-466D-9074-AE9F07CFA3CA}" srcOrd="0" destOrd="0" presId="urn:microsoft.com/office/officeart/2005/8/layout/orgChart1"/>
    <dgm:cxn modelId="{52220EEF-96E2-4F74-A8FB-6C1CFD6929B0}" type="presOf" srcId="{8655404A-C543-439B-83BD-1D2582E86DC5}" destId="{580273B6-F28E-4C84-AD3D-B582D34C8238}" srcOrd="0" destOrd="0" presId="urn:microsoft.com/office/officeart/2005/8/layout/orgChart1"/>
    <dgm:cxn modelId="{6A126FF2-8288-4FF8-A8E1-5A075C2FD7EB}" srcId="{8143F67B-22EF-4FAE-84A7-44A144A9677A}" destId="{6B29A262-6B63-4C0C-A8BD-EA18FC7738B0}" srcOrd="1" destOrd="0" parTransId="{D5793EA0-1090-4718-8EB3-DEF983506DFB}" sibTransId="{F8335B61-922E-4E53-802C-F1F9756FBAC1}"/>
    <dgm:cxn modelId="{7506A9F3-3DA2-4513-92D2-78F02FA42324}" type="presOf" srcId="{5A0D6632-37F3-4B00-B0E0-CFFD99E24B2D}" destId="{F8140FC9-21A9-4EA4-A84E-8B3EDDF881BF}" srcOrd="0" destOrd="0" presId="urn:microsoft.com/office/officeart/2005/8/layout/orgChart1"/>
    <dgm:cxn modelId="{36550BF6-8863-419D-9992-2D73FD2824C0}" type="presOf" srcId="{5F4470C9-A8F8-4DCA-B5E4-BE8E2AC1BCE5}" destId="{CBF57FC0-61C0-459D-B483-89841CDB7A68}" srcOrd="0" destOrd="0" presId="urn:microsoft.com/office/officeart/2005/8/layout/orgChart1"/>
    <dgm:cxn modelId="{1955F9FA-807B-4041-8BDB-771F59F8558A}" type="presOf" srcId="{6B276610-5CC0-429B-8A18-CC9AFBCB41EF}" destId="{DE41D1F1-19FC-49F8-9B7C-4FDB8F1BDBA5}" srcOrd="0" destOrd="0" presId="urn:microsoft.com/office/officeart/2005/8/layout/orgChart1"/>
    <dgm:cxn modelId="{2B4D4117-5280-4CCF-9CF4-94F114FD8EE5}" type="presParOf" srcId="{A9D6F790-365A-4A90-9100-CC0B57BE7A7A}" destId="{E9565EBF-E186-4766-9F1A-15537207280F}" srcOrd="0" destOrd="0" presId="urn:microsoft.com/office/officeart/2005/8/layout/orgChart1"/>
    <dgm:cxn modelId="{093751D9-7EEA-4FB1-BAF3-4B4456FB52BE}" type="presParOf" srcId="{E9565EBF-E186-4766-9F1A-15537207280F}" destId="{5701A79A-F7FF-4C2E-9E19-FF45E77E088D}" srcOrd="0" destOrd="0" presId="urn:microsoft.com/office/officeart/2005/8/layout/orgChart1"/>
    <dgm:cxn modelId="{572AB11B-6106-4D1E-9DA2-1993314915EB}" type="presParOf" srcId="{5701A79A-F7FF-4C2E-9E19-FF45E77E088D}" destId="{CDA50C7D-9CAB-4A9C-A069-8F0F6542F6B7}" srcOrd="0" destOrd="0" presId="urn:microsoft.com/office/officeart/2005/8/layout/orgChart1"/>
    <dgm:cxn modelId="{56990044-AFA9-4C4A-A0B8-B1E1A0117481}" type="presParOf" srcId="{5701A79A-F7FF-4C2E-9E19-FF45E77E088D}" destId="{A2A1745D-521A-46B9-889E-88157F34AC34}" srcOrd="1" destOrd="0" presId="urn:microsoft.com/office/officeart/2005/8/layout/orgChart1"/>
    <dgm:cxn modelId="{01212074-5440-42A5-BA52-495B6AFAC042}" type="presParOf" srcId="{E9565EBF-E186-4766-9F1A-15537207280F}" destId="{2CC0BE48-1357-4F81-AD80-08EB5CAFD202}" srcOrd="1" destOrd="0" presId="urn:microsoft.com/office/officeart/2005/8/layout/orgChart1"/>
    <dgm:cxn modelId="{165805C9-21D1-4D89-8455-E12AEE1E871E}" type="presParOf" srcId="{2CC0BE48-1357-4F81-AD80-08EB5CAFD202}" destId="{0BFBEAD8-AA32-454A-900E-01B89E344BFD}" srcOrd="0" destOrd="0" presId="urn:microsoft.com/office/officeart/2005/8/layout/orgChart1"/>
    <dgm:cxn modelId="{2FC6131F-AC9A-4EFF-8AD3-49DFA2C4B035}" type="presParOf" srcId="{2CC0BE48-1357-4F81-AD80-08EB5CAFD202}" destId="{59E7BFA6-045E-4F8A-9FCD-4B11A5AAACE5}" srcOrd="1" destOrd="0" presId="urn:microsoft.com/office/officeart/2005/8/layout/orgChart1"/>
    <dgm:cxn modelId="{6C07B2C1-B19A-40EC-AC3C-245103528DBA}" type="presParOf" srcId="{59E7BFA6-045E-4F8A-9FCD-4B11A5AAACE5}" destId="{E83A5CD8-340E-4B0C-B4C1-CE6C3E7CBF8C}" srcOrd="0" destOrd="0" presId="urn:microsoft.com/office/officeart/2005/8/layout/orgChart1"/>
    <dgm:cxn modelId="{83DA5C84-1345-4A11-A4AB-2F4CEE746591}" type="presParOf" srcId="{E83A5CD8-340E-4B0C-B4C1-CE6C3E7CBF8C}" destId="{2D2897FE-7E40-4955-AF3C-885D496BF667}" srcOrd="0" destOrd="0" presId="urn:microsoft.com/office/officeart/2005/8/layout/orgChart1"/>
    <dgm:cxn modelId="{46E2B269-CEA6-4785-B0DD-D0F2F09198D7}" type="presParOf" srcId="{E83A5CD8-340E-4B0C-B4C1-CE6C3E7CBF8C}" destId="{5880DEBF-2FEC-42D0-B2B6-D72F69D6CB13}" srcOrd="1" destOrd="0" presId="urn:microsoft.com/office/officeart/2005/8/layout/orgChart1"/>
    <dgm:cxn modelId="{34E355FD-9E2A-4411-9D6B-40380CB1CC9C}" type="presParOf" srcId="{59E7BFA6-045E-4F8A-9FCD-4B11A5AAACE5}" destId="{94B55E49-BB38-41CE-8FD7-CFF4D0FFC57F}" srcOrd="1" destOrd="0" presId="urn:microsoft.com/office/officeart/2005/8/layout/orgChart1"/>
    <dgm:cxn modelId="{0CDFE188-9EF6-4F43-9E1F-6A5CA2915EC0}" type="presParOf" srcId="{94B55E49-BB38-41CE-8FD7-CFF4D0FFC57F}" destId="{C143DF70-92DC-4F53-902B-8750A9A3978C}" srcOrd="0" destOrd="0" presId="urn:microsoft.com/office/officeart/2005/8/layout/orgChart1"/>
    <dgm:cxn modelId="{D15E8956-97DF-40CE-986B-EA9F8A20332A}" type="presParOf" srcId="{94B55E49-BB38-41CE-8FD7-CFF4D0FFC57F}" destId="{EBA14BD4-7BB5-4FA6-BA32-FD4A0BD2692A}" srcOrd="1" destOrd="0" presId="urn:microsoft.com/office/officeart/2005/8/layout/orgChart1"/>
    <dgm:cxn modelId="{6410B404-4E46-4988-9A01-F69AD256C104}" type="presParOf" srcId="{EBA14BD4-7BB5-4FA6-BA32-FD4A0BD2692A}" destId="{EC56B175-C719-435B-A654-E3916886F11D}" srcOrd="0" destOrd="0" presId="urn:microsoft.com/office/officeart/2005/8/layout/orgChart1"/>
    <dgm:cxn modelId="{CBCBFB0D-39C7-4967-A2BE-5694086B5BDB}" type="presParOf" srcId="{EC56B175-C719-435B-A654-E3916886F11D}" destId="{33CC03CB-A1DD-47E8-A88A-4F84BCE53AAA}" srcOrd="0" destOrd="0" presId="urn:microsoft.com/office/officeart/2005/8/layout/orgChart1"/>
    <dgm:cxn modelId="{22EFB4E9-0393-46FA-8C40-14AEB94D154D}" type="presParOf" srcId="{EC56B175-C719-435B-A654-E3916886F11D}" destId="{4C6D6C05-743E-432A-82DB-07B896C03ED5}" srcOrd="1" destOrd="0" presId="urn:microsoft.com/office/officeart/2005/8/layout/orgChart1"/>
    <dgm:cxn modelId="{DA724236-1DE9-4204-93BB-33CACCF9318F}" type="presParOf" srcId="{EBA14BD4-7BB5-4FA6-BA32-FD4A0BD2692A}" destId="{B8838AEC-1A4E-4756-A1D7-9939C630106D}" srcOrd="1" destOrd="0" presId="urn:microsoft.com/office/officeart/2005/8/layout/orgChart1"/>
    <dgm:cxn modelId="{67286636-79DF-41ED-9FFB-9833A9CA58C7}" type="presParOf" srcId="{EBA14BD4-7BB5-4FA6-BA32-FD4A0BD2692A}" destId="{092735BC-E39D-4C0E-A87F-550624B45C84}" srcOrd="2" destOrd="0" presId="urn:microsoft.com/office/officeart/2005/8/layout/orgChart1"/>
    <dgm:cxn modelId="{230E5B8A-B626-49A5-8EBB-5520082C992C}" type="presParOf" srcId="{94B55E49-BB38-41CE-8FD7-CFF4D0FFC57F}" destId="{4D0BEA03-6620-4DE1-9396-9F3E2316FC96}" srcOrd="2" destOrd="0" presId="urn:microsoft.com/office/officeart/2005/8/layout/orgChart1"/>
    <dgm:cxn modelId="{F72B5EAD-A336-4D0F-A03B-F971E25E070A}" type="presParOf" srcId="{94B55E49-BB38-41CE-8FD7-CFF4D0FFC57F}" destId="{BEC10992-8625-49CA-B054-97E1658CF4C3}" srcOrd="3" destOrd="0" presId="urn:microsoft.com/office/officeart/2005/8/layout/orgChart1"/>
    <dgm:cxn modelId="{D9A18928-5890-44B8-A879-D48C979B2E67}" type="presParOf" srcId="{BEC10992-8625-49CA-B054-97E1658CF4C3}" destId="{A49831DE-925B-4B71-8821-463BD1871400}" srcOrd="0" destOrd="0" presId="urn:microsoft.com/office/officeart/2005/8/layout/orgChart1"/>
    <dgm:cxn modelId="{DC718EB8-946D-4B00-82F0-F704EBCEC177}" type="presParOf" srcId="{A49831DE-925B-4B71-8821-463BD1871400}" destId="{CBF57FC0-61C0-459D-B483-89841CDB7A68}" srcOrd="0" destOrd="0" presId="urn:microsoft.com/office/officeart/2005/8/layout/orgChart1"/>
    <dgm:cxn modelId="{65C8FD2D-2651-4B63-B180-393B3474C44E}" type="presParOf" srcId="{A49831DE-925B-4B71-8821-463BD1871400}" destId="{FE746A0F-9184-45A5-996C-2CD5ABA3E9D8}" srcOrd="1" destOrd="0" presId="urn:microsoft.com/office/officeart/2005/8/layout/orgChart1"/>
    <dgm:cxn modelId="{0E4FA392-4AF1-4C38-9ED7-6BE1255181F7}" type="presParOf" srcId="{BEC10992-8625-49CA-B054-97E1658CF4C3}" destId="{6D9A2648-C646-41D2-8DA8-6AEB5436D69C}" srcOrd="1" destOrd="0" presId="urn:microsoft.com/office/officeart/2005/8/layout/orgChart1"/>
    <dgm:cxn modelId="{09449FAF-B3AA-45E3-8552-D23C2AD948AD}" type="presParOf" srcId="{BEC10992-8625-49CA-B054-97E1658CF4C3}" destId="{50E6325F-6E03-4DAE-9DA3-433841082AA4}" srcOrd="2" destOrd="0" presId="urn:microsoft.com/office/officeart/2005/8/layout/orgChart1"/>
    <dgm:cxn modelId="{F3EC66E1-8F27-46FA-AB2B-7C4D86562C48}" type="presParOf" srcId="{94B55E49-BB38-41CE-8FD7-CFF4D0FFC57F}" destId="{5010078E-9AAA-4694-931E-0B1668B769E0}" srcOrd="4" destOrd="0" presId="urn:microsoft.com/office/officeart/2005/8/layout/orgChart1"/>
    <dgm:cxn modelId="{F4D97645-A0D2-435B-9E2A-81C2ECD924A3}" type="presParOf" srcId="{94B55E49-BB38-41CE-8FD7-CFF4D0FFC57F}" destId="{CE717FFF-29AF-47DB-8033-2559F7DAC476}" srcOrd="5" destOrd="0" presId="urn:microsoft.com/office/officeart/2005/8/layout/orgChart1"/>
    <dgm:cxn modelId="{62391A63-E2EC-4D89-A123-8229D254CB27}" type="presParOf" srcId="{CE717FFF-29AF-47DB-8033-2559F7DAC476}" destId="{452824D0-C8F5-4B8D-8B9F-3473A3BCE60B}" srcOrd="0" destOrd="0" presId="urn:microsoft.com/office/officeart/2005/8/layout/orgChart1"/>
    <dgm:cxn modelId="{4A857329-E8B5-4312-B113-E491274442B3}" type="presParOf" srcId="{452824D0-C8F5-4B8D-8B9F-3473A3BCE60B}" destId="{85698DFB-315B-401C-98F8-B2CD953C35C0}" srcOrd="0" destOrd="0" presId="urn:microsoft.com/office/officeart/2005/8/layout/orgChart1"/>
    <dgm:cxn modelId="{A41F4AFD-C624-4760-B355-231CBF6624F5}" type="presParOf" srcId="{452824D0-C8F5-4B8D-8B9F-3473A3BCE60B}" destId="{CBC7C519-A3A7-407A-A9CC-72F9B3276F33}" srcOrd="1" destOrd="0" presId="urn:microsoft.com/office/officeart/2005/8/layout/orgChart1"/>
    <dgm:cxn modelId="{69EA906C-9E8E-42AC-B128-8491E47CD07F}" type="presParOf" srcId="{CE717FFF-29AF-47DB-8033-2559F7DAC476}" destId="{2FB58CD5-2A46-4462-985A-A51A37AE8F33}" srcOrd="1" destOrd="0" presId="urn:microsoft.com/office/officeart/2005/8/layout/orgChart1"/>
    <dgm:cxn modelId="{E2D8FD03-4D11-41E0-8D60-0D5A160C3B0E}" type="presParOf" srcId="{CE717FFF-29AF-47DB-8033-2559F7DAC476}" destId="{B10FBE00-778B-4045-B4F4-B7F05EEB0675}" srcOrd="2" destOrd="0" presId="urn:microsoft.com/office/officeart/2005/8/layout/orgChart1"/>
    <dgm:cxn modelId="{321F4757-422B-4915-B194-8833A63D8790}" type="presParOf" srcId="{59E7BFA6-045E-4F8A-9FCD-4B11A5AAACE5}" destId="{DD51AE92-3FC8-40E6-A527-04FFDE4DA985}" srcOrd="2" destOrd="0" presId="urn:microsoft.com/office/officeart/2005/8/layout/orgChart1"/>
    <dgm:cxn modelId="{2558B3C2-D815-4C3A-8576-9F9DE9C03E75}" type="presParOf" srcId="{2CC0BE48-1357-4F81-AD80-08EB5CAFD202}" destId="{DE41D1F1-19FC-49F8-9B7C-4FDB8F1BDBA5}" srcOrd="2" destOrd="0" presId="urn:microsoft.com/office/officeart/2005/8/layout/orgChart1"/>
    <dgm:cxn modelId="{1252C663-65C3-48AE-82B7-426A4448FBB2}" type="presParOf" srcId="{2CC0BE48-1357-4F81-AD80-08EB5CAFD202}" destId="{466BC1C0-D74F-406B-97AA-05CE98073300}" srcOrd="3" destOrd="0" presId="urn:microsoft.com/office/officeart/2005/8/layout/orgChart1"/>
    <dgm:cxn modelId="{2F39704E-DFB7-43D3-8073-7AD2B7A73835}" type="presParOf" srcId="{466BC1C0-D74F-406B-97AA-05CE98073300}" destId="{F711FAF4-E0B2-4C96-9B97-6F58F51E916B}" srcOrd="0" destOrd="0" presId="urn:microsoft.com/office/officeart/2005/8/layout/orgChart1"/>
    <dgm:cxn modelId="{D7AA7B66-9384-4C40-8C72-A55BE815AD9F}" type="presParOf" srcId="{F711FAF4-E0B2-4C96-9B97-6F58F51E916B}" destId="{10D53A6C-7A3F-4C47-B47C-892A29200E91}" srcOrd="0" destOrd="0" presId="urn:microsoft.com/office/officeart/2005/8/layout/orgChart1"/>
    <dgm:cxn modelId="{67A3462C-5C25-40F7-A133-A5D6EBE6DB66}" type="presParOf" srcId="{F711FAF4-E0B2-4C96-9B97-6F58F51E916B}" destId="{57D8A1D9-A2DC-4A72-AD34-4ED9B59CE007}" srcOrd="1" destOrd="0" presId="urn:microsoft.com/office/officeart/2005/8/layout/orgChart1"/>
    <dgm:cxn modelId="{B2CA907B-0B24-436B-A904-55B12FD7EA00}" type="presParOf" srcId="{466BC1C0-D74F-406B-97AA-05CE98073300}" destId="{52AD5D9F-9400-43D4-9A15-3618196E6450}" srcOrd="1" destOrd="0" presId="urn:microsoft.com/office/officeart/2005/8/layout/orgChart1"/>
    <dgm:cxn modelId="{68DF9638-837F-44B4-8CE8-C08A8714695C}" type="presParOf" srcId="{52AD5D9F-9400-43D4-9A15-3618196E6450}" destId="{EF462488-10CD-4272-880A-CBA144EF040A}" srcOrd="0" destOrd="0" presId="urn:microsoft.com/office/officeart/2005/8/layout/orgChart1"/>
    <dgm:cxn modelId="{A1095C96-1A8E-4221-BD4F-36319B497738}" type="presParOf" srcId="{52AD5D9F-9400-43D4-9A15-3618196E6450}" destId="{E668AE44-CE4C-4F75-BBB9-99953E772F1F}" srcOrd="1" destOrd="0" presId="urn:microsoft.com/office/officeart/2005/8/layout/orgChart1"/>
    <dgm:cxn modelId="{E42C2226-C49E-41D0-B2AE-EF7A78381307}" type="presParOf" srcId="{E668AE44-CE4C-4F75-BBB9-99953E772F1F}" destId="{9AFD9C3F-70DB-40AC-83E3-81D643446876}" srcOrd="0" destOrd="0" presId="urn:microsoft.com/office/officeart/2005/8/layout/orgChart1"/>
    <dgm:cxn modelId="{719C2DA1-293B-42B6-AA20-8A407D77B425}" type="presParOf" srcId="{9AFD9C3F-70DB-40AC-83E3-81D643446876}" destId="{1032714F-94A3-466D-9074-AE9F07CFA3CA}" srcOrd="0" destOrd="0" presId="urn:microsoft.com/office/officeart/2005/8/layout/orgChart1"/>
    <dgm:cxn modelId="{A5CDA56C-D2D4-494A-9288-7337F2F0F81B}" type="presParOf" srcId="{9AFD9C3F-70DB-40AC-83E3-81D643446876}" destId="{7735B6DA-6D80-4D9A-B017-7EC613F41AD3}" srcOrd="1" destOrd="0" presId="urn:microsoft.com/office/officeart/2005/8/layout/orgChart1"/>
    <dgm:cxn modelId="{E7ACFB28-F333-4095-BCF1-07E5D9B6AA4F}" type="presParOf" srcId="{E668AE44-CE4C-4F75-BBB9-99953E772F1F}" destId="{41A31F3F-6687-4156-8758-2AFE266E7F82}" srcOrd="1" destOrd="0" presId="urn:microsoft.com/office/officeart/2005/8/layout/orgChart1"/>
    <dgm:cxn modelId="{C4AA3D90-B0F6-4312-902F-96E3D972B92D}" type="presParOf" srcId="{E668AE44-CE4C-4F75-BBB9-99953E772F1F}" destId="{532A85C9-47EE-400A-B350-762B79A6AD4E}" srcOrd="2" destOrd="0" presId="urn:microsoft.com/office/officeart/2005/8/layout/orgChart1"/>
    <dgm:cxn modelId="{2368F836-1244-415A-9BB8-DC0115411CF2}" type="presParOf" srcId="{52AD5D9F-9400-43D4-9A15-3618196E6450}" destId="{E6D2971D-3669-45F8-9EED-9FDA1DFE0410}" srcOrd="2" destOrd="0" presId="urn:microsoft.com/office/officeart/2005/8/layout/orgChart1"/>
    <dgm:cxn modelId="{4A2A8F8D-238B-4816-A792-A25B6F69524F}" type="presParOf" srcId="{52AD5D9F-9400-43D4-9A15-3618196E6450}" destId="{115FF00C-C21B-4797-A68E-E23BA80C0D97}" srcOrd="3" destOrd="0" presId="urn:microsoft.com/office/officeart/2005/8/layout/orgChart1"/>
    <dgm:cxn modelId="{3AF70A68-7284-4385-866E-2B3467304EBF}" type="presParOf" srcId="{115FF00C-C21B-4797-A68E-E23BA80C0D97}" destId="{D26ED55A-FEB6-4133-8F19-E51C56161A1B}" srcOrd="0" destOrd="0" presId="urn:microsoft.com/office/officeart/2005/8/layout/orgChart1"/>
    <dgm:cxn modelId="{4F0D5F07-7A5D-427B-84A0-83C8C604FE71}" type="presParOf" srcId="{D26ED55A-FEB6-4133-8F19-E51C56161A1B}" destId="{E8A47796-64E4-44DE-A44F-9F7885A61371}" srcOrd="0" destOrd="0" presId="urn:microsoft.com/office/officeart/2005/8/layout/orgChart1"/>
    <dgm:cxn modelId="{355AAD74-EBB0-4778-9090-0E5313A28456}" type="presParOf" srcId="{D26ED55A-FEB6-4133-8F19-E51C56161A1B}" destId="{220323CE-AE85-416F-A249-A102571181B0}" srcOrd="1" destOrd="0" presId="urn:microsoft.com/office/officeart/2005/8/layout/orgChart1"/>
    <dgm:cxn modelId="{03F1CFA4-D4C0-434D-AE17-2935620A4D3D}" type="presParOf" srcId="{115FF00C-C21B-4797-A68E-E23BA80C0D97}" destId="{B31BD09D-D0BC-4B27-AAB7-BE99D7E0397E}" srcOrd="1" destOrd="0" presId="urn:microsoft.com/office/officeart/2005/8/layout/orgChart1"/>
    <dgm:cxn modelId="{9051219F-F196-44C9-981F-8D45104B38F4}" type="presParOf" srcId="{115FF00C-C21B-4797-A68E-E23BA80C0D97}" destId="{A5703EB0-F884-4BD0-B037-23D58D57A001}" srcOrd="2" destOrd="0" presId="urn:microsoft.com/office/officeart/2005/8/layout/orgChart1"/>
    <dgm:cxn modelId="{31806E06-7D80-43F5-9693-B5907DA4DA77}" type="presParOf" srcId="{466BC1C0-D74F-406B-97AA-05CE98073300}" destId="{E47A8009-1446-40C3-ADC8-5F76025E2D5E}" srcOrd="2" destOrd="0" presId="urn:microsoft.com/office/officeart/2005/8/layout/orgChart1"/>
    <dgm:cxn modelId="{CA86E061-2A41-41A0-B17B-4961FB86248C}" type="presParOf" srcId="{2CC0BE48-1357-4F81-AD80-08EB5CAFD202}" destId="{F8140FC9-21A9-4EA4-A84E-8B3EDDF881BF}" srcOrd="4" destOrd="0" presId="urn:microsoft.com/office/officeart/2005/8/layout/orgChart1"/>
    <dgm:cxn modelId="{5C7F2B90-7DFC-4C07-88A5-2ED014B099E6}" type="presParOf" srcId="{2CC0BE48-1357-4F81-AD80-08EB5CAFD202}" destId="{79B6F232-E20E-43E3-A79E-AB2E8B4B0495}" srcOrd="5" destOrd="0" presId="urn:microsoft.com/office/officeart/2005/8/layout/orgChart1"/>
    <dgm:cxn modelId="{7D191E4F-F424-43DC-9B15-CF4A90B2F040}" type="presParOf" srcId="{79B6F232-E20E-43E3-A79E-AB2E8B4B0495}" destId="{5FF1891A-BF69-4DB4-8B00-26C20946F619}" srcOrd="0" destOrd="0" presId="urn:microsoft.com/office/officeart/2005/8/layout/orgChart1"/>
    <dgm:cxn modelId="{1D7122F7-581F-49CF-83FC-4654EE537B9E}" type="presParOf" srcId="{5FF1891A-BF69-4DB4-8B00-26C20946F619}" destId="{A58779D0-115E-4D5C-BDB6-2C2C3E6235D3}" srcOrd="0" destOrd="0" presId="urn:microsoft.com/office/officeart/2005/8/layout/orgChart1"/>
    <dgm:cxn modelId="{DC72E53E-C2F6-4088-A80C-A8513AEEA2C6}" type="presParOf" srcId="{5FF1891A-BF69-4DB4-8B00-26C20946F619}" destId="{87E6B52F-4058-4712-949A-35BCBA260E3E}" srcOrd="1" destOrd="0" presId="urn:microsoft.com/office/officeart/2005/8/layout/orgChart1"/>
    <dgm:cxn modelId="{C3D56611-031E-4D5F-84E9-716347ADF4D8}" type="presParOf" srcId="{79B6F232-E20E-43E3-A79E-AB2E8B4B0495}" destId="{BDF30999-B157-4ADC-B15E-2875593AD480}" srcOrd="1" destOrd="0" presId="urn:microsoft.com/office/officeart/2005/8/layout/orgChart1"/>
    <dgm:cxn modelId="{1B92C9A5-FCE0-4A6E-AF61-9910B3F36E60}" type="presParOf" srcId="{BDF30999-B157-4ADC-B15E-2875593AD480}" destId="{AAA26656-3520-41A8-9322-41FB97DDE083}" srcOrd="0" destOrd="0" presId="urn:microsoft.com/office/officeart/2005/8/layout/orgChart1"/>
    <dgm:cxn modelId="{32D59868-AC49-41DC-B2EA-7EFDCD3052AA}" type="presParOf" srcId="{BDF30999-B157-4ADC-B15E-2875593AD480}" destId="{98E39C7F-5139-4FD3-863B-045FB826D6A5}" srcOrd="1" destOrd="0" presId="urn:microsoft.com/office/officeart/2005/8/layout/orgChart1"/>
    <dgm:cxn modelId="{197A74EC-3D94-4D0E-A3E5-EF35B0E2A4E9}" type="presParOf" srcId="{98E39C7F-5139-4FD3-863B-045FB826D6A5}" destId="{A69170B2-F35D-4011-8703-2E6064575B74}" srcOrd="0" destOrd="0" presId="urn:microsoft.com/office/officeart/2005/8/layout/orgChart1"/>
    <dgm:cxn modelId="{824E980F-8EEA-433B-BF8A-8D463584DB70}" type="presParOf" srcId="{A69170B2-F35D-4011-8703-2E6064575B74}" destId="{16AB9C4B-068E-4430-BA62-E48366F0521B}" srcOrd="0" destOrd="0" presId="urn:microsoft.com/office/officeart/2005/8/layout/orgChart1"/>
    <dgm:cxn modelId="{9F307593-D7B1-4FCF-8C95-0DEA960FCCDA}" type="presParOf" srcId="{A69170B2-F35D-4011-8703-2E6064575B74}" destId="{1A34138F-E55E-4E0F-9015-8FD2D38C0CA4}" srcOrd="1" destOrd="0" presId="urn:microsoft.com/office/officeart/2005/8/layout/orgChart1"/>
    <dgm:cxn modelId="{F5A8AF41-491C-4F11-9A41-76DD68A87E37}" type="presParOf" srcId="{98E39C7F-5139-4FD3-863B-045FB826D6A5}" destId="{4B7AC822-6BF9-49E6-9B19-A0A4013E622F}" srcOrd="1" destOrd="0" presId="urn:microsoft.com/office/officeart/2005/8/layout/orgChart1"/>
    <dgm:cxn modelId="{F96F4FC8-E8E8-4647-BCD6-D09DEAF3CAB5}" type="presParOf" srcId="{98E39C7F-5139-4FD3-863B-045FB826D6A5}" destId="{AAEFDDE4-6379-4FDD-99CD-D574DAD49B79}" srcOrd="2" destOrd="0" presId="urn:microsoft.com/office/officeart/2005/8/layout/orgChart1"/>
    <dgm:cxn modelId="{E0F02932-07F7-463D-B2C2-D2C91107586D}" type="presParOf" srcId="{BDF30999-B157-4ADC-B15E-2875593AD480}" destId="{3176BD6E-BD1F-46FC-8AF5-057A86143035}" srcOrd="2" destOrd="0" presId="urn:microsoft.com/office/officeart/2005/8/layout/orgChart1"/>
    <dgm:cxn modelId="{7173E85D-C591-443F-8C3C-1ED99D71B6C8}" type="presParOf" srcId="{BDF30999-B157-4ADC-B15E-2875593AD480}" destId="{0AE9A7FF-8CB7-4452-9883-B846D960999E}" srcOrd="3" destOrd="0" presId="urn:microsoft.com/office/officeart/2005/8/layout/orgChart1"/>
    <dgm:cxn modelId="{5FB82A47-4BB3-4D7E-BA4A-374F25816E6C}" type="presParOf" srcId="{0AE9A7FF-8CB7-4452-9883-B846D960999E}" destId="{72CBF2DD-E4F0-4AD7-BAF1-E94750A843C5}" srcOrd="0" destOrd="0" presId="urn:microsoft.com/office/officeart/2005/8/layout/orgChart1"/>
    <dgm:cxn modelId="{150CC92A-6F44-42DE-AD72-DA9C193E83DE}" type="presParOf" srcId="{72CBF2DD-E4F0-4AD7-BAF1-E94750A843C5}" destId="{33F4BDA9-D26A-439F-9DA5-6D72616C3147}" srcOrd="0" destOrd="0" presId="urn:microsoft.com/office/officeart/2005/8/layout/orgChart1"/>
    <dgm:cxn modelId="{2FF8EA2C-F4E3-44BD-BBA6-6634E71E6F4B}" type="presParOf" srcId="{72CBF2DD-E4F0-4AD7-BAF1-E94750A843C5}" destId="{0F883497-6451-4A80-92FB-78870FB01C39}" srcOrd="1" destOrd="0" presId="urn:microsoft.com/office/officeart/2005/8/layout/orgChart1"/>
    <dgm:cxn modelId="{619C6216-7AFD-451D-9FFC-14F30580BD9E}" type="presParOf" srcId="{0AE9A7FF-8CB7-4452-9883-B846D960999E}" destId="{CF0E9893-BBD9-462B-BC27-9775112BEEE6}" srcOrd="1" destOrd="0" presId="urn:microsoft.com/office/officeart/2005/8/layout/orgChart1"/>
    <dgm:cxn modelId="{D3B7EEEB-C345-41AA-9B95-7177096F905F}" type="presParOf" srcId="{0AE9A7FF-8CB7-4452-9883-B846D960999E}" destId="{5DF7F153-5799-4DA0-9C01-B33F0716F259}" srcOrd="2" destOrd="0" presId="urn:microsoft.com/office/officeart/2005/8/layout/orgChart1"/>
    <dgm:cxn modelId="{1B1A794F-DF37-4EC0-941A-A5972CBC1D07}" type="presParOf" srcId="{BDF30999-B157-4ADC-B15E-2875593AD480}" destId="{49818694-4E92-4FE1-9E29-F3D90E305265}" srcOrd="4" destOrd="0" presId="urn:microsoft.com/office/officeart/2005/8/layout/orgChart1"/>
    <dgm:cxn modelId="{044754FA-BD1D-4BD9-8037-08E07AF9C1FF}" type="presParOf" srcId="{BDF30999-B157-4ADC-B15E-2875593AD480}" destId="{73FAD7E4-DFD8-4D4F-8FF2-D6AA87CE99AD}" srcOrd="5" destOrd="0" presId="urn:microsoft.com/office/officeart/2005/8/layout/orgChart1"/>
    <dgm:cxn modelId="{F6844832-9230-4F09-9135-C8FBC02DF62E}" type="presParOf" srcId="{73FAD7E4-DFD8-4D4F-8FF2-D6AA87CE99AD}" destId="{85670027-3759-4353-8517-D166AE69776D}" srcOrd="0" destOrd="0" presId="urn:microsoft.com/office/officeart/2005/8/layout/orgChart1"/>
    <dgm:cxn modelId="{77FB8EC7-8A67-4D58-8002-5FEBED1849F7}" type="presParOf" srcId="{85670027-3759-4353-8517-D166AE69776D}" destId="{3F4CABF8-3AC4-4408-B411-9CFADCBBE702}" srcOrd="0" destOrd="0" presId="urn:microsoft.com/office/officeart/2005/8/layout/orgChart1"/>
    <dgm:cxn modelId="{177AE6BA-7E69-485D-B8BE-FFBF8D2D176C}" type="presParOf" srcId="{85670027-3759-4353-8517-D166AE69776D}" destId="{A3B9AC75-9964-47BA-AE21-D6745858C5DC}" srcOrd="1" destOrd="0" presId="urn:microsoft.com/office/officeart/2005/8/layout/orgChart1"/>
    <dgm:cxn modelId="{480537BB-9C58-4600-A6BA-D830A95A1E51}" type="presParOf" srcId="{73FAD7E4-DFD8-4D4F-8FF2-D6AA87CE99AD}" destId="{6AB44612-748B-4079-8481-56CA579EC168}" srcOrd="1" destOrd="0" presId="urn:microsoft.com/office/officeart/2005/8/layout/orgChart1"/>
    <dgm:cxn modelId="{1FE4A91E-6559-4648-8F2A-D15E9B8DCEF0}" type="presParOf" srcId="{73FAD7E4-DFD8-4D4F-8FF2-D6AA87CE99AD}" destId="{C98B37B4-D620-40C6-8796-AB4FE2EB66DB}" srcOrd="2" destOrd="0" presId="urn:microsoft.com/office/officeart/2005/8/layout/orgChart1"/>
    <dgm:cxn modelId="{5B96D919-BD1B-4D7F-A3DC-A7A29E770EFC}" type="presParOf" srcId="{79B6F232-E20E-43E3-A79E-AB2E8B4B0495}" destId="{958A1365-3F82-4098-B561-8BCA35781817}" srcOrd="2" destOrd="0" presId="urn:microsoft.com/office/officeart/2005/8/layout/orgChart1"/>
    <dgm:cxn modelId="{25BDFAEE-B524-495F-ADAC-B82BADF028C4}" type="presParOf" srcId="{2CC0BE48-1357-4F81-AD80-08EB5CAFD202}" destId="{A274C60A-5407-43C8-8401-F1321001CFA2}" srcOrd="6" destOrd="0" presId="urn:microsoft.com/office/officeart/2005/8/layout/orgChart1"/>
    <dgm:cxn modelId="{3611BF1E-CEAA-4100-A7ED-6B7DF067D635}" type="presParOf" srcId="{2CC0BE48-1357-4F81-AD80-08EB5CAFD202}" destId="{924A5D69-7DEC-4253-AD72-6117E81D9F2E}" srcOrd="7" destOrd="0" presId="urn:microsoft.com/office/officeart/2005/8/layout/orgChart1"/>
    <dgm:cxn modelId="{A1A54EF0-6388-489B-9994-483A48E75993}" type="presParOf" srcId="{924A5D69-7DEC-4253-AD72-6117E81D9F2E}" destId="{937437AF-DFDD-488B-AB19-3951471E31B6}" srcOrd="0" destOrd="0" presId="urn:microsoft.com/office/officeart/2005/8/layout/orgChart1"/>
    <dgm:cxn modelId="{F5A91725-55C6-4E4C-82CB-091F14BAB689}" type="presParOf" srcId="{937437AF-DFDD-488B-AB19-3951471E31B6}" destId="{6BE83796-09BE-4A3E-9F44-D7506EA30950}" srcOrd="0" destOrd="0" presId="urn:microsoft.com/office/officeart/2005/8/layout/orgChart1"/>
    <dgm:cxn modelId="{0CB0D0E1-0917-40DC-9DA7-AD127414944C}" type="presParOf" srcId="{937437AF-DFDD-488B-AB19-3951471E31B6}" destId="{BF4A4E93-A8D3-4A50-8488-B92C47D65609}" srcOrd="1" destOrd="0" presId="urn:microsoft.com/office/officeart/2005/8/layout/orgChart1"/>
    <dgm:cxn modelId="{0D4EC6FC-4984-4B52-9BA0-47BB32A60F57}" type="presParOf" srcId="{924A5D69-7DEC-4253-AD72-6117E81D9F2E}" destId="{C877E2E5-956B-4563-901A-1D438E05C1CF}" srcOrd="1" destOrd="0" presId="urn:microsoft.com/office/officeart/2005/8/layout/orgChart1"/>
    <dgm:cxn modelId="{A261B3D7-2405-49DD-AFBC-5B026D1859EF}" type="presParOf" srcId="{C877E2E5-956B-4563-901A-1D438E05C1CF}" destId="{580273B6-F28E-4C84-AD3D-B582D34C8238}" srcOrd="0" destOrd="0" presId="urn:microsoft.com/office/officeart/2005/8/layout/orgChart1"/>
    <dgm:cxn modelId="{26CF6B57-4717-48C9-92DE-9BEC0CB6E1B4}" type="presParOf" srcId="{C877E2E5-956B-4563-901A-1D438E05C1CF}" destId="{11BBC7A2-6176-4CDF-B5D0-9992C17808FC}" srcOrd="1" destOrd="0" presId="urn:microsoft.com/office/officeart/2005/8/layout/orgChart1"/>
    <dgm:cxn modelId="{AA75C66D-4290-4478-9081-7111C95569DF}" type="presParOf" srcId="{11BBC7A2-6176-4CDF-B5D0-9992C17808FC}" destId="{057EB5BF-30B6-410A-97B5-87823EA17482}" srcOrd="0" destOrd="0" presId="urn:microsoft.com/office/officeart/2005/8/layout/orgChart1"/>
    <dgm:cxn modelId="{261FA4CA-BF6A-415F-AF55-529099D067EA}" type="presParOf" srcId="{057EB5BF-30B6-410A-97B5-87823EA17482}" destId="{81B54EB1-1B84-456B-9BB3-81E93360212B}" srcOrd="0" destOrd="0" presId="urn:microsoft.com/office/officeart/2005/8/layout/orgChart1"/>
    <dgm:cxn modelId="{7788D2A0-C80F-43D1-B319-6AB2A4D55BE3}" type="presParOf" srcId="{057EB5BF-30B6-410A-97B5-87823EA17482}" destId="{597792A9-D8CA-47A1-AFFA-81DF3A97D85B}" srcOrd="1" destOrd="0" presId="urn:microsoft.com/office/officeart/2005/8/layout/orgChart1"/>
    <dgm:cxn modelId="{26970DC0-959F-4FEC-B207-A93FB1B2B3FD}" type="presParOf" srcId="{11BBC7A2-6176-4CDF-B5D0-9992C17808FC}" destId="{EF002760-9011-4133-96C5-9712AFECF8CE}" srcOrd="1" destOrd="0" presId="urn:microsoft.com/office/officeart/2005/8/layout/orgChart1"/>
    <dgm:cxn modelId="{7D81614F-E7D3-4394-A27A-6FC450AB8E1C}" type="presParOf" srcId="{11BBC7A2-6176-4CDF-B5D0-9992C17808FC}" destId="{2E353FDF-6CCB-44CB-86DD-B293B6C1A93C}" srcOrd="2" destOrd="0" presId="urn:microsoft.com/office/officeart/2005/8/layout/orgChart1"/>
    <dgm:cxn modelId="{2BCDEFF4-38E8-4734-A764-0504DD698AB0}" type="presParOf" srcId="{C877E2E5-956B-4563-901A-1D438E05C1CF}" destId="{A185F5DC-BCCB-4B2B-9FC3-6884C54F635E}" srcOrd="2" destOrd="0" presId="urn:microsoft.com/office/officeart/2005/8/layout/orgChart1"/>
    <dgm:cxn modelId="{2176ED9A-255B-421A-8861-A34867C3E62D}" type="presParOf" srcId="{C877E2E5-956B-4563-901A-1D438E05C1CF}" destId="{41C01A4E-5FEE-450A-B28E-3DD7A6ACA0E8}" srcOrd="3" destOrd="0" presId="urn:microsoft.com/office/officeart/2005/8/layout/orgChart1"/>
    <dgm:cxn modelId="{99A103C7-39E6-4439-8536-6564CBDD8F09}" type="presParOf" srcId="{41C01A4E-5FEE-450A-B28E-3DD7A6ACA0E8}" destId="{E2DD59DB-8E72-4566-8FE2-B051310A7432}" srcOrd="0" destOrd="0" presId="urn:microsoft.com/office/officeart/2005/8/layout/orgChart1"/>
    <dgm:cxn modelId="{C6527FCE-0854-4E58-8561-A97A48CE15CE}" type="presParOf" srcId="{E2DD59DB-8E72-4566-8FE2-B051310A7432}" destId="{A3AC2CA1-EA23-4154-9DC8-E86AEBDBA9F7}" srcOrd="0" destOrd="0" presId="urn:microsoft.com/office/officeart/2005/8/layout/orgChart1"/>
    <dgm:cxn modelId="{ADED3D03-804B-444E-9959-DF1C61055035}" type="presParOf" srcId="{E2DD59DB-8E72-4566-8FE2-B051310A7432}" destId="{52CE74F6-6156-40C3-BA39-F40B805EE91A}" srcOrd="1" destOrd="0" presId="urn:microsoft.com/office/officeart/2005/8/layout/orgChart1"/>
    <dgm:cxn modelId="{02E858C7-4F4C-4A4F-8672-04253B543BD0}" type="presParOf" srcId="{41C01A4E-5FEE-450A-B28E-3DD7A6ACA0E8}" destId="{BF95C291-6EF9-4D21-B09C-3E2CA151BE96}" srcOrd="1" destOrd="0" presId="urn:microsoft.com/office/officeart/2005/8/layout/orgChart1"/>
    <dgm:cxn modelId="{FFD3509B-ECA2-4A11-AC04-BE80C522AA98}" type="presParOf" srcId="{41C01A4E-5FEE-450A-B28E-3DD7A6ACA0E8}" destId="{02D3A257-6957-42B4-9F7C-6E706A103E5C}" srcOrd="2" destOrd="0" presId="urn:microsoft.com/office/officeart/2005/8/layout/orgChart1"/>
    <dgm:cxn modelId="{1BAD9EF8-C42F-4331-9FD7-D96A0CB66F91}" type="presParOf" srcId="{924A5D69-7DEC-4253-AD72-6117E81D9F2E}" destId="{305E011E-4066-4F2A-B2FC-1D42E0699A63}" srcOrd="2" destOrd="0" presId="urn:microsoft.com/office/officeart/2005/8/layout/orgChart1"/>
    <dgm:cxn modelId="{17E703AB-692E-4CCB-9548-0D5FE883199A}" type="presParOf" srcId="{E9565EBF-E186-4766-9F1A-15537207280F}" destId="{FF747ACE-4064-4BFB-B188-7E46341D9BA9}"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85F5DC-BCCB-4B2B-9FC3-6884C54F635E}">
      <dsp:nvSpPr>
        <dsp:cNvPr id="0" name=""/>
        <dsp:cNvSpPr/>
      </dsp:nvSpPr>
      <dsp:spPr>
        <a:xfrm>
          <a:off x="5895557" y="1565576"/>
          <a:ext cx="193921" cy="1512589"/>
        </a:xfrm>
        <a:custGeom>
          <a:avLst/>
          <a:gdLst/>
          <a:ahLst/>
          <a:cxnLst/>
          <a:rect l="0" t="0" r="0" b="0"/>
          <a:pathLst>
            <a:path>
              <a:moveTo>
                <a:pt x="0" y="0"/>
              </a:moveTo>
              <a:lnTo>
                <a:pt x="0" y="1512589"/>
              </a:lnTo>
              <a:lnTo>
                <a:pt x="193921" y="15125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0273B6-F28E-4C84-AD3D-B582D34C8238}">
      <dsp:nvSpPr>
        <dsp:cNvPr id="0" name=""/>
        <dsp:cNvSpPr/>
      </dsp:nvSpPr>
      <dsp:spPr>
        <a:xfrm>
          <a:off x="5895557" y="1565576"/>
          <a:ext cx="193921" cy="594693"/>
        </a:xfrm>
        <a:custGeom>
          <a:avLst/>
          <a:gdLst/>
          <a:ahLst/>
          <a:cxnLst/>
          <a:rect l="0" t="0" r="0" b="0"/>
          <a:pathLst>
            <a:path>
              <a:moveTo>
                <a:pt x="0" y="0"/>
              </a:moveTo>
              <a:lnTo>
                <a:pt x="0" y="594693"/>
              </a:lnTo>
              <a:lnTo>
                <a:pt x="193921" y="59469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74C60A-5407-43C8-8401-F1321001CFA2}">
      <dsp:nvSpPr>
        <dsp:cNvPr id="0" name=""/>
        <dsp:cNvSpPr/>
      </dsp:nvSpPr>
      <dsp:spPr>
        <a:xfrm>
          <a:off x="4066228" y="647680"/>
          <a:ext cx="2346453" cy="271490"/>
        </a:xfrm>
        <a:custGeom>
          <a:avLst/>
          <a:gdLst/>
          <a:ahLst/>
          <a:cxnLst/>
          <a:rect l="0" t="0" r="0" b="0"/>
          <a:pathLst>
            <a:path>
              <a:moveTo>
                <a:pt x="0" y="0"/>
              </a:moveTo>
              <a:lnTo>
                <a:pt x="0" y="135745"/>
              </a:lnTo>
              <a:lnTo>
                <a:pt x="2346453" y="135745"/>
              </a:lnTo>
              <a:lnTo>
                <a:pt x="2346453" y="2714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818694-4E92-4FE1-9E29-F3D90E305265}">
      <dsp:nvSpPr>
        <dsp:cNvPr id="0" name=""/>
        <dsp:cNvSpPr/>
      </dsp:nvSpPr>
      <dsp:spPr>
        <a:xfrm>
          <a:off x="4331254" y="1565576"/>
          <a:ext cx="193921" cy="2430486"/>
        </a:xfrm>
        <a:custGeom>
          <a:avLst/>
          <a:gdLst/>
          <a:ahLst/>
          <a:cxnLst/>
          <a:rect l="0" t="0" r="0" b="0"/>
          <a:pathLst>
            <a:path>
              <a:moveTo>
                <a:pt x="0" y="0"/>
              </a:moveTo>
              <a:lnTo>
                <a:pt x="0" y="2430486"/>
              </a:lnTo>
              <a:lnTo>
                <a:pt x="193921" y="243048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76BD6E-BD1F-46FC-8AF5-057A86143035}">
      <dsp:nvSpPr>
        <dsp:cNvPr id="0" name=""/>
        <dsp:cNvSpPr/>
      </dsp:nvSpPr>
      <dsp:spPr>
        <a:xfrm>
          <a:off x="4331254" y="1565576"/>
          <a:ext cx="193921" cy="1512589"/>
        </a:xfrm>
        <a:custGeom>
          <a:avLst/>
          <a:gdLst/>
          <a:ahLst/>
          <a:cxnLst/>
          <a:rect l="0" t="0" r="0" b="0"/>
          <a:pathLst>
            <a:path>
              <a:moveTo>
                <a:pt x="0" y="0"/>
              </a:moveTo>
              <a:lnTo>
                <a:pt x="0" y="1512589"/>
              </a:lnTo>
              <a:lnTo>
                <a:pt x="193921" y="15125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A26656-3520-41A8-9322-41FB97DDE083}">
      <dsp:nvSpPr>
        <dsp:cNvPr id="0" name=""/>
        <dsp:cNvSpPr/>
      </dsp:nvSpPr>
      <dsp:spPr>
        <a:xfrm>
          <a:off x="4331254" y="1565576"/>
          <a:ext cx="193921" cy="594693"/>
        </a:xfrm>
        <a:custGeom>
          <a:avLst/>
          <a:gdLst/>
          <a:ahLst/>
          <a:cxnLst/>
          <a:rect l="0" t="0" r="0" b="0"/>
          <a:pathLst>
            <a:path>
              <a:moveTo>
                <a:pt x="0" y="0"/>
              </a:moveTo>
              <a:lnTo>
                <a:pt x="0" y="594693"/>
              </a:lnTo>
              <a:lnTo>
                <a:pt x="193921" y="59469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140FC9-21A9-4EA4-A84E-8B3EDDF881BF}">
      <dsp:nvSpPr>
        <dsp:cNvPr id="0" name=""/>
        <dsp:cNvSpPr/>
      </dsp:nvSpPr>
      <dsp:spPr>
        <a:xfrm>
          <a:off x="4066228" y="647680"/>
          <a:ext cx="782151" cy="271490"/>
        </a:xfrm>
        <a:custGeom>
          <a:avLst/>
          <a:gdLst/>
          <a:ahLst/>
          <a:cxnLst/>
          <a:rect l="0" t="0" r="0" b="0"/>
          <a:pathLst>
            <a:path>
              <a:moveTo>
                <a:pt x="0" y="0"/>
              </a:moveTo>
              <a:lnTo>
                <a:pt x="0" y="135745"/>
              </a:lnTo>
              <a:lnTo>
                <a:pt x="782151" y="135745"/>
              </a:lnTo>
              <a:lnTo>
                <a:pt x="782151" y="2714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D2971D-3669-45F8-9EED-9FDA1DFE0410}">
      <dsp:nvSpPr>
        <dsp:cNvPr id="0" name=""/>
        <dsp:cNvSpPr/>
      </dsp:nvSpPr>
      <dsp:spPr>
        <a:xfrm>
          <a:off x="2766952" y="1565576"/>
          <a:ext cx="193921" cy="1512589"/>
        </a:xfrm>
        <a:custGeom>
          <a:avLst/>
          <a:gdLst/>
          <a:ahLst/>
          <a:cxnLst/>
          <a:rect l="0" t="0" r="0" b="0"/>
          <a:pathLst>
            <a:path>
              <a:moveTo>
                <a:pt x="0" y="0"/>
              </a:moveTo>
              <a:lnTo>
                <a:pt x="0" y="1512589"/>
              </a:lnTo>
              <a:lnTo>
                <a:pt x="193921" y="15125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462488-10CD-4272-880A-CBA144EF040A}">
      <dsp:nvSpPr>
        <dsp:cNvPr id="0" name=""/>
        <dsp:cNvSpPr/>
      </dsp:nvSpPr>
      <dsp:spPr>
        <a:xfrm>
          <a:off x="2766952" y="1565576"/>
          <a:ext cx="193921" cy="594693"/>
        </a:xfrm>
        <a:custGeom>
          <a:avLst/>
          <a:gdLst/>
          <a:ahLst/>
          <a:cxnLst/>
          <a:rect l="0" t="0" r="0" b="0"/>
          <a:pathLst>
            <a:path>
              <a:moveTo>
                <a:pt x="0" y="0"/>
              </a:moveTo>
              <a:lnTo>
                <a:pt x="0" y="594693"/>
              </a:lnTo>
              <a:lnTo>
                <a:pt x="193921" y="59469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41D1F1-19FC-49F8-9B7C-4FDB8F1BDBA5}">
      <dsp:nvSpPr>
        <dsp:cNvPr id="0" name=""/>
        <dsp:cNvSpPr/>
      </dsp:nvSpPr>
      <dsp:spPr>
        <a:xfrm>
          <a:off x="3284077" y="647680"/>
          <a:ext cx="782151" cy="271490"/>
        </a:xfrm>
        <a:custGeom>
          <a:avLst/>
          <a:gdLst/>
          <a:ahLst/>
          <a:cxnLst/>
          <a:rect l="0" t="0" r="0" b="0"/>
          <a:pathLst>
            <a:path>
              <a:moveTo>
                <a:pt x="782151" y="0"/>
              </a:moveTo>
              <a:lnTo>
                <a:pt x="782151" y="135745"/>
              </a:lnTo>
              <a:lnTo>
                <a:pt x="0" y="135745"/>
              </a:lnTo>
              <a:lnTo>
                <a:pt x="0" y="2714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10078E-9AAA-4694-931E-0B1668B769E0}">
      <dsp:nvSpPr>
        <dsp:cNvPr id="0" name=""/>
        <dsp:cNvSpPr/>
      </dsp:nvSpPr>
      <dsp:spPr>
        <a:xfrm>
          <a:off x="1202650" y="1565576"/>
          <a:ext cx="193921" cy="2430486"/>
        </a:xfrm>
        <a:custGeom>
          <a:avLst/>
          <a:gdLst/>
          <a:ahLst/>
          <a:cxnLst/>
          <a:rect l="0" t="0" r="0" b="0"/>
          <a:pathLst>
            <a:path>
              <a:moveTo>
                <a:pt x="0" y="0"/>
              </a:moveTo>
              <a:lnTo>
                <a:pt x="0" y="2430486"/>
              </a:lnTo>
              <a:lnTo>
                <a:pt x="193921" y="243048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0BEA03-6620-4DE1-9396-9F3E2316FC96}">
      <dsp:nvSpPr>
        <dsp:cNvPr id="0" name=""/>
        <dsp:cNvSpPr/>
      </dsp:nvSpPr>
      <dsp:spPr>
        <a:xfrm>
          <a:off x="1202650" y="1565576"/>
          <a:ext cx="193921" cy="1512589"/>
        </a:xfrm>
        <a:custGeom>
          <a:avLst/>
          <a:gdLst/>
          <a:ahLst/>
          <a:cxnLst/>
          <a:rect l="0" t="0" r="0" b="0"/>
          <a:pathLst>
            <a:path>
              <a:moveTo>
                <a:pt x="0" y="0"/>
              </a:moveTo>
              <a:lnTo>
                <a:pt x="0" y="1512589"/>
              </a:lnTo>
              <a:lnTo>
                <a:pt x="193921" y="15125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43DF70-92DC-4F53-902B-8750A9A3978C}">
      <dsp:nvSpPr>
        <dsp:cNvPr id="0" name=""/>
        <dsp:cNvSpPr/>
      </dsp:nvSpPr>
      <dsp:spPr>
        <a:xfrm>
          <a:off x="1202650" y="1565576"/>
          <a:ext cx="193921" cy="594693"/>
        </a:xfrm>
        <a:custGeom>
          <a:avLst/>
          <a:gdLst/>
          <a:ahLst/>
          <a:cxnLst/>
          <a:rect l="0" t="0" r="0" b="0"/>
          <a:pathLst>
            <a:path>
              <a:moveTo>
                <a:pt x="0" y="0"/>
              </a:moveTo>
              <a:lnTo>
                <a:pt x="0" y="594693"/>
              </a:lnTo>
              <a:lnTo>
                <a:pt x="193921" y="59469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FBEAD8-AA32-454A-900E-01B89E344BFD}">
      <dsp:nvSpPr>
        <dsp:cNvPr id="0" name=""/>
        <dsp:cNvSpPr/>
      </dsp:nvSpPr>
      <dsp:spPr>
        <a:xfrm>
          <a:off x="1719775" y="647680"/>
          <a:ext cx="2346453" cy="271490"/>
        </a:xfrm>
        <a:custGeom>
          <a:avLst/>
          <a:gdLst/>
          <a:ahLst/>
          <a:cxnLst/>
          <a:rect l="0" t="0" r="0" b="0"/>
          <a:pathLst>
            <a:path>
              <a:moveTo>
                <a:pt x="2346453" y="0"/>
              </a:moveTo>
              <a:lnTo>
                <a:pt x="2346453" y="135745"/>
              </a:lnTo>
              <a:lnTo>
                <a:pt x="0" y="135745"/>
              </a:lnTo>
              <a:lnTo>
                <a:pt x="0" y="2714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A50C7D-9CAB-4A9C-A069-8F0F6542F6B7}">
      <dsp:nvSpPr>
        <dsp:cNvPr id="0" name=""/>
        <dsp:cNvSpPr/>
      </dsp:nvSpPr>
      <dsp:spPr>
        <a:xfrm>
          <a:off x="3419822" y="1274"/>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Google Headquarters Project in London, UK</a:t>
          </a:r>
        </a:p>
      </dsp:txBody>
      <dsp:txXfrm>
        <a:off x="3419822" y="1274"/>
        <a:ext cx="1292811" cy="646405"/>
      </dsp:txXfrm>
    </dsp:sp>
    <dsp:sp modelId="{2D2897FE-7E40-4955-AF3C-885D496BF667}">
      <dsp:nvSpPr>
        <dsp:cNvPr id="0" name=""/>
        <dsp:cNvSpPr/>
      </dsp:nvSpPr>
      <dsp:spPr>
        <a:xfrm>
          <a:off x="1073369" y="919170"/>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Planning Phase </a:t>
          </a:r>
        </a:p>
      </dsp:txBody>
      <dsp:txXfrm>
        <a:off x="1073369" y="919170"/>
        <a:ext cx="1292811" cy="646405"/>
      </dsp:txXfrm>
    </dsp:sp>
    <dsp:sp modelId="{33CC03CB-A1DD-47E8-A88A-4F84BCE53AAA}">
      <dsp:nvSpPr>
        <dsp:cNvPr id="0" name=""/>
        <dsp:cNvSpPr/>
      </dsp:nvSpPr>
      <dsp:spPr>
        <a:xfrm>
          <a:off x="1396572" y="1837067"/>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Feasibility Studies and Site Selection</a:t>
          </a:r>
        </a:p>
      </dsp:txBody>
      <dsp:txXfrm>
        <a:off x="1396572" y="1837067"/>
        <a:ext cx="1292811" cy="646405"/>
      </dsp:txXfrm>
    </dsp:sp>
    <dsp:sp modelId="{CBF57FC0-61C0-459D-B483-89841CDB7A68}">
      <dsp:nvSpPr>
        <dsp:cNvPr id="0" name=""/>
        <dsp:cNvSpPr/>
      </dsp:nvSpPr>
      <dsp:spPr>
        <a:xfrm>
          <a:off x="1396572" y="2754963"/>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Project Scope Conceptualization and Stakeholder Engagement</a:t>
          </a:r>
        </a:p>
      </dsp:txBody>
      <dsp:txXfrm>
        <a:off x="1396572" y="2754963"/>
        <a:ext cx="1292811" cy="646405"/>
      </dsp:txXfrm>
    </dsp:sp>
    <dsp:sp modelId="{85698DFB-315B-401C-98F8-B2CD953C35C0}">
      <dsp:nvSpPr>
        <dsp:cNvPr id="0" name=""/>
        <dsp:cNvSpPr/>
      </dsp:nvSpPr>
      <dsp:spPr>
        <a:xfrm>
          <a:off x="1396572" y="3672859"/>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Regulatory Compliance and Approvals</a:t>
          </a:r>
        </a:p>
      </dsp:txBody>
      <dsp:txXfrm>
        <a:off x="1396572" y="3672859"/>
        <a:ext cx="1292811" cy="646405"/>
      </dsp:txXfrm>
    </dsp:sp>
    <dsp:sp modelId="{10D53A6C-7A3F-4C47-B47C-892A29200E91}">
      <dsp:nvSpPr>
        <dsp:cNvPr id="0" name=""/>
        <dsp:cNvSpPr/>
      </dsp:nvSpPr>
      <dsp:spPr>
        <a:xfrm>
          <a:off x="2637671" y="919170"/>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Design Phase</a:t>
          </a:r>
        </a:p>
      </dsp:txBody>
      <dsp:txXfrm>
        <a:off x="2637671" y="919170"/>
        <a:ext cx="1292811" cy="646405"/>
      </dsp:txXfrm>
    </dsp:sp>
    <dsp:sp modelId="{1032714F-94A3-466D-9074-AE9F07CFA3CA}">
      <dsp:nvSpPr>
        <dsp:cNvPr id="0" name=""/>
        <dsp:cNvSpPr/>
      </dsp:nvSpPr>
      <dsp:spPr>
        <a:xfrm>
          <a:off x="2960874" y="1837067"/>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Architectural Designs and Engineering Plans</a:t>
          </a:r>
        </a:p>
      </dsp:txBody>
      <dsp:txXfrm>
        <a:off x="2960874" y="1837067"/>
        <a:ext cx="1292811" cy="646405"/>
      </dsp:txXfrm>
    </dsp:sp>
    <dsp:sp modelId="{E8A47796-64E4-44DE-A44F-9F7885A61371}">
      <dsp:nvSpPr>
        <dsp:cNvPr id="0" name=""/>
        <dsp:cNvSpPr/>
      </dsp:nvSpPr>
      <dsp:spPr>
        <a:xfrm>
          <a:off x="2960874" y="2754963"/>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Refinement and Finalization of Designs</a:t>
          </a:r>
        </a:p>
      </dsp:txBody>
      <dsp:txXfrm>
        <a:off x="2960874" y="2754963"/>
        <a:ext cx="1292811" cy="646405"/>
      </dsp:txXfrm>
    </dsp:sp>
    <dsp:sp modelId="{A58779D0-115E-4D5C-BDB6-2C2C3E6235D3}">
      <dsp:nvSpPr>
        <dsp:cNvPr id="0" name=""/>
        <dsp:cNvSpPr/>
      </dsp:nvSpPr>
      <dsp:spPr>
        <a:xfrm>
          <a:off x="4201973" y="919170"/>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Construction Phase </a:t>
          </a:r>
        </a:p>
      </dsp:txBody>
      <dsp:txXfrm>
        <a:off x="4201973" y="919170"/>
        <a:ext cx="1292811" cy="646405"/>
      </dsp:txXfrm>
    </dsp:sp>
    <dsp:sp modelId="{16AB9C4B-068E-4430-BA62-E48366F0521B}">
      <dsp:nvSpPr>
        <dsp:cNvPr id="0" name=""/>
        <dsp:cNvSpPr/>
      </dsp:nvSpPr>
      <dsp:spPr>
        <a:xfrm>
          <a:off x="4525176" y="1837067"/>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Ground Preparation and Building Construction</a:t>
          </a:r>
        </a:p>
      </dsp:txBody>
      <dsp:txXfrm>
        <a:off x="4525176" y="1837067"/>
        <a:ext cx="1292811" cy="646405"/>
      </dsp:txXfrm>
    </dsp:sp>
    <dsp:sp modelId="{33F4BDA9-D26A-439F-9DA5-6D72616C3147}">
      <dsp:nvSpPr>
        <dsp:cNvPr id="0" name=""/>
        <dsp:cNvSpPr/>
      </dsp:nvSpPr>
      <dsp:spPr>
        <a:xfrm>
          <a:off x="4525176" y="2754963"/>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Interior Fit-Outs and Facilities Installation</a:t>
          </a:r>
        </a:p>
      </dsp:txBody>
      <dsp:txXfrm>
        <a:off x="4525176" y="2754963"/>
        <a:ext cx="1292811" cy="646405"/>
      </dsp:txXfrm>
    </dsp:sp>
    <dsp:sp modelId="{3F4CABF8-3AC4-4408-B411-9CFADCBBE702}">
      <dsp:nvSpPr>
        <dsp:cNvPr id="0" name=""/>
        <dsp:cNvSpPr/>
      </dsp:nvSpPr>
      <dsp:spPr>
        <a:xfrm>
          <a:off x="4525176" y="3672859"/>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Finalization and Inspection Phase</a:t>
          </a:r>
        </a:p>
      </dsp:txBody>
      <dsp:txXfrm>
        <a:off x="4525176" y="3672859"/>
        <a:ext cx="1292811" cy="646405"/>
      </dsp:txXfrm>
    </dsp:sp>
    <dsp:sp modelId="{6BE83796-09BE-4A3E-9F44-D7506EA30950}">
      <dsp:nvSpPr>
        <dsp:cNvPr id="0" name=""/>
        <dsp:cNvSpPr/>
      </dsp:nvSpPr>
      <dsp:spPr>
        <a:xfrm>
          <a:off x="5766276" y="919170"/>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Completion and Handover Phase </a:t>
          </a:r>
        </a:p>
      </dsp:txBody>
      <dsp:txXfrm>
        <a:off x="5766276" y="919170"/>
        <a:ext cx="1292811" cy="646405"/>
      </dsp:txXfrm>
    </dsp:sp>
    <dsp:sp modelId="{81B54EB1-1B84-456B-9BB3-81E93360212B}">
      <dsp:nvSpPr>
        <dsp:cNvPr id="0" name=""/>
        <dsp:cNvSpPr/>
      </dsp:nvSpPr>
      <dsp:spPr>
        <a:xfrm>
          <a:off x="6089478" y="1837067"/>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Readiness for Occupancy</a:t>
          </a:r>
        </a:p>
      </dsp:txBody>
      <dsp:txXfrm>
        <a:off x="6089478" y="1837067"/>
        <a:ext cx="1292811" cy="646405"/>
      </dsp:txXfrm>
    </dsp:sp>
    <dsp:sp modelId="{A3AC2CA1-EA23-4154-9DC8-E86AEBDBA9F7}">
      <dsp:nvSpPr>
        <dsp:cNvPr id="0" name=""/>
        <dsp:cNvSpPr/>
      </dsp:nvSpPr>
      <dsp:spPr>
        <a:xfrm>
          <a:off x="6089478" y="2754963"/>
          <a:ext cx="1292811" cy="6464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Handover and Operational Transition</a:t>
          </a:r>
        </a:p>
      </dsp:txBody>
      <dsp:txXfrm>
        <a:off x="6089478" y="2754963"/>
        <a:ext cx="1292811" cy="64640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6B342-41ED-44DE-BAEE-4BA4082D9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