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364431E" w14:textId="77777777" w:rsidR="000D44CB" w:rsidRPr="00D4030C" w:rsidRDefault="000D44CB" w:rsidP="00044C73">
      <w:pPr>
        <w:spacing w:after="0" w:line="240" w:lineRule="auto"/>
        <w:jc w:val="center"/>
        <w:rPr>
          <w:rFonts w:eastAsia="Times New Roman"/>
          <w:b/>
          <w:sz w:val="40"/>
          <w:szCs w:val="20"/>
        </w:rPr>
      </w:pPr>
      <w:r w:rsidRPr="00D4030C">
        <w:rPr>
          <w:rFonts w:eastAsia="Times New Roman"/>
          <w:b/>
          <w:sz w:val="40"/>
          <w:szCs w:val="20"/>
        </w:rPr>
        <w:t>School of Sport, Health &amp; Outdoor Education</w:t>
      </w:r>
    </w:p>
    <w:p w14:paraId="786FAD90" w14:textId="77777777" w:rsidR="000D44CB" w:rsidRPr="00D4030C" w:rsidRDefault="000D44CB" w:rsidP="00044C73">
      <w:pPr>
        <w:spacing w:after="0" w:line="240" w:lineRule="auto"/>
        <w:jc w:val="center"/>
        <w:rPr>
          <w:rFonts w:eastAsia="Times New Roman"/>
          <w:b/>
          <w:sz w:val="16"/>
          <w:szCs w:val="16"/>
        </w:rPr>
      </w:pPr>
    </w:p>
    <w:p w14:paraId="6F625B14" w14:textId="77777777" w:rsidR="000D44CB" w:rsidRPr="00D4030C" w:rsidRDefault="000D44CB" w:rsidP="00044C73">
      <w:pPr>
        <w:spacing w:after="0" w:line="240" w:lineRule="auto"/>
        <w:jc w:val="center"/>
        <w:rPr>
          <w:rFonts w:eastAsia="Times New Roman"/>
          <w:b/>
          <w:sz w:val="32"/>
          <w:szCs w:val="32"/>
        </w:rPr>
      </w:pPr>
      <w:r w:rsidRPr="00D4030C">
        <w:rPr>
          <w:rFonts w:eastAsia="Times New Roman"/>
          <w:b/>
          <w:sz w:val="32"/>
          <w:szCs w:val="32"/>
        </w:rPr>
        <w:t>Assessment Criteria</w:t>
      </w:r>
    </w:p>
    <w:p w14:paraId="2B4D1284" w14:textId="77777777" w:rsidR="000D44CB" w:rsidRPr="00D4030C" w:rsidRDefault="000D44CB" w:rsidP="00044C73">
      <w:pPr>
        <w:spacing w:after="0" w:line="240" w:lineRule="auto"/>
        <w:jc w:val="center"/>
        <w:rPr>
          <w:rFonts w:eastAsia="Times New Roman"/>
          <w:b/>
          <w:sz w:val="16"/>
          <w:szCs w:val="16"/>
        </w:rPr>
      </w:pPr>
    </w:p>
    <w:p w14:paraId="46CC1C5B" w14:textId="77777777" w:rsidR="000D44CB" w:rsidRPr="00D4030C" w:rsidRDefault="00443CF9" w:rsidP="00044C73">
      <w:pPr>
        <w:spacing w:after="0" w:line="240" w:lineRule="auto"/>
        <w:jc w:val="center"/>
        <w:rPr>
          <w:rFonts w:eastAsia="Times New Roman"/>
          <w:sz w:val="32"/>
          <w:szCs w:val="20"/>
        </w:rPr>
      </w:pPr>
      <w:r>
        <w:rPr>
          <w:rFonts w:eastAsia="Times New Roman"/>
          <w:szCs w:val="20"/>
        </w:rPr>
        <w:t>Student No./Name: 1201545</w:t>
      </w:r>
    </w:p>
    <w:p w14:paraId="1F68B710" w14:textId="77777777" w:rsidR="000D44CB" w:rsidRPr="00D4030C" w:rsidRDefault="000D44CB" w:rsidP="00044C73">
      <w:pPr>
        <w:spacing w:after="0" w:line="240" w:lineRule="auto"/>
        <w:jc w:val="center"/>
        <w:rPr>
          <w:rFonts w:eastAsia="Times New Roman"/>
          <w:sz w:val="16"/>
          <w:szCs w:val="16"/>
        </w:rPr>
      </w:pPr>
    </w:p>
    <w:p w14:paraId="0F4398CA" w14:textId="77777777" w:rsidR="000D44CB" w:rsidRPr="00D4030C" w:rsidRDefault="000D44CB" w:rsidP="00044C73">
      <w:pPr>
        <w:spacing w:after="0" w:line="240" w:lineRule="auto"/>
        <w:jc w:val="center"/>
        <w:rPr>
          <w:rFonts w:eastAsia="Times New Roman"/>
          <w:sz w:val="32"/>
          <w:szCs w:val="32"/>
        </w:rPr>
      </w:pPr>
      <w:r w:rsidRPr="00D4030C">
        <w:rPr>
          <w:rFonts w:eastAsia="Times New Roman"/>
          <w:szCs w:val="20"/>
        </w:rPr>
        <w:t>Module:</w:t>
      </w:r>
      <w:r w:rsidR="00443CF9">
        <w:rPr>
          <w:rFonts w:eastAsia="Times New Roman"/>
          <w:szCs w:val="20"/>
        </w:rPr>
        <w:t xml:space="preserve"> </w:t>
      </w:r>
      <w:r w:rsidRPr="00D4030C">
        <w:rPr>
          <w:rFonts w:eastAsia="Times New Roman"/>
          <w:sz w:val="32"/>
          <w:szCs w:val="32"/>
        </w:rPr>
        <w:t>Health and Social Inclusion</w:t>
      </w:r>
    </w:p>
    <w:p w14:paraId="2F4924CC" w14:textId="77777777" w:rsidR="000D44CB" w:rsidRPr="00D4030C" w:rsidRDefault="00443CF9" w:rsidP="00443CF9">
      <w:pPr>
        <w:spacing w:after="0" w:line="240" w:lineRule="auto"/>
        <w:ind w:left="2160"/>
        <w:rPr>
          <w:rFonts w:eastAsia="Times New Roman"/>
          <w:sz w:val="32"/>
          <w:szCs w:val="32"/>
        </w:rPr>
      </w:pPr>
      <w:r>
        <w:rPr>
          <w:rFonts w:eastAsia="Times New Roman"/>
        </w:rPr>
        <w:t xml:space="preserve">                     </w:t>
      </w:r>
      <w:r w:rsidR="000D44CB" w:rsidRPr="00D4030C">
        <w:rPr>
          <w:rFonts w:eastAsia="Times New Roman"/>
        </w:rPr>
        <w:t>Code:</w:t>
      </w:r>
      <w:r>
        <w:rPr>
          <w:rFonts w:eastAsia="Times New Roman"/>
          <w:sz w:val="32"/>
          <w:szCs w:val="32"/>
        </w:rPr>
        <w:t xml:space="preserve"> </w:t>
      </w:r>
      <w:r w:rsidR="000D44CB" w:rsidRPr="00D4030C">
        <w:rPr>
          <w:rFonts w:eastAsia="Times New Roman"/>
          <w:sz w:val="32"/>
          <w:szCs w:val="32"/>
        </w:rPr>
        <w:t>SHSS6031</w:t>
      </w:r>
    </w:p>
    <w:p w14:paraId="24156E6B" w14:textId="77777777" w:rsidR="000D44CB" w:rsidRPr="00D4030C" w:rsidRDefault="000D44CB" w:rsidP="00044C73">
      <w:pPr>
        <w:spacing w:after="0" w:line="240" w:lineRule="auto"/>
        <w:ind w:left="2160"/>
        <w:jc w:val="center"/>
        <w:rPr>
          <w:rFonts w:eastAsia="Times New Roman"/>
          <w:sz w:val="32"/>
          <w:szCs w:val="32"/>
        </w:rPr>
      </w:pPr>
    </w:p>
    <w:tbl>
      <w:tblPr>
        <w:tblStyle w:val="TableGrid"/>
        <w:tblW w:w="9900" w:type="dxa"/>
        <w:tblInd w:w="-342" w:type="dxa"/>
        <w:tblLook w:val="04A0" w:firstRow="1" w:lastRow="0" w:firstColumn="1" w:lastColumn="0" w:noHBand="0" w:noVBand="1"/>
      </w:tblPr>
      <w:tblGrid>
        <w:gridCol w:w="3339"/>
        <w:gridCol w:w="6561"/>
      </w:tblGrid>
      <w:tr w:rsidR="000D44CB" w:rsidRPr="00D4030C" w14:paraId="731C9F40" w14:textId="77777777" w:rsidTr="00443CF9">
        <w:trPr>
          <w:trHeight w:val="242"/>
        </w:trPr>
        <w:tc>
          <w:tcPr>
            <w:tcW w:w="9900" w:type="dxa"/>
            <w:gridSpan w:val="2"/>
          </w:tcPr>
          <w:p w14:paraId="6539BD36" w14:textId="77777777" w:rsidR="000D44CB" w:rsidRPr="00D4030C" w:rsidRDefault="000D44CB" w:rsidP="00D85A09">
            <w:pPr>
              <w:tabs>
                <w:tab w:val="left" w:pos="5850"/>
              </w:tabs>
              <w:rPr>
                <w:b/>
                <w:sz w:val="28"/>
              </w:rPr>
            </w:pPr>
            <w:r w:rsidRPr="00D4030C">
              <w:rPr>
                <w:b/>
                <w:sz w:val="18"/>
                <w:szCs w:val="18"/>
              </w:rPr>
              <w:t>Personal Evaluation</w:t>
            </w:r>
            <w:r w:rsidRPr="00D4030C">
              <w:rPr>
                <w:b/>
                <w:bCs/>
                <w:sz w:val="18"/>
                <w:szCs w:val="18"/>
              </w:rPr>
              <w:t xml:space="preserve"> – to support your academic progress please complete the section below </w:t>
            </w:r>
            <w:r w:rsidRPr="00D4030C">
              <w:rPr>
                <w:b/>
                <w:bCs/>
                <w:sz w:val="18"/>
                <w:szCs w:val="18"/>
                <w:u w:val="single"/>
              </w:rPr>
              <w:t>BEFORE</w:t>
            </w:r>
            <w:r w:rsidRPr="00D4030C">
              <w:rPr>
                <w:b/>
                <w:bCs/>
                <w:sz w:val="18"/>
                <w:szCs w:val="18"/>
              </w:rPr>
              <w:t xml:space="preserve"> submitting your work.</w:t>
            </w:r>
          </w:p>
        </w:tc>
      </w:tr>
      <w:tr w:rsidR="000D44CB" w:rsidRPr="00D4030C" w14:paraId="0BF0749B" w14:textId="77777777" w:rsidTr="00443CF9">
        <w:tc>
          <w:tcPr>
            <w:tcW w:w="3339" w:type="dxa"/>
          </w:tcPr>
          <w:p w14:paraId="2C1643E7" w14:textId="77777777" w:rsidR="000D44CB" w:rsidRPr="00D4030C" w:rsidRDefault="000D44CB" w:rsidP="00D85A09">
            <w:pPr>
              <w:rPr>
                <w:b/>
                <w:bCs/>
                <w:sz w:val="18"/>
                <w:szCs w:val="18"/>
              </w:rPr>
            </w:pPr>
            <w:r w:rsidRPr="00D4030C">
              <w:rPr>
                <w:b/>
                <w:bCs/>
                <w:sz w:val="18"/>
                <w:szCs w:val="18"/>
              </w:rPr>
              <w:t>What do you consider to be the best aspects of this work?</w:t>
            </w:r>
          </w:p>
        </w:tc>
        <w:tc>
          <w:tcPr>
            <w:tcW w:w="6561" w:type="dxa"/>
          </w:tcPr>
          <w:p w14:paraId="6D37ACE3" w14:textId="02647C47" w:rsidR="000D44CB" w:rsidRPr="00801DBC" w:rsidRDefault="005403AF" w:rsidP="00443CF9">
            <w:pPr>
              <w:tabs>
                <w:tab w:val="left" w:pos="5850"/>
              </w:tabs>
              <w:rPr>
                <w:b/>
                <w:sz w:val="18"/>
                <w:szCs w:val="18"/>
              </w:rPr>
            </w:pPr>
            <w:r>
              <w:rPr>
                <w:b/>
                <w:sz w:val="18"/>
                <w:szCs w:val="18"/>
              </w:rPr>
              <w:t>Understanding.</w:t>
            </w:r>
          </w:p>
        </w:tc>
      </w:tr>
      <w:tr w:rsidR="000D44CB" w:rsidRPr="00D4030C" w14:paraId="50E4BA13" w14:textId="77777777" w:rsidTr="005403AF">
        <w:trPr>
          <w:trHeight w:val="674"/>
        </w:trPr>
        <w:tc>
          <w:tcPr>
            <w:tcW w:w="3339" w:type="dxa"/>
          </w:tcPr>
          <w:p w14:paraId="22B626C4" w14:textId="77777777" w:rsidR="000D44CB" w:rsidRPr="00D4030C" w:rsidRDefault="000D44CB" w:rsidP="00D85A09">
            <w:pPr>
              <w:rPr>
                <w:b/>
                <w:bCs/>
                <w:sz w:val="18"/>
                <w:szCs w:val="18"/>
              </w:rPr>
            </w:pPr>
            <w:r w:rsidRPr="00D4030C">
              <w:rPr>
                <w:b/>
                <w:bCs/>
                <w:sz w:val="18"/>
                <w:szCs w:val="18"/>
              </w:rPr>
              <w:t>Which aspects do you consider could have been improved in this piece of work?</w:t>
            </w:r>
          </w:p>
        </w:tc>
        <w:tc>
          <w:tcPr>
            <w:tcW w:w="6561" w:type="dxa"/>
          </w:tcPr>
          <w:p w14:paraId="40F9F97B" w14:textId="64006CB5" w:rsidR="000D44CB" w:rsidRPr="00801DBC" w:rsidRDefault="005403AF" w:rsidP="00D85A09">
            <w:pPr>
              <w:tabs>
                <w:tab w:val="left" w:pos="5850"/>
              </w:tabs>
              <w:rPr>
                <w:b/>
                <w:sz w:val="18"/>
                <w:szCs w:val="18"/>
              </w:rPr>
            </w:pPr>
            <w:r>
              <w:rPr>
                <w:b/>
                <w:sz w:val="18"/>
                <w:szCs w:val="18"/>
              </w:rPr>
              <w:t>Could not find all up to date stats.</w:t>
            </w:r>
          </w:p>
        </w:tc>
      </w:tr>
      <w:tr w:rsidR="000D44CB" w:rsidRPr="00D4030C" w14:paraId="047135F8" w14:textId="77777777" w:rsidTr="00443CF9">
        <w:tc>
          <w:tcPr>
            <w:tcW w:w="3339" w:type="dxa"/>
          </w:tcPr>
          <w:p w14:paraId="71C3554C" w14:textId="77777777" w:rsidR="000D44CB" w:rsidRPr="00D4030C" w:rsidRDefault="000D44CB" w:rsidP="00D85A09">
            <w:pPr>
              <w:rPr>
                <w:b/>
                <w:bCs/>
                <w:sz w:val="18"/>
                <w:szCs w:val="18"/>
              </w:rPr>
            </w:pPr>
            <w:r w:rsidRPr="00D4030C">
              <w:rPr>
                <w:b/>
                <w:bCs/>
                <w:sz w:val="18"/>
                <w:szCs w:val="18"/>
              </w:rPr>
              <w:t>What have you found most satisfying whilst undertaking this submission?</w:t>
            </w:r>
          </w:p>
        </w:tc>
        <w:tc>
          <w:tcPr>
            <w:tcW w:w="6561" w:type="dxa"/>
          </w:tcPr>
          <w:p w14:paraId="6DAC421D" w14:textId="7F574F71" w:rsidR="000D44CB" w:rsidRPr="00801DBC" w:rsidRDefault="005403AF" w:rsidP="00D85A09">
            <w:pPr>
              <w:tabs>
                <w:tab w:val="left" w:pos="5850"/>
              </w:tabs>
              <w:rPr>
                <w:b/>
                <w:sz w:val="18"/>
                <w:szCs w:val="18"/>
              </w:rPr>
            </w:pPr>
            <w:r>
              <w:rPr>
                <w:b/>
                <w:sz w:val="18"/>
                <w:szCs w:val="18"/>
              </w:rPr>
              <w:t>Researching Merthyr Tydfil.</w:t>
            </w:r>
          </w:p>
        </w:tc>
      </w:tr>
    </w:tbl>
    <w:p w14:paraId="06302012" w14:textId="77777777" w:rsidR="000D44CB" w:rsidRPr="00D4030C" w:rsidRDefault="000D44CB" w:rsidP="000D44CB">
      <w:pPr>
        <w:spacing w:after="0" w:line="240" w:lineRule="auto"/>
        <w:rPr>
          <w:rFonts w:eastAsia="Times New Roman"/>
          <w:sz w:val="16"/>
          <w:szCs w:val="16"/>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06"/>
        <w:gridCol w:w="774"/>
        <w:gridCol w:w="1266"/>
        <w:gridCol w:w="1022"/>
        <w:gridCol w:w="163"/>
        <w:gridCol w:w="1238"/>
        <w:gridCol w:w="1277"/>
        <w:gridCol w:w="440"/>
        <w:gridCol w:w="542"/>
        <w:gridCol w:w="614"/>
      </w:tblGrid>
      <w:tr w:rsidR="000D44CB" w:rsidRPr="00D4030C" w14:paraId="1630EE89" w14:textId="77777777" w:rsidTr="00443CF9">
        <w:trPr>
          <w:cantSplit/>
        </w:trPr>
        <w:tc>
          <w:tcPr>
            <w:tcW w:w="1031" w:type="pct"/>
            <w:vMerge w:val="restart"/>
            <w:tcBorders>
              <w:top w:val="thinThickLargeGap" w:sz="24" w:space="0" w:color="auto"/>
              <w:left w:val="thinThickLargeGap" w:sz="24" w:space="0" w:color="auto"/>
              <w:bottom w:val="single" w:sz="6" w:space="0" w:color="auto"/>
              <w:right w:val="single" w:sz="4" w:space="0" w:color="auto"/>
            </w:tcBorders>
            <w:vAlign w:val="center"/>
          </w:tcPr>
          <w:p w14:paraId="7F4B161F" w14:textId="77777777" w:rsidR="000D44CB" w:rsidRPr="00D4030C" w:rsidRDefault="000D44CB" w:rsidP="00443CF9">
            <w:pPr>
              <w:spacing w:after="0" w:line="240" w:lineRule="auto"/>
              <w:jc w:val="center"/>
              <w:rPr>
                <w:rFonts w:eastAsia="Times New Roman"/>
                <w:szCs w:val="20"/>
              </w:rPr>
            </w:pPr>
          </w:p>
          <w:p w14:paraId="7E9C9D51" w14:textId="77777777" w:rsidR="000D44CB" w:rsidRPr="00D4030C" w:rsidRDefault="000D44CB" w:rsidP="00443CF9">
            <w:pPr>
              <w:spacing w:after="0" w:line="240" w:lineRule="auto"/>
              <w:jc w:val="center"/>
              <w:rPr>
                <w:rFonts w:eastAsia="Times New Roman"/>
                <w:szCs w:val="20"/>
              </w:rPr>
            </w:pPr>
            <w:r w:rsidRPr="00D4030C">
              <w:rPr>
                <w:rFonts w:eastAsia="Times New Roman"/>
                <w:szCs w:val="20"/>
              </w:rPr>
              <w:t>CRITERIA</w:t>
            </w:r>
          </w:p>
          <w:p w14:paraId="594C2895" w14:textId="77777777" w:rsidR="000D44CB" w:rsidRPr="00D4030C" w:rsidRDefault="000D44CB" w:rsidP="00443CF9">
            <w:pPr>
              <w:spacing w:after="0" w:line="240" w:lineRule="auto"/>
              <w:jc w:val="center"/>
              <w:rPr>
                <w:rFonts w:eastAsia="Times New Roman"/>
                <w:szCs w:val="20"/>
              </w:rPr>
            </w:pPr>
          </w:p>
        </w:tc>
        <w:tc>
          <w:tcPr>
            <w:tcW w:w="419" w:type="pct"/>
            <w:vMerge w:val="restart"/>
            <w:tcBorders>
              <w:top w:val="thinThickLargeGap" w:sz="24" w:space="0" w:color="auto"/>
              <w:left w:val="single" w:sz="4" w:space="0" w:color="auto"/>
              <w:bottom w:val="single" w:sz="6" w:space="0" w:color="auto"/>
              <w:right w:val="single" w:sz="6" w:space="0" w:color="auto"/>
            </w:tcBorders>
            <w:textDirection w:val="btLr"/>
            <w:vAlign w:val="center"/>
          </w:tcPr>
          <w:p w14:paraId="59BDB538" w14:textId="77777777" w:rsidR="000D44CB" w:rsidRPr="00D4030C" w:rsidRDefault="000D44CB" w:rsidP="00443CF9">
            <w:pPr>
              <w:spacing w:after="0" w:line="240" w:lineRule="auto"/>
              <w:ind w:left="113" w:right="113"/>
              <w:jc w:val="center"/>
              <w:rPr>
                <w:rFonts w:eastAsia="Times New Roman"/>
                <w:sz w:val="16"/>
                <w:szCs w:val="16"/>
              </w:rPr>
            </w:pPr>
            <w:r w:rsidRPr="00D4030C">
              <w:rPr>
                <w:rFonts w:eastAsia="Times New Roman"/>
                <w:sz w:val="16"/>
                <w:szCs w:val="16"/>
              </w:rPr>
              <w:t>Learning</w:t>
            </w:r>
          </w:p>
          <w:p w14:paraId="5DDDFE0F" w14:textId="77777777" w:rsidR="000D44CB" w:rsidRPr="00D4030C" w:rsidRDefault="000D44CB" w:rsidP="00443CF9">
            <w:pPr>
              <w:spacing w:after="0" w:line="240" w:lineRule="auto"/>
              <w:ind w:left="113" w:right="113"/>
              <w:jc w:val="center"/>
              <w:rPr>
                <w:rFonts w:eastAsia="Times New Roman"/>
                <w:sz w:val="16"/>
                <w:szCs w:val="16"/>
              </w:rPr>
            </w:pPr>
            <w:r w:rsidRPr="00D4030C">
              <w:rPr>
                <w:rFonts w:eastAsia="Times New Roman"/>
                <w:sz w:val="16"/>
                <w:szCs w:val="16"/>
              </w:rPr>
              <w:t>Outcome</w:t>
            </w:r>
          </w:p>
          <w:p w14:paraId="286861B0" w14:textId="77777777" w:rsidR="000D44CB" w:rsidRPr="00D4030C" w:rsidRDefault="000D44CB" w:rsidP="00443CF9">
            <w:pPr>
              <w:spacing w:after="0" w:line="240" w:lineRule="auto"/>
              <w:ind w:left="113" w:right="113"/>
              <w:jc w:val="center"/>
              <w:rPr>
                <w:rFonts w:eastAsia="Times New Roman"/>
                <w:sz w:val="16"/>
                <w:szCs w:val="16"/>
              </w:rPr>
            </w:pPr>
          </w:p>
          <w:p w14:paraId="4778676B" w14:textId="77777777" w:rsidR="000D44CB" w:rsidRPr="00D4030C" w:rsidRDefault="000D44CB" w:rsidP="00443CF9">
            <w:pPr>
              <w:spacing w:after="0" w:line="240" w:lineRule="auto"/>
              <w:ind w:left="113" w:right="113"/>
              <w:jc w:val="center"/>
              <w:rPr>
                <w:rFonts w:eastAsia="Times New Roman"/>
                <w:sz w:val="16"/>
                <w:szCs w:val="16"/>
              </w:rPr>
            </w:pPr>
          </w:p>
        </w:tc>
        <w:tc>
          <w:tcPr>
            <w:tcW w:w="3550" w:type="pct"/>
            <w:gridSpan w:val="8"/>
            <w:tcBorders>
              <w:top w:val="thinThickLargeGap" w:sz="24" w:space="0" w:color="auto"/>
              <w:left w:val="single" w:sz="6" w:space="0" w:color="auto"/>
              <w:bottom w:val="single" w:sz="6" w:space="0" w:color="auto"/>
              <w:right w:val="thickThinLargeGap" w:sz="24" w:space="0" w:color="auto"/>
            </w:tcBorders>
            <w:vAlign w:val="center"/>
          </w:tcPr>
          <w:p w14:paraId="71243C79" w14:textId="77777777" w:rsidR="000D44CB" w:rsidRPr="00D4030C" w:rsidRDefault="000D44CB" w:rsidP="00443CF9">
            <w:pPr>
              <w:spacing w:after="0" w:line="240" w:lineRule="auto"/>
              <w:jc w:val="center"/>
              <w:rPr>
                <w:rFonts w:eastAsia="Times New Roman"/>
                <w:szCs w:val="20"/>
              </w:rPr>
            </w:pPr>
            <w:r w:rsidRPr="00D4030C">
              <w:rPr>
                <w:rFonts w:eastAsia="Times New Roman"/>
                <w:szCs w:val="20"/>
              </w:rPr>
              <w:t>GRADE</w:t>
            </w:r>
          </w:p>
        </w:tc>
      </w:tr>
      <w:tr w:rsidR="000D44CB" w:rsidRPr="00D4030C" w14:paraId="2E72D16C" w14:textId="77777777" w:rsidTr="00443CF9">
        <w:trPr>
          <w:cantSplit/>
        </w:trPr>
        <w:tc>
          <w:tcPr>
            <w:tcW w:w="1031" w:type="pct"/>
            <w:vMerge/>
            <w:tcBorders>
              <w:top w:val="single" w:sz="6" w:space="0" w:color="auto"/>
              <w:left w:val="thinThickLargeGap" w:sz="24" w:space="0" w:color="auto"/>
              <w:bottom w:val="single" w:sz="6" w:space="0" w:color="auto"/>
              <w:right w:val="single" w:sz="4" w:space="0" w:color="auto"/>
            </w:tcBorders>
            <w:vAlign w:val="center"/>
          </w:tcPr>
          <w:p w14:paraId="6E3BCBEB" w14:textId="77777777" w:rsidR="000D44CB" w:rsidRPr="00D4030C" w:rsidRDefault="000D44CB" w:rsidP="00443CF9">
            <w:pPr>
              <w:spacing w:after="0" w:line="240" w:lineRule="auto"/>
              <w:jc w:val="center"/>
              <w:rPr>
                <w:rFonts w:eastAsia="Times New Roman"/>
                <w:szCs w:val="20"/>
              </w:rPr>
            </w:pPr>
          </w:p>
        </w:tc>
        <w:tc>
          <w:tcPr>
            <w:tcW w:w="419" w:type="pct"/>
            <w:vMerge/>
            <w:tcBorders>
              <w:top w:val="single" w:sz="6" w:space="0" w:color="auto"/>
              <w:left w:val="single" w:sz="4" w:space="0" w:color="auto"/>
              <w:bottom w:val="single" w:sz="6" w:space="0" w:color="auto"/>
              <w:right w:val="single" w:sz="6" w:space="0" w:color="auto"/>
            </w:tcBorders>
            <w:vAlign w:val="center"/>
          </w:tcPr>
          <w:p w14:paraId="070AE186" w14:textId="77777777" w:rsidR="000D44CB" w:rsidRPr="00D4030C" w:rsidRDefault="000D44CB" w:rsidP="00443CF9">
            <w:pPr>
              <w:spacing w:after="0" w:line="240" w:lineRule="auto"/>
              <w:jc w:val="center"/>
              <w:rPr>
                <w:rFonts w:eastAsia="Times New Roman"/>
                <w:szCs w:val="20"/>
              </w:rPr>
            </w:pPr>
          </w:p>
        </w:tc>
        <w:tc>
          <w:tcPr>
            <w:tcW w:w="685" w:type="pct"/>
            <w:tcBorders>
              <w:top w:val="single" w:sz="6" w:space="0" w:color="auto"/>
              <w:left w:val="single" w:sz="6" w:space="0" w:color="auto"/>
              <w:bottom w:val="single" w:sz="6" w:space="0" w:color="auto"/>
              <w:right w:val="single" w:sz="6" w:space="0" w:color="auto"/>
            </w:tcBorders>
            <w:vAlign w:val="center"/>
          </w:tcPr>
          <w:p w14:paraId="477A7B91" w14:textId="77777777" w:rsidR="000D44CB" w:rsidRPr="00D4030C" w:rsidRDefault="000D44CB" w:rsidP="00443CF9">
            <w:pPr>
              <w:spacing w:after="0" w:line="240" w:lineRule="auto"/>
              <w:jc w:val="center"/>
              <w:rPr>
                <w:rFonts w:eastAsia="Times New Roman"/>
                <w:sz w:val="18"/>
                <w:szCs w:val="18"/>
              </w:rPr>
            </w:pPr>
            <w:r w:rsidRPr="00D4030C">
              <w:rPr>
                <w:rFonts w:eastAsia="Times New Roman"/>
                <w:sz w:val="18"/>
                <w:szCs w:val="18"/>
              </w:rPr>
              <w:t>Unsatisfactory</w:t>
            </w:r>
          </w:p>
          <w:p w14:paraId="40E331C2" w14:textId="77777777" w:rsidR="000D44CB" w:rsidRPr="00D4030C" w:rsidRDefault="000D44CB" w:rsidP="00443CF9">
            <w:pPr>
              <w:spacing w:after="0" w:line="240" w:lineRule="auto"/>
              <w:jc w:val="center"/>
              <w:rPr>
                <w:rFonts w:eastAsia="Times New Roman"/>
                <w:sz w:val="20"/>
                <w:szCs w:val="20"/>
              </w:rPr>
            </w:pPr>
            <w:r w:rsidRPr="00D4030C">
              <w:rPr>
                <w:rFonts w:eastAsia="Times New Roman"/>
                <w:sz w:val="20"/>
                <w:szCs w:val="20"/>
              </w:rPr>
              <w:t>- 39%</w:t>
            </w:r>
          </w:p>
        </w:tc>
        <w:tc>
          <w:tcPr>
            <w:tcW w:w="641" w:type="pct"/>
            <w:gridSpan w:val="2"/>
            <w:tcBorders>
              <w:top w:val="single" w:sz="6" w:space="0" w:color="auto"/>
              <w:left w:val="single" w:sz="6" w:space="0" w:color="auto"/>
              <w:bottom w:val="single" w:sz="6" w:space="0" w:color="auto"/>
              <w:right w:val="single" w:sz="6" w:space="0" w:color="auto"/>
            </w:tcBorders>
            <w:vAlign w:val="center"/>
          </w:tcPr>
          <w:p w14:paraId="66F8AF46" w14:textId="77777777" w:rsidR="000D44CB" w:rsidRPr="00D4030C" w:rsidRDefault="000D44CB" w:rsidP="00443CF9">
            <w:pPr>
              <w:spacing w:after="0" w:line="240" w:lineRule="auto"/>
              <w:jc w:val="center"/>
              <w:rPr>
                <w:rFonts w:eastAsia="Times New Roman"/>
                <w:sz w:val="20"/>
                <w:szCs w:val="20"/>
              </w:rPr>
            </w:pPr>
            <w:r w:rsidRPr="00D4030C">
              <w:rPr>
                <w:rFonts w:eastAsia="Times New Roman"/>
                <w:sz w:val="20"/>
                <w:szCs w:val="20"/>
              </w:rPr>
              <w:t>Satisfactory</w:t>
            </w:r>
          </w:p>
          <w:p w14:paraId="6D68FB6D" w14:textId="77777777" w:rsidR="000D44CB" w:rsidRPr="00D4030C" w:rsidRDefault="000D44CB" w:rsidP="00443CF9">
            <w:pPr>
              <w:spacing w:after="0" w:line="240" w:lineRule="auto"/>
              <w:jc w:val="center"/>
              <w:rPr>
                <w:rFonts w:eastAsia="Times New Roman"/>
                <w:sz w:val="20"/>
                <w:szCs w:val="20"/>
              </w:rPr>
            </w:pPr>
            <w:r w:rsidRPr="00D4030C">
              <w:rPr>
                <w:rFonts w:eastAsia="Times New Roman"/>
                <w:sz w:val="20"/>
                <w:szCs w:val="20"/>
              </w:rPr>
              <w:t>40 – 49%</w:t>
            </w:r>
          </w:p>
        </w:tc>
        <w:tc>
          <w:tcPr>
            <w:tcW w:w="670" w:type="pct"/>
            <w:tcBorders>
              <w:top w:val="single" w:sz="6" w:space="0" w:color="auto"/>
              <w:left w:val="single" w:sz="6" w:space="0" w:color="auto"/>
              <w:bottom w:val="single" w:sz="6" w:space="0" w:color="auto"/>
              <w:right w:val="single" w:sz="6" w:space="0" w:color="auto"/>
            </w:tcBorders>
            <w:vAlign w:val="center"/>
          </w:tcPr>
          <w:p w14:paraId="6F826D1F" w14:textId="77777777" w:rsidR="000D44CB" w:rsidRPr="00D4030C" w:rsidRDefault="000D44CB" w:rsidP="00443CF9">
            <w:pPr>
              <w:spacing w:after="0" w:line="240" w:lineRule="auto"/>
              <w:jc w:val="center"/>
              <w:rPr>
                <w:rFonts w:eastAsia="Times New Roman"/>
                <w:sz w:val="20"/>
                <w:szCs w:val="20"/>
              </w:rPr>
            </w:pPr>
            <w:r w:rsidRPr="00D4030C">
              <w:rPr>
                <w:rFonts w:eastAsia="Times New Roman"/>
                <w:sz w:val="20"/>
                <w:szCs w:val="20"/>
              </w:rPr>
              <w:t>Good</w:t>
            </w:r>
          </w:p>
          <w:p w14:paraId="79A12715" w14:textId="77777777" w:rsidR="000D44CB" w:rsidRPr="00D4030C" w:rsidRDefault="000D44CB" w:rsidP="00443CF9">
            <w:pPr>
              <w:spacing w:after="0" w:line="240" w:lineRule="auto"/>
              <w:jc w:val="center"/>
              <w:rPr>
                <w:rFonts w:eastAsia="Times New Roman"/>
                <w:sz w:val="20"/>
                <w:szCs w:val="20"/>
              </w:rPr>
            </w:pPr>
            <w:r w:rsidRPr="00D4030C">
              <w:rPr>
                <w:rFonts w:eastAsia="Times New Roman"/>
                <w:sz w:val="20"/>
                <w:szCs w:val="20"/>
              </w:rPr>
              <w:t>50 – 59%</w:t>
            </w:r>
          </w:p>
        </w:tc>
        <w:tc>
          <w:tcPr>
            <w:tcW w:w="691" w:type="pct"/>
            <w:tcBorders>
              <w:top w:val="single" w:sz="6" w:space="0" w:color="auto"/>
              <w:left w:val="single" w:sz="6" w:space="0" w:color="auto"/>
              <w:bottom w:val="single" w:sz="6" w:space="0" w:color="auto"/>
              <w:right w:val="single" w:sz="6" w:space="0" w:color="auto"/>
            </w:tcBorders>
            <w:vAlign w:val="center"/>
          </w:tcPr>
          <w:p w14:paraId="36655554" w14:textId="77777777" w:rsidR="000D44CB" w:rsidRPr="00D4030C" w:rsidRDefault="000D44CB" w:rsidP="00443CF9">
            <w:pPr>
              <w:spacing w:after="0" w:line="240" w:lineRule="auto"/>
              <w:jc w:val="center"/>
              <w:rPr>
                <w:rFonts w:eastAsia="Times New Roman"/>
                <w:sz w:val="20"/>
                <w:szCs w:val="20"/>
              </w:rPr>
            </w:pPr>
            <w:r w:rsidRPr="00D4030C">
              <w:rPr>
                <w:rFonts w:eastAsia="Times New Roman"/>
                <w:sz w:val="20"/>
                <w:szCs w:val="20"/>
              </w:rPr>
              <w:t>Very Good</w:t>
            </w:r>
          </w:p>
          <w:p w14:paraId="6887455D" w14:textId="77777777" w:rsidR="000D44CB" w:rsidRPr="00D4030C" w:rsidRDefault="000D44CB" w:rsidP="00443CF9">
            <w:pPr>
              <w:spacing w:after="0" w:line="240" w:lineRule="auto"/>
              <w:jc w:val="center"/>
              <w:rPr>
                <w:rFonts w:eastAsia="Times New Roman"/>
                <w:sz w:val="20"/>
                <w:szCs w:val="20"/>
              </w:rPr>
            </w:pPr>
            <w:r w:rsidRPr="00D4030C">
              <w:rPr>
                <w:rFonts w:eastAsia="Times New Roman"/>
                <w:sz w:val="20"/>
                <w:szCs w:val="20"/>
              </w:rPr>
              <w:t>60 – 69%</w:t>
            </w:r>
          </w:p>
        </w:tc>
        <w:tc>
          <w:tcPr>
            <w:tcW w:w="531" w:type="pct"/>
            <w:gridSpan w:val="2"/>
            <w:tcBorders>
              <w:top w:val="single" w:sz="6" w:space="0" w:color="auto"/>
              <w:left w:val="single" w:sz="6" w:space="0" w:color="auto"/>
              <w:bottom w:val="single" w:sz="6" w:space="0" w:color="auto"/>
              <w:right w:val="single" w:sz="6" w:space="0" w:color="auto"/>
            </w:tcBorders>
            <w:vAlign w:val="center"/>
          </w:tcPr>
          <w:p w14:paraId="287CF66D" w14:textId="77777777" w:rsidR="000D44CB" w:rsidRPr="00D4030C" w:rsidRDefault="000D44CB" w:rsidP="00443CF9">
            <w:pPr>
              <w:spacing w:after="0" w:line="240" w:lineRule="auto"/>
              <w:jc w:val="center"/>
              <w:rPr>
                <w:rFonts w:eastAsia="Times New Roman"/>
                <w:sz w:val="20"/>
                <w:szCs w:val="20"/>
              </w:rPr>
            </w:pPr>
            <w:r w:rsidRPr="00D4030C">
              <w:rPr>
                <w:rFonts w:eastAsia="Times New Roman"/>
                <w:sz w:val="20"/>
                <w:szCs w:val="20"/>
              </w:rPr>
              <w:t>Excellent</w:t>
            </w:r>
          </w:p>
          <w:p w14:paraId="5D066DD1" w14:textId="77777777" w:rsidR="000D44CB" w:rsidRPr="00D4030C" w:rsidRDefault="000D44CB" w:rsidP="00443CF9">
            <w:pPr>
              <w:spacing w:after="0" w:line="240" w:lineRule="auto"/>
              <w:jc w:val="center"/>
              <w:rPr>
                <w:rFonts w:eastAsia="Times New Roman"/>
                <w:sz w:val="20"/>
                <w:szCs w:val="20"/>
              </w:rPr>
            </w:pPr>
            <w:r w:rsidRPr="00D4030C">
              <w:rPr>
                <w:rFonts w:eastAsia="Times New Roman"/>
                <w:sz w:val="20"/>
                <w:szCs w:val="20"/>
              </w:rPr>
              <w:t>70% +</w:t>
            </w:r>
          </w:p>
          <w:p w14:paraId="5AAFC9EF" w14:textId="77777777" w:rsidR="000D44CB" w:rsidRPr="00D4030C" w:rsidRDefault="000D44CB" w:rsidP="00443CF9">
            <w:pPr>
              <w:spacing w:after="0" w:line="240" w:lineRule="auto"/>
              <w:jc w:val="center"/>
              <w:rPr>
                <w:rFonts w:eastAsia="Times New Roman"/>
                <w:sz w:val="20"/>
                <w:szCs w:val="20"/>
              </w:rPr>
            </w:pPr>
          </w:p>
        </w:tc>
        <w:tc>
          <w:tcPr>
            <w:tcW w:w="333" w:type="pct"/>
            <w:tcBorders>
              <w:top w:val="single" w:sz="6" w:space="0" w:color="auto"/>
              <w:left w:val="single" w:sz="6" w:space="0" w:color="auto"/>
              <w:bottom w:val="single" w:sz="6" w:space="0" w:color="auto"/>
              <w:right w:val="thickThinLargeGap" w:sz="24" w:space="0" w:color="auto"/>
            </w:tcBorders>
            <w:vAlign w:val="center"/>
          </w:tcPr>
          <w:p w14:paraId="24E2BBF4" w14:textId="77777777" w:rsidR="000D44CB" w:rsidRPr="00D4030C" w:rsidRDefault="000D44CB" w:rsidP="00443CF9">
            <w:pPr>
              <w:spacing w:after="0" w:line="240" w:lineRule="auto"/>
              <w:jc w:val="center"/>
              <w:rPr>
                <w:rFonts w:eastAsia="Times New Roman"/>
                <w:sz w:val="18"/>
                <w:szCs w:val="18"/>
              </w:rPr>
            </w:pPr>
          </w:p>
          <w:p w14:paraId="29514939" w14:textId="77777777" w:rsidR="000D44CB" w:rsidRPr="00D4030C" w:rsidRDefault="000D44CB" w:rsidP="00443CF9">
            <w:pPr>
              <w:spacing w:after="0" w:line="240" w:lineRule="auto"/>
              <w:jc w:val="center"/>
              <w:rPr>
                <w:rFonts w:eastAsia="Times New Roman"/>
                <w:sz w:val="18"/>
                <w:szCs w:val="18"/>
              </w:rPr>
            </w:pPr>
            <w:r w:rsidRPr="00D4030C">
              <w:rPr>
                <w:rFonts w:eastAsia="Times New Roman"/>
                <w:sz w:val="18"/>
                <w:szCs w:val="18"/>
              </w:rPr>
              <w:t>%</w:t>
            </w:r>
          </w:p>
        </w:tc>
      </w:tr>
      <w:tr w:rsidR="000D44CB" w:rsidRPr="00D4030C" w14:paraId="09F0392B" w14:textId="77777777" w:rsidTr="00443CF9">
        <w:tc>
          <w:tcPr>
            <w:tcW w:w="1031" w:type="pct"/>
            <w:tcBorders>
              <w:top w:val="single" w:sz="6" w:space="0" w:color="auto"/>
              <w:left w:val="thinThickLargeGap" w:sz="24" w:space="0" w:color="auto"/>
              <w:bottom w:val="single" w:sz="6" w:space="0" w:color="auto"/>
            </w:tcBorders>
            <w:vAlign w:val="center"/>
          </w:tcPr>
          <w:p w14:paraId="05D8DB2E" w14:textId="77777777" w:rsidR="000D44CB" w:rsidRPr="00D4030C" w:rsidRDefault="000D44CB" w:rsidP="00443CF9">
            <w:pPr>
              <w:spacing w:after="0" w:line="240" w:lineRule="auto"/>
              <w:ind w:left="-15"/>
              <w:jc w:val="center"/>
              <w:rPr>
                <w:rFonts w:eastAsia="Times New Roman"/>
                <w:bCs/>
                <w:sz w:val="20"/>
                <w:szCs w:val="20"/>
              </w:rPr>
            </w:pPr>
            <w:bookmarkStart w:id="0" w:name="_GoBack"/>
            <w:r w:rsidRPr="00D4030C">
              <w:rPr>
                <w:rFonts w:eastAsia="Times New Roman"/>
                <w:bCs/>
                <w:sz w:val="20"/>
                <w:szCs w:val="20"/>
              </w:rPr>
              <w:t>Background knowledge and understanding of the chosen aspect of Health and Inclusion, setting the theme in appropriate context</w:t>
            </w:r>
          </w:p>
        </w:tc>
        <w:tc>
          <w:tcPr>
            <w:tcW w:w="419" w:type="pct"/>
            <w:tcBorders>
              <w:top w:val="single" w:sz="6" w:space="0" w:color="auto"/>
              <w:bottom w:val="single" w:sz="6" w:space="0" w:color="auto"/>
              <w:right w:val="single" w:sz="6" w:space="0" w:color="auto"/>
            </w:tcBorders>
            <w:vAlign w:val="center"/>
          </w:tcPr>
          <w:p w14:paraId="6B5D1700" w14:textId="77777777" w:rsidR="000D44CB" w:rsidRPr="00D4030C" w:rsidRDefault="000D44CB" w:rsidP="00443CF9">
            <w:pPr>
              <w:spacing w:after="0" w:line="240" w:lineRule="auto"/>
              <w:jc w:val="center"/>
              <w:rPr>
                <w:rFonts w:eastAsia="Times New Roman"/>
                <w:bCs/>
                <w:sz w:val="18"/>
                <w:szCs w:val="18"/>
              </w:rPr>
            </w:pPr>
          </w:p>
          <w:p w14:paraId="6D484A0B" w14:textId="77777777" w:rsidR="000D44CB" w:rsidRPr="00D4030C" w:rsidRDefault="000D44CB" w:rsidP="00443CF9">
            <w:pPr>
              <w:spacing w:after="0" w:line="240" w:lineRule="auto"/>
              <w:jc w:val="center"/>
              <w:rPr>
                <w:rFonts w:eastAsia="Times New Roman"/>
                <w:bCs/>
                <w:sz w:val="18"/>
                <w:szCs w:val="18"/>
              </w:rPr>
            </w:pPr>
            <w:r w:rsidRPr="00D4030C">
              <w:rPr>
                <w:rFonts w:eastAsia="Times New Roman"/>
                <w:bCs/>
                <w:sz w:val="18"/>
                <w:szCs w:val="18"/>
              </w:rPr>
              <w:t>3</w:t>
            </w:r>
          </w:p>
        </w:tc>
        <w:tc>
          <w:tcPr>
            <w:tcW w:w="685" w:type="pct"/>
            <w:tcBorders>
              <w:top w:val="single" w:sz="6" w:space="0" w:color="auto"/>
              <w:left w:val="single" w:sz="6" w:space="0" w:color="auto"/>
              <w:bottom w:val="single" w:sz="6" w:space="0" w:color="auto"/>
              <w:right w:val="single" w:sz="6" w:space="0" w:color="auto"/>
            </w:tcBorders>
            <w:vAlign w:val="center"/>
          </w:tcPr>
          <w:p w14:paraId="094D6955" w14:textId="77777777" w:rsidR="000D44CB" w:rsidRPr="00D4030C" w:rsidRDefault="000D44CB" w:rsidP="00443CF9">
            <w:pPr>
              <w:spacing w:after="0" w:line="240" w:lineRule="auto"/>
              <w:jc w:val="center"/>
              <w:rPr>
                <w:rFonts w:eastAsia="Times New Roman"/>
                <w:b/>
                <w:sz w:val="18"/>
                <w:szCs w:val="18"/>
              </w:rPr>
            </w:pPr>
          </w:p>
          <w:p w14:paraId="79CE938E" w14:textId="77777777" w:rsidR="000D44CB" w:rsidRPr="00D4030C" w:rsidRDefault="000D44CB" w:rsidP="00443CF9">
            <w:pPr>
              <w:spacing w:after="0" w:line="240" w:lineRule="auto"/>
              <w:jc w:val="center"/>
              <w:rPr>
                <w:rFonts w:eastAsia="Times New Roman"/>
                <w:b/>
                <w:sz w:val="18"/>
                <w:szCs w:val="18"/>
              </w:rPr>
            </w:pPr>
          </w:p>
        </w:tc>
        <w:tc>
          <w:tcPr>
            <w:tcW w:w="641" w:type="pct"/>
            <w:gridSpan w:val="2"/>
            <w:tcBorders>
              <w:top w:val="single" w:sz="6" w:space="0" w:color="auto"/>
              <w:left w:val="single" w:sz="6" w:space="0" w:color="auto"/>
              <w:bottom w:val="single" w:sz="6" w:space="0" w:color="auto"/>
              <w:right w:val="single" w:sz="6" w:space="0" w:color="auto"/>
            </w:tcBorders>
            <w:vAlign w:val="center"/>
          </w:tcPr>
          <w:p w14:paraId="04FF98D7" w14:textId="77777777" w:rsidR="000D44CB" w:rsidRPr="00D4030C" w:rsidRDefault="000D44CB" w:rsidP="00443CF9">
            <w:pPr>
              <w:spacing w:after="0" w:line="240" w:lineRule="auto"/>
              <w:jc w:val="center"/>
              <w:rPr>
                <w:rFonts w:eastAsia="Times New Roman"/>
                <w:b/>
                <w:sz w:val="18"/>
                <w:szCs w:val="18"/>
              </w:rPr>
            </w:pPr>
          </w:p>
        </w:tc>
        <w:tc>
          <w:tcPr>
            <w:tcW w:w="670" w:type="pct"/>
            <w:tcBorders>
              <w:top w:val="single" w:sz="6" w:space="0" w:color="auto"/>
              <w:left w:val="single" w:sz="6" w:space="0" w:color="auto"/>
              <w:bottom w:val="single" w:sz="6" w:space="0" w:color="auto"/>
              <w:right w:val="single" w:sz="6" w:space="0" w:color="auto"/>
            </w:tcBorders>
            <w:vAlign w:val="center"/>
          </w:tcPr>
          <w:p w14:paraId="5C971318" w14:textId="77777777" w:rsidR="000D44CB" w:rsidRPr="00D4030C" w:rsidRDefault="000D44CB" w:rsidP="00443CF9">
            <w:pPr>
              <w:spacing w:after="0" w:line="240" w:lineRule="auto"/>
              <w:jc w:val="center"/>
              <w:rPr>
                <w:rFonts w:eastAsia="Times New Roman"/>
                <w:b/>
                <w:sz w:val="18"/>
                <w:szCs w:val="18"/>
              </w:rPr>
            </w:pPr>
          </w:p>
        </w:tc>
        <w:tc>
          <w:tcPr>
            <w:tcW w:w="691" w:type="pct"/>
            <w:tcBorders>
              <w:top w:val="single" w:sz="6" w:space="0" w:color="auto"/>
              <w:left w:val="single" w:sz="6" w:space="0" w:color="auto"/>
              <w:bottom w:val="single" w:sz="6" w:space="0" w:color="auto"/>
              <w:right w:val="single" w:sz="6" w:space="0" w:color="auto"/>
            </w:tcBorders>
            <w:vAlign w:val="center"/>
          </w:tcPr>
          <w:p w14:paraId="2AC47941" w14:textId="77777777" w:rsidR="000D44CB" w:rsidRPr="00D4030C" w:rsidRDefault="000D44CB" w:rsidP="00443CF9">
            <w:pPr>
              <w:spacing w:after="0" w:line="240" w:lineRule="auto"/>
              <w:jc w:val="center"/>
              <w:rPr>
                <w:rFonts w:eastAsia="Times New Roman"/>
                <w:szCs w:val="20"/>
              </w:rPr>
            </w:pPr>
          </w:p>
        </w:tc>
        <w:tc>
          <w:tcPr>
            <w:tcW w:w="531" w:type="pct"/>
            <w:gridSpan w:val="2"/>
            <w:tcBorders>
              <w:top w:val="single" w:sz="6" w:space="0" w:color="auto"/>
              <w:left w:val="single" w:sz="6" w:space="0" w:color="auto"/>
              <w:bottom w:val="single" w:sz="6" w:space="0" w:color="auto"/>
              <w:right w:val="single" w:sz="6" w:space="0" w:color="auto"/>
            </w:tcBorders>
            <w:vAlign w:val="center"/>
          </w:tcPr>
          <w:p w14:paraId="4E6C7DEA" w14:textId="77777777" w:rsidR="000D44CB" w:rsidRPr="00D4030C" w:rsidRDefault="000D44CB" w:rsidP="00443CF9">
            <w:pPr>
              <w:spacing w:after="0" w:line="240" w:lineRule="auto"/>
              <w:jc w:val="center"/>
              <w:rPr>
                <w:rFonts w:eastAsia="Times New Roman"/>
                <w:b/>
                <w:sz w:val="18"/>
                <w:szCs w:val="18"/>
              </w:rPr>
            </w:pPr>
          </w:p>
        </w:tc>
        <w:tc>
          <w:tcPr>
            <w:tcW w:w="333" w:type="pct"/>
            <w:tcBorders>
              <w:top w:val="single" w:sz="6" w:space="0" w:color="auto"/>
              <w:left w:val="single" w:sz="6" w:space="0" w:color="auto"/>
              <w:bottom w:val="single" w:sz="6" w:space="0" w:color="auto"/>
              <w:right w:val="thickThinLargeGap" w:sz="24" w:space="0" w:color="auto"/>
            </w:tcBorders>
            <w:vAlign w:val="center"/>
          </w:tcPr>
          <w:p w14:paraId="332768E7" w14:textId="77777777" w:rsidR="000D44CB" w:rsidRPr="00D4030C" w:rsidRDefault="000D44CB" w:rsidP="00443CF9">
            <w:pPr>
              <w:spacing w:after="0" w:line="240" w:lineRule="auto"/>
              <w:jc w:val="center"/>
              <w:rPr>
                <w:rFonts w:eastAsia="Times New Roman"/>
                <w:bCs/>
                <w:sz w:val="18"/>
                <w:szCs w:val="18"/>
              </w:rPr>
            </w:pPr>
            <w:r w:rsidRPr="00D4030C">
              <w:rPr>
                <w:rFonts w:eastAsia="Times New Roman"/>
                <w:bCs/>
                <w:sz w:val="18"/>
                <w:szCs w:val="18"/>
              </w:rPr>
              <w:t>30%</w:t>
            </w:r>
          </w:p>
        </w:tc>
      </w:tr>
      <w:tr w:rsidR="000D44CB" w:rsidRPr="00D4030C" w14:paraId="4E9E5116" w14:textId="77777777" w:rsidTr="00443CF9">
        <w:tc>
          <w:tcPr>
            <w:tcW w:w="1031" w:type="pct"/>
            <w:tcBorders>
              <w:top w:val="single" w:sz="6" w:space="0" w:color="auto"/>
              <w:left w:val="thinThickLargeGap" w:sz="24" w:space="0" w:color="auto"/>
              <w:bottom w:val="single" w:sz="6" w:space="0" w:color="auto"/>
              <w:right w:val="single" w:sz="4" w:space="0" w:color="auto"/>
            </w:tcBorders>
            <w:vAlign w:val="center"/>
          </w:tcPr>
          <w:p w14:paraId="5FCDD287" w14:textId="77777777" w:rsidR="000D44CB" w:rsidRPr="00D4030C" w:rsidRDefault="000D44CB" w:rsidP="00443CF9">
            <w:pPr>
              <w:spacing w:after="0" w:line="240" w:lineRule="auto"/>
              <w:jc w:val="center"/>
              <w:rPr>
                <w:rFonts w:eastAsia="Times New Roman"/>
                <w:sz w:val="20"/>
                <w:szCs w:val="20"/>
              </w:rPr>
            </w:pPr>
            <w:r w:rsidRPr="00D4030C">
              <w:rPr>
                <w:rFonts w:eastAsia="Times New Roman"/>
                <w:sz w:val="20"/>
                <w:szCs w:val="20"/>
              </w:rPr>
              <w:t>Ability to select, synthesise and evaluate appropriate sources relating to chosen theme</w:t>
            </w:r>
          </w:p>
        </w:tc>
        <w:tc>
          <w:tcPr>
            <w:tcW w:w="419" w:type="pct"/>
            <w:tcBorders>
              <w:top w:val="single" w:sz="6" w:space="0" w:color="auto"/>
              <w:left w:val="single" w:sz="4" w:space="0" w:color="auto"/>
              <w:bottom w:val="single" w:sz="6" w:space="0" w:color="auto"/>
              <w:right w:val="single" w:sz="6" w:space="0" w:color="auto"/>
            </w:tcBorders>
            <w:vAlign w:val="center"/>
          </w:tcPr>
          <w:p w14:paraId="76126FD0" w14:textId="77777777" w:rsidR="000D44CB" w:rsidRPr="00D4030C" w:rsidRDefault="000D44CB" w:rsidP="00443CF9">
            <w:pPr>
              <w:spacing w:after="0" w:line="240" w:lineRule="auto"/>
              <w:jc w:val="center"/>
              <w:rPr>
                <w:rFonts w:eastAsia="Times New Roman"/>
                <w:sz w:val="20"/>
                <w:szCs w:val="20"/>
              </w:rPr>
            </w:pPr>
            <w:r w:rsidRPr="00D4030C">
              <w:rPr>
                <w:rFonts w:eastAsia="Times New Roman"/>
                <w:sz w:val="20"/>
                <w:szCs w:val="20"/>
              </w:rPr>
              <w:t>1</w:t>
            </w:r>
          </w:p>
        </w:tc>
        <w:tc>
          <w:tcPr>
            <w:tcW w:w="685" w:type="pct"/>
            <w:tcBorders>
              <w:top w:val="single" w:sz="6" w:space="0" w:color="auto"/>
              <w:left w:val="single" w:sz="6" w:space="0" w:color="auto"/>
              <w:bottom w:val="single" w:sz="6" w:space="0" w:color="auto"/>
              <w:right w:val="single" w:sz="6" w:space="0" w:color="auto"/>
            </w:tcBorders>
            <w:vAlign w:val="center"/>
          </w:tcPr>
          <w:p w14:paraId="3C58788C" w14:textId="77777777" w:rsidR="000D44CB" w:rsidRPr="00D4030C" w:rsidRDefault="000D44CB" w:rsidP="00443CF9">
            <w:pPr>
              <w:spacing w:after="0" w:line="240" w:lineRule="auto"/>
              <w:jc w:val="center"/>
              <w:rPr>
                <w:rFonts w:eastAsia="Times New Roman"/>
                <w:b/>
                <w:sz w:val="28"/>
                <w:szCs w:val="28"/>
              </w:rPr>
            </w:pPr>
          </w:p>
          <w:p w14:paraId="2915619C" w14:textId="77777777" w:rsidR="000D44CB" w:rsidRPr="00D4030C" w:rsidRDefault="000D44CB" w:rsidP="00443CF9">
            <w:pPr>
              <w:spacing w:after="0" w:line="240" w:lineRule="auto"/>
              <w:jc w:val="center"/>
              <w:rPr>
                <w:rFonts w:eastAsia="Times New Roman"/>
                <w:b/>
                <w:sz w:val="28"/>
                <w:szCs w:val="28"/>
              </w:rPr>
            </w:pPr>
          </w:p>
        </w:tc>
        <w:tc>
          <w:tcPr>
            <w:tcW w:w="641" w:type="pct"/>
            <w:gridSpan w:val="2"/>
            <w:tcBorders>
              <w:top w:val="single" w:sz="6" w:space="0" w:color="auto"/>
              <w:left w:val="single" w:sz="6" w:space="0" w:color="auto"/>
              <w:bottom w:val="single" w:sz="6" w:space="0" w:color="auto"/>
              <w:right w:val="single" w:sz="6" w:space="0" w:color="auto"/>
            </w:tcBorders>
            <w:vAlign w:val="center"/>
          </w:tcPr>
          <w:p w14:paraId="344E73D7" w14:textId="77777777" w:rsidR="000D44CB" w:rsidRPr="00D4030C" w:rsidRDefault="000D44CB" w:rsidP="00443CF9">
            <w:pPr>
              <w:spacing w:after="0" w:line="240" w:lineRule="auto"/>
              <w:jc w:val="center"/>
              <w:rPr>
                <w:rFonts w:eastAsia="Times New Roman"/>
                <w:b/>
                <w:sz w:val="28"/>
                <w:szCs w:val="28"/>
              </w:rPr>
            </w:pPr>
          </w:p>
        </w:tc>
        <w:tc>
          <w:tcPr>
            <w:tcW w:w="670" w:type="pct"/>
            <w:tcBorders>
              <w:top w:val="single" w:sz="6" w:space="0" w:color="auto"/>
              <w:left w:val="single" w:sz="6" w:space="0" w:color="auto"/>
              <w:bottom w:val="single" w:sz="6" w:space="0" w:color="auto"/>
              <w:right w:val="single" w:sz="6" w:space="0" w:color="auto"/>
            </w:tcBorders>
            <w:vAlign w:val="center"/>
          </w:tcPr>
          <w:p w14:paraId="40BED499" w14:textId="77777777" w:rsidR="000D44CB" w:rsidRPr="00D4030C" w:rsidRDefault="000D44CB" w:rsidP="00443CF9">
            <w:pPr>
              <w:spacing w:after="0" w:line="240" w:lineRule="auto"/>
              <w:jc w:val="center"/>
              <w:rPr>
                <w:rFonts w:eastAsia="Times New Roman"/>
                <w:b/>
                <w:sz w:val="28"/>
                <w:szCs w:val="28"/>
              </w:rPr>
            </w:pPr>
          </w:p>
        </w:tc>
        <w:tc>
          <w:tcPr>
            <w:tcW w:w="691" w:type="pct"/>
            <w:tcBorders>
              <w:top w:val="single" w:sz="6" w:space="0" w:color="auto"/>
              <w:left w:val="single" w:sz="6" w:space="0" w:color="auto"/>
              <w:bottom w:val="single" w:sz="6" w:space="0" w:color="auto"/>
              <w:right w:val="single" w:sz="6" w:space="0" w:color="auto"/>
            </w:tcBorders>
            <w:vAlign w:val="center"/>
          </w:tcPr>
          <w:p w14:paraId="73EED515" w14:textId="77777777" w:rsidR="000D44CB" w:rsidRPr="00D4030C" w:rsidRDefault="000D44CB" w:rsidP="00443CF9">
            <w:pPr>
              <w:spacing w:after="0" w:line="240" w:lineRule="auto"/>
              <w:jc w:val="center"/>
              <w:rPr>
                <w:rFonts w:eastAsia="Times New Roman"/>
                <w:b/>
                <w:sz w:val="28"/>
                <w:szCs w:val="28"/>
              </w:rPr>
            </w:pPr>
          </w:p>
          <w:p w14:paraId="2C718F3A" w14:textId="77777777" w:rsidR="000D44CB" w:rsidRPr="00D4030C" w:rsidRDefault="000D44CB" w:rsidP="00443CF9">
            <w:pPr>
              <w:spacing w:after="0" w:line="240" w:lineRule="auto"/>
              <w:jc w:val="center"/>
              <w:rPr>
                <w:rFonts w:eastAsia="Times New Roman"/>
                <w:b/>
                <w:sz w:val="28"/>
                <w:szCs w:val="28"/>
              </w:rPr>
            </w:pPr>
          </w:p>
        </w:tc>
        <w:tc>
          <w:tcPr>
            <w:tcW w:w="531" w:type="pct"/>
            <w:gridSpan w:val="2"/>
            <w:tcBorders>
              <w:top w:val="single" w:sz="6" w:space="0" w:color="auto"/>
              <w:left w:val="single" w:sz="6" w:space="0" w:color="auto"/>
              <w:bottom w:val="single" w:sz="6" w:space="0" w:color="auto"/>
              <w:right w:val="single" w:sz="6" w:space="0" w:color="auto"/>
            </w:tcBorders>
            <w:vAlign w:val="center"/>
          </w:tcPr>
          <w:p w14:paraId="1B905CA5" w14:textId="77777777" w:rsidR="000D44CB" w:rsidRPr="00D4030C" w:rsidRDefault="000D44CB" w:rsidP="00443CF9">
            <w:pPr>
              <w:spacing w:after="0" w:line="240" w:lineRule="auto"/>
              <w:jc w:val="center"/>
              <w:rPr>
                <w:rFonts w:eastAsia="Times New Roman"/>
                <w:b/>
                <w:sz w:val="28"/>
                <w:szCs w:val="28"/>
              </w:rPr>
            </w:pPr>
          </w:p>
          <w:p w14:paraId="0C3EDEBE" w14:textId="77777777" w:rsidR="000D44CB" w:rsidRPr="00D4030C" w:rsidRDefault="000D44CB" w:rsidP="00443CF9">
            <w:pPr>
              <w:spacing w:after="0" w:line="240" w:lineRule="auto"/>
              <w:jc w:val="center"/>
              <w:rPr>
                <w:rFonts w:eastAsia="Times New Roman"/>
                <w:b/>
                <w:sz w:val="28"/>
                <w:szCs w:val="28"/>
              </w:rPr>
            </w:pPr>
          </w:p>
        </w:tc>
        <w:tc>
          <w:tcPr>
            <w:tcW w:w="333" w:type="pct"/>
            <w:tcBorders>
              <w:top w:val="single" w:sz="6" w:space="0" w:color="auto"/>
              <w:left w:val="single" w:sz="6" w:space="0" w:color="auto"/>
              <w:bottom w:val="single" w:sz="6" w:space="0" w:color="auto"/>
              <w:right w:val="thickThinLargeGap" w:sz="24" w:space="0" w:color="auto"/>
            </w:tcBorders>
            <w:vAlign w:val="center"/>
          </w:tcPr>
          <w:p w14:paraId="62F3C65C" w14:textId="77777777" w:rsidR="000D44CB" w:rsidRPr="00D4030C" w:rsidRDefault="000D44CB" w:rsidP="00443CF9">
            <w:pPr>
              <w:spacing w:after="0" w:line="240" w:lineRule="auto"/>
              <w:jc w:val="center"/>
              <w:rPr>
                <w:rFonts w:eastAsia="Times New Roman"/>
                <w:sz w:val="18"/>
                <w:szCs w:val="20"/>
              </w:rPr>
            </w:pPr>
          </w:p>
          <w:p w14:paraId="3D0D9F20" w14:textId="77777777" w:rsidR="000D44CB" w:rsidRPr="00D4030C" w:rsidRDefault="000D44CB" w:rsidP="00443CF9">
            <w:pPr>
              <w:spacing w:after="0" w:line="240" w:lineRule="auto"/>
              <w:jc w:val="center"/>
              <w:rPr>
                <w:rFonts w:eastAsia="Times New Roman"/>
                <w:sz w:val="18"/>
                <w:szCs w:val="20"/>
              </w:rPr>
            </w:pPr>
            <w:r w:rsidRPr="00D4030C">
              <w:rPr>
                <w:rFonts w:eastAsia="Times New Roman"/>
                <w:sz w:val="18"/>
                <w:szCs w:val="20"/>
              </w:rPr>
              <w:t>30%</w:t>
            </w:r>
          </w:p>
        </w:tc>
      </w:tr>
      <w:tr w:rsidR="000D44CB" w:rsidRPr="00D4030C" w14:paraId="4D24EEEE" w14:textId="77777777" w:rsidTr="00443CF9">
        <w:tc>
          <w:tcPr>
            <w:tcW w:w="1031" w:type="pct"/>
            <w:tcBorders>
              <w:top w:val="single" w:sz="6" w:space="0" w:color="auto"/>
              <w:left w:val="thinThickLargeGap" w:sz="24" w:space="0" w:color="auto"/>
              <w:bottom w:val="single" w:sz="6" w:space="0" w:color="auto"/>
              <w:right w:val="single" w:sz="4" w:space="0" w:color="auto"/>
            </w:tcBorders>
            <w:vAlign w:val="center"/>
          </w:tcPr>
          <w:p w14:paraId="2A999741" w14:textId="77777777" w:rsidR="000D44CB" w:rsidRPr="00D4030C" w:rsidRDefault="000D44CB" w:rsidP="00443CF9">
            <w:pPr>
              <w:spacing w:after="0" w:line="240" w:lineRule="auto"/>
              <w:jc w:val="center"/>
              <w:rPr>
                <w:rFonts w:eastAsia="Times New Roman"/>
                <w:sz w:val="20"/>
                <w:szCs w:val="20"/>
              </w:rPr>
            </w:pPr>
            <w:r w:rsidRPr="00D4030C">
              <w:rPr>
                <w:rFonts w:eastAsia="Times New Roman"/>
                <w:sz w:val="20"/>
                <w:szCs w:val="20"/>
              </w:rPr>
              <w:t>Evidence of independent research using a range of sources and the ability to present key findings clearly</w:t>
            </w:r>
          </w:p>
        </w:tc>
        <w:tc>
          <w:tcPr>
            <w:tcW w:w="419" w:type="pct"/>
            <w:tcBorders>
              <w:top w:val="single" w:sz="6" w:space="0" w:color="auto"/>
              <w:left w:val="single" w:sz="4" w:space="0" w:color="auto"/>
              <w:bottom w:val="single" w:sz="6" w:space="0" w:color="auto"/>
              <w:right w:val="single" w:sz="6" w:space="0" w:color="auto"/>
            </w:tcBorders>
            <w:vAlign w:val="center"/>
          </w:tcPr>
          <w:p w14:paraId="614C5F6B" w14:textId="77777777" w:rsidR="000D44CB" w:rsidRPr="00D4030C" w:rsidRDefault="000D44CB" w:rsidP="00443CF9">
            <w:pPr>
              <w:spacing w:after="0" w:line="240" w:lineRule="auto"/>
              <w:jc w:val="center"/>
              <w:rPr>
                <w:rFonts w:eastAsia="Times New Roman"/>
                <w:sz w:val="20"/>
                <w:szCs w:val="20"/>
              </w:rPr>
            </w:pPr>
            <w:r w:rsidRPr="00D4030C">
              <w:rPr>
                <w:rFonts w:eastAsia="Times New Roman"/>
                <w:sz w:val="20"/>
                <w:szCs w:val="20"/>
              </w:rPr>
              <w:t>1,2,3</w:t>
            </w:r>
          </w:p>
        </w:tc>
        <w:tc>
          <w:tcPr>
            <w:tcW w:w="685" w:type="pct"/>
            <w:tcBorders>
              <w:top w:val="single" w:sz="6" w:space="0" w:color="auto"/>
              <w:left w:val="single" w:sz="6" w:space="0" w:color="auto"/>
              <w:bottom w:val="single" w:sz="6" w:space="0" w:color="auto"/>
              <w:right w:val="single" w:sz="6" w:space="0" w:color="auto"/>
            </w:tcBorders>
            <w:vAlign w:val="center"/>
          </w:tcPr>
          <w:p w14:paraId="49F57EA9" w14:textId="77777777" w:rsidR="000D44CB" w:rsidRPr="00D4030C" w:rsidRDefault="000D44CB" w:rsidP="00443CF9">
            <w:pPr>
              <w:spacing w:after="0" w:line="240" w:lineRule="auto"/>
              <w:jc w:val="center"/>
              <w:rPr>
                <w:rFonts w:eastAsia="Times New Roman"/>
                <w:b/>
                <w:sz w:val="28"/>
                <w:szCs w:val="28"/>
              </w:rPr>
            </w:pPr>
          </w:p>
        </w:tc>
        <w:tc>
          <w:tcPr>
            <w:tcW w:w="641" w:type="pct"/>
            <w:gridSpan w:val="2"/>
            <w:tcBorders>
              <w:top w:val="single" w:sz="6" w:space="0" w:color="auto"/>
              <w:left w:val="single" w:sz="6" w:space="0" w:color="auto"/>
              <w:bottom w:val="single" w:sz="6" w:space="0" w:color="auto"/>
              <w:right w:val="single" w:sz="6" w:space="0" w:color="auto"/>
            </w:tcBorders>
            <w:vAlign w:val="center"/>
          </w:tcPr>
          <w:p w14:paraId="6A08FDB9" w14:textId="77777777" w:rsidR="000D44CB" w:rsidRPr="00D4030C" w:rsidRDefault="000D44CB" w:rsidP="00443CF9">
            <w:pPr>
              <w:spacing w:after="0" w:line="240" w:lineRule="auto"/>
              <w:jc w:val="center"/>
              <w:rPr>
                <w:rFonts w:eastAsia="Times New Roman"/>
                <w:b/>
                <w:sz w:val="28"/>
                <w:szCs w:val="28"/>
              </w:rPr>
            </w:pPr>
          </w:p>
        </w:tc>
        <w:tc>
          <w:tcPr>
            <w:tcW w:w="670" w:type="pct"/>
            <w:tcBorders>
              <w:top w:val="single" w:sz="6" w:space="0" w:color="auto"/>
              <w:left w:val="single" w:sz="6" w:space="0" w:color="auto"/>
              <w:bottom w:val="single" w:sz="6" w:space="0" w:color="auto"/>
              <w:right w:val="single" w:sz="6" w:space="0" w:color="auto"/>
            </w:tcBorders>
            <w:vAlign w:val="center"/>
          </w:tcPr>
          <w:p w14:paraId="75FA845C" w14:textId="77777777" w:rsidR="000D44CB" w:rsidRPr="00D4030C" w:rsidRDefault="000D44CB" w:rsidP="00443CF9">
            <w:pPr>
              <w:spacing w:after="0" w:line="240" w:lineRule="auto"/>
              <w:jc w:val="center"/>
              <w:rPr>
                <w:rFonts w:eastAsia="Times New Roman"/>
                <w:b/>
                <w:sz w:val="28"/>
                <w:szCs w:val="28"/>
              </w:rPr>
            </w:pPr>
          </w:p>
        </w:tc>
        <w:tc>
          <w:tcPr>
            <w:tcW w:w="691" w:type="pct"/>
            <w:tcBorders>
              <w:top w:val="single" w:sz="6" w:space="0" w:color="auto"/>
              <w:left w:val="single" w:sz="6" w:space="0" w:color="auto"/>
              <w:bottom w:val="single" w:sz="6" w:space="0" w:color="auto"/>
              <w:right w:val="single" w:sz="6" w:space="0" w:color="auto"/>
            </w:tcBorders>
            <w:vAlign w:val="center"/>
          </w:tcPr>
          <w:p w14:paraId="26B4BBAE" w14:textId="77777777" w:rsidR="000D44CB" w:rsidRPr="00D4030C" w:rsidRDefault="000D44CB" w:rsidP="00443CF9">
            <w:pPr>
              <w:spacing w:after="0" w:line="240" w:lineRule="auto"/>
              <w:jc w:val="center"/>
              <w:rPr>
                <w:rFonts w:eastAsia="Times New Roman"/>
                <w:b/>
                <w:sz w:val="28"/>
                <w:szCs w:val="28"/>
              </w:rPr>
            </w:pPr>
          </w:p>
        </w:tc>
        <w:tc>
          <w:tcPr>
            <w:tcW w:w="531" w:type="pct"/>
            <w:gridSpan w:val="2"/>
            <w:tcBorders>
              <w:top w:val="single" w:sz="6" w:space="0" w:color="auto"/>
              <w:left w:val="single" w:sz="6" w:space="0" w:color="auto"/>
              <w:bottom w:val="single" w:sz="6" w:space="0" w:color="auto"/>
              <w:right w:val="single" w:sz="6" w:space="0" w:color="auto"/>
            </w:tcBorders>
            <w:vAlign w:val="center"/>
          </w:tcPr>
          <w:p w14:paraId="7E90B83B" w14:textId="77777777" w:rsidR="000D44CB" w:rsidRPr="00D4030C" w:rsidRDefault="000D44CB" w:rsidP="00443CF9">
            <w:pPr>
              <w:spacing w:after="0" w:line="240" w:lineRule="auto"/>
              <w:jc w:val="center"/>
              <w:rPr>
                <w:rFonts w:eastAsia="Times New Roman"/>
                <w:b/>
                <w:sz w:val="28"/>
                <w:szCs w:val="28"/>
              </w:rPr>
            </w:pPr>
          </w:p>
        </w:tc>
        <w:tc>
          <w:tcPr>
            <w:tcW w:w="333" w:type="pct"/>
            <w:tcBorders>
              <w:top w:val="single" w:sz="6" w:space="0" w:color="auto"/>
              <w:left w:val="single" w:sz="6" w:space="0" w:color="auto"/>
              <w:bottom w:val="single" w:sz="6" w:space="0" w:color="auto"/>
              <w:right w:val="thickThinLargeGap" w:sz="24" w:space="0" w:color="auto"/>
            </w:tcBorders>
            <w:vAlign w:val="center"/>
          </w:tcPr>
          <w:p w14:paraId="10F8AE37" w14:textId="77777777" w:rsidR="000D44CB" w:rsidRPr="00D4030C" w:rsidRDefault="000D44CB" w:rsidP="00116459">
            <w:pPr>
              <w:spacing w:after="0" w:line="240" w:lineRule="auto"/>
              <w:rPr>
                <w:rFonts w:eastAsia="Times New Roman"/>
                <w:sz w:val="18"/>
                <w:szCs w:val="20"/>
              </w:rPr>
            </w:pPr>
          </w:p>
          <w:p w14:paraId="2F403458" w14:textId="77777777" w:rsidR="000D44CB" w:rsidRPr="00D4030C" w:rsidRDefault="000D44CB" w:rsidP="00443CF9">
            <w:pPr>
              <w:spacing w:after="0" w:line="240" w:lineRule="auto"/>
              <w:jc w:val="center"/>
              <w:rPr>
                <w:rFonts w:eastAsia="Times New Roman"/>
                <w:sz w:val="18"/>
                <w:szCs w:val="20"/>
              </w:rPr>
            </w:pPr>
            <w:r w:rsidRPr="00D4030C">
              <w:rPr>
                <w:rFonts w:eastAsia="Times New Roman"/>
                <w:sz w:val="18"/>
                <w:szCs w:val="20"/>
              </w:rPr>
              <w:t>30%</w:t>
            </w:r>
          </w:p>
        </w:tc>
      </w:tr>
      <w:tr w:rsidR="000D44CB" w:rsidRPr="00D4030C" w14:paraId="3BC4679F" w14:textId="77777777" w:rsidTr="00443CF9">
        <w:tc>
          <w:tcPr>
            <w:tcW w:w="1031" w:type="pct"/>
            <w:tcBorders>
              <w:top w:val="single" w:sz="6" w:space="0" w:color="auto"/>
              <w:left w:val="thinThickLargeGap" w:sz="24" w:space="0" w:color="auto"/>
              <w:bottom w:val="single" w:sz="6" w:space="0" w:color="auto"/>
              <w:right w:val="single" w:sz="4" w:space="0" w:color="auto"/>
            </w:tcBorders>
            <w:vAlign w:val="center"/>
          </w:tcPr>
          <w:p w14:paraId="1CEF0DEF" w14:textId="77777777" w:rsidR="000D44CB" w:rsidRPr="00D4030C" w:rsidRDefault="000D44CB" w:rsidP="00443CF9">
            <w:pPr>
              <w:spacing w:after="0" w:line="240" w:lineRule="auto"/>
              <w:jc w:val="center"/>
              <w:rPr>
                <w:rFonts w:eastAsia="Times New Roman"/>
                <w:sz w:val="20"/>
                <w:szCs w:val="20"/>
              </w:rPr>
            </w:pPr>
            <w:r w:rsidRPr="00D4030C">
              <w:rPr>
                <w:rFonts w:eastAsia="Times New Roman"/>
                <w:sz w:val="20"/>
                <w:szCs w:val="20"/>
              </w:rPr>
              <w:t>Problem-solving skills in locating appropriate material within secondary sources, internet and primary material.</w:t>
            </w:r>
          </w:p>
        </w:tc>
        <w:tc>
          <w:tcPr>
            <w:tcW w:w="419" w:type="pct"/>
            <w:tcBorders>
              <w:top w:val="single" w:sz="6" w:space="0" w:color="auto"/>
              <w:left w:val="single" w:sz="4" w:space="0" w:color="auto"/>
              <w:bottom w:val="single" w:sz="6" w:space="0" w:color="auto"/>
              <w:right w:val="single" w:sz="6" w:space="0" w:color="auto"/>
            </w:tcBorders>
            <w:vAlign w:val="center"/>
          </w:tcPr>
          <w:p w14:paraId="19F64BC4" w14:textId="77777777" w:rsidR="000D44CB" w:rsidRPr="00D4030C" w:rsidRDefault="000D44CB" w:rsidP="00443CF9">
            <w:pPr>
              <w:spacing w:after="0" w:line="240" w:lineRule="auto"/>
              <w:jc w:val="center"/>
              <w:rPr>
                <w:rFonts w:eastAsia="Times New Roman"/>
                <w:sz w:val="20"/>
                <w:szCs w:val="20"/>
              </w:rPr>
            </w:pPr>
          </w:p>
          <w:p w14:paraId="18C54BB0" w14:textId="77777777" w:rsidR="000D44CB" w:rsidRPr="00D4030C" w:rsidRDefault="000D44CB" w:rsidP="00443CF9">
            <w:pPr>
              <w:spacing w:after="0" w:line="240" w:lineRule="auto"/>
              <w:jc w:val="center"/>
              <w:rPr>
                <w:rFonts w:eastAsia="Times New Roman"/>
                <w:sz w:val="20"/>
                <w:szCs w:val="20"/>
              </w:rPr>
            </w:pPr>
            <w:r w:rsidRPr="00D4030C">
              <w:rPr>
                <w:rFonts w:eastAsia="Times New Roman"/>
                <w:sz w:val="20"/>
                <w:szCs w:val="20"/>
              </w:rPr>
              <w:t>3</w:t>
            </w:r>
          </w:p>
        </w:tc>
        <w:tc>
          <w:tcPr>
            <w:tcW w:w="685" w:type="pct"/>
            <w:tcBorders>
              <w:top w:val="single" w:sz="6" w:space="0" w:color="auto"/>
              <w:left w:val="single" w:sz="6" w:space="0" w:color="auto"/>
              <w:bottom w:val="single" w:sz="6" w:space="0" w:color="auto"/>
              <w:right w:val="single" w:sz="6" w:space="0" w:color="auto"/>
            </w:tcBorders>
            <w:vAlign w:val="center"/>
          </w:tcPr>
          <w:p w14:paraId="63F55C3A" w14:textId="77777777" w:rsidR="000D44CB" w:rsidRPr="00D4030C" w:rsidRDefault="000D44CB" w:rsidP="00443CF9">
            <w:pPr>
              <w:spacing w:after="0" w:line="240" w:lineRule="auto"/>
              <w:jc w:val="center"/>
              <w:rPr>
                <w:rFonts w:eastAsia="Times New Roman"/>
                <w:b/>
                <w:sz w:val="28"/>
                <w:szCs w:val="28"/>
              </w:rPr>
            </w:pPr>
          </w:p>
          <w:p w14:paraId="56E00D3D" w14:textId="77777777" w:rsidR="000D44CB" w:rsidRPr="00D4030C" w:rsidRDefault="000D44CB" w:rsidP="00443CF9">
            <w:pPr>
              <w:spacing w:after="0" w:line="240" w:lineRule="auto"/>
              <w:jc w:val="center"/>
              <w:rPr>
                <w:rFonts w:eastAsia="Times New Roman"/>
                <w:b/>
                <w:sz w:val="28"/>
                <w:szCs w:val="28"/>
              </w:rPr>
            </w:pPr>
          </w:p>
        </w:tc>
        <w:tc>
          <w:tcPr>
            <w:tcW w:w="641" w:type="pct"/>
            <w:gridSpan w:val="2"/>
            <w:tcBorders>
              <w:top w:val="single" w:sz="6" w:space="0" w:color="auto"/>
              <w:left w:val="single" w:sz="6" w:space="0" w:color="auto"/>
              <w:bottom w:val="single" w:sz="6" w:space="0" w:color="auto"/>
              <w:right w:val="single" w:sz="6" w:space="0" w:color="auto"/>
            </w:tcBorders>
            <w:vAlign w:val="center"/>
          </w:tcPr>
          <w:p w14:paraId="6C68B3C6" w14:textId="77777777" w:rsidR="000D44CB" w:rsidRPr="00D4030C" w:rsidRDefault="000D44CB" w:rsidP="00443CF9">
            <w:pPr>
              <w:spacing w:after="0" w:line="240" w:lineRule="auto"/>
              <w:jc w:val="center"/>
              <w:rPr>
                <w:rFonts w:eastAsia="Times New Roman"/>
                <w:b/>
                <w:sz w:val="28"/>
                <w:szCs w:val="28"/>
              </w:rPr>
            </w:pPr>
          </w:p>
        </w:tc>
        <w:tc>
          <w:tcPr>
            <w:tcW w:w="670" w:type="pct"/>
            <w:tcBorders>
              <w:top w:val="single" w:sz="6" w:space="0" w:color="auto"/>
              <w:left w:val="single" w:sz="6" w:space="0" w:color="auto"/>
              <w:bottom w:val="single" w:sz="6" w:space="0" w:color="auto"/>
              <w:right w:val="single" w:sz="6" w:space="0" w:color="auto"/>
            </w:tcBorders>
            <w:vAlign w:val="center"/>
          </w:tcPr>
          <w:p w14:paraId="07C5B23D" w14:textId="77777777" w:rsidR="000D44CB" w:rsidRPr="00D4030C" w:rsidRDefault="000D44CB" w:rsidP="00443CF9">
            <w:pPr>
              <w:spacing w:after="0" w:line="240" w:lineRule="auto"/>
              <w:jc w:val="center"/>
              <w:rPr>
                <w:rFonts w:eastAsia="Times New Roman"/>
                <w:b/>
                <w:sz w:val="28"/>
                <w:szCs w:val="28"/>
              </w:rPr>
            </w:pPr>
          </w:p>
        </w:tc>
        <w:tc>
          <w:tcPr>
            <w:tcW w:w="691" w:type="pct"/>
            <w:tcBorders>
              <w:top w:val="single" w:sz="6" w:space="0" w:color="auto"/>
              <w:left w:val="single" w:sz="6" w:space="0" w:color="auto"/>
              <w:bottom w:val="single" w:sz="6" w:space="0" w:color="auto"/>
              <w:right w:val="single" w:sz="6" w:space="0" w:color="auto"/>
            </w:tcBorders>
            <w:vAlign w:val="center"/>
          </w:tcPr>
          <w:p w14:paraId="465372A6" w14:textId="77777777" w:rsidR="000D44CB" w:rsidRPr="00D4030C" w:rsidRDefault="000D44CB" w:rsidP="00443CF9">
            <w:pPr>
              <w:spacing w:after="0" w:line="240" w:lineRule="auto"/>
              <w:jc w:val="center"/>
              <w:rPr>
                <w:rFonts w:eastAsia="Times New Roman"/>
                <w:b/>
                <w:sz w:val="28"/>
                <w:szCs w:val="28"/>
              </w:rPr>
            </w:pPr>
          </w:p>
        </w:tc>
        <w:tc>
          <w:tcPr>
            <w:tcW w:w="531" w:type="pct"/>
            <w:gridSpan w:val="2"/>
            <w:tcBorders>
              <w:top w:val="single" w:sz="6" w:space="0" w:color="auto"/>
              <w:left w:val="single" w:sz="6" w:space="0" w:color="auto"/>
              <w:bottom w:val="single" w:sz="6" w:space="0" w:color="auto"/>
              <w:right w:val="single" w:sz="6" w:space="0" w:color="auto"/>
            </w:tcBorders>
            <w:vAlign w:val="center"/>
          </w:tcPr>
          <w:p w14:paraId="0A6235C1" w14:textId="77777777" w:rsidR="000D44CB" w:rsidRPr="00D4030C" w:rsidRDefault="000D44CB" w:rsidP="00443CF9">
            <w:pPr>
              <w:spacing w:after="0" w:line="240" w:lineRule="auto"/>
              <w:jc w:val="center"/>
              <w:rPr>
                <w:rFonts w:eastAsia="Times New Roman"/>
                <w:b/>
                <w:sz w:val="28"/>
                <w:szCs w:val="28"/>
              </w:rPr>
            </w:pPr>
          </w:p>
          <w:p w14:paraId="74B4F2B8" w14:textId="77777777" w:rsidR="000D44CB" w:rsidRPr="00D4030C" w:rsidRDefault="000D44CB" w:rsidP="00443CF9">
            <w:pPr>
              <w:spacing w:after="0" w:line="240" w:lineRule="auto"/>
              <w:jc w:val="center"/>
              <w:rPr>
                <w:rFonts w:eastAsia="Times New Roman"/>
                <w:b/>
                <w:sz w:val="28"/>
                <w:szCs w:val="28"/>
              </w:rPr>
            </w:pPr>
          </w:p>
        </w:tc>
        <w:tc>
          <w:tcPr>
            <w:tcW w:w="333" w:type="pct"/>
            <w:tcBorders>
              <w:top w:val="single" w:sz="6" w:space="0" w:color="auto"/>
              <w:left w:val="single" w:sz="6" w:space="0" w:color="auto"/>
              <w:bottom w:val="single" w:sz="6" w:space="0" w:color="auto"/>
              <w:right w:val="thickThinLargeGap" w:sz="24" w:space="0" w:color="auto"/>
            </w:tcBorders>
            <w:vAlign w:val="center"/>
          </w:tcPr>
          <w:p w14:paraId="5CD0733B" w14:textId="77777777" w:rsidR="000D44CB" w:rsidRPr="00D4030C" w:rsidRDefault="000D44CB" w:rsidP="00443CF9">
            <w:pPr>
              <w:spacing w:after="0" w:line="240" w:lineRule="auto"/>
              <w:jc w:val="center"/>
              <w:rPr>
                <w:rFonts w:eastAsia="Times New Roman"/>
                <w:sz w:val="18"/>
                <w:szCs w:val="20"/>
              </w:rPr>
            </w:pPr>
          </w:p>
          <w:p w14:paraId="43E177F9" w14:textId="77777777" w:rsidR="000D44CB" w:rsidRPr="00D4030C" w:rsidRDefault="000D44CB" w:rsidP="00443CF9">
            <w:pPr>
              <w:spacing w:after="0" w:line="240" w:lineRule="auto"/>
              <w:jc w:val="center"/>
              <w:rPr>
                <w:rFonts w:eastAsia="Times New Roman"/>
                <w:sz w:val="18"/>
                <w:szCs w:val="20"/>
              </w:rPr>
            </w:pPr>
            <w:r w:rsidRPr="00D4030C">
              <w:rPr>
                <w:rFonts w:eastAsia="Times New Roman"/>
                <w:sz w:val="18"/>
                <w:szCs w:val="20"/>
              </w:rPr>
              <w:t>10%</w:t>
            </w:r>
          </w:p>
        </w:tc>
      </w:tr>
      <w:tr w:rsidR="000D44CB" w:rsidRPr="00D4030C" w14:paraId="64084C5E" w14:textId="77777777" w:rsidTr="00443CF9">
        <w:tc>
          <w:tcPr>
            <w:tcW w:w="4667" w:type="pct"/>
            <w:gridSpan w:val="9"/>
            <w:tcBorders>
              <w:top w:val="nil"/>
              <w:left w:val="thinThickLargeGap" w:sz="24" w:space="0" w:color="auto"/>
              <w:bottom w:val="single" w:sz="6" w:space="0" w:color="auto"/>
              <w:right w:val="single" w:sz="4" w:space="0" w:color="auto"/>
            </w:tcBorders>
            <w:vAlign w:val="center"/>
          </w:tcPr>
          <w:p w14:paraId="78C80245" w14:textId="77777777" w:rsidR="000D44CB" w:rsidRPr="00D4030C" w:rsidRDefault="000D44CB" w:rsidP="00443CF9">
            <w:pPr>
              <w:spacing w:after="0" w:line="240" w:lineRule="auto"/>
              <w:jc w:val="center"/>
              <w:rPr>
                <w:rFonts w:eastAsia="Times New Roman"/>
                <w:i/>
                <w:sz w:val="18"/>
                <w:szCs w:val="20"/>
              </w:rPr>
            </w:pPr>
            <w:r w:rsidRPr="00D4030C">
              <w:rPr>
                <w:rFonts w:eastAsia="Times New Roman"/>
                <w:i/>
                <w:sz w:val="18"/>
                <w:szCs w:val="18"/>
              </w:rPr>
              <w:t xml:space="preserve">It is expected that students will present work that is proof read and follows the </w:t>
            </w:r>
            <w:r w:rsidRPr="00D4030C">
              <w:rPr>
                <w:rFonts w:eastAsia="Times New Roman"/>
                <w:b/>
                <w:bCs/>
                <w:i/>
                <w:sz w:val="18"/>
                <w:szCs w:val="18"/>
                <w:u w:val="single"/>
              </w:rPr>
              <w:t>School Reference Guide</w:t>
            </w:r>
            <w:r w:rsidRPr="00D4030C">
              <w:rPr>
                <w:rFonts w:eastAsia="Times New Roman"/>
                <w:i/>
                <w:sz w:val="18"/>
                <w:szCs w:val="18"/>
              </w:rPr>
              <w:t xml:space="preserve"> and </w:t>
            </w:r>
            <w:r w:rsidRPr="00D4030C">
              <w:rPr>
                <w:rFonts w:eastAsia="Times New Roman"/>
                <w:b/>
                <w:i/>
                <w:sz w:val="18"/>
                <w:szCs w:val="18"/>
                <w:u w:val="single"/>
              </w:rPr>
              <w:t xml:space="preserve">Assessment Checklist. </w:t>
            </w:r>
            <w:proofErr w:type="gramStart"/>
            <w:r w:rsidR="00C05311">
              <w:rPr>
                <w:rFonts w:eastAsia="Times New Roman"/>
                <w:i/>
                <w:sz w:val="18"/>
                <w:szCs w:val="18"/>
              </w:rPr>
              <w:t>Th</w:t>
            </w:r>
            <w:r w:rsidRPr="00D4030C">
              <w:rPr>
                <w:rFonts w:eastAsia="Times New Roman"/>
                <w:i/>
                <w:sz w:val="18"/>
                <w:szCs w:val="18"/>
              </w:rPr>
              <w:t>erefore</w:t>
            </w:r>
            <w:proofErr w:type="gramEnd"/>
            <w:r w:rsidRPr="00D4030C">
              <w:rPr>
                <w:rFonts w:eastAsia="Times New Roman"/>
                <w:i/>
                <w:sz w:val="18"/>
                <w:szCs w:val="18"/>
              </w:rPr>
              <w:t xml:space="preserve"> a range of 0 – 10 marks will be deducted for poor </w:t>
            </w:r>
            <w:r w:rsidRPr="00D4030C">
              <w:rPr>
                <w:rFonts w:eastAsia="Times New Roman"/>
                <w:bCs/>
                <w:i/>
                <w:sz w:val="18"/>
                <w:szCs w:val="18"/>
              </w:rPr>
              <w:t>referencing</w:t>
            </w:r>
            <w:r w:rsidRPr="00D4030C">
              <w:rPr>
                <w:rFonts w:eastAsia="Times New Roman"/>
                <w:i/>
                <w:sz w:val="18"/>
                <w:szCs w:val="18"/>
              </w:rPr>
              <w:t>, spelling, grammar, punctuation, and presentation</w:t>
            </w:r>
          </w:p>
        </w:tc>
        <w:tc>
          <w:tcPr>
            <w:tcW w:w="333" w:type="pct"/>
            <w:tcBorders>
              <w:top w:val="nil"/>
              <w:left w:val="single" w:sz="4" w:space="0" w:color="auto"/>
              <w:bottom w:val="single" w:sz="6" w:space="0" w:color="auto"/>
              <w:right w:val="thickThinLargeGap" w:sz="24" w:space="0" w:color="auto"/>
            </w:tcBorders>
            <w:vAlign w:val="center"/>
          </w:tcPr>
          <w:p w14:paraId="2C0C0428" w14:textId="77777777" w:rsidR="000D44CB" w:rsidRPr="00D4030C" w:rsidRDefault="000D44CB" w:rsidP="00443CF9">
            <w:pPr>
              <w:spacing w:after="0" w:line="240" w:lineRule="auto"/>
              <w:jc w:val="center"/>
              <w:rPr>
                <w:rFonts w:eastAsia="Times New Roman"/>
                <w:sz w:val="18"/>
                <w:szCs w:val="20"/>
              </w:rPr>
            </w:pPr>
            <w:r w:rsidRPr="00D4030C">
              <w:rPr>
                <w:rFonts w:eastAsia="Times New Roman"/>
                <w:sz w:val="18"/>
                <w:szCs w:val="20"/>
              </w:rPr>
              <w:t>0/10</w:t>
            </w:r>
          </w:p>
        </w:tc>
      </w:tr>
      <w:tr w:rsidR="000D44CB" w:rsidRPr="00D4030C" w14:paraId="18B26CF5" w14:textId="77777777" w:rsidTr="00443CF9">
        <w:trPr>
          <w:cantSplit/>
          <w:trHeight w:val="3915"/>
        </w:trPr>
        <w:tc>
          <w:tcPr>
            <w:tcW w:w="5000" w:type="pct"/>
            <w:gridSpan w:val="10"/>
            <w:tcBorders>
              <w:top w:val="single" w:sz="6" w:space="0" w:color="auto"/>
              <w:left w:val="thinThickLargeGap" w:sz="24" w:space="0" w:color="auto"/>
              <w:bottom w:val="single" w:sz="4" w:space="0" w:color="auto"/>
              <w:right w:val="thickThinLargeGap" w:sz="24" w:space="0" w:color="auto"/>
            </w:tcBorders>
            <w:vAlign w:val="center"/>
          </w:tcPr>
          <w:p w14:paraId="2D66AA2F" w14:textId="77777777" w:rsidR="000D44CB" w:rsidRPr="00D4030C" w:rsidRDefault="000D44CB" w:rsidP="00443CF9">
            <w:pPr>
              <w:spacing w:after="0" w:line="240" w:lineRule="auto"/>
              <w:rPr>
                <w:rFonts w:eastAsia="Times New Roman"/>
                <w:szCs w:val="20"/>
              </w:rPr>
            </w:pPr>
          </w:p>
          <w:p w14:paraId="569BA676" w14:textId="77777777" w:rsidR="000D44CB" w:rsidRPr="00D4030C" w:rsidRDefault="000D44CB" w:rsidP="00443CF9">
            <w:pPr>
              <w:spacing w:after="0" w:line="240" w:lineRule="auto"/>
              <w:jc w:val="center"/>
              <w:rPr>
                <w:rFonts w:eastAsia="Times New Roman"/>
                <w:szCs w:val="20"/>
              </w:rPr>
            </w:pPr>
          </w:p>
          <w:p w14:paraId="2C4DF175" w14:textId="77777777" w:rsidR="000D44CB" w:rsidRPr="00D4030C" w:rsidRDefault="000D44CB" w:rsidP="00443CF9">
            <w:pPr>
              <w:spacing w:after="0" w:line="240" w:lineRule="auto"/>
              <w:jc w:val="center"/>
              <w:rPr>
                <w:rFonts w:eastAsia="Times New Roman"/>
                <w:szCs w:val="20"/>
              </w:rPr>
            </w:pPr>
          </w:p>
          <w:p w14:paraId="4534E142" w14:textId="77777777" w:rsidR="000D44CB" w:rsidRPr="00D4030C" w:rsidRDefault="000D44CB" w:rsidP="00443CF9">
            <w:pPr>
              <w:tabs>
                <w:tab w:val="left" w:pos="10117"/>
              </w:tabs>
              <w:spacing w:after="0" w:line="240" w:lineRule="auto"/>
              <w:jc w:val="center"/>
              <w:rPr>
                <w:rFonts w:eastAsia="Times New Roman"/>
                <w:szCs w:val="20"/>
              </w:rPr>
            </w:pPr>
          </w:p>
        </w:tc>
      </w:tr>
      <w:tr w:rsidR="000D44CB" w:rsidRPr="00D4030C" w14:paraId="17A6C8C7" w14:textId="77777777" w:rsidTr="00443CF9">
        <w:trPr>
          <w:cantSplit/>
          <w:trHeight w:val="365"/>
        </w:trPr>
        <w:tc>
          <w:tcPr>
            <w:tcW w:w="1450" w:type="pct"/>
            <w:gridSpan w:val="2"/>
            <w:tcBorders>
              <w:left w:val="thinThickLargeGap" w:sz="24" w:space="0" w:color="auto"/>
              <w:bottom w:val="thickThinLargeGap" w:sz="24" w:space="0" w:color="auto"/>
            </w:tcBorders>
            <w:vAlign w:val="center"/>
          </w:tcPr>
          <w:p w14:paraId="100AAD87" w14:textId="77777777" w:rsidR="000D44CB" w:rsidRPr="00D4030C" w:rsidRDefault="00C05311" w:rsidP="00443CF9">
            <w:pPr>
              <w:spacing w:after="0" w:line="240" w:lineRule="auto"/>
              <w:jc w:val="center"/>
              <w:rPr>
                <w:rFonts w:eastAsia="Times New Roman"/>
                <w:bCs/>
                <w:sz w:val="18"/>
                <w:szCs w:val="18"/>
              </w:rPr>
            </w:pPr>
            <w:r>
              <w:rPr>
                <w:rFonts w:eastAsia="Times New Roman"/>
                <w:bCs/>
                <w:sz w:val="18"/>
                <w:szCs w:val="18"/>
              </w:rPr>
              <w:t>Submission date: 7/4/15</w:t>
            </w:r>
          </w:p>
          <w:p w14:paraId="04AFC234" w14:textId="77777777" w:rsidR="000D44CB" w:rsidRPr="00D4030C" w:rsidRDefault="00C05311" w:rsidP="00443CF9">
            <w:pPr>
              <w:spacing w:after="0" w:line="240" w:lineRule="auto"/>
              <w:jc w:val="center"/>
              <w:rPr>
                <w:rFonts w:eastAsia="Times New Roman"/>
                <w:bCs/>
                <w:sz w:val="18"/>
                <w:szCs w:val="18"/>
              </w:rPr>
            </w:pPr>
            <w:r>
              <w:rPr>
                <w:rFonts w:eastAsia="Times New Roman"/>
                <w:bCs/>
                <w:sz w:val="18"/>
                <w:szCs w:val="18"/>
              </w:rPr>
              <w:t xml:space="preserve">via </w:t>
            </w:r>
            <w:proofErr w:type="spellStart"/>
            <w:r>
              <w:rPr>
                <w:rFonts w:eastAsia="Times New Roman"/>
                <w:bCs/>
                <w:sz w:val="18"/>
                <w:szCs w:val="18"/>
              </w:rPr>
              <w:t>Turnitin</w:t>
            </w:r>
            <w:proofErr w:type="spellEnd"/>
          </w:p>
        </w:tc>
        <w:tc>
          <w:tcPr>
            <w:tcW w:w="1238" w:type="pct"/>
            <w:gridSpan w:val="2"/>
            <w:tcBorders>
              <w:bottom w:val="thickThinLargeGap" w:sz="24" w:space="0" w:color="auto"/>
            </w:tcBorders>
            <w:vAlign w:val="center"/>
          </w:tcPr>
          <w:p w14:paraId="65B9F42B" w14:textId="77777777" w:rsidR="000D44CB" w:rsidRPr="00D4030C" w:rsidRDefault="00C05311" w:rsidP="00443CF9">
            <w:pPr>
              <w:spacing w:after="0" w:line="240" w:lineRule="auto"/>
              <w:jc w:val="center"/>
              <w:rPr>
                <w:rFonts w:eastAsia="Times New Roman"/>
                <w:bCs/>
                <w:sz w:val="18"/>
                <w:szCs w:val="18"/>
              </w:rPr>
            </w:pPr>
            <w:r>
              <w:rPr>
                <w:rFonts w:eastAsia="Times New Roman"/>
                <w:bCs/>
                <w:sz w:val="18"/>
                <w:szCs w:val="18"/>
              </w:rPr>
              <w:t>Return date: 17</w:t>
            </w:r>
          </w:p>
          <w:p w14:paraId="29D90710" w14:textId="77777777" w:rsidR="000D44CB" w:rsidRPr="00D4030C" w:rsidRDefault="000D44CB" w:rsidP="00443CF9">
            <w:pPr>
              <w:spacing w:after="0" w:line="240" w:lineRule="auto"/>
              <w:jc w:val="center"/>
              <w:rPr>
                <w:rFonts w:eastAsia="Times New Roman"/>
                <w:bCs/>
                <w:sz w:val="18"/>
                <w:szCs w:val="18"/>
              </w:rPr>
            </w:pPr>
            <w:r w:rsidRPr="00D4030C">
              <w:rPr>
                <w:rFonts w:eastAsia="Times New Roman"/>
                <w:bCs/>
                <w:sz w:val="18"/>
                <w:szCs w:val="18"/>
              </w:rPr>
              <w:t>(at least within 4 weeks)</w:t>
            </w:r>
          </w:p>
        </w:tc>
        <w:tc>
          <w:tcPr>
            <w:tcW w:w="1687" w:type="pct"/>
            <w:gridSpan w:val="4"/>
            <w:tcBorders>
              <w:bottom w:val="thickThinLargeGap" w:sz="24" w:space="0" w:color="auto"/>
            </w:tcBorders>
            <w:vAlign w:val="center"/>
          </w:tcPr>
          <w:p w14:paraId="05F0CACE" w14:textId="77777777" w:rsidR="000D44CB" w:rsidRPr="00D4030C" w:rsidRDefault="000D44CB" w:rsidP="00443CF9">
            <w:pPr>
              <w:spacing w:after="0" w:line="240" w:lineRule="auto"/>
              <w:jc w:val="center"/>
              <w:rPr>
                <w:rFonts w:eastAsia="Times New Roman"/>
                <w:bCs/>
                <w:sz w:val="18"/>
                <w:szCs w:val="18"/>
              </w:rPr>
            </w:pPr>
            <w:r w:rsidRPr="00D4030C">
              <w:rPr>
                <w:rFonts w:eastAsia="Times New Roman"/>
                <w:bCs/>
                <w:sz w:val="18"/>
                <w:szCs w:val="18"/>
              </w:rPr>
              <w:t xml:space="preserve">Tutor: </w:t>
            </w:r>
            <w:proofErr w:type="spellStart"/>
            <w:r w:rsidRPr="00D4030C">
              <w:rPr>
                <w:rFonts w:eastAsia="Times New Roman"/>
                <w:bCs/>
                <w:sz w:val="18"/>
                <w:szCs w:val="18"/>
              </w:rPr>
              <w:t>C.</w:t>
            </w:r>
            <w:proofErr w:type="gramStart"/>
            <w:r w:rsidRPr="00D4030C">
              <w:rPr>
                <w:rFonts w:eastAsia="Times New Roman"/>
                <w:bCs/>
                <w:sz w:val="18"/>
                <w:szCs w:val="18"/>
              </w:rPr>
              <w:t>R.Davies</w:t>
            </w:r>
            <w:proofErr w:type="spellEnd"/>
            <w:proofErr w:type="gramEnd"/>
          </w:p>
        </w:tc>
        <w:tc>
          <w:tcPr>
            <w:tcW w:w="625" w:type="pct"/>
            <w:gridSpan w:val="2"/>
            <w:tcBorders>
              <w:bottom w:val="thickThinLargeGap" w:sz="24" w:space="0" w:color="auto"/>
              <w:right w:val="thickThinLargeGap" w:sz="24" w:space="0" w:color="auto"/>
            </w:tcBorders>
            <w:vAlign w:val="center"/>
          </w:tcPr>
          <w:p w14:paraId="01A0FA16" w14:textId="77777777" w:rsidR="000D44CB" w:rsidRPr="00D4030C" w:rsidRDefault="000D44CB" w:rsidP="00443CF9">
            <w:pPr>
              <w:spacing w:after="0" w:line="240" w:lineRule="auto"/>
              <w:jc w:val="center"/>
              <w:rPr>
                <w:rFonts w:eastAsia="Times New Roman"/>
                <w:bCs/>
                <w:sz w:val="18"/>
                <w:szCs w:val="18"/>
              </w:rPr>
            </w:pPr>
          </w:p>
        </w:tc>
      </w:tr>
    </w:tbl>
    <w:p w14:paraId="74714944" w14:textId="77777777" w:rsidR="000D44CB" w:rsidRPr="00D4030C" w:rsidRDefault="000D44CB" w:rsidP="000D44CB">
      <w:pPr>
        <w:spacing w:after="0" w:line="240" w:lineRule="auto"/>
        <w:rPr>
          <w:rFonts w:eastAsia="Times New Roman"/>
          <w:szCs w:val="20"/>
        </w:rPr>
      </w:pPr>
    </w:p>
    <w:p w14:paraId="3914AC47" w14:textId="77777777" w:rsidR="000D44CB" w:rsidRDefault="000D44CB" w:rsidP="000D44CB"/>
    <w:p w14:paraId="6921F7AF" w14:textId="77777777" w:rsidR="000D44CB" w:rsidRDefault="000D44CB" w:rsidP="000D44CB"/>
    <w:p w14:paraId="5727D0E3" w14:textId="77777777" w:rsidR="000D44CB" w:rsidRDefault="000D44CB" w:rsidP="000D44CB"/>
    <w:p w14:paraId="2D8565EA" w14:textId="77777777" w:rsidR="000D44CB" w:rsidRDefault="000D44CB" w:rsidP="000D44CB"/>
    <w:p w14:paraId="71A3867D" w14:textId="77777777" w:rsidR="000D44CB" w:rsidRDefault="000D44CB" w:rsidP="000D44CB"/>
    <w:p w14:paraId="296B6A5D" w14:textId="77777777" w:rsidR="000D44CB" w:rsidRDefault="000D44CB" w:rsidP="000D44CB"/>
    <w:p w14:paraId="18DC3C7E" w14:textId="77777777" w:rsidR="000D44CB" w:rsidRDefault="000D44CB" w:rsidP="000D44CB"/>
    <w:p w14:paraId="540964EB" w14:textId="77777777" w:rsidR="000D44CB" w:rsidRDefault="000D44CB" w:rsidP="000D44CB"/>
    <w:p w14:paraId="07717F97" w14:textId="77777777" w:rsidR="000D44CB" w:rsidRDefault="000D44CB" w:rsidP="000D44CB"/>
    <w:p w14:paraId="28386CC5" w14:textId="77777777" w:rsidR="000D44CB" w:rsidRDefault="000D44CB" w:rsidP="000D44CB"/>
    <w:p w14:paraId="17B17BCA" w14:textId="77777777" w:rsidR="000D44CB" w:rsidRDefault="000D44CB" w:rsidP="000D44CB"/>
    <w:p w14:paraId="0EE6AD08" w14:textId="77777777" w:rsidR="000D44CB" w:rsidRDefault="000D44CB" w:rsidP="000D44CB"/>
    <w:p w14:paraId="4288CBAC" w14:textId="77777777" w:rsidR="000D44CB" w:rsidRDefault="000D44CB" w:rsidP="000D44CB"/>
    <w:p w14:paraId="14FA4F11" w14:textId="77777777" w:rsidR="000D44CB" w:rsidRDefault="000D44CB" w:rsidP="000D44CB"/>
    <w:p w14:paraId="61B800E3" w14:textId="77777777" w:rsidR="000D44CB" w:rsidRDefault="000D44CB" w:rsidP="000D44CB"/>
    <w:p w14:paraId="6B06E9C4" w14:textId="77777777" w:rsidR="000D44CB" w:rsidRDefault="000D44CB" w:rsidP="000D44CB"/>
    <w:p w14:paraId="0342F43A" w14:textId="77777777" w:rsidR="000D44CB" w:rsidRDefault="000D44CB" w:rsidP="000D44CB"/>
    <w:p w14:paraId="3A9FF777" w14:textId="77777777" w:rsidR="000D44CB" w:rsidRDefault="000D44CB" w:rsidP="000D44CB"/>
    <w:p w14:paraId="25E55206" w14:textId="77777777" w:rsidR="000D44CB" w:rsidRDefault="000D44CB" w:rsidP="000D44CB"/>
    <w:p w14:paraId="698866BA" w14:textId="77777777" w:rsidR="000D44CB" w:rsidRDefault="000D44CB" w:rsidP="000D44CB"/>
    <w:p w14:paraId="30D9D067" w14:textId="77777777" w:rsidR="00D85A09" w:rsidRDefault="00D85A09" w:rsidP="000D44CB">
      <w:pPr>
        <w:rPr>
          <w:sz w:val="28"/>
          <w:szCs w:val="28"/>
        </w:rPr>
      </w:pPr>
    </w:p>
    <w:p w14:paraId="2A3103ED" w14:textId="77777777" w:rsidR="00673D09" w:rsidRDefault="00673D09" w:rsidP="005D26ED">
      <w:pPr>
        <w:rPr>
          <w:sz w:val="72"/>
          <w:szCs w:val="72"/>
          <w:u w:val="single"/>
        </w:rPr>
      </w:pPr>
    </w:p>
    <w:p w14:paraId="5D4E7D33" w14:textId="2947A7CA" w:rsidR="00D85A09" w:rsidRPr="00E22EAC" w:rsidRDefault="00443CF9" w:rsidP="00A933A1">
      <w:pPr>
        <w:jc w:val="center"/>
        <w:rPr>
          <w:sz w:val="72"/>
          <w:szCs w:val="72"/>
          <w:u w:val="single"/>
        </w:rPr>
      </w:pPr>
      <w:r w:rsidRPr="00E22EAC">
        <w:rPr>
          <w:sz w:val="72"/>
          <w:szCs w:val="72"/>
          <w:u w:val="single"/>
        </w:rPr>
        <w:t xml:space="preserve">Health Inequalities relating to Cardiovascular Disease in </w:t>
      </w:r>
      <w:r w:rsidR="008A30D0">
        <w:rPr>
          <w:sz w:val="72"/>
          <w:szCs w:val="72"/>
          <w:u w:val="single"/>
        </w:rPr>
        <w:t>Merthyr Tydfil</w:t>
      </w:r>
    </w:p>
    <w:p w14:paraId="2725E3FF" w14:textId="77777777" w:rsidR="00E22EAC" w:rsidRDefault="00E22EAC" w:rsidP="00A933A1">
      <w:pPr>
        <w:jc w:val="center"/>
        <w:rPr>
          <w:sz w:val="72"/>
          <w:szCs w:val="72"/>
        </w:rPr>
      </w:pPr>
    </w:p>
    <w:p w14:paraId="73A878A3" w14:textId="77777777" w:rsidR="00F3263C" w:rsidRDefault="00F3263C" w:rsidP="00A933A1">
      <w:pPr>
        <w:jc w:val="center"/>
        <w:rPr>
          <w:sz w:val="72"/>
          <w:szCs w:val="72"/>
        </w:rPr>
      </w:pPr>
    </w:p>
    <w:p w14:paraId="35705D7C" w14:textId="77777777" w:rsidR="00673D09" w:rsidRDefault="00673D09" w:rsidP="00F3263C">
      <w:pPr>
        <w:rPr>
          <w:sz w:val="72"/>
          <w:szCs w:val="72"/>
        </w:rPr>
      </w:pPr>
    </w:p>
    <w:p w14:paraId="41949CD5" w14:textId="77777777" w:rsidR="005D26ED" w:rsidRDefault="005D26ED" w:rsidP="00F3263C">
      <w:pPr>
        <w:rPr>
          <w:sz w:val="72"/>
          <w:szCs w:val="72"/>
        </w:rPr>
      </w:pPr>
    </w:p>
    <w:p w14:paraId="36F30B38" w14:textId="77777777" w:rsidR="005D26ED" w:rsidRDefault="005D26ED" w:rsidP="00F3263C"/>
    <w:p w14:paraId="7BF11C0A" w14:textId="77777777" w:rsidR="006B4812" w:rsidRDefault="00F3263C" w:rsidP="00F3263C">
      <w:r>
        <w:t xml:space="preserve"> </w:t>
      </w:r>
    </w:p>
    <w:p w14:paraId="0B744339" w14:textId="69C79D5B" w:rsidR="006B4812" w:rsidRPr="006B4812" w:rsidRDefault="006B4812" w:rsidP="00F3263C">
      <w:pPr>
        <w:rPr>
          <w:sz w:val="28"/>
          <w:szCs w:val="28"/>
          <w:u w:val="single"/>
        </w:rPr>
      </w:pPr>
      <w:r w:rsidRPr="006B4812">
        <w:rPr>
          <w:sz w:val="28"/>
          <w:szCs w:val="28"/>
          <w:u w:val="single"/>
        </w:rPr>
        <w:t xml:space="preserve">Introduction </w:t>
      </w:r>
    </w:p>
    <w:p w14:paraId="314A5311" w14:textId="4B50C72D" w:rsidR="007157BF" w:rsidRDefault="006B4812" w:rsidP="00F3263C">
      <w:r>
        <w:t xml:space="preserve"> </w:t>
      </w:r>
      <w:r w:rsidR="00F3263C">
        <w:t xml:space="preserve"> Cardiovascular Disease (CVD) </w:t>
      </w:r>
      <w:r w:rsidR="00381B0C">
        <w:t xml:space="preserve">is the leading cause of death and major cause of disability </w:t>
      </w:r>
      <w:r w:rsidR="004047E5">
        <w:t xml:space="preserve">rates </w:t>
      </w:r>
      <w:r w:rsidR="00381B0C">
        <w:t xml:space="preserve">in </w:t>
      </w:r>
      <w:r w:rsidR="00AD17B2">
        <w:t>Wales</w:t>
      </w:r>
      <w:r w:rsidR="007B6922">
        <w:t xml:space="preserve"> (British Heart Foundation, 20</w:t>
      </w:r>
      <w:r w:rsidR="00D60D1B">
        <w:t>18</w:t>
      </w:r>
      <w:r w:rsidR="007B6922">
        <w:t>)</w:t>
      </w:r>
      <w:r w:rsidR="007C2AD6">
        <w:t>.</w:t>
      </w:r>
      <w:r w:rsidR="0096001E">
        <w:t xml:space="preserve"> It causes 26 per cent of </w:t>
      </w:r>
      <w:r w:rsidR="005B2573">
        <w:t>mortality</w:t>
      </w:r>
      <w:r w:rsidR="0096001E">
        <w:t xml:space="preserve"> in wales, which is over 8,600 deaths per year</w:t>
      </w:r>
      <w:r w:rsidR="005B2573">
        <w:t>,</w:t>
      </w:r>
      <w:r w:rsidR="000475A5">
        <w:t xml:space="preserve"> 2,500 </w:t>
      </w:r>
      <w:r w:rsidR="00085B1D">
        <w:t>of these deaths</w:t>
      </w:r>
      <w:r w:rsidR="000475A5">
        <w:t xml:space="preserve"> </w:t>
      </w:r>
      <w:r w:rsidR="005B2573">
        <w:t xml:space="preserve">being </w:t>
      </w:r>
      <w:r w:rsidR="000475A5">
        <w:t xml:space="preserve">under the age of 75 (British Heart Foundation </w:t>
      </w:r>
      <w:proofErr w:type="spellStart"/>
      <w:r w:rsidR="000475A5">
        <w:t>Cymru</w:t>
      </w:r>
      <w:proofErr w:type="spellEnd"/>
      <w:r w:rsidR="000475A5">
        <w:t>, 2018)</w:t>
      </w:r>
      <w:r w:rsidR="0096001E">
        <w:t xml:space="preserve">. </w:t>
      </w:r>
      <w:r w:rsidR="000C2D00">
        <w:t xml:space="preserve">CVD is a term used to describe </w:t>
      </w:r>
      <w:r w:rsidR="00CC4CDA">
        <w:t>all diseases of the heart and circulation, such as: coronary heart disease; atrial fibrillation; heart failure; and stroke</w:t>
      </w:r>
      <w:r w:rsidR="00342B5A">
        <w:t xml:space="preserve"> (British Heart Foundation </w:t>
      </w:r>
      <w:proofErr w:type="spellStart"/>
      <w:r w:rsidR="00342B5A">
        <w:t>Cymru</w:t>
      </w:r>
      <w:proofErr w:type="spellEnd"/>
      <w:r w:rsidR="00342B5A">
        <w:t>, 2018)</w:t>
      </w:r>
      <w:r w:rsidR="00CC4CDA">
        <w:t xml:space="preserve">. </w:t>
      </w:r>
      <w:r w:rsidR="00BC6746">
        <w:t>There are several lifestyle</w:t>
      </w:r>
      <w:r w:rsidR="00007059">
        <w:t xml:space="preserve"> and medical</w:t>
      </w:r>
      <w:r w:rsidR="00BC6746">
        <w:t xml:space="preserve"> factors that contribut</w:t>
      </w:r>
      <w:r w:rsidR="001557C7">
        <w:t>e towards developing</w:t>
      </w:r>
      <w:r w:rsidR="00BC6746">
        <w:t xml:space="preserve"> CVD (British Heart Foundation </w:t>
      </w:r>
      <w:proofErr w:type="spellStart"/>
      <w:r w:rsidR="00BC6746">
        <w:t>Cymru</w:t>
      </w:r>
      <w:proofErr w:type="spellEnd"/>
      <w:r w:rsidR="00BC6746">
        <w:t>, 2018).</w:t>
      </w:r>
      <w:r w:rsidR="002F40E9">
        <w:t xml:space="preserve"> </w:t>
      </w:r>
      <w:r w:rsidR="0061392C">
        <w:t xml:space="preserve">Diabetes </w:t>
      </w:r>
      <w:r w:rsidR="00830652">
        <w:t>is a medical factor that contributes towards CVD. Those with diabetes can</w:t>
      </w:r>
      <w:r w:rsidR="0061392C">
        <w:t xml:space="preserve"> double the risk </w:t>
      </w:r>
      <w:r w:rsidR="00830652">
        <w:t xml:space="preserve">of developing CVD and are almost twice as likely to die from heart disease or stroke as those without (British Heart Foundation </w:t>
      </w:r>
      <w:proofErr w:type="spellStart"/>
      <w:r w:rsidR="00830652">
        <w:t>Cymru</w:t>
      </w:r>
      <w:proofErr w:type="spellEnd"/>
      <w:r w:rsidR="00830652">
        <w:t xml:space="preserve">, 2018). </w:t>
      </w:r>
      <w:r w:rsidR="003601FD">
        <w:t xml:space="preserve">Another medical factor that contributes to CVD is hypertension, affecting one in five adults in Wales. Those living with hypertension </w:t>
      </w:r>
      <w:r w:rsidR="00273284">
        <w:t xml:space="preserve">are up to three times more likely to develop heart disease or suffer a stroke (British Heart Foundation </w:t>
      </w:r>
      <w:proofErr w:type="spellStart"/>
      <w:r w:rsidR="00273284">
        <w:t>Cymru</w:t>
      </w:r>
      <w:proofErr w:type="spellEnd"/>
      <w:r w:rsidR="00273284">
        <w:t xml:space="preserve">, 2018). </w:t>
      </w:r>
      <w:r w:rsidR="00DF39BD">
        <w:t>One of</w:t>
      </w:r>
      <w:r w:rsidR="00085B1D">
        <w:t xml:space="preserve"> the biggest </w:t>
      </w:r>
      <w:r w:rsidR="00007059">
        <w:t xml:space="preserve">lifestyle </w:t>
      </w:r>
      <w:r w:rsidR="00085B1D">
        <w:t>factor</w:t>
      </w:r>
      <w:r w:rsidR="00DF39BD">
        <w:t>s of CVD is smoking. In Wales, around 5,500 smokers die from smoking-related causes</w:t>
      </w:r>
      <w:r w:rsidR="00007059">
        <w:t xml:space="preserve"> per year, with 1,100 deaths caused by</w:t>
      </w:r>
      <w:r w:rsidR="00DF39BD">
        <w:t xml:space="preserve"> cardiovascular disease</w:t>
      </w:r>
      <w:r w:rsidR="00B44FFC">
        <w:t xml:space="preserve"> (British Heart Foundation </w:t>
      </w:r>
      <w:proofErr w:type="spellStart"/>
      <w:r w:rsidR="00B44FFC">
        <w:t>Cymru</w:t>
      </w:r>
      <w:proofErr w:type="spellEnd"/>
      <w:r w:rsidR="00B44FFC">
        <w:t>, 2018)</w:t>
      </w:r>
      <w:r w:rsidR="00DF39BD">
        <w:t xml:space="preserve">. </w:t>
      </w:r>
      <w:r w:rsidR="002E5074">
        <w:t>Secondly, poor diet and</w:t>
      </w:r>
      <w:r w:rsidR="00007059">
        <w:t xml:space="preserve"> physical inactivity is also a lifestyle </w:t>
      </w:r>
      <w:r w:rsidR="002E5074">
        <w:t>factor to</w:t>
      </w:r>
      <w:r w:rsidR="00085B1D">
        <w:t>wards</w:t>
      </w:r>
      <w:r w:rsidR="002E5074">
        <w:t xml:space="preserve"> CVD. </w:t>
      </w:r>
      <w:r w:rsidR="00007059">
        <w:t>Around 46 per cent</w:t>
      </w:r>
      <w:r w:rsidR="008F1DE3">
        <w:t xml:space="preserve"> of adults in Wales do not reach the recommended physical activity requirements, and less than quarter of the population do not consume the recommended five portions of fruit and vegetables per day. As a result, i</w:t>
      </w:r>
      <w:r w:rsidR="00007059">
        <w:t>t is estimated that 23 per cent of the population in Wales are</w:t>
      </w:r>
      <w:r w:rsidR="002E5074">
        <w:t xml:space="preserve"> obese</w:t>
      </w:r>
      <w:r w:rsidR="00007059">
        <w:t>,</w:t>
      </w:r>
      <w:r w:rsidR="002E5074">
        <w:t xml:space="preserve"> and more than one third are overweight</w:t>
      </w:r>
      <w:r w:rsidR="00085B1D">
        <w:t xml:space="preserve">. </w:t>
      </w:r>
      <w:r w:rsidR="00FF5AEF">
        <w:t>Other risk factors include: age; gender; family history; and ethnicity</w:t>
      </w:r>
      <w:r w:rsidR="00CF57A8">
        <w:t xml:space="preserve"> (Public Health Wales Observatory, 2012;</w:t>
      </w:r>
      <w:r w:rsidR="00CF57A8" w:rsidRPr="00CF57A8">
        <w:t xml:space="preserve"> </w:t>
      </w:r>
      <w:r w:rsidR="00CF57A8">
        <w:t xml:space="preserve">British Heart Foundation </w:t>
      </w:r>
      <w:proofErr w:type="spellStart"/>
      <w:r w:rsidR="00CF57A8">
        <w:t>Cymru</w:t>
      </w:r>
      <w:proofErr w:type="spellEnd"/>
      <w:r w:rsidR="00CF57A8">
        <w:t>, 2018)</w:t>
      </w:r>
      <w:r w:rsidR="00FF5AEF">
        <w:t>.</w:t>
      </w:r>
    </w:p>
    <w:p w14:paraId="49E375A7" w14:textId="770AD3BF" w:rsidR="00007059" w:rsidRDefault="009933EC" w:rsidP="00830652">
      <w:r>
        <w:t xml:space="preserve">  </w:t>
      </w:r>
      <w:r w:rsidR="009C7648">
        <w:t>Gender and age</w:t>
      </w:r>
      <w:r w:rsidR="00007059">
        <w:t xml:space="preserve"> are</w:t>
      </w:r>
      <w:r>
        <w:t xml:space="preserve"> strongly related to CVD. Table 1. below shows the percentage of patients with coronary heart disease (CHD) on the GP registers in Wales</w:t>
      </w:r>
      <w:r w:rsidR="00CF57A8">
        <w:t xml:space="preserve"> (Publi</w:t>
      </w:r>
      <w:r w:rsidR="00783EAF">
        <w:t>c Health Wales Observatory, 2017</w:t>
      </w:r>
      <w:r w:rsidR="00CF57A8">
        <w:t>).</w:t>
      </w:r>
      <w:r w:rsidR="00511C2A">
        <w:t xml:space="preserve"> It is suggested that males are at higher risk of developing CVD, due to differences in psychosocial and behavioural coronary risk factors compared to females. These factors include: excessive a</w:t>
      </w:r>
      <w:r w:rsidR="002964ED">
        <w:t xml:space="preserve">lcohol consumption, smoking, </w:t>
      </w:r>
      <w:r w:rsidR="00FC10E1">
        <w:t xml:space="preserve">stress, </w:t>
      </w:r>
      <w:r w:rsidR="002964ED">
        <w:t>social isolation and exhaustion (Weidner, 2000). Table 1. demonstrates that a higher percentage of</w:t>
      </w:r>
      <w:r w:rsidR="00E56635">
        <w:t xml:space="preserve"> males develop </w:t>
      </w:r>
      <w:r w:rsidR="00C55C68">
        <w:t>CHD in all ages.</w:t>
      </w:r>
    </w:p>
    <w:p w14:paraId="313F30E9" w14:textId="77777777" w:rsidR="002964ED" w:rsidRDefault="002964ED" w:rsidP="00830652"/>
    <w:p w14:paraId="60443262" w14:textId="77777777" w:rsidR="002964ED" w:rsidRPr="00633BC0" w:rsidRDefault="002964ED" w:rsidP="00830652"/>
    <w:p w14:paraId="7649954D" w14:textId="30A3254A" w:rsidR="00453FB3" w:rsidRDefault="00830652" w:rsidP="00830652">
      <w:pPr>
        <w:rPr>
          <w:u w:val="single"/>
        </w:rPr>
      </w:pPr>
      <w:r>
        <w:rPr>
          <w:u w:val="single"/>
        </w:rPr>
        <w:t>T</w:t>
      </w:r>
      <w:r w:rsidR="00673D09" w:rsidRPr="00673D09">
        <w:rPr>
          <w:u w:val="single"/>
        </w:rPr>
        <w:t xml:space="preserve">able 1. </w:t>
      </w:r>
      <w:r w:rsidR="00633BC0">
        <w:rPr>
          <w:u w:val="single"/>
        </w:rPr>
        <w:t>– Percentages of patients with CHD in Wales</w:t>
      </w:r>
    </w:p>
    <w:p w14:paraId="76A11AB2" w14:textId="0E26BA36" w:rsidR="00830652" w:rsidRDefault="00D93A9E" w:rsidP="00830652">
      <w:pPr>
        <w:rPr>
          <w:u w:val="single"/>
        </w:rPr>
      </w:pPr>
      <w:r>
        <w:rPr>
          <w:noProof/>
          <w:u w:val="single"/>
        </w:rPr>
        <w:drawing>
          <wp:anchor distT="0" distB="0" distL="114300" distR="114300" simplePos="0" relativeHeight="251659264" behindDoc="0" locked="0" layoutInCell="1" allowOverlap="1" wp14:anchorId="1AB3837D" wp14:editId="03AFB065">
            <wp:simplePos x="0" y="0"/>
            <wp:positionH relativeFrom="margin">
              <wp:posOffset>735330</wp:posOffset>
            </wp:positionH>
            <wp:positionV relativeFrom="margin">
              <wp:posOffset>568325</wp:posOffset>
            </wp:positionV>
            <wp:extent cx="4090035" cy="2860040"/>
            <wp:effectExtent l="0" t="0" r="0" b="1016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12-28 at 16.08.47.png"/>
                    <pic:cNvPicPr/>
                  </pic:nvPicPr>
                  <pic:blipFill>
                    <a:blip r:embed="rId8">
                      <a:extLst>
                        <a:ext uri="{28A0092B-C50C-407E-A947-70E740481C1C}">
                          <a14:useLocalDpi xmlns:a14="http://schemas.microsoft.com/office/drawing/2010/main" val="0"/>
                        </a:ext>
                      </a:extLst>
                    </a:blip>
                    <a:stretch>
                      <a:fillRect/>
                    </a:stretch>
                  </pic:blipFill>
                  <pic:spPr>
                    <a:xfrm>
                      <a:off x="0" y="0"/>
                      <a:ext cx="4090035" cy="2860040"/>
                    </a:xfrm>
                    <a:prstGeom prst="rect">
                      <a:avLst/>
                    </a:prstGeom>
                  </pic:spPr>
                </pic:pic>
              </a:graphicData>
            </a:graphic>
            <wp14:sizeRelH relativeFrom="margin">
              <wp14:pctWidth>0</wp14:pctWidth>
            </wp14:sizeRelH>
            <wp14:sizeRelV relativeFrom="margin">
              <wp14:pctHeight>0</wp14:pctHeight>
            </wp14:sizeRelV>
          </wp:anchor>
        </w:drawing>
      </w:r>
    </w:p>
    <w:p w14:paraId="1256EDA3" w14:textId="1B5476C9" w:rsidR="00830652" w:rsidRDefault="00723568" w:rsidP="00F3263C">
      <w:r>
        <w:t xml:space="preserve"> </w:t>
      </w:r>
    </w:p>
    <w:p w14:paraId="5F105ED1" w14:textId="4001DDE4" w:rsidR="00830652" w:rsidRDefault="00830652" w:rsidP="00F3263C"/>
    <w:p w14:paraId="121270F0" w14:textId="5EF01B31" w:rsidR="00830652" w:rsidRDefault="00830652" w:rsidP="00F3263C"/>
    <w:p w14:paraId="68836813" w14:textId="507B2B21" w:rsidR="00830652" w:rsidRDefault="00830652" w:rsidP="00F3263C"/>
    <w:p w14:paraId="64E69EB1" w14:textId="09CA9B43" w:rsidR="00633BC0" w:rsidRDefault="00633BC0" w:rsidP="00792EE7"/>
    <w:p w14:paraId="61C01013" w14:textId="77777777" w:rsidR="002964ED" w:rsidRDefault="002964ED" w:rsidP="00792EE7"/>
    <w:p w14:paraId="20359D45" w14:textId="77777777" w:rsidR="002964ED" w:rsidRDefault="002964ED" w:rsidP="00792EE7"/>
    <w:p w14:paraId="16CFF829" w14:textId="77777777" w:rsidR="00D913DE" w:rsidRDefault="00D913DE" w:rsidP="00792EE7"/>
    <w:p w14:paraId="7E95BC8A" w14:textId="77777777" w:rsidR="00170B79" w:rsidRDefault="00170B79" w:rsidP="00792EE7"/>
    <w:p w14:paraId="60510FCA" w14:textId="4B2D0F8D" w:rsidR="00B743EA" w:rsidRDefault="00A9558A" w:rsidP="00792EE7">
      <w:r>
        <w:t xml:space="preserve">(Public Health Wales Observatory, 2012).  </w:t>
      </w:r>
    </w:p>
    <w:p w14:paraId="1ABA77E1" w14:textId="77777777" w:rsidR="00170B79" w:rsidRDefault="00170B79" w:rsidP="00792EE7"/>
    <w:p w14:paraId="283BE92D" w14:textId="2025A57B" w:rsidR="00112C19" w:rsidRDefault="00723568" w:rsidP="00792EE7">
      <w:r>
        <w:t xml:space="preserve"> </w:t>
      </w:r>
      <w:r w:rsidR="002964ED">
        <w:t xml:space="preserve">  </w:t>
      </w:r>
      <w:r>
        <w:t>As shown in table 1., the percentage</w:t>
      </w:r>
      <w:r w:rsidR="00D22994">
        <w:t xml:space="preserve"> of those with CHD</w:t>
      </w:r>
      <w:r>
        <w:t xml:space="preserve"> significantly increases with age in both genders. Those aged 85 and over are</w:t>
      </w:r>
      <w:r w:rsidR="005147CD">
        <w:t xml:space="preserve"> at highest risk with around 29 per cent in males and 20 per cent</w:t>
      </w:r>
      <w:r>
        <w:t xml:space="preserve"> in females.</w:t>
      </w:r>
      <w:r w:rsidR="00375F92">
        <w:t xml:space="preserve"> However, </w:t>
      </w:r>
      <w:r w:rsidR="005147CD">
        <w:t>2,495 adults</w:t>
      </w:r>
      <w:r w:rsidR="00453FB3">
        <w:t xml:space="preserve"> under the age of 75 died in 2016/17 from CVD </w:t>
      </w:r>
      <w:r w:rsidR="00375F92">
        <w:t>(British H</w:t>
      </w:r>
      <w:r w:rsidR="00792EE7">
        <w:t xml:space="preserve">eart Foundation </w:t>
      </w:r>
      <w:proofErr w:type="spellStart"/>
      <w:r w:rsidR="00792EE7">
        <w:t>Cymru</w:t>
      </w:r>
      <w:proofErr w:type="spellEnd"/>
      <w:r w:rsidR="00792EE7">
        <w:t>, 2018</w:t>
      </w:r>
      <w:r w:rsidR="00112C19">
        <w:t xml:space="preserve">). </w:t>
      </w:r>
    </w:p>
    <w:p w14:paraId="7E62CF6D" w14:textId="0FFDCB08" w:rsidR="00633BC0" w:rsidRDefault="00792EE7" w:rsidP="00792EE7">
      <w:r>
        <w:t xml:space="preserve"> </w:t>
      </w:r>
      <w:r w:rsidR="006762FB">
        <w:t>The outcome</w:t>
      </w:r>
      <w:r w:rsidR="0057098D">
        <w:t xml:space="preserve"> of CVD is a good indicator of</w:t>
      </w:r>
      <w:r w:rsidR="00DD66E6">
        <w:t xml:space="preserve"> social inequalities in health as most of the medical and lifestyle risk factors are socially patterned</w:t>
      </w:r>
      <w:r w:rsidR="006762FB">
        <w:t xml:space="preserve"> (Scarborough, </w:t>
      </w:r>
      <w:r w:rsidR="006762FB">
        <w:rPr>
          <w:i/>
        </w:rPr>
        <w:t xml:space="preserve">et al., </w:t>
      </w:r>
      <w:r w:rsidR="006762FB">
        <w:t>2010)</w:t>
      </w:r>
      <w:r w:rsidR="00DD66E6">
        <w:t xml:space="preserve">. </w:t>
      </w:r>
      <w:r w:rsidR="00D363F5">
        <w:t xml:space="preserve">There have been global social inequalities for several years, with higher mortality rates in more deprived areas than the less deprived (Black, </w:t>
      </w:r>
      <w:r w:rsidR="00D363F5">
        <w:rPr>
          <w:i/>
        </w:rPr>
        <w:t xml:space="preserve">et al., </w:t>
      </w:r>
      <w:r w:rsidR="00D363F5">
        <w:t xml:space="preserve">1980). </w:t>
      </w:r>
      <w:r w:rsidR="00031E0B">
        <w:t>Public</w:t>
      </w:r>
      <w:r w:rsidR="00783EAF">
        <w:t xml:space="preserve"> Health Wales Observatory, (2017</w:t>
      </w:r>
      <w:r w:rsidR="00031E0B">
        <w:t xml:space="preserve">) </w:t>
      </w:r>
      <w:r w:rsidR="00964F77">
        <w:t xml:space="preserve">stated that </w:t>
      </w:r>
      <w:r w:rsidR="00204840">
        <w:t>CVD</w:t>
      </w:r>
      <w:r w:rsidR="003D6CFA">
        <w:t xml:space="preserve"> is associated with deprivation, with increasing rates</w:t>
      </w:r>
      <w:r w:rsidR="004D6A78">
        <w:t xml:space="preserve"> of mortality in </w:t>
      </w:r>
      <w:r w:rsidR="00F14FC0">
        <w:t>premature deaths (under 75)</w:t>
      </w:r>
      <w:r w:rsidR="003D6CFA">
        <w:t xml:space="preserve"> </w:t>
      </w:r>
      <w:r w:rsidR="004D6A78">
        <w:t xml:space="preserve">in the most deprived areas. </w:t>
      </w:r>
      <w:r>
        <w:t xml:space="preserve">For example, as shown in diagram 1., people living in the poorest areas of Wales are more likely to die of </w:t>
      </w:r>
      <w:r w:rsidR="00A550ED">
        <w:t xml:space="preserve">premature </w:t>
      </w:r>
      <w:r>
        <w:t xml:space="preserve">CVD, than those living in the richest (British Heart Foundation </w:t>
      </w:r>
      <w:proofErr w:type="spellStart"/>
      <w:r>
        <w:t>Cymru</w:t>
      </w:r>
      <w:proofErr w:type="spellEnd"/>
      <w:r>
        <w:t xml:space="preserve">, 2018). These areas include: Blaenau Gwent; Merthyr Tydfil; Caerphilly; Rhondda Cynon </w:t>
      </w:r>
      <w:proofErr w:type="spellStart"/>
      <w:r>
        <w:t>Taf</w:t>
      </w:r>
      <w:proofErr w:type="spellEnd"/>
      <w:r>
        <w:t xml:space="preserve">; Neath Port Talbot; Denbighshire; and Swansea (British Heart Foundation </w:t>
      </w:r>
      <w:proofErr w:type="spellStart"/>
      <w:r>
        <w:t>Cymru</w:t>
      </w:r>
      <w:proofErr w:type="spellEnd"/>
      <w:r>
        <w:t xml:space="preserve">, 2018). </w:t>
      </w:r>
    </w:p>
    <w:p w14:paraId="721CDE96" w14:textId="77777777" w:rsidR="00B743EA" w:rsidRDefault="00B743EA" w:rsidP="00792EE7">
      <w:pPr>
        <w:rPr>
          <w:u w:val="single"/>
        </w:rPr>
      </w:pPr>
    </w:p>
    <w:p w14:paraId="58941621" w14:textId="77777777" w:rsidR="00B743EA" w:rsidRDefault="00B743EA" w:rsidP="00792EE7">
      <w:pPr>
        <w:rPr>
          <w:u w:val="single"/>
        </w:rPr>
      </w:pPr>
    </w:p>
    <w:p w14:paraId="4421D0B9" w14:textId="77777777" w:rsidR="00B743EA" w:rsidRDefault="00B743EA" w:rsidP="00792EE7">
      <w:pPr>
        <w:rPr>
          <w:u w:val="single"/>
        </w:rPr>
      </w:pPr>
    </w:p>
    <w:p w14:paraId="6C63A192" w14:textId="0B947FCD" w:rsidR="00633BC0" w:rsidRPr="00633BC0" w:rsidRDefault="00633BC0" w:rsidP="00792EE7">
      <w:pPr>
        <w:rPr>
          <w:u w:val="single"/>
        </w:rPr>
      </w:pPr>
      <w:r w:rsidRPr="00633BC0">
        <w:rPr>
          <w:u w:val="single"/>
        </w:rPr>
        <w:t>Diagram 1. – Premature CVD death rates in each county in Wales</w:t>
      </w:r>
    </w:p>
    <w:p w14:paraId="453A509B" w14:textId="095DE3E0" w:rsidR="00633BC0" w:rsidRDefault="00633BC0" w:rsidP="00792EE7">
      <w:r>
        <w:rPr>
          <w:noProof/>
        </w:rPr>
        <w:drawing>
          <wp:anchor distT="0" distB="0" distL="114300" distR="114300" simplePos="0" relativeHeight="251658240" behindDoc="0" locked="0" layoutInCell="1" allowOverlap="1" wp14:anchorId="354BFDB7" wp14:editId="32B73029">
            <wp:simplePos x="0" y="0"/>
            <wp:positionH relativeFrom="column">
              <wp:posOffset>850900</wp:posOffset>
            </wp:positionH>
            <wp:positionV relativeFrom="paragraph">
              <wp:posOffset>120650</wp:posOffset>
            </wp:positionV>
            <wp:extent cx="3888740" cy="293243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12-28 at 12.54.48.png"/>
                    <pic:cNvPicPr/>
                  </pic:nvPicPr>
                  <pic:blipFill>
                    <a:blip r:embed="rId9">
                      <a:extLst>
                        <a:ext uri="{28A0092B-C50C-407E-A947-70E740481C1C}">
                          <a14:useLocalDpi xmlns:a14="http://schemas.microsoft.com/office/drawing/2010/main" val="0"/>
                        </a:ext>
                      </a:extLst>
                    </a:blip>
                    <a:stretch>
                      <a:fillRect/>
                    </a:stretch>
                  </pic:blipFill>
                  <pic:spPr>
                    <a:xfrm>
                      <a:off x="0" y="0"/>
                      <a:ext cx="3888740" cy="2932430"/>
                    </a:xfrm>
                    <a:prstGeom prst="rect">
                      <a:avLst/>
                    </a:prstGeom>
                  </pic:spPr>
                </pic:pic>
              </a:graphicData>
            </a:graphic>
            <wp14:sizeRelH relativeFrom="margin">
              <wp14:pctWidth>0</wp14:pctWidth>
            </wp14:sizeRelH>
            <wp14:sizeRelV relativeFrom="margin">
              <wp14:pctHeight>0</wp14:pctHeight>
            </wp14:sizeRelV>
          </wp:anchor>
        </w:drawing>
      </w:r>
    </w:p>
    <w:p w14:paraId="49E7983B" w14:textId="7EB88F49" w:rsidR="00792EE7" w:rsidRDefault="00792EE7" w:rsidP="00F3263C"/>
    <w:p w14:paraId="15DF6200" w14:textId="7090F48F" w:rsidR="00792EE7" w:rsidRDefault="00792EE7" w:rsidP="00F3263C"/>
    <w:p w14:paraId="35BF4B87" w14:textId="423BC89F" w:rsidR="00792EE7" w:rsidRDefault="00792EE7" w:rsidP="00F3263C"/>
    <w:p w14:paraId="06C1565C" w14:textId="72C58960" w:rsidR="00792EE7" w:rsidRDefault="00792EE7" w:rsidP="00F3263C"/>
    <w:p w14:paraId="35F718B1" w14:textId="77777777" w:rsidR="00633BC0" w:rsidRDefault="00633BC0" w:rsidP="007157BF"/>
    <w:p w14:paraId="637B143E" w14:textId="77777777" w:rsidR="00633BC0" w:rsidRDefault="00633BC0" w:rsidP="007157BF"/>
    <w:p w14:paraId="03C4757B" w14:textId="77777777" w:rsidR="00633BC0" w:rsidRDefault="00633BC0" w:rsidP="007157BF"/>
    <w:p w14:paraId="22DB92D4" w14:textId="77777777" w:rsidR="00633BC0" w:rsidRDefault="00633BC0" w:rsidP="007157BF"/>
    <w:p w14:paraId="42537583" w14:textId="77777777" w:rsidR="00D913DE" w:rsidRDefault="00D913DE" w:rsidP="007157BF"/>
    <w:p w14:paraId="2059FA90" w14:textId="45A76827" w:rsidR="00A9558A" w:rsidRDefault="00A9558A" w:rsidP="007157BF">
      <w:r>
        <w:t xml:space="preserve">(British Heart Foundation </w:t>
      </w:r>
      <w:proofErr w:type="spellStart"/>
      <w:r>
        <w:t>Cymru</w:t>
      </w:r>
      <w:proofErr w:type="spellEnd"/>
      <w:r>
        <w:t>, 2018).</w:t>
      </w:r>
    </w:p>
    <w:p w14:paraId="4E0FA089" w14:textId="0DFE25D5" w:rsidR="00295784" w:rsidRDefault="00F52013" w:rsidP="00295784">
      <w:r>
        <w:t xml:space="preserve">As seen below in </w:t>
      </w:r>
      <w:r w:rsidR="00633BC0">
        <w:t>Diagram 1</w:t>
      </w:r>
      <w:r>
        <w:t>.,</w:t>
      </w:r>
      <w:r w:rsidR="004D6A78">
        <w:t xml:space="preserve"> premature death rates in deprived areas are twice as high than the rates in the least deprived. </w:t>
      </w:r>
      <w:r w:rsidR="005F508B">
        <w:t xml:space="preserve">Therefore, association between health and deprivation is clearly apparent. There are several contributors to poor health in deprived areas in Wales, including: employment status; income; education; health; community safety; geographical access to services; housing; and physical environment (Joseph Rowntree Foundation, 2018; </w:t>
      </w:r>
      <w:proofErr w:type="spellStart"/>
      <w:r w:rsidR="005F508B">
        <w:t>Hywel</w:t>
      </w:r>
      <w:proofErr w:type="spellEnd"/>
      <w:r w:rsidR="005F508B">
        <w:t xml:space="preserve"> </w:t>
      </w:r>
      <w:proofErr w:type="spellStart"/>
      <w:r w:rsidR="005F508B">
        <w:t>Dda</w:t>
      </w:r>
      <w:proofErr w:type="spellEnd"/>
      <w:r w:rsidR="005F508B">
        <w:t xml:space="preserve"> Key Population Statistics Summary, 2018).</w:t>
      </w:r>
      <w:r w:rsidR="00833719">
        <w:t xml:space="preserve"> Due to these circumstances, those living </w:t>
      </w:r>
      <w:r w:rsidR="007061C7">
        <w:t>in low-socio economic positions have a poorer risk factor profile, including increased risk of hypertension</w:t>
      </w:r>
      <w:r w:rsidR="00295784">
        <w:t>,</w:t>
      </w:r>
      <w:r w:rsidR="007061C7">
        <w:t xml:space="preserve"> and diabetes</w:t>
      </w:r>
      <w:r w:rsidR="00782B0C">
        <w:t xml:space="preserve"> </w:t>
      </w:r>
      <w:r w:rsidR="00792EE7">
        <w:t>and tendency towards higher rates of smoking in comparison to those living in h</w:t>
      </w:r>
      <w:r w:rsidR="00833719">
        <w:t>igher-socio economic positions (Public Health Wales Observatory, 2012).</w:t>
      </w:r>
      <w:r w:rsidR="00335154">
        <w:t xml:space="preserve"> </w:t>
      </w:r>
      <w:r w:rsidR="00295784">
        <w:t>Individuals working in routine occupations are found to be twice as likely to say their health is ‘poor’ compared to individuals in higher managerial and professional occupations. It is also found that those living in low socio-economic groups are less likely to have good nutrition and are less likely to participate in regular exercise (</w:t>
      </w:r>
      <w:r w:rsidR="002E1D6E">
        <w:t>Phillips</w:t>
      </w:r>
      <w:r w:rsidR="00295784">
        <w:t xml:space="preserve">, </w:t>
      </w:r>
      <w:r w:rsidR="005403AF">
        <w:rPr>
          <w:i/>
        </w:rPr>
        <w:t xml:space="preserve">et al., </w:t>
      </w:r>
      <w:r w:rsidR="00295784">
        <w:t xml:space="preserve">2010). </w:t>
      </w:r>
    </w:p>
    <w:p w14:paraId="526ADB62" w14:textId="3D6A50E8" w:rsidR="00B16FA3" w:rsidRDefault="00B16FA3" w:rsidP="007157BF"/>
    <w:p w14:paraId="3B3388D5" w14:textId="76E94EA2" w:rsidR="00D33A8C" w:rsidRDefault="00F14FC0" w:rsidP="00037149">
      <w:r>
        <w:t xml:space="preserve">  </w:t>
      </w:r>
      <w:r w:rsidR="00F81A28">
        <w:t>As stated by Marmot</w:t>
      </w:r>
      <w:r w:rsidR="005403AF">
        <w:t xml:space="preserve">, </w:t>
      </w:r>
      <w:r w:rsidR="005403AF">
        <w:rPr>
          <w:i/>
        </w:rPr>
        <w:t xml:space="preserve">et al. </w:t>
      </w:r>
      <w:r w:rsidR="00CD3E86">
        <w:t xml:space="preserve">(2010), “Inequalities in health arise because of inequalities in society – in the condition in which people are born, grow, live, work and age”. The link between </w:t>
      </w:r>
      <w:r w:rsidR="004406AE">
        <w:t xml:space="preserve">society and health is so close, that the vastness of health inequalities is </w:t>
      </w:r>
      <w:r w:rsidR="00FB49E6">
        <w:t>good for progressing towards a fairer society (</w:t>
      </w:r>
      <w:r w:rsidR="005403AF">
        <w:t xml:space="preserve">Marmot, </w:t>
      </w:r>
      <w:r w:rsidR="005403AF">
        <w:rPr>
          <w:i/>
        </w:rPr>
        <w:t>et al.,</w:t>
      </w:r>
      <w:r w:rsidR="005403AF">
        <w:t xml:space="preserve"> </w:t>
      </w:r>
      <w:r w:rsidR="00FB49E6">
        <w:t xml:space="preserve">2010). </w:t>
      </w:r>
    </w:p>
    <w:p w14:paraId="3306E84B" w14:textId="77777777" w:rsidR="00295784" w:rsidRDefault="00295784" w:rsidP="00037149"/>
    <w:p w14:paraId="4B3CDD7A" w14:textId="1BCE45B0" w:rsidR="00037149" w:rsidRDefault="00DA403C" w:rsidP="00037149">
      <w:r>
        <w:t xml:space="preserve">  The most current deprivation measure, and the one recommended for local use, is the Welsh Index of Multiple Deprivation (WIMD), created in 2011 at Lower Super Output Area Level (areas with a population of around 1,600) (Jones </w:t>
      </w:r>
      <w:r>
        <w:rPr>
          <w:i/>
        </w:rPr>
        <w:t>et al.</w:t>
      </w:r>
      <w:r>
        <w:t xml:space="preserve">, 2013). </w:t>
      </w:r>
      <w:r w:rsidR="00A0225C">
        <w:t xml:space="preserve">For each local authority, the Deprivation Fifths were produced to rank all Lower Super Output Areas (LSOA’s) by grouping them into fifths, based on the </w:t>
      </w:r>
      <w:r>
        <w:t xml:space="preserve">WIMD. </w:t>
      </w:r>
      <w:r w:rsidR="00037149">
        <w:t xml:space="preserve">In relation to the whole of Wales, a relatively high proportion of areas in Merthyr Tydfil are among the 10 per cent most deprived areas in Wales scale (Public Health Wales Observatory, 2009). </w:t>
      </w:r>
    </w:p>
    <w:p w14:paraId="413B71D0" w14:textId="77777777" w:rsidR="00037149" w:rsidRDefault="00037149" w:rsidP="00037149"/>
    <w:p w14:paraId="41F7FAA0" w14:textId="43700101" w:rsidR="009B4AB2" w:rsidRDefault="00037149" w:rsidP="007157BF">
      <w:r>
        <w:t>The following factors contribute towards the deprivation of Merthyr Tydfil.</w:t>
      </w:r>
    </w:p>
    <w:p w14:paraId="060EB34A" w14:textId="77777777" w:rsidR="00D93A9E" w:rsidRDefault="00D93A9E" w:rsidP="007157BF"/>
    <w:p w14:paraId="5F7B560C" w14:textId="72E7B036" w:rsidR="00884EF5" w:rsidRDefault="00F61B4F" w:rsidP="007157BF">
      <w:pPr>
        <w:rPr>
          <w:sz w:val="28"/>
          <w:szCs w:val="28"/>
          <w:u w:val="single"/>
        </w:rPr>
      </w:pPr>
      <w:r w:rsidRPr="006B4812">
        <w:rPr>
          <w:sz w:val="28"/>
          <w:szCs w:val="28"/>
          <w:u w:val="single"/>
        </w:rPr>
        <w:t xml:space="preserve">Health and Well-Being in Merthyr Tydfil </w:t>
      </w:r>
    </w:p>
    <w:p w14:paraId="3D5FF457" w14:textId="5FFB8680" w:rsidR="00884EF5" w:rsidRPr="00884EF5" w:rsidRDefault="00884EF5" w:rsidP="007157BF">
      <w:r>
        <w:t xml:space="preserve">  Overall physical and mental health is closely linked to poverty. Those on lower incomes are more likely to experience poor physical and mental health. Those with disabilities or in poor health may also contribute towards low income as they find it harder to work (Joseph Rowntree Foundation, 2018).</w:t>
      </w:r>
    </w:p>
    <w:p w14:paraId="3557FF98" w14:textId="4F63BFC8" w:rsidR="00D913DE" w:rsidRDefault="00884EF5" w:rsidP="008F3B56">
      <w:r>
        <w:t xml:space="preserve">  </w:t>
      </w:r>
      <w:r w:rsidR="00FC71AA">
        <w:t xml:space="preserve">According to the Welsh Government (2014) male and female life expectancy </w:t>
      </w:r>
      <w:r w:rsidR="00F61B4F">
        <w:t>in 2011-13 were much lower than the Welsh average</w:t>
      </w:r>
      <w:r w:rsidR="00FD4AE0">
        <w:t xml:space="preserve">. </w:t>
      </w:r>
      <w:r w:rsidR="009A1825">
        <w:t xml:space="preserve">Cwm </w:t>
      </w:r>
      <w:proofErr w:type="spellStart"/>
      <w:r w:rsidR="009A1825">
        <w:t>Taf</w:t>
      </w:r>
      <w:proofErr w:type="spellEnd"/>
      <w:r w:rsidR="009A1825">
        <w:t xml:space="preserve"> </w:t>
      </w:r>
      <w:r w:rsidR="00ED0E5F">
        <w:t>Public Service</w:t>
      </w:r>
      <w:r w:rsidR="009A1825">
        <w:t xml:space="preserve"> Board </w:t>
      </w:r>
      <w:r w:rsidR="002E4FFF">
        <w:t xml:space="preserve">(2017) found that 30 per cent of adults living in Merthyr Tydfil were reported to be obese in 2014-15 which is </w:t>
      </w:r>
      <w:r w:rsidR="00F3041F">
        <w:t>significantly</w:t>
      </w:r>
      <w:r w:rsidR="002E4FFF">
        <w:t xml:space="preserve"> higher than the Welsh average of 23 per cent. </w:t>
      </w:r>
      <w:r w:rsidR="00281878">
        <w:t>It was also reported that only 28 per cent of Merthyr Tydfil’s adult population reached the recommended five a day scheme, in comparison to th</w:t>
      </w:r>
      <w:r w:rsidR="002621B1">
        <w:t>e Welsh average of 32 per cent</w:t>
      </w:r>
      <w:r w:rsidR="00E146B2">
        <w:t xml:space="preserve"> (Welsh Government, 2014; Our Cwm </w:t>
      </w:r>
      <w:proofErr w:type="spellStart"/>
      <w:r w:rsidR="00E146B2">
        <w:t>Taf</w:t>
      </w:r>
      <w:proofErr w:type="spellEnd"/>
      <w:r w:rsidR="00E146B2">
        <w:t xml:space="preserve">, 2017). Likewise, Cwm </w:t>
      </w:r>
      <w:proofErr w:type="spellStart"/>
      <w:r w:rsidR="00E146B2">
        <w:t>Taf</w:t>
      </w:r>
      <w:proofErr w:type="spellEnd"/>
      <w:r w:rsidR="00E146B2">
        <w:t xml:space="preserve"> </w:t>
      </w:r>
      <w:r w:rsidR="00ED0E5F">
        <w:t>Public Service</w:t>
      </w:r>
      <w:r w:rsidR="00E146B2">
        <w:t xml:space="preserve"> Board (2017) reported only 28 per cent of Merthyr Tydfil’s adult population met the recommended physical activity guideline, again, lower than the Welsh average of 31 per cent (Welsh Government, 2014)</w:t>
      </w:r>
      <w:r w:rsidR="002621B1">
        <w:t xml:space="preserve">. </w:t>
      </w:r>
      <w:r w:rsidR="007545D5">
        <w:t>Sim</w:t>
      </w:r>
      <w:r w:rsidR="00AA6CBD">
        <w:t xml:space="preserve">ilarly, </w:t>
      </w:r>
      <w:r w:rsidR="00F3041F">
        <w:t>25 per cent of the</w:t>
      </w:r>
      <w:r w:rsidR="00AA6CBD">
        <w:t xml:space="preserve"> adult </w:t>
      </w:r>
      <w:r w:rsidR="00F3041F">
        <w:t xml:space="preserve">population reported </w:t>
      </w:r>
      <w:r w:rsidR="00963DD6">
        <w:t xml:space="preserve">to </w:t>
      </w:r>
      <w:r w:rsidR="00013ED1">
        <w:t>being current smokers</w:t>
      </w:r>
      <w:r w:rsidR="00F3041F">
        <w:t>, which is higher than the Welsh average</w:t>
      </w:r>
      <w:r w:rsidR="00AA6CBD">
        <w:t xml:space="preserve"> </w:t>
      </w:r>
      <w:r w:rsidR="00F3041F">
        <w:t xml:space="preserve">of 20 per cent (Welsh Government, 2014; Our Cwm </w:t>
      </w:r>
      <w:proofErr w:type="spellStart"/>
      <w:r w:rsidR="00F3041F">
        <w:t>Taf</w:t>
      </w:r>
      <w:proofErr w:type="spellEnd"/>
      <w:r w:rsidR="00F3041F">
        <w:t xml:space="preserve">, 2017). </w:t>
      </w:r>
      <w:r w:rsidR="00AA6CBD">
        <w:t xml:space="preserve">As stated above, </w:t>
      </w:r>
      <w:r w:rsidR="00013ED1">
        <w:t>each of these</w:t>
      </w:r>
      <w:r w:rsidR="00AA6CBD">
        <w:t xml:space="preserve"> factors contribute to the risk of CVD. </w:t>
      </w:r>
      <w:r w:rsidR="00304AC9">
        <w:t xml:space="preserve">The British </w:t>
      </w:r>
      <w:r w:rsidR="00C1721D">
        <w:t>H</w:t>
      </w:r>
      <w:r w:rsidR="00304AC9">
        <w:t xml:space="preserve">eart </w:t>
      </w:r>
      <w:r w:rsidR="00C1721D">
        <w:t>F</w:t>
      </w:r>
      <w:r w:rsidR="00304AC9">
        <w:t>oundation</w:t>
      </w:r>
      <w:r w:rsidR="00C1721D">
        <w:t xml:space="preserve"> (BHF),</w:t>
      </w:r>
      <w:r w:rsidR="00304AC9">
        <w:t xml:space="preserve"> (2017) found that the </w:t>
      </w:r>
      <w:r w:rsidR="00E45F4B">
        <w:t>death rates for CVD in all ages</w:t>
      </w:r>
      <w:r w:rsidR="005B1777">
        <w:t xml:space="preserve"> in </w:t>
      </w:r>
      <w:r w:rsidR="00E317BB">
        <w:t>Merthyr Tydfil</w:t>
      </w:r>
      <w:r w:rsidR="005B1777">
        <w:t xml:space="preserve"> </w:t>
      </w:r>
      <w:r w:rsidR="005F671E">
        <w:t>(</w:t>
      </w:r>
      <w:r w:rsidR="000C3D9E">
        <w:t>322.5</w:t>
      </w:r>
      <w:r w:rsidR="005F671E">
        <w:t xml:space="preserve"> per 100,000) is much greater than the death r</w:t>
      </w:r>
      <w:r w:rsidR="00E37B03">
        <w:t xml:space="preserve">ate of higher socio-economic counties, such as </w:t>
      </w:r>
      <w:r w:rsidR="00370A94">
        <w:t xml:space="preserve">The Vale of </w:t>
      </w:r>
      <w:proofErr w:type="spellStart"/>
      <w:r w:rsidR="00370A94">
        <w:t>Glanmorgan</w:t>
      </w:r>
      <w:proofErr w:type="spellEnd"/>
      <w:r w:rsidR="00370A94">
        <w:t xml:space="preserve"> (</w:t>
      </w:r>
      <w:r w:rsidR="005F671E">
        <w:t>232.1 per 100,000). Similarly, the</w:t>
      </w:r>
      <w:r w:rsidR="00E45F4B">
        <w:t xml:space="preserve"> </w:t>
      </w:r>
      <w:r w:rsidR="000418A3">
        <w:t xml:space="preserve">premature death rate in </w:t>
      </w:r>
      <w:r w:rsidR="00E317BB">
        <w:t>Merthyr Tydfil</w:t>
      </w:r>
      <w:r w:rsidR="000C3D9E">
        <w:t xml:space="preserve"> (103.8</w:t>
      </w:r>
      <w:r w:rsidR="00E10701">
        <w:t xml:space="preserve"> per 100,000) </w:t>
      </w:r>
      <w:r w:rsidR="000418A3">
        <w:t xml:space="preserve">is twice as high </w:t>
      </w:r>
      <w:r w:rsidR="00E10701">
        <w:t xml:space="preserve">as for The Vale of </w:t>
      </w:r>
      <w:proofErr w:type="spellStart"/>
      <w:r w:rsidR="00E10701">
        <w:t>Glanmorgan</w:t>
      </w:r>
      <w:proofErr w:type="spellEnd"/>
      <w:r w:rsidR="00E10701">
        <w:t xml:space="preserve"> </w:t>
      </w:r>
      <w:r w:rsidR="00304AC9">
        <w:t>(53.0</w:t>
      </w:r>
      <w:r w:rsidR="00E87EBE">
        <w:t xml:space="preserve"> per 100,000)</w:t>
      </w:r>
      <w:r w:rsidR="00C1721D">
        <w:t xml:space="preserve"> (BHF, 2017). </w:t>
      </w:r>
      <w:r w:rsidR="006D3111">
        <w:t>As shown in Table 2. below, Merthyr Tydfil had the most hospital admissions for CVD in all ages, per 100,000 in 2013-14</w:t>
      </w:r>
      <w:r w:rsidR="00A9558A">
        <w:t xml:space="preserve"> (</w:t>
      </w:r>
      <w:proofErr w:type="spellStart"/>
      <w:r w:rsidR="00A9558A">
        <w:t>Hywel</w:t>
      </w:r>
      <w:proofErr w:type="spellEnd"/>
      <w:r w:rsidR="00A9558A">
        <w:t xml:space="preserve"> </w:t>
      </w:r>
      <w:proofErr w:type="spellStart"/>
      <w:r w:rsidR="00A9558A">
        <w:t>Dda</w:t>
      </w:r>
      <w:proofErr w:type="spellEnd"/>
      <w:r w:rsidR="00A9558A">
        <w:t xml:space="preserve"> University Health Board, 2016)</w:t>
      </w:r>
    </w:p>
    <w:p w14:paraId="01327B2E" w14:textId="33D9642F" w:rsidR="008F3B56" w:rsidRPr="008F3B56" w:rsidRDefault="006D3111" w:rsidP="008F3B56">
      <w:pPr>
        <w:rPr>
          <w:u w:val="single"/>
        </w:rPr>
      </w:pPr>
      <w:r w:rsidRPr="008F3B56">
        <w:rPr>
          <w:u w:val="single"/>
        </w:rPr>
        <w:t xml:space="preserve">Table 2. - </w:t>
      </w:r>
      <w:r w:rsidR="00D913DE">
        <w:rPr>
          <w:rFonts w:ascii="Arial,Bold" w:hAnsi="Arial,Bold"/>
          <w:u w:val="single"/>
        </w:rPr>
        <w:t>CVD</w:t>
      </w:r>
      <w:r w:rsidR="008F3B56" w:rsidRPr="008F3B56">
        <w:rPr>
          <w:rFonts w:ascii="Arial,Bold" w:hAnsi="Arial,Bold"/>
          <w:u w:val="single"/>
        </w:rPr>
        <w:t xml:space="preserve"> emergency hospital admissions</w:t>
      </w:r>
      <w:r w:rsidR="00D913DE">
        <w:rPr>
          <w:rFonts w:ascii="Arial,Bold" w:hAnsi="Arial,Bold"/>
          <w:u w:val="single"/>
        </w:rPr>
        <w:t xml:space="preserve"> for</w:t>
      </w:r>
      <w:r w:rsidR="008F3B56" w:rsidRPr="008F3B56">
        <w:rPr>
          <w:rFonts w:ascii="Arial,Bold" w:hAnsi="Arial,Bold"/>
          <w:u w:val="single"/>
        </w:rPr>
        <w:t xml:space="preserve"> all ages, year 2013-14. </w:t>
      </w:r>
    </w:p>
    <w:p w14:paraId="39A9CB38" w14:textId="3AB4BDFC" w:rsidR="006D3111" w:rsidRDefault="00D913DE" w:rsidP="006D3111">
      <w:r>
        <w:rPr>
          <w:noProof/>
        </w:rPr>
        <w:drawing>
          <wp:anchor distT="0" distB="0" distL="114300" distR="114300" simplePos="0" relativeHeight="251660288" behindDoc="0" locked="0" layoutInCell="1" allowOverlap="1" wp14:anchorId="6EC2C26A" wp14:editId="0BC4A906">
            <wp:simplePos x="0" y="0"/>
            <wp:positionH relativeFrom="column">
              <wp:posOffset>972820</wp:posOffset>
            </wp:positionH>
            <wp:positionV relativeFrom="paragraph">
              <wp:posOffset>34925</wp:posOffset>
            </wp:positionV>
            <wp:extent cx="3199765" cy="3625215"/>
            <wp:effectExtent l="0" t="0" r="635" b="6985"/>
            <wp:wrapSquare wrapText="bothSides"/>
            <wp:docPr id="2" name="Picture 2" descr="../Desktop/Screen%20Shot%202018-12-28%20at%2015.45.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8-12-28%20at%2015.45.20.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99765" cy="36252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69F77C6" w14:textId="38EC6C61" w:rsidR="006D3111" w:rsidRDefault="006D3111" w:rsidP="006D3111"/>
    <w:p w14:paraId="5A6BCFDA" w14:textId="1CBBD4FA" w:rsidR="006D3111" w:rsidRDefault="006D3111" w:rsidP="006D3111"/>
    <w:p w14:paraId="7511D002" w14:textId="7FD2F6A2" w:rsidR="006D3111" w:rsidRDefault="006D3111" w:rsidP="007157BF"/>
    <w:p w14:paraId="4A8D1804" w14:textId="6D6F6CAD" w:rsidR="00D913DE" w:rsidRDefault="00D913DE" w:rsidP="007157BF"/>
    <w:p w14:paraId="41CF121C" w14:textId="77777777" w:rsidR="00D913DE" w:rsidRDefault="00D913DE" w:rsidP="007157BF"/>
    <w:p w14:paraId="3FF6976F" w14:textId="77777777" w:rsidR="00D913DE" w:rsidRDefault="00D913DE" w:rsidP="007157BF"/>
    <w:p w14:paraId="35E53611" w14:textId="77777777" w:rsidR="00D913DE" w:rsidRDefault="00D913DE" w:rsidP="007157BF"/>
    <w:p w14:paraId="56395C10" w14:textId="77777777" w:rsidR="00B4359F" w:rsidRDefault="00B4359F" w:rsidP="007157BF"/>
    <w:p w14:paraId="12950241" w14:textId="77777777" w:rsidR="00D770A2" w:rsidRDefault="00D770A2" w:rsidP="007157BF"/>
    <w:p w14:paraId="79843E7E" w14:textId="77777777" w:rsidR="00D770A2" w:rsidRDefault="00D770A2" w:rsidP="007157BF"/>
    <w:p w14:paraId="615E6188" w14:textId="77777777" w:rsidR="00D770A2" w:rsidRDefault="00D770A2" w:rsidP="007157BF"/>
    <w:p w14:paraId="4C8AF7CF" w14:textId="59FB153F" w:rsidR="00A9558A" w:rsidRDefault="00A9558A" w:rsidP="007157BF">
      <w:r>
        <w:t>(</w:t>
      </w:r>
      <w:proofErr w:type="spellStart"/>
      <w:r>
        <w:t>Hywel</w:t>
      </w:r>
      <w:proofErr w:type="spellEnd"/>
      <w:r>
        <w:t xml:space="preserve"> </w:t>
      </w:r>
      <w:proofErr w:type="spellStart"/>
      <w:r>
        <w:t>Dda</w:t>
      </w:r>
      <w:proofErr w:type="spellEnd"/>
      <w:r>
        <w:t xml:space="preserve"> University Health Board, 2016)</w:t>
      </w:r>
    </w:p>
    <w:p w14:paraId="3D9144AC" w14:textId="0A8BE1F8" w:rsidR="00D913DE" w:rsidRDefault="004F0158" w:rsidP="007157BF">
      <w:r>
        <w:t xml:space="preserve">  </w:t>
      </w:r>
      <w:r w:rsidR="00264557">
        <w:t xml:space="preserve">Data for </w:t>
      </w:r>
      <w:r w:rsidR="00A31623">
        <w:t>mental well-b</w:t>
      </w:r>
      <w:r w:rsidR="00264557">
        <w:t xml:space="preserve">eing in Merthyr Tydfil was found to be lower than the Welsh Average (Welsh Government, 2014) indicating poorer mental health in this area. </w:t>
      </w:r>
      <w:r w:rsidR="00A31623">
        <w:t xml:space="preserve">Practical implications are needed in place to improve the overall health and well-being of those living in Merthyr Tydfil. </w:t>
      </w:r>
    </w:p>
    <w:p w14:paraId="3B176B64" w14:textId="1503D483" w:rsidR="007E02B4" w:rsidRPr="00142D77" w:rsidRDefault="00142D77" w:rsidP="007157BF">
      <w:pPr>
        <w:rPr>
          <w:sz w:val="28"/>
          <w:szCs w:val="28"/>
          <w:u w:val="single"/>
        </w:rPr>
      </w:pPr>
      <w:r w:rsidRPr="00142D77">
        <w:rPr>
          <w:sz w:val="28"/>
          <w:szCs w:val="28"/>
          <w:u w:val="single"/>
        </w:rPr>
        <w:t>Economy in Merthyr Tydfil</w:t>
      </w:r>
    </w:p>
    <w:p w14:paraId="7DD53225" w14:textId="36E45306" w:rsidR="00FF18F9" w:rsidRDefault="00FF18F9" w:rsidP="007157BF">
      <w:r w:rsidRPr="00FF18F9">
        <w:t xml:space="preserve">Income </w:t>
      </w:r>
      <w:r>
        <w:t xml:space="preserve">poverty in Wales has dropped in the last 20 years, however, rates of poverty are still higher in Wales than in England, Scotland and </w:t>
      </w:r>
      <w:proofErr w:type="spellStart"/>
      <w:r>
        <w:t>Northan</w:t>
      </w:r>
      <w:proofErr w:type="spellEnd"/>
      <w:r>
        <w:t xml:space="preserve"> Ireland. It is estimated that a quarter of those living in Wales live in poverty, and the risk of poverty is also increasing for both working and workless households (Joseph Rowntree Foundation, 2018). </w:t>
      </w:r>
      <w:r w:rsidR="00142D77">
        <w:t>In 2013, employment rate in Merthyr Tyd</w:t>
      </w:r>
      <w:r w:rsidR="00492262">
        <w:t>fil was 63.3 per cent, the third</w:t>
      </w:r>
      <w:r w:rsidR="00142D77">
        <w:t xml:space="preserve"> lowest amongst all Welsh local authorities.</w:t>
      </w:r>
      <w:r w:rsidR="00492262">
        <w:t xml:space="preserve"> (Welsh Government, 2014; Our Cwm </w:t>
      </w:r>
      <w:proofErr w:type="spellStart"/>
      <w:r w:rsidR="00492262">
        <w:t>Taf</w:t>
      </w:r>
      <w:proofErr w:type="spellEnd"/>
      <w:r w:rsidR="00492262">
        <w:t>, 2017).</w:t>
      </w:r>
    </w:p>
    <w:p w14:paraId="5BE4FFE4" w14:textId="7051D5B5" w:rsidR="00951CD2" w:rsidRDefault="00B4359F" w:rsidP="007157BF">
      <w:pPr>
        <w:rPr>
          <w:u w:val="single"/>
        </w:rPr>
      </w:pPr>
      <w:r w:rsidRPr="00951CD2">
        <w:rPr>
          <w:noProof/>
          <w:sz w:val="28"/>
          <w:szCs w:val="28"/>
          <w:u w:val="single"/>
        </w:rPr>
        <w:drawing>
          <wp:anchor distT="0" distB="0" distL="114300" distR="114300" simplePos="0" relativeHeight="251661312" behindDoc="0" locked="0" layoutInCell="1" allowOverlap="1" wp14:anchorId="245938B2" wp14:editId="37CAF6B4">
            <wp:simplePos x="0" y="0"/>
            <wp:positionH relativeFrom="column">
              <wp:posOffset>161925</wp:posOffset>
            </wp:positionH>
            <wp:positionV relativeFrom="paragraph">
              <wp:posOffset>393065</wp:posOffset>
            </wp:positionV>
            <wp:extent cx="5339715" cy="2586990"/>
            <wp:effectExtent l="0" t="0" r="0" b="3810"/>
            <wp:wrapSquare wrapText="bothSides"/>
            <wp:docPr id="3" name="Picture 3" descr="../Desktop/Screen%20Shot%202018-12-30%20at%2018.05.0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Screen%20Shot%202018-12-30%20at%2018.05.09.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39715" cy="2586990"/>
                    </a:xfrm>
                    <a:prstGeom prst="rect">
                      <a:avLst/>
                    </a:prstGeom>
                    <a:noFill/>
                    <a:ln>
                      <a:noFill/>
                    </a:ln>
                  </pic:spPr>
                </pic:pic>
              </a:graphicData>
            </a:graphic>
            <wp14:sizeRelH relativeFrom="page">
              <wp14:pctWidth>0</wp14:pctWidth>
            </wp14:sizeRelH>
            <wp14:sizeRelV relativeFrom="page">
              <wp14:pctHeight>0</wp14:pctHeight>
            </wp14:sizeRelV>
          </wp:anchor>
        </w:drawing>
      </w:r>
      <w:r w:rsidR="00951CD2" w:rsidRPr="00951CD2">
        <w:rPr>
          <w:u w:val="single"/>
        </w:rPr>
        <w:t>Graph 1. – Employment Rate of Merthyr Tydfil between 2001-13</w:t>
      </w:r>
    </w:p>
    <w:p w14:paraId="7BA00E0B" w14:textId="77777777" w:rsidR="00B4359F" w:rsidRPr="00B4359F" w:rsidRDefault="00B4359F" w:rsidP="007157BF">
      <w:pPr>
        <w:rPr>
          <w:u w:val="single"/>
        </w:rPr>
      </w:pPr>
    </w:p>
    <w:p w14:paraId="2F0D1DBF" w14:textId="00672CAA" w:rsidR="00B4359F" w:rsidRDefault="00B4359F" w:rsidP="007157BF">
      <w:r>
        <w:t>(Welsh Government, 2014).</w:t>
      </w:r>
    </w:p>
    <w:p w14:paraId="15CD3166" w14:textId="6334F477" w:rsidR="000776CE" w:rsidRDefault="00951CD2" w:rsidP="007157BF">
      <w:r>
        <w:t xml:space="preserve">As shown in Graph 1., the employment rate had </w:t>
      </w:r>
      <w:r w:rsidR="00111D44">
        <w:t>decreased</w:t>
      </w:r>
      <w:r>
        <w:t xml:space="preserve"> in 2011, but </w:t>
      </w:r>
      <w:r w:rsidR="009A4786">
        <w:t xml:space="preserve">has </w:t>
      </w:r>
      <w:r>
        <w:t xml:space="preserve">overall risen </w:t>
      </w:r>
      <w:r w:rsidR="009A4786">
        <w:t>since 2011. However, the employment rate has stayed below the Welsh average between 2001-13</w:t>
      </w:r>
      <w:r w:rsidR="00492262">
        <w:t xml:space="preserve"> (Welsh Government, 2014; Our Cwm </w:t>
      </w:r>
      <w:proofErr w:type="spellStart"/>
      <w:r w:rsidR="00492262">
        <w:t>Taf</w:t>
      </w:r>
      <w:proofErr w:type="spellEnd"/>
      <w:r w:rsidR="00492262">
        <w:t>, 2017)</w:t>
      </w:r>
      <w:r w:rsidR="009A4786">
        <w:t xml:space="preserve">. </w:t>
      </w:r>
      <w:r w:rsidR="00111D44">
        <w:t xml:space="preserve">Joseph Rowntree (2018) states that the risk of poverty is much </w:t>
      </w:r>
      <w:r w:rsidR="00755598">
        <w:t>higher</w:t>
      </w:r>
      <w:r w:rsidR="001C1B1B">
        <w:t xml:space="preserve"> for people in households with no income from paid employment</w:t>
      </w:r>
      <w:r w:rsidR="00F625AC">
        <w:t>. In wales, it was estimated that 16 per cent of households were workless households in 2017. However, the level has decreased over the last 10 years (Joseph Rowntree Foundation, 2018).</w:t>
      </w:r>
    </w:p>
    <w:p w14:paraId="700CFEA0" w14:textId="34672CEC" w:rsidR="00D913DE" w:rsidRPr="00D913DE" w:rsidRDefault="000776CE" w:rsidP="007157BF">
      <w:r>
        <w:t xml:space="preserve">  </w:t>
      </w:r>
      <w:r w:rsidR="006D2DA8">
        <w:t>Currently in 2018, t</w:t>
      </w:r>
      <w:r w:rsidR="005E1D1C">
        <w:t xml:space="preserve">he average weekly earnings </w:t>
      </w:r>
      <w:r w:rsidR="006D2DA8">
        <w:t>for those living in Merthyr Tydfil and working full time stand at £440.60. The Welsh average currently stands at £518.60, therefore, Merthyr Tydfil are below the average. However, the local authority did not always stand below the average. In 2013, earnin</w:t>
      </w:r>
      <w:r w:rsidR="00B91FD0">
        <w:t xml:space="preserve">gs were above the Welsh average, it decreased in 2008 and remained below since </w:t>
      </w:r>
      <w:r w:rsidR="00492262">
        <w:t xml:space="preserve">with the gap widening each year (Welsh Government, 2014; Our Cwm </w:t>
      </w:r>
      <w:proofErr w:type="spellStart"/>
      <w:r w:rsidR="00492262">
        <w:t>Taf</w:t>
      </w:r>
      <w:proofErr w:type="spellEnd"/>
      <w:r w:rsidR="00492262">
        <w:t xml:space="preserve">, 2017). </w:t>
      </w:r>
      <w:r w:rsidR="0019441D">
        <w:t xml:space="preserve"> The percentage for those who are of working age and claiming job </w:t>
      </w:r>
      <w:proofErr w:type="spellStart"/>
      <w:r w:rsidR="0019441D">
        <w:t>seakers</w:t>
      </w:r>
      <w:proofErr w:type="spellEnd"/>
      <w:r w:rsidR="0019441D">
        <w:t xml:space="preserve"> allowance in Merthyr Tydfil in 2018 is 1.0 per cent, which is above the Welsh average of 0.8 per cent (Our Cwm </w:t>
      </w:r>
      <w:proofErr w:type="spellStart"/>
      <w:r w:rsidR="0019441D">
        <w:t>Taf</w:t>
      </w:r>
      <w:proofErr w:type="spellEnd"/>
      <w:r w:rsidR="0019441D">
        <w:t xml:space="preserve">, 2017). </w:t>
      </w:r>
    </w:p>
    <w:p w14:paraId="59E9EC06" w14:textId="099C76A6" w:rsidR="00EF340A" w:rsidRDefault="00E8230E" w:rsidP="000A174B">
      <w:pPr>
        <w:rPr>
          <w:rFonts w:ascii="AdvPS6EC0" w:hAnsi="AdvPS6EC0"/>
        </w:rPr>
      </w:pPr>
      <w:r>
        <w:rPr>
          <w:sz w:val="28"/>
          <w:szCs w:val="28"/>
          <w:u w:val="single"/>
        </w:rPr>
        <w:t>Education i</w:t>
      </w:r>
      <w:r w:rsidR="00DF7446">
        <w:rPr>
          <w:sz w:val="28"/>
          <w:szCs w:val="28"/>
          <w:u w:val="single"/>
        </w:rPr>
        <w:t xml:space="preserve">n Merthyr Tydfil </w:t>
      </w:r>
    </w:p>
    <w:p w14:paraId="52807DB1" w14:textId="77777777" w:rsidR="000A174B" w:rsidRDefault="00EF340A" w:rsidP="000A174B">
      <w:pPr>
        <w:rPr>
          <w:sz w:val="28"/>
          <w:szCs w:val="28"/>
          <w:u w:val="single"/>
        </w:rPr>
      </w:pPr>
      <w:r>
        <w:t xml:space="preserve">  </w:t>
      </w:r>
      <w:r>
        <w:t xml:space="preserve">Cwm </w:t>
      </w:r>
      <w:proofErr w:type="spellStart"/>
      <w:r>
        <w:t>Taf</w:t>
      </w:r>
      <w:proofErr w:type="spellEnd"/>
      <w:r>
        <w:t xml:space="preserve"> local authorities had also reported that 63 per cent of Merthyr Tydfil’s population felt safe walking i</w:t>
      </w:r>
      <w:r>
        <w:t>n the area, and when traveling in 2016-17. The welsh average for feeling safe in the area is 73 per cent, therefore, Merthyr Tydfil is below the average</w:t>
      </w:r>
      <w:r w:rsidR="004F0158">
        <w:t xml:space="preserve"> (Our Cwm </w:t>
      </w:r>
      <w:proofErr w:type="spellStart"/>
      <w:r w:rsidR="004F0158">
        <w:t>Taf</w:t>
      </w:r>
      <w:proofErr w:type="spellEnd"/>
      <w:r w:rsidR="004F0158">
        <w:t>, 2017)</w:t>
      </w:r>
      <w:r>
        <w:t xml:space="preserve">. </w:t>
      </w:r>
    </w:p>
    <w:p w14:paraId="2662E2C4" w14:textId="77777777" w:rsidR="000A174B" w:rsidRPr="00277E5E" w:rsidRDefault="000A174B" w:rsidP="000A174B">
      <w:r>
        <w:t xml:space="preserve">  The percentage of working adults with GSCE’s in Merthyr Tydfil is 59.4 per cent, which is significantly under the Welsh average of 74.1 per cent (Our Cwm </w:t>
      </w:r>
      <w:proofErr w:type="spellStart"/>
      <w:r>
        <w:t>Taf</w:t>
      </w:r>
      <w:proofErr w:type="spellEnd"/>
      <w:r>
        <w:t xml:space="preserve">, 2017). Similarly, the percentage of working adults with a higher education certificate in Merthyr Tydfil is 22.7 per cent, considerably below the Welsh average of 35.1 per cent (Our Cwm </w:t>
      </w:r>
      <w:proofErr w:type="spellStart"/>
      <w:r>
        <w:t>Taf</w:t>
      </w:r>
      <w:proofErr w:type="spellEnd"/>
      <w:r>
        <w:t xml:space="preserve">, 2017). In 2017, 16.4 per cent of working age adults are without any qualifications, however, the percentage has fallen over the years, yet remains above the Welsh average of 8.7 per cent (Our Cwm </w:t>
      </w:r>
      <w:proofErr w:type="spellStart"/>
      <w:r>
        <w:t>Taf</w:t>
      </w:r>
      <w:proofErr w:type="spellEnd"/>
      <w:r>
        <w:t xml:space="preserve">, 2017). In 2014, the secondary school pupil attendance rate was 0.7 per cent below the Welsh average of 93.6 percent, and was ranked the fourth lowest rate out of all Welsh local authorities. However, overall the rate has risen since 1999 (Our Cwm </w:t>
      </w:r>
      <w:proofErr w:type="spellStart"/>
      <w:r>
        <w:t>Taf</w:t>
      </w:r>
      <w:proofErr w:type="spellEnd"/>
      <w:r>
        <w:t xml:space="preserve">, 2017). Due to low a low percentage in attendance, the percentage of pupils achieving the core subject indicator at key stage 2 was 2 per cent below the Welsh average of 86.1 per cent in 2014, ranking </w:t>
      </w:r>
      <w:proofErr w:type="spellStart"/>
      <w:r>
        <w:t>thirs</w:t>
      </w:r>
      <w:proofErr w:type="spellEnd"/>
      <w:r>
        <w:t xml:space="preserve"> lowest in Wales (Our Cwm </w:t>
      </w:r>
      <w:proofErr w:type="spellStart"/>
      <w:r>
        <w:t>Taf</w:t>
      </w:r>
      <w:proofErr w:type="spellEnd"/>
      <w:r>
        <w:t>, 2017).</w:t>
      </w:r>
    </w:p>
    <w:p w14:paraId="3AA24F85" w14:textId="77777777" w:rsidR="000A174B" w:rsidRDefault="000A174B" w:rsidP="000A174B">
      <w:pPr>
        <w:rPr>
          <w:sz w:val="28"/>
          <w:szCs w:val="28"/>
          <w:u w:val="single"/>
        </w:rPr>
      </w:pPr>
      <w:r>
        <w:rPr>
          <w:sz w:val="28"/>
          <w:szCs w:val="28"/>
          <w:u w:val="single"/>
        </w:rPr>
        <w:t xml:space="preserve">Housing in Merthyr Tydfil </w:t>
      </w:r>
    </w:p>
    <w:p w14:paraId="7FD184BE" w14:textId="77777777" w:rsidR="000A174B" w:rsidRDefault="000A174B" w:rsidP="000A174B">
      <w:r>
        <w:t xml:space="preserve">  The biggest cost for most households is paying for housing, rent or mortgage. Affording and securing a decent home is a fundamental requirement, and can affect ones mental and physical health, relationships and access to education and work. Therefore, the cost of housing has a significant impact on people (Joseph </w:t>
      </w:r>
      <w:proofErr w:type="spellStart"/>
      <w:r>
        <w:t>Rowntreee</w:t>
      </w:r>
      <w:proofErr w:type="spellEnd"/>
      <w:r>
        <w:t xml:space="preserve"> Foundation, 2018).           </w:t>
      </w:r>
    </w:p>
    <w:p w14:paraId="23DE6EA7" w14:textId="77777777" w:rsidR="000A174B" w:rsidRDefault="000A174B" w:rsidP="000A174B">
      <w:r>
        <w:t xml:space="preserve">  Homelessness acceptances in Merthyr Tydfil has fluctuated above and below the Wales average between the years of 2001-13. However, in 2014 the homelessness rate decreased, remaining significantly under the Welsh average, ranking the fifth lowest of all local authorities in Wales (Welsh </w:t>
      </w:r>
      <w:proofErr w:type="spellStart"/>
      <w:r>
        <w:t>Governemnt</w:t>
      </w:r>
      <w:proofErr w:type="spellEnd"/>
      <w:r>
        <w:t xml:space="preserve">, 2014). </w:t>
      </w:r>
    </w:p>
    <w:p w14:paraId="2747B970" w14:textId="77777777" w:rsidR="000A174B" w:rsidRDefault="000A174B" w:rsidP="000A174B">
      <w:r>
        <w:t xml:space="preserve">  As shown in table 3. below, the percentage of additional housing units delivered during the year that were classed as affordable per 10,000 households decreased substantially in 2013-14 to roughly 7 per cent which is under the Welsh average of roughly 17 per cent, making it the fourth lowest rate among Wales. </w:t>
      </w:r>
    </w:p>
    <w:p w14:paraId="05A1BD15" w14:textId="6BF889F9" w:rsidR="000A174B" w:rsidRPr="00D913DE" w:rsidRDefault="000A174B" w:rsidP="000A174B">
      <w:pPr>
        <w:rPr>
          <w:u w:val="single"/>
        </w:rPr>
      </w:pPr>
      <w:r w:rsidRPr="00D913DE">
        <w:rPr>
          <w:u w:val="single"/>
        </w:rPr>
        <w:t>Table 3. – Additional affordable housing provision rates in 2013-14</w:t>
      </w:r>
    </w:p>
    <w:p w14:paraId="28DF755E" w14:textId="38D208D9" w:rsidR="000A174B" w:rsidRDefault="0064188F" w:rsidP="000A174B">
      <w:r>
        <w:rPr>
          <w:noProof/>
        </w:rPr>
        <w:drawing>
          <wp:anchor distT="0" distB="0" distL="114300" distR="114300" simplePos="0" relativeHeight="251668480" behindDoc="0" locked="0" layoutInCell="1" allowOverlap="1" wp14:anchorId="57F9F1F7" wp14:editId="5DEEE7F4">
            <wp:simplePos x="0" y="0"/>
            <wp:positionH relativeFrom="column">
              <wp:posOffset>510540</wp:posOffset>
            </wp:positionH>
            <wp:positionV relativeFrom="paragraph">
              <wp:posOffset>-226060</wp:posOffset>
            </wp:positionV>
            <wp:extent cx="4366260" cy="2517140"/>
            <wp:effectExtent l="0" t="0" r="2540" b="0"/>
            <wp:wrapSquare wrapText="bothSides"/>
            <wp:docPr id="5" name="Picture 5" descr="Screen%20Shot%202019-01-01%20at%2013.09.0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19-01-01%20at%2013.09.07.png"/>
                    <pic:cNvPicPr>
                      <a:picLocks noChangeAspect="1" noChangeArrowheads="1"/>
                    </pic:cNvPicPr>
                  </pic:nvPicPr>
                  <pic:blipFill rotWithShape="1">
                    <a:blip r:embed="rId12">
                      <a:extLst>
                        <a:ext uri="{28A0092B-C50C-407E-A947-70E740481C1C}">
                          <a14:useLocalDpi xmlns:a14="http://schemas.microsoft.com/office/drawing/2010/main" val="0"/>
                        </a:ext>
                      </a:extLst>
                    </a:blip>
                    <a:srcRect t="5207" b="3654"/>
                    <a:stretch/>
                  </pic:blipFill>
                  <pic:spPr bwMode="auto">
                    <a:xfrm>
                      <a:off x="0" y="0"/>
                      <a:ext cx="4366260" cy="25171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FA66D78" w14:textId="77777777" w:rsidR="000A174B" w:rsidRDefault="000A174B" w:rsidP="000A174B"/>
    <w:p w14:paraId="4EC251A9" w14:textId="77777777" w:rsidR="000A174B" w:rsidRDefault="000A174B" w:rsidP="000A174B">
      <w:pPr>
        <w:pStyle w:val="NormalWeb"/>
        <w:rPr>
          <w:rFonts w:ascii="AdvPS6EC0" w:hAnsi="AdvPS6EC0"/>
        </w:rPr>
      </w:pPr>
    </w:p>
    <w:p w14:paraId="0FC39BA9" w14:textId="77777777" w:rsidR="000A174B" w:rsidRDefault="000A174B" w:rsidP="000A174B">
      <w:pPr>
        <w:pStyle w:val="NormalWeb"/>
        <w:rPr>
          <w:rFonts w:ascii="AdvPS6EC0" w:hAnsi="AdvPS6EC0"/>
        </w:rPr>
      </w:pPr>
    </w:p>
    <w:p w14:paraId="7226E94A" w14:textId="77777777" w:rsidR="0064188F" w:rsidRDefault="0064188F" w:rsidP="000A174B">
      <w:pPr>
        <w:pStyle w:val="NormalWeb"/>
      </w:pPr>
    </w:p>
    <w:p w14:paraId="59D09D70" w14:textId="77777777" w:rsidR="0064188F" w:rsidRDefault="0064188F" w:rsidP="000A174B">
      <w:pPr>
        <w:pStyle w:val="NormalWeb"/>
      </w:pPr>
    </w:p>
    <w:p w14:paraId="3334BEB6" w14:textId="77777777" w:rsidR="0064188F" w:rsidRDefault="0064188F" w:rsidP="000A174B">
      <w:pPr>
        <w:pStyle w:val="NormalWeb"/>
      </w:pPr>
    </w:p>
    <w:p w14:paraId="5E375F03" w14:textId="77777777" w:rsidR="000A174B" w:rsidRPr="00B4359F" w:rsidRDefault="000A174B" w:rsidP="000A174B">
      <w:pPr>
        <w:pStyle w:val="NormalWeb"/>
      </w:pPr>
      <w:r>
        <w:t>(Welsh Government, 2014).</w:t>
      </w:r>
    </w:p>
    <w:p w14:paraId="0D44CDE9" w14:textId="77777777" w:rsidR="000A174B" w:rsidRDefault="000A174B" w:rsidP="000A174B">
      <w:pPr>
        <w:pStyle w:val="NormalWeb"/>
        <w:rPr>
          <w:rFonts w:ascii="AdvPS6EC0" w:hAnsi="AdvPS6EC0"/>
          <w:sz w:val="28"/>
          <w:szCs w:val="28"/>
          <w:u w:val="single"/>
        </w:rPr>
      </w:pPr>
      <w:r w:rsidRPr="00D913DE">
        <w:rPr>
          <w:rFonts w:ascii="AdvPS6EC0" w:hAnsi="AdvPS6EC0"/>
          <w:sz w:val="28"/>
          <w:szCs w:val="28"/>
          <w:u w:val="single"/>
        </w:rPr>
        <w:t>Community Safety</w:t>
      </w:r>
    </w:p>
    <w:p w14:paraId="239C12A0" w14:textId="77777777" w:rsidR="000A174B" w:rsidRDefault="000A174B" w:rsidP="000A174B">
      <w:r>
        <w:t xml:space="preserve">  In 2018, the total percentage of recorded crime rate of all offences recorded by the police per 1,000 people was 93.68 per cent, below the Welsh average of 74.41. The overall crime rate has dropped since the year 2002 to around 60 per cent in 2013. However, increased again by the year of 2018 (Welsh government, 2014; Our Cwm </w:t>
      </w:r>
      <w:proofErr w:type="spellStart"/>
      <w:r>
        <w:t>Taf</w:t>
      </w:r>
      <w:proofErr w:type="spellEnd"/>
      <w:r>
        <w:t>, 2017).</w:t>
      </w:r>
    </w:p>
    <w:p w14:paraId="358359B2" w14:textId="77777777" w:rsidR="000A174B" w:rsidRDefault="000A174B" w:rsidP="000A174B">
      <w:r>
        <w:t xml:space="preserve">  The rate of individuals referred for alcohol misuse in 2014 is considerably above the Welsh average. In total, 448 individuals in Merthyr Tydfil were referred to alcohol treatment services in 2014, the Welsh average was estimated at 260 people.  As shown in in Table 4., Merthyr Tydfil had the highest alcohol misuse rates of all authorities in Wales in the year 2013-14 (Welsh government, 2014; Our Cwm </w:t>
      </w:r>
      <w:proofErr w:type="spellStart"/>
      <w:r>
        <w:t>Taf</w:t>
      </w:r>
      <w:proofErr w:type="spellEnd"/>
      <w:r>
        <w:t xml:space="preserve">, 2017). </w:t>
      </w:r>
    </w:p>
    <w:p w14:paraId="0B14C5C7" w14:textId="77777777" w:rsidR="000A174B" w:rsidRPr="00B4359F" w:rsidRDefault="000A174B" w:rsidP="000A174B">
      <w:pPr>
        <w:pStyle w:val="NormalWeb"/>
        <w:rPr>
          <w:rFonts w:ascii="AdvPS6EC0" w:hAnsi="AdvPS6EC0"/>
          <w:u w:val="single"/>
        </w:rPr>
      </w:pPr>
      <w:r w:rsidRPr="00B4359F">
        <w:rPr>
          <w:rFonts w:ascii="AdvPS6EC0" w:hAnsi="AdvPS6EC0"/>
          <w:u w:val="single"/>
        </w:rPr>
        <w:t>Table 4. – Rate of individuals referred to treatment for alcohol misuse, 2013-14</w:t>
      </w:r>
    </w:p>
    <w:p w14:paraId="36F41B0A" w14:textId="77777777" w:rsidR="000A174B" w:rsidRDefault="000A174B" w:rsidP="000A174B">
      <w:pPr>
        <w:pStyle w:val="NormalWeb"/>
        <w:rPr>
          <w:rFonts w:ascii="AdvPS6EC0" w:hAnsi="AdvPS6EC0"/>
        </w:rPr>
      </w:pPr>
      <w:r>
        <w:rPr>
          <w:rFonts w:ascii="AdvPS6EC0" w:hAnsi="AdvPS6EC0"/>
          <w:noProof/>
        </w:rPr>
        <w:drawing>
          <wp:anchor distT="0" distB="0" distL="114300" distR="114300" simplePos="0" relativeHeight="251669504" behindDoc="0" locked="0" layoutInCell="1" allowOverlap="1" wp14:anchorId="4D55C7E8" wp14:editId="6EE2F6AE">
            <wp:simplePos x="0" y="0"/>
            <wp:positionH relativeFrom="column">
              <wp:posOffset>508635</wp:posOffset>
            </wp:positionH>
            <wp:positionV relativeFrom="paragraph">
              <wp:posOffset>29845</wp:posOffset>
            </wp:positionV>
            <wp:extent cx="4341495" cy="2484120"/>
            <wp:effectExtent l="0" t="0" r="1905" b="5080"/>
            <wp:wrapSquare wrapText="bothSides"/>
            <wp:docPr id="7" name="Picture 7" descr="Screen%20Shot%202019-01-01%20at%2014.03.4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19-01-01%20at%2014.03.40.png"/>
                    <pic:cNvPicPr>
                      <a:picLocks noChangeAspect="1" noChangeArrowheads="1"/>
                    </pic:cNvPicPr>
                  </pic:nvPicPr>
                  <pic:blipFill rotWithShape="1">
                    <a:blip r:embed="rId13">
                      <a:extLst>
                        <a:ext uri="{28A0092B-C50C-407E-A947-70E740481C1C}">
                          <a14:useLocalDpi xmlns:a14="http://schemas.microsoft.com/office/drawing/2010/main" val="0"/>
                        </a:ext>
                      </a:extLst>
                    </a:blip>
                    <a:srcRect b="2004"/>
                    <a:stretch/>
                  </pic:blipFill>
                  <pic:spPr bwMode="auto">
                    <a:xfrm>
                      <a:off x="0" y="0"/>
                      <a:ext cx="4341495" cy="24841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DBE2DDE" w14:textId="77777777" w:rsidR="000A174B" w:rsidRDefault="000A174B" w:rsidP="000A174B">
      <w:pPr>
        <w:pStyle w:val="NormalWeb"/>
        <w:rPr>
          <w:rFonts w:ascii="AdvPS6EC0" w:hAnsi="AdvPS6EC0"/>
        </w:rPr>
      </w:pPr>
    </w:p>
    <w:p w14:paraId="13F27252" w14:textId="77777777" w:rsidR="000A174B" w:rsidRDefault="000A174B" w:rsidP="000A174B">
      <w:pPr>
        <w:pStyle w:val="NormalWeb"/>
        <w:rPr>
          <w:rFonts w:ascii="AdvPS6EC0" w:hAnsi="AdvPS6EC0"/>
        </w:rPr>
      </w:pPr>
    </w:p>
    <w:p w14:paraId="57187101" w14:textId="77777777" w:rsidR="000A174B" w:rsidRDefault="000A174B" w:rsidP="000A174B">
      <w:pPr>
        <w:pStyle w:val="NormalWeb"/>
        <w:rPr>
          <w:rFonts w:ascii="AdvPS6EC0" w:hAnsi="AdvPS6EC0"/>
        </w:rPr>
      </w:pPr>
    </w:p>
    <w:p w14:paraId="5FB41C90" w14:textId="77777777" w:rsidR="000A174B" w:rsidRDefault="000A174B" w:rsidP="000A174B">
      <w:pPr>
        <w:pStyle w:val="NormalWeb"/>
        <w:rPr>
          <w:rFonts w:ascii="AdvPS6EC0" w:hAnsi="AdvPS6EC0"/>
        </w:rPr>
      </w:pPr>
    </w:p>
    <w:p w14:paraId="1BB89B0E" w14:textId="77777777" w:rsidR="000A174B" w:rsidRDefault="000A174B" w:rsidP="000A174B">
      <w:pPr>
        <w:pStyle w:val="NormalWeb"/>
        <w:rPr>
          <w:rFonts w:ascii="AdvPS6EC0" w:hAnsi="AdvPS6EC0"/>
        </w:rPr>
      </w:pPr>
      <w:r>
        <w:rPr>
          <w:rFonts w:ascii="AdvPS6EC0" w:hAnsi="AdvPS6EC0"/>
        </w:rPr>
        <w:t xml:space="preserve"> </w:t>
      </w:r>
    </w:p>
    <w:p w14:paraId="5E47FD2B" w14:textId="77777777" w:rsidR="00C65B5C" w:rsidRDefault="00C65B5C" w:rsidP="00C55C68">
      <w:pPr>
        <w:pStyle w:val="NormalWeb"/>
        <w:rPr>
          <w:rFonts w:ascii="AdvPS6EC0" w:hAnsi="AdvPS6EC0"/>
        </w:rPr>
      </w:pPr>
    </w:p>
    <w:p w14:paraId="0F23C59B" w14:textId="537D25E4" w:rsidR="00CA3A87" w:rsidRPr="00C55C68" w:rsidRDefault="000A174B" w:rsidP="00C55C68">
      <w:pPr>
        <w:pStyle w:val="NormalWeb"/>
        <w:rPr>
          <w:rFonts w:ascii="AdvPS6EC0" w:hAnsi="AdvPS6EC0"/>
        </w:rPr>
      </w:pPr>
      <w:r>
        <w:rPr>
          <w:rFonts w:ascii="AdvPS6EC0" w:hAnsi="AdvPS6EC0"/>
        </w:rPr>
        <w:t>(Welsh Government, 2014).</w:t>
      </w:r>
    </w:p>
    <w:p w14:paraId="7C20C11B" w14:textId="0F9D19F4" w:rsidR="00CA3A87" w:rsidRDefault="0033215E" w:rsidP="00EF340A">
      <w:pPr>
        <w:rPr>
          <w:sz w:val="28"/>
          <w:szCs w:val="28"/>
          <w:u w:val="single"/>
        </w:rPr>
      </w:pPr>
      <w:r w:rsidRPr="0033215E">
        <w:rPr>
          <w:sz w:val="28"/>
          <w:szCs w:val="28"/>
          <w:u w:val="single"/>
        </w:rPr>
        <w:t xml:space="preserve">Reducing Health and Social Inequalities </w:t>
      </w:r>
    </w:p>
    <w:p w14:paraId="18F963E9" w14:textId="1B70BB53" w:rsidR="00CA3A87" w:rsidRDefault="00CA3A87" w:rsidP="00EF340A">
      <w:r w:rsidRPr="00CA3A87">
        <w:rPr>
          <w:sz w:val="28"/>
          <w:szCs w:val="28"/>
        </w:rPr>
        <w:t xml:space="preserve">  </w:t>
      </w:r>
      <w:r w:rsidRPr="00CA3A87">
        <w:t xml:space="preserve">The </w:t>
      </w:r>
      <w:r>
        <w:t xml:space="preserve">Marmot Review (2010) was created </w:t>
      </w:r>
      <w:r w:rsidR="00D66EB5">
        <w:t xml:space="preserve">for people to take control over their own lives, in ways that will influence their own health, health behaviours and those of their families. </w:t>
      </w:r>
      <w:r w:rsidR="00D93A9E">
        <w:t xml:space="preserve">The two aims of this review include: improving </w:t>
      </w:r>
      <w:r w:rsidR="005342B7">
        <w:t xml:space="preserve">health and well-being </w:t>
      </w:r>
      <w:r w:rsidR="00D93A9E">
        <w:t>for the whole population; and to reduce health inequalities. Marmot (2010) set two policy goals to achieve this goal:</w:t>
      </w:r>
    </w:p>
    <w:p w14:paraId="040052AF" w14:textId="458CBD60" w:rsidR="00D93A9E" w:rsidRDefault="00D93A9E" w:rsidP="00D93A9E">
      <w:pPr>
        <w:pStyle w:val="ListParagraph"/>
        <w:numPr>
          <w:ilvl w:val="0"/>
          <w:numId w:val="3"/>
        </w:numPr>
      </w:pPr>
      <w:r>
        <w:t>Create an enabling society that maximises individual and community potential.</w:t>
      </w:r>
    </w:p>
    <w:p w14:paraId="73491621" w14:textId="5842600B" w:rsidR="00D93A9E" w:rsidRDefault="00D93A9E" w:rsidP="00D93A9E">
      <w:pPr>
        <w:pStyle w:val="ListParagraph"/>
        <w:numPr>
          <w:ilvl w:val="0"/>
          <w:numId w:val="3"/>
        </w:numPr>
      </w:pPr>
      <w:r>
        <w:t>Ensure social justice, health and sustainability are at the heart of all policies.</w:t>
      </w:r>
    </w:p>
    <w:p w14:paraId="69A28642" w14:textId="56F4EB20" w:rsidR="00A352FB" w:rsidRPr="00A352FB" w:rsidRDefault="00A352FB" w:rsidP="00A352FB">
      <w:pPr>
        <w:rPr>
          <w:u w:val="single"/>
        </w:rPr>
      </w:pPr>
      <w:r w:rsidRPr="00A352FB">
        <w:rPr>
          <w:noProof/>
          <w:sz w:val="28"/>
          <w:szCs w:val="28"/>
          <w:u w:val="single"/>
        </w:rPr>
        <w:drawing>
          <wp:anchor distT="0" distB="0" distL="114300" distR="114300" simplePos="0" relativeHeight="251666432" behindDoc="0" locked="0" layoutInCell="1" allowOverlap="1" wp14:anchorId="0294D16D" wp14:editId="44D6FF90">
            <wp:simplePos x="0" y="0"/>
            <wp:positionH relativeFrom="column">
              <wp:posOffset>281940</wp:posOffset>
            </wp:positionH>
            <wp:positionV relativeFrom="paragraph">
              <wp:posOffset>449580</wp:posOffset>
            </wp:positionV>
            <wp:extent cx="5149215" cy="3629025"/>
            <wp:effectExtent l="0" t="0" r="6985" b="3175"/>
            <wp:wrapSquare wrapText="bothSides"/>
            <wp:docPr id="8" name="Picture 8" descr="Screen%20Shot%202019-01-02%20at%2011.31.0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reen%20Shot%202019-01-02%20at%2011.31.06.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49215" cy="36290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A352FB">
        <w:rPr>
          <w:u w:val="single"/>
        </w:rPr>
        <w:t>Figure 1.</w:t>
      </w:r>
      <w:r>
        <w:rPr>
          <w:u w:val="single"/>
        </w:rPr>
        <w:t xml:space="preserve"> – Marmot’s Six Policy Recommendations </w:t>
      </w:r>
    </w:p>
    <w:p w14:paraId="5F6112C8" w14:textId="0B8ED97F" w:rsidR="00D93A9E" w:rsidRDefault="00D93A9E" w:rsidP="00D93A9E"/>
    <w:p w14:paraId="0CED21B1" w14:textId="1608FD26" w:rsidR="00A352FB" w:rsidRPr="00CA3A87" w:rsidRDefault="00A352FB" w:rsidP="00D93A9E">
      <w:r>
        <w:t xml:space="preserve">(The </w:t>
      </w:r>
      <w:proofErr w:type="spellStart"/>
      <w:r>
        <w:t>Marmout</w:t>
      </w:r>
      <w:proofErr w:type="spellEnd"/>
      <w:r>
        <w:t xml:space="preserve"> Review, 2010)</w:t>
      </w:r>
    </w:p>
    <w:p w14:paraId="03237226" w14:textId="4B80CF82" w:rsidR="00C55C68" w:rsidRDefault="008A18E0" w:rsidP="00EF340A">
      <w:r>
        <w:t>T</w:t>
      </w:r>
      <w:r w:rsidR="00A45285">
        <w:t>o achieve these goals, Marmot</w:t>
      </w:r>
      <w:r w:rsidR="005403AF">
        <w:t xml:space="preserve">, </w:t>
      </w:r>
      <w:r w:rsidR="005403AF">
        <w:rPr>
          <w:i/>
        </w:rPr>
        <w:t>et al.,</w:t>
      </w:r>
      <w:r w:rsidR="00A45285">
        <w:t xml:space="preserve"> (2010) </w:t>
      </w:r>
      <w:r>
        <w:t>cre</w:t>
      </w:r>
      <w:r w:rsidR="00F862E8">
        <w:t>ated six policy recommendations:</w:t>
      </w:r>
    </w:p>
    <w:p w14:paraId="0EE55A20" w14:textId="0079AC00" w:rsidR="00F862E8" w:rsidRDefault="00F862E8" w:rsidP="00EF340A">
      <w:pPr>
        <w:rPr>
          <w:u w:val="single"/>
        </w:rPr>
      </w:pPr>
      <w:r w:rsidRPr="00F862E8">
        <w:rPr>
          <w:u w:val="single"/>
        </w:rPr>
        <w:t xml:space="preserve">Policy objective A </w:t>
      </w:r>
      <w:r>
        <w:rPr>
          <w:u w:val="single"/>
        </w:rPr>
        <w:t>–</w:t>
      </w:r>
      <w:r w:rsidRPr="00F862E8">
        <w:rPr>
          <w:u w:val="single"/>
        </w:rPr>
        <w:t xml:space="preserve"> </w:t>
      </w:r>
      <w:r>
        <w:rPr>
          <w:u w:val="single"/>
        </w:rPr>
        <w:t>Give every child the best start in life.</w:t>
      </w:r>
    </w:p>
    <w:p w14:paraId="14F7C628" w14:textId="27A58E36" w:rsidR="00F862E8" w:rsidRDefault="00A352FB" w:rsidP="00EF340A">
      <w:r>
        <w:t xml:space="preserve">  It is important to reduce health inequalities before birth, and through the early stages of life as a child. </w:t>
      </w:r>
      <w:r w:rsidR="002300A9">
        <w:t xml:space="preserve">Reducing health inequalities at a young age means it is less likely that most children </w:t>
      </w:r>
      <w:r>
        <w:t>will develop poor health and b</w:t>
      </w:r>
      <w:r w:rsidR="00811A68">
        <w:t>ehaviours. Therefore, the highe</w:t>
      </w:r>
      <w:r>
        <w:t xml:space="preserve">st </w:t>
      </w:r>
      <w:r w:rsidR="00811A68">
        <w:t xml:space="preserve">priority recommended is to give every child the best start in life. </w:t>
      </w:r>
      <w:r w:rsidR="00541FA9">
        <w:t>Ensuring a good start in liv</w:t>
      </w:r>
      <w:r w:rsidR="00223223">
        <w:t xml:space="preserve">e prevents lifelong effects on many aspects of health and well-being from obesity, CVD and mental health, to education and economic status </w:t>
      </w:r>
      <w:r w:rsidR="00F81A28">
        <w:t xml:space="preserve">(Marmot, </w:t>
      </w:r>
      <w:r w:rsidR="005403AF">
        <w:rPr>
          <w:i/>
        </w:rPr>
        <w:t xml:space="preserve">et al. </w:t>
      </w:r>
      <w:r w:rsidR="00F81A28">
        <w:t>2010).</w:t>
      </w:r>
    </w:p>
    <w:p w14:paraId="60781DBA" w14:textId="0F287C6D" w:rsidR="0017725E" w:rsidRDefault="0017725E" w:rsidP="00EF340A">
      <w:r>
        <w:t xml:space="preserve">  To reduce </w:t>
      </w:r>
      <w:r w:rsidR="00027039">
        <w:t>inequalities in early child development</w:t>
      </w:r>
      <w:r w:rsidR="00E361A4">
        <w:t xml:space="preserve"> several policies were put in place, including Sure Start and the Healthy Child Programme. </w:t>
      </w:r>
    </w:p>
    <w:p w14:paraId="38EADE9D" w14:textId="77777777" w:rsidR="00455A17" w:rsidRPr="00A352FB" w:rsidRDefault="00455A17" w:rsidP="00EF340A"/>
    <w:p w14:paraId="4A7F2595" w14:textId="299CA748" w:rsidR="00F862E8" w:rsidRDefault="00A4370A" w:rsidP="00EF340A">
      <w:pPr>
        <w:rPr>
          <w:u w:val="single"/>
        </w:rPr>
      </w:pPr>
      <w:r w:rsidRPr="00A4370A">
        <w:rPr>
          <w:u w:val="single"/>
        </w:rPr>
        <w:t xml:space="preserve">Policy Objective B – Enable all children, young people and adults to maximise their capabilities and have control over their lives. </w:t>
      </w:r>
    </w:p>
    <w:p w14:paraId="79CA3FEE" w14:textId="46DEFCFA" w:rsidR="00A4370A" w:rsidRDefault="00A4370A" w:rsidP="00EF340A">
      <w:r w:rsidRPr="00A4370A">
        <w:t xml:space="preserve">  </w:t>
      </w:r>
      <w:r>
        <w:t>Education inequalities affect physical and mental health, as well as income, employment and quality of life</w:t>
      </w:r>
      <w:r w:rsidR="00455A17">
        <w:t xml:space="preserve">. </w:t>
      </w:r>
      <w:r w:rsidR="00052F16">
        <w:t>Good education brings many advantages</w:t>
      </w:r>
      <w:r w:rsidR="00FE0ED0">
        <w:t>, and to reduce social and health inequalities it is essential to maintain focus on improving educational outcomes across the world</w:t>
      </w:r>
      <w:r w:rsidR="00F81A28">
        <w:t xml:space="preserve"> </w:t>
      </w:r>
      <w:r w:rsidR="005403AF">
        <w:t xml:space="preserve">(Marmot, </w:t>
      </w:r>
      <w:r w:rsidR="005403AF">
        <w:rPr>
          <w:i/>
        </w:rPr>
        <w:t xml:space="preserve">et al. </w:t>
      </w:r>
      <w:r w:rsidR="005403AF">
        <w:t>2010)</w:t>
      </w:r>
      <w:r w:rsidR="005403AF">
        <w:t xml:space="preserve">. </w:t>
      </w:r>
      <w:r w:rsidR="00930FED">
        <w:t>Marmot</w:t>
      </w:r>
      <w:r w:rsidR="005403AF">
        <w:t xml:space="preserve">’s </w:t>
      </w:r>
      <w:r w:rsidR="00930FED">
        <w:t>(2010) policy recommendations are put in place to reduce the social gradient in skills and qualifications, to ensure that schools, families and communities work together to reduce gradient in health and resilience of young people</w:t>
      </w:r>
      <w:r w:rsidR="002809D5">
        <w:t xml:space="preserve">, and improve the access and use of learning facilities across the world. The policies include: </w:t>
      </w:r>
      <w:r w:rsidR="009B352B">
        <w:t xml:space="preserve">Ensuring that reducing social inequalities in </w:t>
      </w:r>
      <w:r w:rsidR="008E06CB">
        <w:t>pupil</w:t>
      </w:r>
      <w:r w:rsidR="009B352B">
        <w:t xml:space="preserve"> outcomes is a</w:t>
      </w:r>
      <w:r w:rsidR="000A174B">
        <w:t xml:space="preserve"> strong priority; Prioritising to reduce social inequalities in life skills; and Increasing the access and use of quality learning opportunities across the </w:t>
      </w:r>
      <w:r w:rsidR="009175E7">
        <w:t>country</w:t>
      </w:r>
      <w:r w:rsidR="00402CBE">
        <w:t>.</w:t>
      </w:r>
    </w:p>
    <w:p w14:paraId="60120457" w14:textId="77777777" w:rsidR="00402CBE" w:rsidRDefault="00402CBE" w:rsidP="00EF340A"/>
    <w:p w14:paraId="2E3D7139" w14:textId="6E775D99" w:rsidR="00402CBE" w:rsidRPr="00402CBE" w:rsidRDefault="00402CBE" w:rsidP="00EF340A">
      <w:pPr>
        <w:rPr>
          <w:u w:val="single"/>
        </w:rPr>
      </w:pPr>
      <w:r w:rsidRPr="00402CBE">
        <w:rPr>
          <w:u w:val="single"/>
        </w:rPr>
        <w:t>Policy Objective C – Create fair employment and good work for all.</w:t>
      </w:r>
    </w:p>
    <w:p w14:paraId="562E3D0C" w14:textId="003DD993" w:rsidR="00585720" w:rsidRDefault="009175E7" w:rsidP="00EF340A">
      <w:r>
        <w:t xml:space="preserve">  Good employment is linked to health, and conversely, unemployment </w:t>
      </w:r>
      <w:r w:rsidR="00112649">
        <w:t xml:space="preserve">contributes to poor health. Therefore, ensuring everyone gets into work is essential for </w:t>
      </w:r>
      <w:r w:rsidR="00DC5BE1">
        <w:t>reducing health inequalities. However, careers</w:t>
      </w:r>
      <w:r w:rsidR="00B02576">
        <w:t xml:space="preserve"> must be sustainable and offer a decent living wage. It must also be flexible to enable individuals to balance work and family life to prevent adverse working conditions that may damage health </w:t>
      </w:r>
      <w:r w:rsidR="005403AF">
        <w:t xml:space="preserve">(Marmot, </w:t>
      </w:r>
      <w:r w:rsidR="005403AF">
        <w:rPr>
          <w:i/>
        </w:rPr>
        <w:t xml:space="preserve">et al. </w:t>
      </w:r>
      <w:r w:rsidR="005403AF">
        <w:t>2010)</w:t>
      </w:r>
      <w:r w:rsidR="005403AF">
        <w:t>.</w:t>
      </w:r>
    </w:p>
    <w:p w14:paraId="0EAFCCBB" w14:textId="47D364AB" w:rsidR="00585720" w:rsidRDefault="00585720" w:rsidP="00EF340A">
      <w:r>
        <w:t xml:space="preserve"> Despite the Governments actions to change attitude towards progress in the employment of all social groups, the beginning of 2008 </w:t>
      </w:r>
      <w:r w:rsidR="003B54BD">
        <w:t>remained to show significant inequalities in different social groups’ experience of work</w:t>
      </w:r>
      <w:r w:rsidR="00F6149F">
        <w:t xml:space="preserve"> (Equality and Human Rights Commission, 2010).</w:t>
      </w:r>
    </w:p>
    <w:p w14:paraId="3F8F7F88" w14:textId="6E26DD4F" w:rsidR="00585720" w:rsidRDefault="00585720" w:rsidP="00EF340A">
      <w:r>
        <w:t xml:space="preserve"> </w:t>
      </w:r>
      <w:r w:rsidR="00F65730">
        <w:t>To improve acce</w:t>
      </w:r>
      <w:r w:rsidR="00F627BC">
        <w:t>s</w:t>
      </w:r>
      <w:r w:rsidR="005403AF">
        <w:t xml:space="preserve">s to good careers Marmot, </w:t>
      </w:r>
      <w:r w:rsidR="005403AF">
        <w:rPr>
          <w:i/>
        </w:rPr>
        <w:t xml:space="preserve">et al. </w:t>
      </w:r>
      <w:r w:rsidR="00F65730">
        <w:t xml:space="preserve">(2010) created these policies for each authority to consider. These policies include: </w:t>
      </w:r>
      <w:r w:rsidR="003653D3">
        <w:t xml:space="preserve">Prioritising active labouring market programmes to reduce long-term unemployment; </w:t>
      </w:r>
      <w:r w:rsidR="004B5314">
        <w:t xml:space="preserve">Ensure public and private </w:t>
      </w:r>
      <w:r w:rsidR="009C0784">
        <w:t>sector maintain equality guidance and legislation; Provide guidance on stress management and promote overall good health at work; and develop better security and flexibility in employment.</w:t>
      </w:r>
      <w:r>
        <w:t xml:space="preserve"> </w:t>
      </w:r>
    </w:p>
    <w:p w14:paraId="7B2AED28" w14:textId="3A43CD78" w:rsidR="00585720" w:rsidRDefault="00585720" w:rsidP="00EF340A">
      <w:r>
        <w:t xml:space="preserve"> </w:t>
      </w:r>
    </w:p>
    <w:p w14:paraId="793B7F4C" w14:textId="58167DD5" w:rsidR="0085458C" w:rsidRDefault="009146AF" w:rsidP="00EF340A">
      <w:pPr>
        <w:rPr>
          <w:u w:val="single"/>
        </w:rPr>
      </w:pPr>
      <w:r w:rsidRPr="009146AF">
        <w:rPr>
          <w:u w:val="single"/>
        </w:rPr>
        <w:t>Policy Objective D – Ensure a healthy standard of living for all.</w:t>
      </w:r>
    </w:p>
    <w:p w14:paraId="5706538C" w14:textId="5BE55102" w:rsidR="00346426" w:rsidRDefault="009146AF" w:rsidP="00EF340A">
      <w:r w:rsidRPr="00F65C7D">
        <w:t xml:space="preserve">  </w:t>
      </w:r>
      <w:r w:rsidR="00696634" w:rsidRPr="00F65C7D">
        <w:t xml:space="preserve">Insufficient amount of money </w:t>
      </w:r>
      <w:r w:rsidR="00F65C7D" w:rsidRPr="00F65C7D">
        <w:t>leads a healthy life and is highly significant cause of health inequalities</w:t>
      </w:r>
      <w:r w:rsidR="00F65C7D">
        <w:t>. As a society becomes wealthie</w:t>
      </w:r>
      <w:r w:rsidR="009A48AD">
        <w:t>r, the income and resources</w:t>
      </w:r>
      <w:r w:rsidR="00F65C7D">
        <w:t xml:space="preserve"> considered to be sufficient also</w:t>
      </w:r>
      <w:r w:rsidR="00F93481">
        <w:t xml:space="preserve"> increase</w:t>
      </w:r>
      <w:r w:rsidR="00F81A28">
        <w:t xml:space="preserve"> </w:t>
      </w:r>
      <w:r w:rsidR="005403AF">
        <w:t xml:space="preserve">(Marmot, </w:t>
      </w:r>
      <w:r w:rsidR="005403AF">
        <w:rPr>
          <w:i/>
        </w:rPr>
        <w:t xml:space="preserve">et al. </w:t>
      </w:r>
      <w:r w:rsidR="005403AF">
        <w:t>2010)</w:t>
      </w:r>
      <w:r w:rsidR="005403AF">
        <w:t xml:space="preserve">. </w:t>
      </w:r>
      <w:r w:rsidR="00DC53B0">
        <w:t>However, despite the important ste</w:t>
      </w:r>
      <w:r w:rsidR="00F93481">
        <w:t>ps made by the government to prevent child poverty, the percentage of those living in poverty in the UK remains high</w:t>
      </w:r>
      <w:r w:rsidR="00924DBE">
        <w:t xml:space="preserve">. </w:t>
      </w:r>
      <w:r w:rsidR="00026ABC">
        <w:t>The employment policy has he</w:t>
      </w:r>
      <w:r w:rsidR="004762AB">
        <w:t xml:space="preserve">lped, yet the UK benefit scheme remains inadequate. </w:t>
      </w:r>
      <w:r w:rsidR="00884D70">
        <w:t xml:space="preserve">In 2012, the Universal Credit was introduced to simplify the benefits system and encourage people back in to employment, however, it has been the subject of many problems </w:t>
      </w:r>
      <w:r w:rsidR="00C13CA6">
        <w:t xml:space="preserve">and delays </w:t>
      </w:r>
      <w:r w:rsidR="00884D70">
        <w:t xml:space="preserve">during its implementation and has yet to prove </w:t>
      </w:r>
      <w:r w:rsidR="00E15BF7">
        <w:t>its</w:t>
      </w:r>
      <w:r w:rsidR="00C13CA6">
        <w:t xml:space="preserve"> original ai</w:t>
      </w:r>
      <w:r w:rsidR="008614D4">
        <w:t xml:space="preserve">m (National Audit Report, 2018). </w:t>
      </w:r>
      <w:r w:rsidR="00346426">
        <w:t xml:space="preserve">There is a general agreement among stakeholders that the benefit changes are one of the problems behind the increase in poverty and homelessness in Wales (Alston, 2018). </w:t>
      </w:r>
    </w:p>
    <w:p w14:paraId="15F84712" w14:textId="67E23344" w:rsidR="00644BDD" w:rsidRDefault="00644BDD" w:rsidP="00EF340A">
      <w:r>
        <w:t xml:space="preserve"> </w:t>
      </w:r>
      <w:r w:rsidR="005F1B8E">
        <w:t xml:space="preserve">The taxation system in the UK, direct and indirect </w:t>
      </w:r>
      <w:r w:rsidR="00D85FE4">
        <w:t>tax, disadvantages those on lower incomes. Those who earn less money spend a large proportion of their wage on commodities that attra</w:t>
      </w:r>
      <w:r w:rsidR="009E3573">
        <w:t xml:space="preserve">ct indirect taxes, resulting in overall tax, as a proportion of disposable income, is highest in the </w:t>
      </w:r>
      <w:r w:rsidR="00E02CDE">
        <w:t xml:space="preserve">lowest quintile </w:t>
      </w:r>
      <w:r w:rsidR="005403AF">
        <w:t xml:space="preserve">(Marmot, </w:t>
      </w:r>
      <w:r w:rsidR="005403AF">
        <w:rPr>
          <w:i/>
        </w:rPr>
        <w:t xml:space="preserve">et al. </w:t>
      </w:r>
      <w:r w:rsidR="005403AF">
        <w:t>2010)</w:t>
      </w:r>
      <w:r w:rsidR="005403AF">
        <w:t xml:space="preserve">. </w:t>
      </w:r>
    </w:p>
    <w:p w14:paraId="3D5EFBEB" w14:textId="310569D6" w:rsidR="00310B2C" w:rsidRDefault="00DC6D75" w:rsidP="00EF340A">
      <w:r>
        <w:t xml:space="preserve">  Marmot</w:t>
      </w:r>
      <w:r w:rsidR="005403AF">
        <w:t xml:space="preserve">, </w:t>
      </w:r>
      <w:r w:rsidR="005403AF">
        <w:rPr>
          <w:i/>
        </w:rPr>
        <w:t>et al.,</w:t>
      </w:r>
      <w:r>
        <w:t xml:space="preserve"> (2010) stated</w:t>
      </w:r>
      <w:r w:rsidR="00126069">
        <w:t xml:space="preserve"> that the current </w:t>
      </w:r>
      <w:r>
        <w:t xml:space="preserve">benefit and tax system needed </w:t>
      </w:r>
      <w:r w:rsidR="00822D62">
        <w:t xml:space="preserve">adjusting to strengthen </w:t>
      </w:r>
      <w:r w:rsidR="00310B2C">
        <w:t>incentives to work for those on a low income and to increase simplicity an</w:t>
      </w:r>
      <w:r w:rsidR="006D41F9">
        <w:t>d</w:t>
      </w:r>
      <w:r w:rsidR="00310B2C">
        <w:t xml:space="preserve"> certainty for families. The r</w:t>
      </w:r>
      <w:r w:rsidR="005403AF">
        <w:t xml:space="preserve">ecommended policies that Marmot, </w:t>
      </w:r>
      <w:r w:rsidR="005403AF">
        <w:rPr>
          <w:i/>
        </w:rPr>
        <w:t xml:space="preserve">et al., </w:t>
      </w:r>
      <w:r w:rsidR="00310B2C">
        <w:t xml:space="preserve">(2010) put in place are the following: Develop and implement standards for minimum income for healthy living; Remove ‘cliff edges’ for those moving in and out of work and improve flexibility of employment; and Review and implement systems of taxation, benefits, pensions and tax credits to provide a minimum income for healthy living standards and pathways for moving upwards. </w:t>
      </w:r>
    </w:p>
    <w:p w14:paraId="7C0934D7" w14:textId="2B15490D" w:rsidR="006D41F9" w:rsidRDefault="006D41F9" w:rsidP="00EF340A">
      <w:r>
        <w:t xml:space="preserve">  On the other hand, the UK government at Westminster has implemented a period of austerity since 2010 and has severely cut back spending in public services. The Welsh Assembly has seen its block grant reduced and this in turn has meant </w:t>
      </w:r>
      <w:r w:rsidR="004D0884">
        <w:t xml:space="preserve">less funding year-on-year to local government. Local authorities have therefore, </w:t>
      </w:r>
      <w:r w:rsidR="00E451E4">
        <w:t xml:space="preserve">in turn had to cut </w:t>
      </w:r>
      <w:r w:rsidR="0007587B">
        <w:t>the services that they provide to local people (WLGA, 2017).</w:t>
      </w:r>
      <w:r w:rsidR="00E63E7D">
        <w:t xml:space="preserve"> </w:t>
      </w:r>
    </w:p>
    <w:p w14:paraId="2A3F47F0" w14:textId="77777777" w:rsidR="00923277" w:rsidRDefault="00923277" w:rsidP="00EF340A"/>
    <w:p w14:paraId="53F7F0AD" w14:textId="1235E1DA" w:rsidR="00610F55" w:rsidRDefault="00610F55" w:rsidP="00EF340A">
      <w:pPr>
        <w:rPr>
          <w:u w:val="single"/>
        </w:rPr>
      </w:pPr>
      <w:r>
        <w:rPr>
          <w:u w:val="single"/>
        </w:rPr>
        <w:t>Policy Objective E – Create and develop healthy and sustainable places and communities.</w:t>
      </w:r>
    </w:p>
    <w:p w14:paraId="7494F989" w14:textId="067FC0A5" w:rsidR="00610F55" w:rsidRDefault="00610F55" w:rsidP="00EF340A">
      <w:r w:rsidRPr="00AB2F61">
        <w:t xml:space="preserve">  </w:t>
      </w:r>
      <w:r w:rsidR="00AB2F61" w:rsidRPr="00AB2F61">
        <w:t>Each community has physical and social ch</w:t>
      </w:r>
      <w:r w:rsidR="00AF7BFF">
        <w:t>aracteristics, which enable and promote healthy behaviours and contribute towards social inequalities in health. Communities can determine an individual’s physical and mental health and well-being</w:t>
      </w:r>
      <w:r w:rsidR="00C65B5C">
        <w:t xml:space="preserve">. However, there is an apparent social gradient in ‘healthy’ community characteristics </w:t>
      </w:r>
      <w:r w:rsidR="005403AF">
        <w:t xml:space="preserve">(Marmot, </w:t>
      </w:r>
      <w:r w:rsidR="005403AF">
        <w:rPr>
          <w:i/>
        </w:rPr>
        <w:t xml:space="preserve">et al. </w:t>
      </w:r>
      <w:r w:rsidR="005403AF">
        <w:t>2010)</w:t>
      </w:r>
      <w:r w:rsidR="005403AF">
        <w:t xml:space="preserve">. </w:t>
      </w:r>
      <w:r w:rsidR="00597508">
        <w:t>Improving the community capital and reducing social isolation across authorities can prevent risk of poor health through social support which is critical to physical and mental h</w:t>
      </w:r>
      <w:r w:rsidR="00F81A28">
        <w:t xml:space="preserve">ealth </w:t>
      </w:r>
      <w:r w:rsidR="005403AF">
        <w:t xml:space="preserve">(Marmot, </w:t>
      </w:r>
      <w:r w:rsidR="005403AF">
        <w:rPr>
          <w:i/>
        </w:rPr>
        <w:t xml:space="preserve">et al. </w:t>
      </w:r>
      <w:r w:rsidR="005403AF">
        <w:t>2010)</w:t>
      </w:r>
      <w:r w:rsidR="005403AF">
        <w:t xml:space="preserve">. </w:t>
      </w:r>
      <w:r w:rsidR="00F47805">
        <w:t>It is essential to assemble</w:t>
      </w:r>
      <w:r w:rsidR="001E2974">
        <w:t xml:space="preserve"> social capital at a local level to ensure that policies are retained by those most affected. To improve community inequalities, Marmot</w:t>
      </w:r>
      <w:r w:rsidR="005403AF">
        <w:t xml:space="preserve">, </w:t>
      </w:r>
      <w:r w:rsidR="005403AF">
        <w:rPr>
          <w:i/>
        </w:rPr>
        <w:t>et al.,</w:t>
      </w:r>
      <w:r w:rsidR="001E2974">
        <w:t xml:space="preserve"> (2010) recommended these following policies: To prioritise policies interventions that reduce both health inequalities an</w:t>
      </w:r>
      <w:r w:rsidR="005403AF">
        <w:t>d mitigate climate change; Inte</w:t>
      </w:r>
      <w:r w:rsidR="001E2974">
        <w:t xml:space="preserve">grate the planning, transport, housing, environmental and health systems to address the social determinants of health in each locality; and support locally developed and evidence based community regeneration programmes. </w:t>
      </w:r>
    </w:p>
    <w:p w14:paraId="13C9CAD1" w14:textId="74DD4FAC" w:rsidR="00F6149F" w:rsidRDefault="00435EFF" w:rsidP="00EF340A">
      <w:pPr>
        <w:rPr>
          <w:u w:val="single"/>
        </w:rPr>
      </w:pPr>
      <w:r w:rsidRPr="00435EFF">
        <w:rPr>
          <w:u w:val="single"/>
        </w:rPr>
        <w:t>Policy Objective F – Strengthen the role and impact of ill-health prevention</w:t>
      </w:r>
      <w:r>
        <w:rPr>
          <w:u w:val="single"/>
        </w:rPr>
        <w:t>.</w:t>
      </w:r>
    </w:p>
    <w:p w14:paraId="69467EC8" w14:textId="67452646" w:rsidR="00432D4F" w:rsidRDefault="00432D4F" w:rsidP="00EF340A">
      <w:r>
        <w:t xml:space="preserve"> A</w:t>
      </w:r>
      <w:r w:rsidR="00A27CA3">
        <w:t>n</w:t>
      </w:r>
      <w:r>
        <w:t xml:space="preserve"> </w:t>
      </w:r>
      <w:r w:rsidR="00A27CA3">
        <w:t xml:space="preserve">individual’s </w:t>
      </w:r>
      <w:r>
        <w:t xml:space="preserve">social gradient affects their health behaviours, including: smoking, obesity, physical inactivity and </w:t>
      </w:r>
      <w:r w:rsidR="00A27CA3">
        <w:t>poor nutrition,</w:t>
      </w:r>
      <w:r>
        <w:t xml:space="preserve"> which play</w:t>
      </w:r>
      <w:r w:rsidR="00A27CA3">
        <w:t>s</w:t>
      </w:r>
      <w:r>
        <w:t xml:space="preserve"> a role in the development of chronic diseases, includi</w:t>
      </w:r>
      <w:r w:rsidR="00A27CA3">
        <w:t xml:space="preserve">ng CVD. As stated above, investing in the earl years of a child is essential for preventing ill health later in life. Traditionally, the responsibility of preventing ill health </w:t>
      </w:r>
      <w:r w:rsidR="002268C5">
        <w:t>lies</w:t>
      </w:r>
      <w:r w:rsidR="00A27CA3">
        <w:t xml:space="preserve"> in the NHS</w:t>
      </w:r>
      <w:r w:rsidR="002268C5">
        <w:t>, however, it is essential that local authorities encourage important decisions to prevent ill-health in schools, work environment, at home, and in government services</w:t>
      </w:r>
      <w:r w:rsidR="00EA233F">
        <w:t xml:space="preserve"> </w:t>
      </w:r>
      <w:r w:rsidR="005403AF">
        <w:t xml:space="preserve">(Marmot, </w:t>
      </w:r>
      <w:r w:rsidR="005403AF">
        <w:rPr>
          <w:i/>
        </w:rPr>
        <w:t xml:space="preserve">et al. </w:t>
      </w:r>
      <w:r w:rsidR="005403AF">
        <w:t>2010)</w:t>
      </w:r>
      <w:r w:rsidR="005403AF">
        <w:t xml:space="preserve">. </w:t>
      </w:r>
      <w:r w:rsidR="00EF1CC0">
        <w:t>The recommended policies advised by Marmot</w:t>
      </w:r>
      <w:r w:rsidR="005403AF">
        <w:t xml:space="preserve">, </w:t>
      </w:r>
      <w:r w:rsidR="005403AF">
        <w:rPr>
          <w:i/>
        </w:rPr>
        <w:t>et al.,</w:t>
      </w:r>
      <w:r w:rsidR="00EF1CC0">
        <w:t xml:space="preserve"> (2010) include: Prioritising investment in ill health prevention and health promotion across government departments to reduce the social gradient; Implement an evidence-based programme of ill health preventive interventions that are effective across the social gradient; To focus core efforts of the public health departments on interventions related to the social determinants of health proportionately across the gradient. </w:t>
      </w:r>
    </w:p>
    <w:p w14:paraId="08226DDF" w14:textId="77777777" w:rsidR="00EF1CC0" w:rsidRDefault="00EF1CC0" w:rsidP="00EF340A"/>
    <w:p w14:paraId="756D35B7" w14:textId="79B2A37D" w:rsidR="00EF1CC0" w:rsidRPr="00005779" w:rsidRDefault="00EF1CC0" w:rsidP="00EF340A">
      <w:pPr>
        <w:rPr>
          <w:sz w:val="28"/>
          <w:szCs w:val="28"/>
          <w:u w:val="single"/>
        </w:rPr>
      </w:pPr>
      <w:r w:rsidRPr="00005779">
        <w:rPr>
          <w:sz w:val="28"/>
          <w:szCs w:val="28"/>
          <w:u w:val="single"/>
        </w:rPr>
        <w:t xml:space="preserve">Policies put in place in Merthyr Tydfil </w:t>
      </w:r>
    </w:p>
    <w:p w14:paraId="6CE1DA49" w14:textId="2E89BAB5" w:rsidR="007A271D" w:rsidRDefault="008E06CB" w:rsidP="00EF340A">
      <w:r>
        <w:t xml:space="preserve">  Merthyr</w:t>
      </w:r>
      <w:r w:rsidR="00564095" w:rsidRPr="00564095">
        <w:t xml:space="preserve"> Tydfil County Borough council </w:t>
      </w:r>
      <w:r w:rsidR="00241BEC">
        <w:t xml:space="preserve">(MTCBC) </w:t>
      </w:r>
      <w:r w:rsidR="00564095" w:rsidRPr="00564095">
        <w:t>put together a well</w:t>
      </w:r>
      <w:r w:rsidR="00263F47">
        <w:t>-</w:t>
      </w:r>
      <w:r w:rsidR="00564095" w:rsidRPr="00564095">
        <w:t>being statement in 2015</w:t>
      </w:r>
      <w:r w:rsidR="00564095">
        <w:t xml:space="preserve"> based on the Future Generations Act. The act was developed to improve economic, social, cultural and environmental well</w:t>
      </w:r>
      <w:r w:rsidR="00263F47">
        <w:t>-</w:t>
      </w:r>
      <w:r w:rsidR="00564095">
        <w:t>being of Wales</w:t>
      </w:r>
      <w:r w:rsidR="00031FD3">
        <w:t xml:space="preserve"> through setting seven well-being goals. </w:t>
      </w:r>
      <w:r w:rsidR="00263F47">
        <w:t>The statement was put together to help secure an integrated and collaborative approach to achieving each of the seven well-</w:t>
      </w:r>
      <w:r w:rsidR="00031FD3">
        <w:t xml:space="preserve">being goals to improve all four pillars of well-being to those living and working in Merthyr Tydfil. </w:t>
      </w:r>
      <w:r w:rsidR="00005779">
        <w:t xml:space="preserve">The </w:t>
      </w:r>
      <w:r w:rsidR="007A271D">
        <w:t xml:space="preserve">well-being objectives cover four main groups: </w:t>
      </w:r>
    </w:p>
    <w:p w14:paraId="08A39041" w14:textId="1D113001" w:rsidR="007A271D" w:rsidRDefault="007A271D" w:rsidP="007A271D">
      <w:pPr>
        <w:pStyle w:val="ListParagraph"/>
        <w:numPr>
          <w:ilvl w:val="0"/>
          <w:numId w:val="4"/>
        </w:numPr>
      </w:pPr>
      <w:r>
        <w:t xml:space="preserve">Best Start to Life </w:t>
      </w:r>
      <w:r w:rsidR="000C4000">
        <w:t xml:space="preserve">- </w:t>
      </w:r>
      <w:r>
        <w:t>Ensuring each child gets the best start in life and are equipped with the skills needed to be successful learners and confident individuals.</w:t>
      </w:r>
    </w:p>
    <w:p w14:paraId="65C59622" w14:textId="1F96E10E" w:rsidR="007A271D" w:rsidRDefault="007A271D" w:rsidP="007A271D">
      <w:pPr>
        <w:pStyle w:val="ListParagraph"/>
        <w:numPr>
          <w:ilvl w:val="0"/>
          <w:numId w:val="4"/>
        </w:numPr>
      </w:pPr>
      <w:r>
        <w:t xml:space="preserve"> Working Life</w:t>
      </w:r>
      <w:r w:rsidR="000C4000">
        <w:t xml:space="preserve"> </w:t>
      </w:r>
      <w:r w:rsidR="00D56CA2">
        <w:t>–</w:t>
      </w:r>
      <w:r w:rsidR="000C4000">
        <w:t xml:space="preserve"> </w:t>
      </w:r>
      <w:r w:rsidR="00D56CA2">
        <w:t>Developing the workforce of the future and developing the environment and infrastructure for business to flourish.</w:t>
      </w:r>
    </w:p>
    <w:p w14:paraId="1165BB54" w14:textId="3DF23FD5" w:rsidR="007A271D" w:rsidRDefault="007A271D" w:rsidP="007A271D">
      <w:pPr>
        <w:pStyle w:val="ListParagraph"/>
        <w:numPr>
          <w:ilvl w:val="0"/>
          <w:numId w:val="4"/>
        </w:numPr>
      </w:pPr>
      <w:r>
        <w:t xml:space="preserve"> Environmental Well-being</w:t>
      </w:r>
      <w:r w:rsidR="00D56CA2">
        <w:t xml:space="preserve"> –</w:t>
      </w:r>
      <w:r w:rsidR="00E451E4">
        <w:t xml:space="preserve"> To protect, enha</w:t>
      </w:r>
      <w:r w:rsidR="00D56CA2">
        <w:t>nce and promote the natural environment, countryside, heritage and cultural assets.</w:t>
      </w:r>
    </w:p>
    <w:p w14:paraId="229FCBE3" w14:textId="693F18CF" w:rsidR="00393CFC" w:rsidRDefault="007A271D" w:rsidP="00393CFC">
      <w:pPr>
        <w:pStyle w:val="ListParagraph"/>
        <w:numPr>
          <w:ilvl w:val="0"/>
          <w:numId w:val="4"/>
        </w:numPr>
      </w:pPr>
      <w:r>
        <w:t>Living Well</w:t>
      </w:r>
      <w:r w:rsidR="00D56CA2">
        <w:t xml:space="preserve"> – Develop a safer community, to enable good physical and mental health.</w:t>
      </w:r>
    </w:p>
    <w:p w14:paraId="09066EB5" w14:textId="27B9D976" w:rsidR="002E2B8D" w:rsidRDefault="00241BEC" w:rsidP="00005779">
      <w:r>
        <w:t xml:space="preserve">   The MTCBC </w:t>
      </w:r>
      <w:r w:rsidR="00393CFC">
        <w:t xml:space="preserve">receive quarterly monitoring reports which are reported to the Cabinet. The latest report was dated November 2018, when progress on the four objectives were reported upon and discussed. The decision was to continue </w:t>
      </w:r>
      <w:r w:rsidR="009E7853">
        <w:t xml:space="preserve">to work on delivery of the objectives to meet the targets set for 18/19 financial year. The report also identified the problems of meeting these objectives in the context of the financial pressures on the council. It was decided to monitor, challenge and support the delivery of the well-being programme during the remainder of this financial year </w:t>
      </w:r>
      <w:r w:rsidR="00880B17">
        <w:t>(</w:t>
      </w:r>
      <w:r w:rsidR="00511E8C">
        <w:t>Chapman,</w:t>
      </w:r>
      <w:r w:rsidR="00880B17">
        <w:t xml:space="preserve"> 2018). </w:t>
      </w:r>
    </w:p>
    <w:p w14:paraId="4B8E922C" w14:textId="77777777" w:rsidR="002E2B8D" w:rsidRPr="002E2B8D" w:rsidRDefault="002E2B8D" w:rsidP="00005779">
      <w:pPr>
        <w:rPr>
          <w:sz w:val="28"/>
          <w:szCs w:val="28"/>
          <w:u w:val="single"/>
        </w:rPr>
      </w:pPr>
    </w:p>
    <w:p w14:paraId="63E8A7F9" w14:textId="6F80D5AB" w:rsidR="00B41E3E" w:rsidRDefault="002E2B8D" w:rsidP="00005779">
      <w:pPr>
        <w:rPr>
          <w:sz w:val="28"/>
          <w:szCs w:val="28"/>
          <w:u w:val="single"/>
        </w:rPr>
      </w:pPr>
      <w:r w:rsidRPr="002E2B8D">
        <w:rPr>
          <w:sz w:val="28"/>
          <w:szCs w:val="28"/>
          <w:u w:val="single"/>
        </w:rPr>
        <w:t>Policies set in Wales to prevent CVD</w:t>
      </w:r>
    </w:p>
    <w:p w14:paraId="6F09D8BD" w14:textId="77777777" w:rsidR="0016427A" w:rsidRPr="008E06CB" w:rsidRDefault="00B41E3E" w:rsidP="0016427A">
      <w:r w:rsidRPr="008E06CB">
        <w:t xml:space="preserve">  The Welsh Government</w:t>
      </w:r>
      <w:r w:rsidR="00086A01" w:rsidRPr="008E06CB">
        <w:t xml:space="preserve"> created a 5 year NHS plan, Together for Health, which sets out an ambitious programme for</w:t>
      </w:r>
      <w:r w:rsidR="00D32794" w:rsidRPr="008E06CB">
        <w:t xml:space="preserve"> health and well-being in Wales. </w:t>
      </w:r>
      <w:r w:rsidR="00BC4CC0" w:rsidRPr="008E06CB">
        <w:t>The programme sets out the overall population out</w:t>
      </w:r>
      <w:r w:rsidR="00984BBF" w:rsidRPr="008E06CB">
        <w:t>comes that need to be achieved, including improving better health for everyone and reduce inequalities in health</w:t>
      </w:r>
      <w:r w:rsidR="00853FE3" w:rsidRPr="008E06CB">
        <w:t xml:space="preserve"> (Welsh Government, 2016).</w:t>
      </w:r>
      <w:r w:rsidR="00DB7556" w:rsidRPr="008E06CB">
        <w:t xml:space="preserve"> </w:t>
      </w:r>
      <w:r w:rsidR="00984BBF" w:rsidRPr="008E06CB">
        <w:t xml:space="preserve">To do so, reducing the impact of CVD on the lives of people in Wales will </w:t>
      </w:r>
      <w:r w:rsidR="00630A4C" w:rsidRPr="008E06CB">
        <w:t xml:space="preserve">contribute towards a healthier Wales. </w:t>
      </w:r>
      <w:r w:rsidR="0098695C" w:rsidRPr="008E06CB">
        <w:t xml:space="preserve">The programmes vision for heart care is for: individuals of all ages to have a low as possible risk of developing CVD; and for Wales to have good incidence, mortality and survival rates for heart disease in comparison with </w:t>
      </w:r>
      <w:r w:rsidR="00DB7556" w:rsidRPr="008E06CB">
        <w:t xml:space="preserve">the best in Europe </w:t>
      </w:r>
      <w:r w:rsidR="00DB7556" w:rsidRPr="008E06CB">
        <w:t>(Welsh Government, 2016).</w:t>
      </w:r>
      <w:r w:rsidR="008414E5" w:rsidRPr="008E06CB">
        <w:t xml:space="preserve"> </w:t>
      </w:r>
      <w:r w:rsidR="00D830F3" w:rsidRPr="008E06CB">
        <w:t>The government found that good progress had be</w:t>
      </w:r>
      <w:r w:rsidR="00AE7155" w:rsidRPr="008E06CB">
        <w:t xml:space="preserve">en made in some areas. The Wales Heart Disease Implementation Group was introduced to ensure a more focused approach was achieved for the future. </w:t>
      </w:r>
      <w:r w:rsidR="00647B20" w:rsidRPr="008E06CB">
        <w:t>The new implementation group</w:t>
      </w:r>
      <w:r w:rsidR="00BB61BB" w:rsidRPr="008E06CB">
        <w:t xml:space="preserve"> was introduced to encourage the local health boards and trusts to focus on further action to meet the standards set (Welsh Government, 2016). The plan was created to set better patient experience and outcomes, reducing health inequalities and variability in access to services. </w:t>
      </w:r>
      <w:r w:rsidR="007A4EB4" w:rsidRPr="008E06CB">
        <w:t xml:space="preserve">Each organisation is required to publish an annual report on heart </w:t>
      </w:r>
      <w:proofErr w:type="spellStart"/>
      <w:r w:rsidR="007A4EB4" w:rsidRPr="008E06CB">
        <w:t>sevices</w:t>
      </w:r>
      <w:proofErr w:type="spellEnd"/>
      <w:r w:rsidR="007A4EB4" w:rsidRPr="008E06CB">
        <w:t xml:space="preserve"> for the public of Wales to measure progress (Welsh Government, 2016).</w:t>
      </w:r>
    </w:p>
    <w:p w14:paraId="324B032D" w14:textId="77777777" w:rsidR="0016427A" w:rsidRDefault="0016427A" w:rsidP="0016427A">
      <w:pPr>
        <w:rPr>
          <w:sz w:val="28"/>
          <w:szCs w:val="28"/>
        </w:rPr>
      </w:pPr>
    </w:p>
    <w:p w14:paraId="02C5AED1" w14:textId="74D036C1" w:rsidR="0016427A" w:rsidRPr="0016427A" w:rsidRDefault="0016427A" w:rsidP="0016427A">
      <w:pPr>
        <w:rPr>
          <w:sz w:val="28"/>
          <w:szCs w:val="28"/>
          <w:u w:val="single"/>
        </w:rPr>
      </w:pPr>
      <w:r w:rsidRPr="0016427A">
        <w:rPr>
          <w:sz w:val="28"/>
          <w:szCs w:val="28"/>
          <w:u w:val="single"/>
        </w:rPr>
        <w:t>Conclusion</w:t>
      </w:r>
    </w:p>
    <w:p w14:paraId="16DB3275" w14:textId="6994AE8B" w:rsidR="007A4EB4" w:rsidRDefault="0016427A" w:rsidP="0016427A">
      <w:r>
        <w:t xml:space="preserve">  </w:t>
      </w:r>
      <w:r w:rsidR="00866B89" w:rsidRPr="00866B89">
        <w:t>To conclude</w:t>
      </w:r>
      <w:r w:rsidR="00866B89">
        <w:t xml:space="preserve"> social inclusion is a matter of life and death, and affects the way people live. </w:t>
      </w:r>
      <w:r w:rsidR="00084A91">
        <w:t xml:space="preserve">Currently, Merthyr Tydfil is under the Welsh average </w:t>
      </w:r>
      <w:r>
        <w:t>for all statistics that contribute towards making it a deprived area</w:t>
      </w:r>
      <w:r w:rsidR="001662B7">
        <w:t xml:space="preserve">. </w:t>
      </w:r>
      <w:r w:rsidR="00FA6908">
        <w:t>Despite this statement, the statistics have improved over the years du</w:t>
      </w:r>
      <w:r w:rsidR="00C01E64">
        <w:t>e to the policies put in place.</w:t>
      </w:r>
      <w:r w:rsidR="00D33A8C">
        <w:t xml:space="preserve"> </w:t>
      </w:r>
      <w:r w:rsidR="00C01E64">
        <w:t xml:space="preserve">However, not all objectives have been met due to the significant </w:t>
      </w:r>
      <w:r w:rsidR="005403AF">
        <w:t>number</w:t>
      </w:r>
      <w:r w:rsidR="00C01E64">
        <w:t xml:space="preserve"> of cuts to the county council, as is the situation with all other counties in Wales. </w:t>
      </w:r>
    </w:p>
    <w:p w14:paraId="415FD4D3" w14:textId="77777777" w:rsidR="001D53E2" w:rsidRDefault="001D53E2" w:rsidP="0016427A"/>
    <w:p w14:paraId="2853502E" w14:textId="77777777" w:rsidR="00F862E8" w:rsidRDefault="00F862E8" w:rsidP="00EF340A"/>
    <w:p w14:paraId="3769B205" w14:textId="77777777" w:rsidR="00F862E8" w:rsidRDefault="00F862E8" w:rsidP="00EF340A"/>
    <w:p w14:paraId="6CDF4959" w14:textId="77777777" w:rsidR="00F862E8" w:rsidRDefault="00F862E8" w:rsidP="00EF340A"/>
    <w:p w14:paraId="4D0DCBE0" w14:textId="77777777" w:rsidR="00F862E8" w:rsidRDefault="00F862E8" w:rsidP="00EF340A"/>
    <w:p w14:paraId="018A5D0A" w14:textId="77777777" w:rsidR="00F862E8" w:rsidRPr="00F862E8" w:rsidRDefault="00F862E8" w:rsidP="00EF340A">
      <w:pPr>
        <w:rPr>
          <w:sz w:val="28"/>
          <w:szCs w:val="28"/>
        </w:rPr>
      </w:pPr>
    </w:p>
    <w:p w14:paraId="0F917BBD" w14:textId="4CA47738" w:rsidR="004F0158" w:rsidRPr="00EF340A" w:rsidRDefault="00062687" w:rsidP="00EF340A">
      <w:r>
        <w:t xml:space="preserve">  </w:t>
      </w:r>
    </w:p>
    <w:p w14:paraId="351952A7" w14:textId="77777777" w:rsidR="00B4359F" w:rsidRDefault="00B4359F" w:rsidP="005B2573">
      <w:pPr>
        <w:pStyle w:val="NormalWeb"/>
        <w:rPr>
          <w:rFonts w:ascii="AdvPS6EC0" w:hAnsi="AdvPS6EC0"/>
        </w:rPr>
      </w:pPr>
    </w:p>
    <w:p w14:paraId="278498AD" w14:textId="77777777" w:rsidR="00B4359F" w:rsidRDefault="00B4359F" w:rsidP="005B2573">
      <w:pPr>
        <w:pStyle w:val="NormalWeb"/>
        <w:rPr>
          <w:rFonts w:ascii="AdvPS6EC0" w:hAnsi="AdvPS6EC0"/>
        </w:rPr>
      </w:pPr>
    </w:p>
    <w:p w14:paraId="24E1EDAE" w14:textId="77777777" w:rsidR="00B4359F" w:rsidRDefault="00B4359F" w:rsidP="005B2573">
      <w:pPr>
        <w:pStyle w:val="NormalWeb"/>
        <w:rPr>
          <w:rFonts w:ascii="AdvPS6EC0" w:hAnsi="AdvPS6EC0"/>
        </w:rPr>
      </w:pPr>
    </w:p>
    <w:p w14:paraId="0A67F4F8" w14:textId="77777777" w:rsidR="00B4359F" w:rsidRDefault="00B4359F" w:rsidP="005B2573">
      <w:pPr>
        <w:pStyle w:val="NormalWeb"/>
        <w:rPr>
          <w:rFonts w:ascii="AdvPS6EC0" w:hAnsi="AdvPS6EC0"/>
        </w:rPr>
      </w:pPr>
    </w:p>
    <w:p w14:paraId="512D8FE1" w14:textId="77777777" w:rsidR="00B4359F" w:rsidRDefault="00B4359F" w:rsidP="005B2573">
      <w:pPr>
        <w:pStyle w:val="NormalWeb"/>
        <w:rPr>
          <w:rFonts w:ascii="AdvPS6EC0" w:hAnsi="AdvPS6EC0"/>
        </w:rPr>
      </w:pPr>
    </w:p>
    <w:p w14:paraId="56BE0AAC" w14:textId="72FD81AB" w:rsidR="00916772" w:rsidRDefault="00C01E64" w:rsidP="005659D1">
      <w:pPr>
        <w:spacing w:after="0" w:line="240" w:lineRule="auto"/>
        <w:rPr>
          <w:rFonts w:eastAsia="Times New Roman"/>
          <w:color w:val="000000"/>
          <w:shd w:val="clear" w:color="auto" w:fill="FFFFFF"/>
        </w:rPr>
      </w:pPr>
      <w:r w:rsidRPr="00C01E64">
        <w:rPr>
          <w:rFonts w:eastAsia="Times New Roman"/>
          <w:color w:val="000000"/>
          <w:shd w:val="clear" w:color="auto" w:fill="FFFFFF"/>
        </w:rPr>
        <w:t>Word Count: 4,</w:t>
      </w:r>
      <w:r w:rsidR="005403AF">
        <w:rPr>
          <w:rFonts w:eastAsia="Times New Roman"/>
          <w:color w:val="000000"/>
          <w:shd w:val="clear" w:color="auto" w:fill="FFFFFF"/>
        </w:rPr>
        <w:t>01</w:t>
      </w:r>
      <w:r w:rsidRPr="00C01E64">
        <w:rPr>
          <w:rFonts w:eastAsia="Times New Roman"/>
          <w:color w:val="000000"/>
          <w:shd w:val="clear" w:color="auto" w:fill="FFFFFF"/>
        </w:rPr>
        <w:t>8</w:t>
      </w:r>
    </w:p>
    <w:p w14:paraId="0E9469A2" w14:textId="5286EA78" w:rsidR="005659D1" w:rsidRPr="005659D1" w:rsidRDefault="005659D1" w:rsidP="005659D1">
      <w:pPr>
        <w:spacing w:after="0" w:line="240" w:lineRule="auto"/>
        <w:rPr>
          <w:rFonts w:eastAsia="Times New Roman"/>
          <w:color w:val="000000"/>
          <w:sz w:val="28"/>
          <w:szCs w:val="28"/>
          <w:u w:val="single"/>
          <w:shd w:val="clear" w:color="auto" w:fill="FFFFFF"/>
        </w:rPr>
      </w:pPr>
      <w:r w:rsidRPr="005659D1">
        <w:rPr>
          <w:rFonts w:eastAsia="Times New Roman"/>
          <w:color w:val="000000"/>
          <w:sz w:val="28"/>
          <w:szCs w:val="28"/>
          <w:u w:val="single"/>
          <w:shd w:val="clear" w:color="auto" w:fill="FFFFFF"/>
        </w:rPr>
        <w:t xml:space="preserve">Reference List </w:t>
      </w:r>
    </w:p>
    <w:p w14:paraId="6EA53248" w14:textId="77777777" w:rsidR="005659D1" w:rsidRPr="005659D1" w:rsidRDefault="005659D1" w:rsidP="005659D1">
      <w:pPr>
        <w:spacing w:after="0" w:line="240" w:lineRule="auto"/>
        <w:rPr>
          <w:rFonts w:eastAsia="Times New Roman"/>
          <w:color w:val="000000"/>
          <w:shd w:val="clear" w:color="auto" w:fill="FFFFFF"/>
        </w:rPr>
      </w:pPr>
    </w:p>
    <w:p w14:paraId="6C53CE4E" w14:textId="0A37D8A1" w:rsidR="00916772" w:rsidRPr="005659D1" w:rsidRDefault="00916772" w:rsidP="005659D1">
      <w:pPr>
        <w:pStyle w:val="ListParagraph"/>
        <w:numPr>
          <w:ilvl w:val="0"/>
          <w:numId w:val="7"/>
        </w:numPr>
        <w:spacing w:after="0" w:line="240" w:lineRule="auto"/>
        <w:rPr>
          <w:rFonts w:eastAsia="Times New Roman"/>
          <w:color w:val="333333"/>
          <w:shd w:val="clear" w:color="auto" w:fill="FFFFFF"/>
        </w:rPr>
      </w:pPr>
      <w:r w:rsidRPr="005659D1">
        <w:rPr>
          <w:rFonts w:eastAsia="Times New Roman"/>
          <w:color w:val="333333"/>
          <w:shd w:val="clear" w:color="auto" w:fill="FFFFFF"/>
        </w:rPr>
        <w:t>British Heart Foundation</w:t>
      </w:r>
      <w:r w:rsidR="002D5C2F" w:rsidRPr="005659D1">
        <w:rPr>
          <w:rFonts w:eastAsia="Times New Roman"/>
          <w:color w:val="333333"/>
          <w:shd w:val="clear" w:color="auto" w:fill="FFFFFF"/>
        </w:rPr>
        <w:t>. (2018)</w:t>
      </w:r>
      <w:r w:rsidRPr="005659D1">
        <w:rPr>
          <w:rFonts w:eastAsia="Times New Roman"/>
          <w:color w:val="333333"/>
          <w:shd w:val="clear" w:color="auto" w:fill="FFFFFF"/>
        </w:rPr>
        <w:t>. </w:t>
      </w:r>
      <w:r w:rsidRPr="005659D1">
        <w:rPr>
          <w:rFonts w:eastAsia="Times New Roman"/>
          <w:i/>
          <w:iCs/>
          <w:color w:val="333333"/>
          <w:bdr w:val="none" w:sz="0" w:space="0" w:color="auto" w:frame="1"/>
        </w:rPr>
        <w:t>Coronary heart disease statistics</w:t>
      </w:r>
      <w:r w:rsidRPr="005659D1">
        <w:rPr>
          <w:rFonts w:eastAsia="Times New Roman"/>
          <w:color w:val="333333"/>
          <w:shd w:val="clear" w:color="auto" w:fill="FFFFFF"/>
        </w:rPr>
        <w:t>. London: BHF</w:t>
      </w:r>
      <w:r w:rsidR="002D5C2F" w:rsidRPr="005659D1">
        <w:rPr>
          <w:rFonts w:eastAsia="Times New Roman"/>
          <w:color w:val="333333"/>
          <w:shd w:val="clear" w:color="auto" w:fill="FFFFFF"/>
        </w:rPr>
        <w:t>.</w:t>
      </w:r>
    </w:p>
    <w:p w14:paraId="4CCB6F9E" w14:textId="77777777" w:rsidR="00117B52" w:rsidRPr="002F6BDA" w:rsidRDefault="00117B52" w:rsidP="00916772">
      <w:pPr>
        <w:spacing w:after="0" w:line="240" w:lineRule="auto"/>
        <w:rPr>
          <w:rFonts w:eastAsia="Times New Roman"/>
          <w:color w:val="333333"/>
          <w:shd w:val="clear" w:color="auto" w:fill="FFFFFF"/>
        </w:rPr>
      </w:pPr>
    </w:p>
    <w:p w14:paraId="3385D957" w14:textId="77777777" w:rsidR="00117B52" w:rsidRPr="002F6BDA" w:rsidRDefault="00117B52" w:rsidP="00916772">
      <w:pPr>
        <w:spacing w:after="0" w:line="240" w:lineRule="auto"/>
        <w:rPr>
          <w:rFonts w:eastAsia="Times New Roman"/>
        </w:rPr>
      </w:pPr>
    </w:p>
    <w:p w14:paraId="30F12E1F" w14:textId="77777777" w:rsidR="000B1848" w:rsidRDefault="0024729E" w:rsidP="005659D1">
      <w:pPr>
        <w:pStyle w:val="ListParagraph"/>
        <w:numPr>
          <w:ilvl w:val="0"/>
          <w:numId w:val="7"/>
        </w:numPr>
      </w:pPr>
      <w:r>
        <w:t>Weidner, G. (2000) ‘Why do men ge</w:t>
      </w:r>
      <w:r w:rsidR="000B1848">
        <w:t xml:space="preserve">t more heart disease than women? An international perspective.’ </w:t>
      </w:r>
      <w:r w:rsidR="000B1848" w:rsidRPr="005659D1">
        <w:rPr>
          <w:i/>
        </w:rPr>
        <w:t xml:space="preserve">J Am </w:t>
      </w:r>
      <w:proofErr w:type="spellStart"/>
      <w:r w:rsidR="000B1848" w:rsidRPr="005659D1">
        <w:rPr>
          <w:i/>
        </w:rPr>
        <w:t>Coll</w:t>
      </w:r>
      <w:proofErr w:type="spellEnd"/>
      <w:r w:rsidR="000B1848" w:rsidRPr="005659D1">
        <w:rPr>
          <w:i/>
        </w:rPr>
        <w:t xml:space="preserve"> Health</w:t>
      </w:r>
      <w:r w:rsidR="000B1848">
        <w:t>, 48(6), pp. 291-294</w:t>
      </w:r>
    </w:p>
    <w:p w14:paraId="18BB2B91" w14:textId="77777777" w:rsidR="000B1848" w:rsidRDefault="000B1848" w:rsidP="000B1848"/>
    <w:p w14:paraId="54687641" w14:textId="77777777" w:rsidR="005659D1" w:rsidRDefault="007B6922" w:rsidP="005659D1">
      <w:pPr>
        <w:pStyle w:val="ListParagraph"/>
        <w:numPr>
          <w:ilvl w:val="0"/>
          <w:numId w:val="7"/>
        </w:numPr>
      </w:pPr>
      <w:r w:rsidRPr="002F6BDA">
        <w:t xml:space="preserve">Scarborough P, Bhatnagar P, </w:t>
      </w:r>
      <w:proofErr w:type="spellStart"/>
      <w:r w:rsidRPr="002F6BDA">
        <w:t>Wickramasinghe</w:t>
      </w:r>
      <w:proofErr w:type="spellEnd"/>
      <w:r w:rsidRPr="002F6BDA">
        <w:t xml:space="preserve"> K, et al. Coronary Heart Disease Statistics 2010. London: British Heart Foundation, 2010. </w:t>
      </w:r>
    </w:p>
    <w:p w14:paraId="40886F95" w14:textId="77777777" w:rsidR="005659D1" w:rsidRDefault="005659D1" w:rsidP="005659D1">
      <w:pPr>
        <w:rPr>
          <w:rFonts w:eastAsia="Times New Roman"/>
          <w:color w:val="000000"/>
          <w:shd w:val="clear" w:color="auto" w:fill="FFFFFF"/>
        </w:rPr>
      </w:pPr>
    </w:p>
    <w:p w14:paraId="0B258540" w14:textId="77777777" w:rsidR="005659D1" w:rsidRPr="008B388E" w:rsidRDefault="005659D1" w:rsidP="005659D1">
      <w:pPr>
        <w:pStyle w:val="ListParagraph"/>
        <w:numPr>
          <w:ilvl w:val="0"/>
          <w:numId w:val="7"/>
        </w:numPr>
      </w:pPr>
      <w:r w:rsidRPr="005659D1">
        <w:rPr>
          <w:rFonts w:eastAsia="Times New Roman"/>
          <w:color w:val="000000"/>
          <w:shd w:val="clear" w:color="auto" w:fill="FFFFFF"/>
        </w:rPr>
        <w:t>Welsh Local Government Association (2017). </w:t>
      </w:r>
      <w:r w:rsidRPr="005659D1">
        <w:rPr>
          <w:rFonts w:eastAsia="Times New Roman"/>
          <w:i/>
          <w:iCs/>
          <w:color w:val="000000"/>
        </w:rPr>
        <w:t>Local Government Budget Pressures - Finance Sub Group</w:t>
      </w:r>
      <w:r w:rsidRPr="005659D1">
        <w:rPr>
          <w:rFonts w:eastAsia="Times New Roman"/>
          <w:color w:val="000000"/>
          <w:shd w:val="clear" w:color="auto" w:fill="FFFFFF"/>
        </w:rPr>
        <w:t>. Cardiff, pp.1-11.</w:t>
      </w:r>
    </w:p>
    <w:p w14:paraId="4BC33374" w14:textId="77777777" w:rsidR="008B388E" w:rsidRDefault="008B388E" w:rsidP="008B388E"/>
    <w:p w14:paraId="317C4345" w14:textId="77777777" w:rsidR="00F81A28" w:rsidRDefault="008B388E" w:rsidP="00F81A28">
      <w:pPr>
        <w:pStyle w:val="ListParagraph"/>
        <w:numPr>
          <w:ilvl w:val="0"/>
          <w:numId w:val="7"/>
        </w:numPr>
      </w:pPr>
      <w:r>
        <w:t xml:space="preserve">Welsh Government. (2016). </w:t>
      </w:r>
      <w:r>
        <w:rPr>
          <w:i/>
        </w:rPr>
        <w:t xml:space="preserve">Together for Health – a Heart Disease Delivery Plan. </w:t>
      </w:r>
      <w:r>
        <w:t xml:space="preserve">Cardiff, pp 1-7. </w:t>
      </w:r>
    </w:p>
    <w:p w14:paraId="481054E0" w14:textId="77777777" w:rsidR="00BD3242" w:rsidRDefault="00BD3242" w:rsidP="00BD3242"/>
    <w:p w14:paraId="155A6639" w14:textId="01D3EBB5" w:rsidR="00BD3242" w:rsidRDefault="00BD3242" w:rsidP="00F81A28">
      <w:pPr>
        <w:pStyle w:val="ListParagraph"/>
        <w:numPr>
          <w:ilvl w:val="0"/>
          <w:numId w:val="7"/>
        </w:numPr>
      </w:pPr>
      <w:r>
        <w:t xml:space="preserve">Welsh Government. (2014) </w:t>
      </w:r>
      <w:r w:rsidR="00C13021">
        <w:rPr>
          <w:i/>
        </w:rPr>
        <w:t xml:space="preserve">Local Area Summary Statistics – Merthyr Tydfil. </w:t>
      </w:r>
      <w:r w:rsidR="00C13021">
        <w:t xml:space="preserve">Cardiff, pp, 7-43. </w:t>
      </w:r>
    </w:p>
    <w:p w14:paraId="1940A471" w14:textId="77777777" w:rsidR="00C13021" w:rsidRDefault="00C13021" w:rsidP="00C13021"/>
    <w:p w14:paraId="3A062831" w14:textId="5F3E6DF3" w:rsidR="00C13021" w:rsidRDefault="00C13021" w:rsidP="00F81A28">
      <w:pPr>
        <w:pStyle w:val="ListParagraph"/>
        <w:numPr>
          <w:ilvl w:val="0"/>
          <w:numId w:val="7"/>
        </w:numPr>
      </w:pPr>
      <w:r>
        <w:t xml:space="preserve">Public Health Wales Observatory. (2011) </w:t>
      </w:r>
      <w:r>
        <w:rPr>
          <w:i/>
        </w:rPr>
        <w:t xml:space="preserve">Measuring Inequalities – Trends in Mortality and Life Expectancy in Merthyr Tydfil.  </w:t>
      </w:r>
      <w:r>
        <w:t xml:space="preserve">Available at: </w:t>
      </w:r>
      <w:hyperlink r:id="rId15" w:history="1">
        <w:r w:rsidRPr="00BD1A88">
          <w:rPr>
            <w:rStyle w:val="Hyperlink"/>
          </w:rPr>
          <w:t>http://www2.nphs.wales.nhs.uk:8080/PubHObservatoryProjDocs.nsf/public/69A0697E9FF0BDF08025795E00579BDA/$file/InequalitiesProfilesLA_MerthyrTydfil_v1.pdf</w:t>
        </w:r>
      </w:hyperlink>
      <w:r>
        <w:t xml:space="preserve"> (Accessed: 21 December 2018)</w:t>
      </w:r>
    </w:p>
    <w:p w14:paraId="74CFCE79" w14:textId="77777777" w:rsidR="00F81A28" w:rsidRPr="00F81A28" w:rsidRDefault="00F81A28" w:rsidP="00F81A28">
      <w:pPr>
        <w:rPr>
          <w:rFonts w:eastAsia="Times New Roman"/>
          <w:color w:val="000000"/>
          <w:shd w:val="clear" w:color="auto" w:fill="FFFFFF"/>
        </w:rPr>
      </w:pPr>
    </w:p>
    <w:p w14:paraId="7AC34DA1" w14:textId="1C7BD0E3" w:rsidR="00F81A28" w:rsidRPr="00F81A28" w:rsidRDefault="00F81A28" w:rsidP="00F81A28">
      <w:pPr>
        <w:pStyle w:val="ListParagraph"/>
        <w:numPr>
          <w:ilvl w:val="0"/>
          <w:numId w:val="7"/>
        </w:numPr>
      </w:pPr>
      <w:r>
        <w:rPr>
          <w:rFonts w:eastAsia="Times New Roman"/>
          <w:color w:val="000000"/>
          <w:shd w:val="clear" w:color="auto" w:fill="FFFFFF"/>
        </w:rPr>
        <w:t xml:space="preserve">Our Cwm </w:t>
      </w:r>
      <w:proofErr w:type="spellStart"/>
      <w:r>
        <w:rPr>
          <w:rFonts w:eastAsia="Times New Roman"/>
          <w:color w:val="000000"/>
          <w:shd w:val="clear" w:color="auto" w:fill="FFFFFF"/>
        </w:rPr>
        <w:t>Taf</w:t>
      </w:r>
      <w:proofErr w:type="spellEnd"/>
      <w:r>
        <w:rPr>
          <w:rFonts w:eastAsia="Times New Roman"/>
          <w:color w:val="000000"/>
          <w:shd w:val="clear" w:color="auto" w:fill="FFFFFF"/>
        </w:rPr>
        <w:t>. (2017</w:t>
      </w:r>
      <w:r w:rsidRPr="00F81A28">
        <w:rPr>
          <w:rFonts w:eastAsia="Times New Roman"/>
          <w:color w:val="000000"/>
          <w:shd w:val="clear" w:color="auto" w:fill="FFFFFF"/>
        </w:rPr>
        <w:t>). </w:t>
      </w:r>
      <w:r w:rsidRPr="00F81A28">
        <w:rPr>
          <w:rFonts w:eastAsia="Times New Roman"/>
          <w:i/>
          <w:iCs/>
          <w:color w:val="000000"/>
        </w:rPr>
        <w:t>Our Information</w:t>
      </w:r>
      <w:r w:rsidRPr="00F81A28">
        <w:rPr>
          <w:rFonts w:eastAsia="Times New Roman"/>
          <w:color w:val="000000"/>
          <w:shd w:val="clear" w:color="auto" w:fill="FFFFFF"/>
        </w:rPr>
        <w:t xml:space="preserve">. Available at: http://www.ourcwmtaf.wales/our-information </w:t>
      </w:r>
      <w:r>
        <w:rPr>
          <w:rFonts w:eastAsia="Times New Roman"/>
          <w:color w:val="000000"/>
          <w:shd w:val="clear" w:color="auto" w:fill="FFFFFF"/>
        </w:rPr>
        <w:t>(Accessed 28 Dec. 2018)</w:t>
      </w:r>
      <w:r w:rsidRPr="00F81A28">
        <w:rPr>
          <w:rFonts w:eastAsia="Times New Roman"/>
          <w:color w:val="000000"/>
          <w:shd w:val="clear" w:color="auto" w:fill="FFFFFF"/>
        </w:rPr>
        <w:t>.</w:t>
      </w:r>
    </w:p>
    <w:p w14:paraId="6E7CB068" w14:textId="77777777" w:rsidR="005659D1" w:rsidRDefault="005659D1" w:rsidP="005659D1"/>
    <w:p w14:paraId="2F203C13" w14:textId="3975925C" w:rsidR="005659D1" w:rsidRPr="002D5C2F" w:rsidRDefault="005659D1" w:rsidP="005659D1">
      <w:pPr>
        <w:pStyle w:val="ListParagraph"/>
        <w:numPr>
          <w:ilvl w:val="0"/>
          <w:numId w:val="7"/>
        </w:numPr>
      </w:pPr>
      <w:r w:rsidRPr="005659D1">
        <w:rPr>
          <w:rFonts w:eastAsia="Times New Roman"/>
          <w:color w:val="000000"/>
          <w:shd w:val="clear" w:color="auto" w:fill="FFFFFF"/>
        </w:rPr>
        <w:t>Black, D. (1980). </w:t>
      </w:r>
      <w:r w:rsidRPr="005659D1">
        <w:rPr>
          <w:rFonts w:eastAsia="Times New Roman"/>
          <w:i/>
          <w:iCs/>
          <w:color w:val="000000"/>
        </w:rPr>
        <w:t>Inequalities in health</w:t>
      </w:r>
      <w:r w:rsidRPr="005659D1">
        <w:rPr>
          <w:rFonts w:eastAsia="Times New Roman"/>
          <w:color w:val="000000"/>
          <w:shd w:val="clear" w:color="auto" w:fill="FFFFFF"/>
        </w:rPr>
        <w:t xml:space="preserve">. London: Department of Health and Social Security </w:t>
      </w:r>
    </w:p>
    <w:p w14:paraId="358DA521" w14:textId="77777777" w:rsidR="005659D1" w:rsidRDefault="005659D1" w:rsidP="000B1848"/>
    <w:p w14:paraId="497E27CD" w14:textId="77777777" w:rsidR="00783EAF" w:rsidRDefault="000B1848" w:rsidP="00783EAF">
      <w:pPr>
        <w:pStyle w:val="ListParagraph"/>
        <w:numPr>
          <w:ilvl w:val="0"/>
          <w:numId w:val="7"/>
        </w:numPr>
        <w:rPr>
          <w:rFonts w:eastAsia="Times New Roman"/>
          <w:color w:val="000000"/>
          <w:shd w:val="clear" w:color="auto" w:fill="FFFFFF"/>
        </w:rPr>
      </w:pPr>
      <w:r w:rsidRPr="005659D1">
        <w:rPr>
          <w:rFonts w:eastAsia="Times New Roman"/>
          <w:color w:val="000000"/>
          <w:shd w:val="clear" w:color="auto" w:fill="FFFFFF"/>
        </w:rPr>
        <w:t>National Audit Office. (2019). </w:t>
      </w:r>
      <w:r w:rsidRPr="005659D1">
        <w:rPr>
          <w:rFonts w:eastAsia="Times New Roman"/>
          <w:i/>
          <w:iCs/>
          <w:color w:val="000000"/>
        </w:rPr>
        <w:t>Rolling out Universal Credit - National Audit Office (NAO) Report</w:t>
      </w:r>
      <w:r w:rsidRPr="005659D1">
        <w:rPr>
          <w:rFonts w:eastAsia="Times New Roman"/>
          <w:color w:val="000000"/>
          <w:shd w:val="clear" w:color="auto" w:fill="FFFFFF"/>
        </w:rPr>
        <w:t>. Available at: https://www.nao.org.uk/report/rolling-out-universal-credit/ (Accessed 3 Jan. 2019).</w:t>
      </w:r>
      <w:r w:rsidR="002D5C2F" w:rsidRPr="005659D1">
        <w:rPr>
          <w:rFonts w:eastAsia="Times New Roman"/>
          <w:color w:val="000000"/>
          <w:shd w:val="clear" w:color="auto" w:fill="FFFFFF"/>
        </w:rPr>
        <w:t xml:space="preserve"> </w:t>
      </w:r>
    </w:p>
    <w:p w14:paraId="6308A55E" w14:textId="77777777" w:rsidR="00783EAF" w:rsidRPr="00783EAF" w:rsidRDefault="00783EAF" w:rsidP="00783EAF">
      <w:pPr>
        <w:rPr>
          <w:rFonts w:eastAsia="Times New Roman"/>
          <w:color w:val="000000"/>
          <w:shd w:val="clear" w:color="auto" w:fill="FFFFFF"/>
        </w:rPr>
      </w:pPr>
    </w:p>
    <w:p w14:paraId="003000BB" w14:textId="07C9C7F5" w:rsidR="00783EAF" w:rsidRDefault="00783EAF" w:rsidP="00783EAF">
      <w:pPr>
        <w:pStyle w:val="ListParagraph"/>
        <w:numPr>
          <w:ilvl w:val="0"/>
          <w:numId w:val="7"/>
        </w:numPr>
        <w:rPr>
          <w:rFonts w:eastAsia="Times New Roman"/>
          <w:color w:val="000000"/>
          <w:shd w:val="clear" w:color="auto" w:fill="FFFFFF"/>
        </w:rPr>
      </w:pPr>
      <w:r w:rsidRPr="00783EAF">
        <w:rPr>
          <w:rFonts w:eastAsia="Times New Roman"/>
          <w:color w:val="000000"/>
          <w:shd w:val="clear" w:color="auto" w:fill="FFFFFF"/>
        </w:rPr>
        <w:t>Public Health Wales Observatory. (2017). </w:t>
      </w:r>
      <w:r w:rsidRPr="00783EAF">
        <w:rPr>
          <w:rFonts w:eastAsia="Times New Roman"/>
          <w:i/>
          <w:iCs/>
          <w:color w:val="000000"/>
        </w:rPr>
        <w:t>Public Health Wales Observatory | Cardiovascular disease - Wales data</w:t>
      </w:r>
      <w:r w:rsidRPr="00783EAF">
        <w:rPr>
          <w:rFonts w:eastAsia="Times New Roman"/>
          <w:color w:val="000000"/>
          <w:shd w:val="clear" w:color="auto" w:fill="FFFFFF"/>
        </w:rPr>
        <w:t xml:space="preserve">. Available at: </w:t>
      </w:r>
      <w:bookmarkEnd w:id="0"/>
      <w:r w:rsidRPr="00783EAF">
        <w:rPr>
          <w:rFonts w:eastAsia="Times New Roman"/>
          <w:color w:val="000000"/>
          <w:shd w:val="clear" w:color="auto" w:fill="FFFFFF"/>
        </w:rPr>
        <w:t>http://www.publichealthwalesobservatory.wales.nhs.uk/wales-data-cvd#Refs (Accessed 20 Dec. 2018).</w:t>
      </w:r>
    </w:p>
    <w:p w14:paraId="54AAF9AA" w14:textId="77777777" w:rsidR="00611D4E" w:rsidRPr="00611D4E" w:rsidRDefault="00611D4E" w:rsidP="00611D4E">
      <w:pPr>
        <w:rPr>
          <w:rFonts w:eastAsia="Times New Roman"/>
          <w:color w:val="000000"/>
          <w:shd w:val="clear" w:color="auto" w:fill="FFFFFF"/>
        </w:rPr>
      </w:pPr>
    </w:p>
    <w:p w14:paraId="65C1BE36" w14:textId="35102A3C" w:rsidR="00611D4E" w:rsidRPr="00F60051" w:rsidRDefault="00611D4E" w:rsidP="00783EAF">
      <w:pPr>
        <w:pStyle w:val="ListParagraph"/>
        <w:numPr>
          <w:ilvl w:val="0"/>
          <w:numId w:val="7"/>
        </w:numPr>
        <w:rPr>
          <w:rFonts w:eastAsia="Times New Roman"/>
          <w:i/>
          <w:color w:val="000000"/>
          <w:shd w:val="clear" w:color="auto" w:fill="FFFFFF"/>
        </w:rPr>
      </w:pPr>
      <w:proofErr w:type="spellStart"/>
      <w:r>
        <w:rPr>
          <w:rFonts w:eastAsia="Times New Roman"/>
          <w:color w:val="000000"/>
          <w:shd w:val="clear" w:color="auto" w:fill="FFFFFF"/>
        </w:rPr>
        <w:t>Hywel</w:t>
      </w:r>
      <w:proofErr w:type="spellEnd"/>
      <w:r>
        <w:rPr>
          <w:rFonts w:eastAsia="Times New Roman"/>
          <w:color w:val="000000"/>
          <w:shd w:val="clear" w:color="auto" w:fill="FFFFFF"/>
        </w:rPr>
        <w:t xml:space="preserve"> </w:t>
      </w:r>
      <w:proofErr w:type="spellStart"/>
      <w:r>
        <w:rPr>
          <w:rFonts w:eastAsia="Times New Roman"/>
          <w:color w:val="000000"/>
          <w:shd w:val="clear" w:color="auto" w:fill="FFFFFF"/>
        </w:rPr>
        <w:t>Dda</w:t>
      </w:r>
      <w:proofErr w:type="spellEnd"/>
      <w:r>
        <w:rPr>
          <w:rFonts w:eastAsia="Times New Roman"/>
          <w:color w:val="000000"/>
          <w:shd w:val="clear" w:color="auto" w:fill="FFFFFF"/>
        </w:rPr>
        <w:t xml:space="preserve"> University Health Board. (2016) </w:t>
      </w:r>
      <w:proofErr w:type="spellStart"/>
      <w:r w:rsidR="004F4676" w:rsidRPr="004F4676">
        <w:rPr>
          <w:rFonts w:eastAsia="Times New Roman"/>
          <w:i/>
          <w:color w:val="000000"/>
          <w:shd w:val="clear" w:color="auto" w:fill="FFFFFF"/>
        </w:rPr>
        <w:t>Hywel</w:t>
      </w:r>
      <w:proofErr w:type="spellEnd"/>
      <w:r w:rsidR="004F4676" w:rsidRPr="004F4676">
        <w:rPr>
          <w:rFonts w:eastAsia="Times New Roman"/>
          <w:i/>
          <w:color w:val="000000"/>
          <w:shd w:val="clear" w:color="auto" w:fill="FFFFFF"/>
        </w:rPr>
        <w:t xml:space="preserve"> </w:t>
      </w:r>
      <w:proofErr w:type="spellStart"/>
      <w:r w:rsidR="004F4676" w:rsidRPr="004F4676">
        <w:rPr>
          <w:rFonts w:eastAsia="Times New Roman"/>
          <w:i/>
          <w:color w:val="000000"/>
          <w:shd w:val="clear" w:color="auto" w:fill="FFFFFF"/>
        </w:rPr>
        <w:t>Dda</w:t>
      </w:r>
      <w:proofErr w:type="spellEnd"/>
      <w:r w:rsidR="004F4676" w:rsidRPr="004F4676">
        <w:rPr>
          <w:rFonts w:eastAsia="Times New Roman"/>
          <w:i/>
          <w:color w:val="000000"/>
          <w:shd w:val="clear" w:color="auto" w:fill="FFFFFF"/>
        </w:rPr>
        <w:t xml:space="preserve"> K</w:t>
      </w:r>
      <w:r w:rsidR="008B388E">
        <w:rPr>
          <w:rFonts w:eastAsia="Times New Roman"/>
          <w:i/>
          <w:color w:val="000000"/>
          <w:shd w:val="clear" w:color="auto" w:fill="FFFFFF"/>
        </w:rPr>
        <w:t xml:space="preserve">ey Population Statistics </w:t>
      </w:r>
      <w:proofErr w:type="gramStart"/>
      <w:r w:rsidR="008B388E">
        <w:rPr>
          <w:rFonts w:eastAsia="Times New Roman"/>
          <w:i/>
          <w:color w:val="000000"/>
          <w:shd w:val="clear" w:color="auto" w:fill="FFFFFF"/>
        </w:rPr>
        <w:t xml:space="preserve">Summary, </w:t>
      </w:r>
      <w:r w:rsidR="004F4676">
        <w:rPr>
          <w:rFonts w:eastAsia="Times New Roman"/>
          <w:i/>
          <w:color w:val="000000"/>
          <w:shd w:val="clear" w:color="auto" w:fill="FFFFFF"/>
        </w:rPr>
        <w:t xml:space="preserve"> </w:t>
      </w:r>
      <w:r w:rsidR="00650ACD">
        <w:rPr>
          <w:rFonts w:eastAsia="Times New Roman"/>
          <w:color w:val="000000"/>
          <w:shd w:val="clear" w:color="auto" w:fill="FFFFFF"/>
        </w:rPr>
        <w:t>pp.</w:t>
      </w:r>
      <w:proofErr w:type="gramEnd"/>
      <w:r w:rsidR="00650ACD">
        <w:rPr>
          <w:rFonts w:eastAsia="Times New Roman"/>
          <w:color w:val="000000"/>
          <w:shd w:val="clear" w:color="auto" w:fill="FFFFFF"/>
        </w:rPr>
        <w:t xml:space="preserve"> 21-23</w:t>
      </w:r>
    </w:p>
    <w:p w14:paraId="34643B76" w14:textId="77777777" w:rsidR="00F60051" w:rsidRPr="00F60051" w:rsidRDefault="00F60051" w:rsidP="00F60051">
      <w:pPr>
        <w:rPr>
          <w:rFonts w:eastAsia="Times New Roman"/>
          <w:i/>
          <w:color w:val="000000"/>
          <w:shd w:val="clear" w:color="auto" w:fill="FFFFFF"/>
        </w:rPr>
      </w:pPr>
    </w:p>
    <w:p w14:paraId="4D7248EB" w14:textId="3C78EE08" w:rsidR="00F60051" w:rsidRPr="008300F3" w:rsidRDefault="00F60051" w:rsidP="00783EAF">
      <w:pPr>
        <w:pStyle w:val="ListParagraph"/>
        <w:numPr>
          <w:ilvl w:val="0"/>
          <w:numId w:val="7"/>
        </w:numPr>
        <w:rPr>
          <w:rFonts w:eastAsia="Times New Roman"/>
          <w:color w:val="000000"/>
          <w:shd w:val="clear" w:color="auto" w:fill="FFFFFF"/>
        </w:rPr>
      </w:pPr>
      <w:r w:rsidRPr="008300F3">
        <w:rPr>
          <w:rFonts w:eastAsia="Times New Roman"/>
          <w:color w:val="000000"/>
          <w:shd w:val="clear" w:color="auto" w:fill="FFFFFF"/>
        </w:rPr>
        <w:t>Alston, P. (2018). United Nations Special Rapporteur on extreme poverty and human rights. London</w:t>
      </w:r>
      <w:r w:rsidR="002D1094" w:rsidRPr="008300F3">
        <w:rPr>
          <w:rFonts w:eastAsia="Times New Roman"/>
          <w:color w:val="000000"/>
          <w:shd w:val="clear" w:color="auto" w:fill="FFFFFF"/>
        </w:rPr>
        <w:t>. pp. 7-22.</w:t>
      </w:r>
    </w:p>
    <w:p w14:paraId="320520FD" w14:textId="77777777" w:rsidR="008300F3" w:rsidRPr="008300F3" w:rsidRDefault="008300F3" w:rsidP="008300F3">
      <w:pPr>
        <w:rPr>
          <w:rFonts w:eastAsia="Times New Roman"/>
          <w:color w:val="000000"/>
          <w:shd w:val="clear" w:color="auto" w:fill="FFFFFF"/>
        </w:rPr>
      </w:pPr>
    </w:p>
    <w:p w14:paraId="236342C4" w14:textId="28927926" w:rsidR="008300F3" w:rsidRDefault="008300F3" w:rsidP="00783EAF">
      <w:pPr>
        <w:pStyle w:val="ListParagraph"/>
        <w:numPr>
          <w:ilvl w:val="0"/>
          <w:numId w:val="7"/>
        </w:numPr>
        <w:rPr>
          <w:rFonts w:eastAsia="Times New Roman"/>
          <w:color w:val="000000"/>
          <w:shd w:val="clear" w:color="auto" w:fill="FFFFFF"/>
        </w:rPr>
      </w:pPr>
      <w:r>
        <w:rPr>
          <w:rFonts w:eastAsia="Times New Roman"/>
          <w:color w:val="000000"/>
          <w:shd w:val="clear" w:color="auto" w:fill="FFFFFF"/>
        </w:rPr>
        <w:t xml:space="preserve">Barnard, H. (2018) </w:t>
      </w:r>
      <w:r>
        <w:rPr>
          <w:rFonts w:eastAsia="Times New Roman"/>
          <w:i/>
          <w:color w:val="000000"/>
          <w:shd w:val="clear" w:color="auto" w:fill="FFFFFF"/>
        </w:rPr>
        <w:t xml:space="preserve">Poverty in Wales, 2018. </w:t>
      </w:r>
      <w:r>
        <w:rPr>
          <w:rFonts w:eastAsia="Times New Roman"/>
          <w:color w:val="000000"/>
          <w:shd w:val="clear" w:color="auto" w:fill="FFFFFF"/>
        </w:rPr>
        <w:t>London: Joseph Rowntree Foundation</w:t>
      </w:r>
      <w:r w:rsidR="00867852">
        <w:rPr>
          <w:rFonts w:eastAsia="Times New Roman"/>
          <w:color w:val="000000"/>
          <w:shd w:val="clear" w:color="auto" w:fill="FFFFFF"/>
        </w:rPr>
        <w:t>.</w:t>
      </w:r>
    </w:p>
    <w:p w14:paraId="18E6D316" w14:textId="77777777" w:rsidR="009009BC" w:rsidRPr="009009BC" w:rsidRDefault="009009BC" w:rsidP="009009BC">
      <w:pPr>
        <w:rPr>
          <w:rFonts w:eastAsia="Times New Roman"/>
          <w:color w:val="000000"/>
          <w:shd w:val="clear" w:color="auto" w:fill="FFFFFF"/>
        </w:rPr>
      </w:pPr>
    </w:p>
    <w:p w14:paraId="69438C49" w14:textId="20A7080C" w:rsidR="00095D3C" w:rsidRDefault="009009BC" w:rsidP="00095D3C">
      <w:pPr>
        <w:pStyle w:val="ListParagraph"/>
        <w:numPr>
          <w:ilvl w:val="0"/>
          <w:numId w:val="7"/>
        </w:numPr>
        <w:rPr>
          <w:rFonts w:eastAsia="Times New Roman"/>
          <w:color w:val="000000"/>
          <w:shd w:val="clear" w:color="auto" w:fill="FFFFFF"/>
        </w:rPr>
      </w:pPr>
      <w:r>
        <w:rPr>
          <w:rFonts w:eastAsia="Times New Roman"/>
          <w:color w:val="000000"/>
          <w:shd w:val="clear" w:color="auto" w:fill="FFFFFF"/>
        </w:rPr>
        <w:t xml:space="preserve">M, Marmot. (2010). </w:t>
      </w:r>
      <w:r w:rsidR="00095D3C">
        <w:rPr>
          <w:rFonts w:eastAsia="Times New Roman"/>
          <w:i/>
          <w:color w:val="000000"/>
          <w:shd w:val="clear" w:color="auto" w:fill="FFFFFF"/>
        </w:rPr>
        <w:t xml:space="preserve">Fair society, healthy lives: strategic review of health inequalities in England post 2010. </w:t>
      </w:r>
      <w:r w:rsidR="00095D3C">
        <w:rPr>
          <w:rFonts w:eastAsia="Times New Roman"/>
          <w:color w:val="000000"/>
          <w:shd w:val="clear" w:color="auto" w:fill="FFFFFF"/>
        </w:rPr>
        <w:t>London: The Marmot Review</w:t>
      </w:r>
    </w:p>
    <w:p w14:paraId="24500BEB" w14:textId="77777777" w:rsidR="00225A7D" w:rsidRPr="00225A7D" w:rsidRDefault="00225A7D" w:rsidP="00225A7D">
      <w:pPr>
        <w:rPr>
          <w:rFonts w:eastAsia="Times New Roman"/>
          <w:color w:val="000000"/>
          <w:shd w:val="clear" w:color="auto" w:fill="FFFFFF"/>
        </w:rPr>
      </w:pPr>
    </w:p>
    <w:p w14:paraId="3BDCE528" w14:textId="4E0F28AB" w:rsidR="00225A7D" w:rsidRDefault="00225A7D" w:rsidP="00095D3C">
      <w:pPr>
        <w:pStyle w:val="ListParagraph"/>
        <w:numPr>
          <w:ilvl w:val="0"/>
          <w:numId w:val="7"/>
        </w:numPr>
        <w:rPr>
          <w:rFonts w:eastAsia="Times New Roman"/>
          <w:color w:val="000000"/>
          <w:shd w:val="clear" w:color="auto" w:fill="FFFFFF"/>
        </w:rPr>
      </w:pPr>
      <w:r>
        <w:rPr>
          <w:rFonts w:eastAsia="Times New Roman"/>
          <w:color w:val="000000"/>
          <w:shd w:val="clear" w:color="auto" w:fill="FFFFFF"/>
        </w:rPr>
        <w:t xml:space="preserve">Phillips, T. </w:t>
      </w:r>
      <w:r>
        <w:rPr>
          <w:rFonts w:eastAsia="Times New Roman"/>
          <w:i/>
          <w:color w:val="000000"/>
          <w:shd w:val="clear" w:color="auto" w:fill="FFFFFF"/>
        </w:rPr>
        <w:t xml:space="preserve">et al. </w:t>
      </w:r>
      <w:r>
        <w:rPr>
          <w:rFonts w:eastAsia="Times New Roman"/>
          <w:color w:val="000000"/>
          <w:shd w:val="clear" w:color="auto" w:fill="FFFFFF"/>
        </w:rPr>
        <w:t xml:space="preserve">(2010) </w:t>
      </w:r>
      <w:r>
        <w:rPr>
          <w:rFonts w:eastAsia="Times New Roman"/>
          <w:i/>
          <w:color w:val="000000"/>
          <w:shd w:val="clear" w:color="auto" w:fill="FFFFFF"/>
        </w:rPr>
        <w:t xml:space="preserve">How Fair Is Britain? Equality, Human Rights and Good Relation in 2010, </w:t>
      </w:r>
      <w:r w:rsidR="00B47839">
        <w:rPr>
          <w:rFonts w:eastAsia="Times New Roman"/>
          <w:color w:val="000000"/>
          <w:shd w:val="clear" w:color="auto" w:fill="FFFFFF"/>
        </w:rPr>
        <w:t>London: Equality and Human Rights Commission.</w:t>
      </w:r>
    </w:p>
    <w:p w14:paraId="49E6220E" w14:textId="77777777" w:rsidR="00511E8C" w:rsidRPr="00511E8C" w:rsidRDefault="00511E8C" w:rsidP="00511E8C">
      <w:pPr>
        <w:rPr>
          <w:rFonts w:eastAsia="Times New Roman"/>
          <w:color w:val="000000"/>
          <w:shd w:val="clear" w:color="auto" w:fill="FFFFFF"/>
        </w:rPr>
      </w:pPr>
    </w:p>
    <w:p w14:paraId="1FD8594A" w14:textId="3A84D7DF" w:rsidR="00511E8C" w:rsidRPr="00095D3C" w:rsidRDefault="00511E8C" w:rsidP="00095D3C">
      <w:pPr>
        <w:pStyle w:val="ListParagraph"/>
        <w:numPr>
          <w:ilvl w:val="0"/>
          <w:numId w:val="7"/>
        </w:numPr>
        <w:rPr>
          <w:rFonts w:eastAsia="Times New Roman"/>
          <w:color w:val="000000"/>
          <w:shd w:val="clear" w:color="auto" w:fill="FFFFFF"/>
        </w:rPr>
      </w:pPr>
      <w:r>
        <w:rPr>
          <w:rFonts w:eastAsia="Times New Roman"/>
          <w:color w:val="000000"/>
          <w:shd w:val="clear" w:color="auto" w:fill="FFFFFF"/>
        </w:rPr>
        <w:t>Chapman, G. (</w:t>
      </w:r>
      <w:r w:rsidR="00BD3242">
        <w:rPr>
          <w:rFonts w:eastAsia="Times New Roman"/>
          <w:color w:val="000000"/>
          <w:shd w:val="clear" w:color="auto" w:fill="FFFFFF"/>
        </w:rPr>
        <w:t xml:space="preserve">2018) </w:t>
      </w:r>
      <w:r w:rsidR="00BD3242">
        <w:rPr>
          <w:rFonts w:eastAsia="Times New Roman"/>
          <w:i/>
          <w:color w:val="000000"/>
          <w:shd w:val="clear" w:color="auto" w:fill="FFFFFF"/>
        </w:rPr>
        <w:t xml:space="preserve">Wellbeing Statement. </w:t>
      </w:r>
      <w:r w:rsidR="00BD3242">
        <w:rPr>
          <w:rFonts w:eastAsia="Times New Roman"/>
          <w:color w:val="000000"/>
          <w:shd w:val="clear" w:color="auto" w:fill="FFFFFF"/>
        </w:rPr>
        <w:t>Merthyr Tydfil: MTCBC</w:t>
      </w:r>
    </w:p>
    <w:p w14:paraId="26170CE6" w14:textId="77777777" w:rsidR="005659D1" w:rsidRPr="005659D1" w:rsidRDefault="005659D1" w:rsidP="000B1848">
      <w:pPr>
        <w:rPr>
          <w:rFonts w:eastAsia="Times New Roman"/>
          <w:color w:val="000000"/>
          <w:shd w:val="clear" w:color="auto" w:fill="FFFFFF"/>
        </w:rPr>
      </w:pPr>
    </w:p>
    <w:p w14:paraId="5767FC22" w14:textId="183BB3BA" w:rsidR="007B6922" w:rsidRPr="00783EAF" w:rsidRDefault="007B6922" w:rsidP="005659D1">
      <w:pPr>
        <w:pStyle w:val="ListParagraph"/>
        <w:numPr>
          <w:ilvl w:val="0"/>
          <w:numId w:val="7"/>
        </w:numPr>
        <w:spacing w:after="0" w:line="240" w:lineRule="auto"/>
        <w:rPr>
          <w:rFonts w:eastAsia="Times New Roman"/>
        </w:rPr>
      </w:pPr>
      <w:r w:rsidRPr="005659D1">
        <w:rPr>
          <w:rFonts w:eastAsia="Times New Roman"/>
          <w:color w:val="333333"/>
          <w:shd w:val="clear" w:color="auto" w:fill="FFFFFF"/>
        </w:rPr>
        <w:t>British Heart Foundation</w:t>
      </w:r>
      <w:r w:rsidR="002D5C2F" w:rsidRPr="005659D1">
        <w:rPr>
          <w:rFonts w:eastAsia="Times New Roman"/>
          <w:color w:val="333333"/>
          <w:shd w:val="clear" w:color="auto" w:fill="FFFFFF"/>
        </w:rPr>
        <w:t>. (2007)</w:t>
      </w:r>
      <w:r w:rsidRPr="005659D1">
        <w:rPr>
          <w:rFonts w:eastAsia="Times New Roman"/>
          <w:color w:val="333333"/>
          <w:shd w:val="clear" w:color="auto" w:fill="FFFFFF"/>
        </w:rPr>
        <w:t>. </w:t>
      </w:r>
      <w:r w:rsidRPr="005659D1">
        <w:rPr>
          <w:rFonts w:eastAsia="Times New Roman"/>
          <w:i/>
          <w:iCs/>
          <w:color w:val="333333"/>
          <w:bdr w:val="none" w:sz="0" w:space="0" w:color="auto" w:frame="1"/>
        </w:rPr>
        <w:t>Coronary heart disease statistics</w:t>
      </w:r>
      <w:r w:rsidRPr="005659D1">
        <w:rPr>
          <w:rFonts w:eastAsia="Times New Roman"/>
          <w:color w:val="333333"/>
          <w:shd w:val="clear" w:color="auto" w:fill="FFFFFF"/>
        </w:rPr>
        <w:t>. London: BHF</w:t>
      </w:r>
      <w:r w:rsidR="002D5C2F" w:rsidRPr="005659D1">
        <w:rPr>
          <w:rFonts w:eastAsia="Times New Roman"/>
          <w:color w:val="333333"/>
          <w:shd w:val="clear" w:color="auto" w:fill="FFFFFF"/>
        </w:rPr>
        <w:t xml:space="preserve">. </w:t>
      </w:r>
    </w:p>
    <w:p w14:paraId="756A3341" w14:textId="77777777" w:rsidR="00783EAF" w:rsidRPr="00783EAF" w:rsidRDefault="00783EAF" w:rsidP="00783EAF">
      <w:pPr>
        <w:spacing w:after="0" w:line="240" w:lineRule="auto"/>
        <w:rPr>
          <w:rFonts w:eastAsia="Times New Roman"/>
        </w:rPr>
      </w:pPr>
    </w:p>
    <w:p w14:paraId="19237B8A" w14:textId="77777777" w:rsidR="007B6922" w:rsidRPr="002F6BDA" w:rsidRDefault="007B6922" w:rsidP="00F3263C"/>
    <w:sectPr w:rsidR="007B6922" w:rsidRPr="002F6BD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C6226A4" w14:textId="77777777" w:rsidR="000E2DB8" w:rsidRDefault="000E2DB8" w:rsidP="00F81A28">
      <w:pPr>
        <w:spacing w:after="0" w:line="240" w:lineRule="auto"/>
      </w:pPr>
      <w:r>
        <w:separator/>
      </w:r>
    </w:p>
  </w:endnote>
  <w:endnote w:type="continuationSeparator" w:id="0">
    <w:p w14:paraId="2BD0EE46" w14:textId="77777777" w:rsidR="000E2DB8" w:rsidRDefault="000E2DB8" w:rsidP="00F81A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ＭＳ ゴシック">
    <w:charset w:val="80"/>
    <w:family w:val="auto"/>
    <w:pitch w:val="variable"/>
    <w:sig w:usb0="E00002FF" w:usb1="6AC7FDFB" w:usb2="08000012" w:usb3="00000000" w:csb0="0002009F" w:csb1="00000000"/>
  </w:font>
  <w:font w:name="Verdana">
    <w:panose1 w:val="020B0604030504040204"/>
    <w:charset w:val="00"/>
    <w:family w:val="auto"/>
    <w:pitch w:val="variable"/>
    <w:sig w:usb0="A10006FF" w:usb1="4000205B" w:usb2="00000010" w:usb3="00000000" w:csb0="0000019F" w:csb1="00000000"/>
  </w:font>
  <w:font w:name="Lucida Grande">
    <w:panose1 w:val="020B0600040502020204"/>
    <w:charset w:val="00"/>
    <w:family w:val="auto"/>
    <w:pitch w:val="variable"/>
    <w:sig w:usb0="E1000AEF" w:usb1="5000A1FF" w:usb2="00000000" w:usb3="00000000" w:csb0="000001BF" w:csb1="00000000"/>
  </w:font>
  <w:font w:name="Arial,Bold">
    <w:altName w:val="Times New Roman"/>
    <w:panose1 w:val="00000000000000000000"/>
    <w:charset w:val="00"/>
    <w:family w:val="roman"/>
    <w:notTrueType/>
    <w:pitch w:val="default"/>
  </w:font>
  <w:font w:name="AdvPS6EC0">
    <w:altName w:val="Times New Roman"/>
    <w:panose1 w:val="00000000000000000000"/>
    <w:charset w:val="00"/>
    <w:family w:val="roman"/>
    <w:notTrueType/>
    <w:pitch w:val="default"/>
  </w:font>
  <w:font w:name="Arial">
    <w:panose1 w:val="020B0604020202020204"/>
    <w:charset w:val="00"/>
    <w:family w:val="auto"/>
    <w:pitch w:val="variable"/>
    <w:sig w:usb0="E0002AFF" w:usb1="C0007843" w:usb2="00000009" w:usb3="00000000" w:csb0="000001FF" w:csb1="00000000"/>
  </w:font>
  <w:font w:name="ＭＳ 明朝">
    <w:charset w:val="80"/>
    <w:family w:val="auto"/>
    <w:pitch w:val="variable"/>
    <w:sig w:usb0="E00002FF" w:usb1="6AC7FDFB" w:usb2="08000012" w:usb3="00000000" w:csb0="0002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AB6E478" w14:textId="77777777" w:rsidR="000E2DB8" w:rsidRDefault="000E2DB8" w:rsidP="00F81A28">
      <w:pPr>
        <w:spacing w:after="0" w:line="240" w:lineRule="auto"/>
      </w:pPr>
      <w:r>
        <w:separator/>
      </w:r>
    </w:p>
  </w:footnote>
  <w:footnote w:type="continuationSeparator" w:id="0">
    <w:p w14:paraId="226C1510" w14:textId="77777777" w:rsidR="000E2DB8" w:rsidRDefault="000E2DB8" w:rsidP="00F81A28">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371503A"/>
    <w:multiLevelType w:val="multilevel"/>
    <w:tmpl w:val="F574F3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24423DEF"/>
    <w:multiLevelType w:val="multilevel"/>
    <w:tmpl w:val="71D6C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437803CC"/>
    <w:multiLevelType w:val="multilevel"/>
    <w:tmpl w:val="BDDAD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4ECE79D8"/>
    <w:multiLevelType w:val="hybridMultilevel"/>
    <w:tmpl w:val="4C2EF5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516B4AFE"/>
    <w:multiLevelType w:val="multilevel"/>
    <w:tmpl w:val="62EEB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593D4AAA"/>
    <w:multiLevelType w:val="multilevel"/>
    <w:tmpl w:val="424AA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5D555BFC"/>
    <w:multiLevelType w:val="hybridMultilevel"/>
    <w:tmpl w:val="2168EA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607B130A"/>
    <w:multiLevelType w:val="hybridMultilevel"/>
    <w:tmpl w:val="224C36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
  </w:num>
  <w:num w:numId="3">
    <w:abstractNumId w:val="3"/>
  </w:num>
  <w:num w:numId="4">
    <w:abstractNumId w:val="7"/>
  </w:num>
  <w:num w:numId="5">
    <w:abstractNumId w:val="2"/>
  </w:num>
  <w:num w:numId="6">
    <w:abstractNumId w:val="5"/>
  </w:num>
  <w:num w:numId="7">
    <w:abstractNumId w:val="6"/>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9"/>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D44CB"/>
    <w:rsid w:val="00003B59"/>
    <w:rsid w:val="00005779"/>
    <w:rsid w:val="00007059"/>
    <w:rsid w:val="00013ED1"/>
    <w:rsid w:val="00026ABC"/>
    <w:rsid w:val="00027039"/>
    <w:rsid w:val="00031E0B"/>
    <w:rsid w:val="00031FD3"/>
    <w:rsid w:val="00037149"/>
    <w:rsid w:val="000418A3"/>
    <w:rsid w:val="00044C73"/>
    <w:rsid w:val="000475A5"/>
    <w:rsid w:val="00052F16"/>
    <w:rsid w:val="00062687"/>
    <w:rsid w:val="00062E4B"/>
    <w:rsid w:val="0007587B"/>
    <w:rsid w:val="000776CE"/>
    <w:rsid w:val="000779E8"/>
    <w:rsid w:val="000848B3"/>
    <w:rsid w:val="00084A91"/>
    <w:rsid w:val="00085B1D"/>
    <w:rsid w:val="00086A01"/>
    <w:rsid w:val="0009228B"/>
    <w:rsid w:val="00095D3C"/>
    <w:rsid w:val="00096803"/>
    <w:rsid w:val="000A174B"/>
    <w:rsid w:val="000B1848"/>
    <w:rsid w:val="000B4669"/>
    <w:rsid w:val="000C2D00"/>
    <w:rsid w:val="000C3D9E"/>
    <w:rsid w:val="000C4000"/>
    <w:rsid w:val="000D44CB"/>
    <w:rsid w:val="000E2DB8"/>
    <w:rsid w:val="0010031E"/>
    <w:rsid w:val="00111D44"/>
    <w:rsid w:val="00112649"/>
    <w:rsid w:val="00112C19"/>
    <w:rsid w:val="00116459"/>
    <w:rsid w:val="00117559"/>
    <w:rsid w:val="00117B52"/>
    <w:rsid w:val="00117B5A"/>
    <w:rsid w:val="00121FD8"/>
    <w:rsid w:val="00126069"/>
    <w:rsid w:val="00142BD2"/>
    <w:rsid w:val="00142D77"/>
    <w:rsid w:val="001557C7"/>
    <w:rsid w:val="001557E8"/>
    <w:rsid w:val="0016427A"/>
    <w:rsid w:val="001662B7"/>
    <w:rsid w:val="00170B79"/>
    <w:rsid w:val="001754CA"/>
    <w:rsid w:val="00175D47"/>
    <w:rsid w:val="0017725E"/>
    <w:rsid w:val="00180CC3"/>
    <w:rsid w:val="00180ECE"/>
    <w:rsid w:val="001919B6"/>
    <w:rsid w:val="0019441D"/>
    <w:rsid w:val="001A4A09"/>
    <w:rsid w:val="001A6D14"/>
    <w:rsid w:val="001B751A"/>
    <w:rsid w:val="001C1B1B"/>
    <w:rsid w:val="001D53E2"/>
    <w:rsid w:val="001E1DF7"/>
    <w:rsid w:val="001E2974"/>
    <w:rsid w:val="001E2D54"/>
    <w:rsid w:val="001E4EBD"/>
    <w:rsid w:val="001F0C9D"/>
    <w:rsid w:val="00204840"/>
    <w:rsid w:val="00223223"/>
    <w:rsid w:val="00225A7D"/>
    <w:rsid w:val="002268C5"/>
    <w:rsid w:val="002300A9"/>
    <w:rsid w:val="002360D3"/>
    <w:rsid w:val="002418C3"/>
    <w:rsid w:val="00241BEC"/>
    <w:rsid w:val="0024729E"/>
    <w:rsid w:val="002545E3"/>
    <w:rsid w:val="002621B1"/>
    <w:rsid w:val="00263F47"/>
    <w:rsid w:val="00264557"/>
    <w:rsid w:val="00265057"/>
    <w:rsid w:val="00273284"/>
    <w:rsid w:val="00277E5E"/>
    <w:rsid w:val="002809D5"/>
    <w:rsid w:val="00281878"/>
    <w:rsid w:val="002822E6"/>
    <w:rsid w:val="00295784"/>
    <w:rsid w:val="002964ED"/>
    <w:rsid w:val="002B5E4C"/>
    <w:rsid w:val="002D1094"/>
    <w:rsid w:val="002D56CD"/>
    <w:rsid w:val="002D5C2F"/>
    <w:rsid w:val="002E1D6E"/>
    <w:rsid w:val="002E2B8D"/>
    <w:rsid w:val="002E4FFF"/>
    <w:rsid w:val="002E5074"/>
    <w:rsid w:val="002F286F"/>
    <w:rsid w:val="002F40E9"/>
    <w:rsid w:val="002F6BDA"/>
    <w:rsid w:val="00301B59"/>
    <w:rsid w:val="00304AC9"/>
    <w:rsid w:val="00310909"/>
    <w:rsid w:val="00310B2C"/>
    <w:rsid w:val="0033215E"/>
    <w:rsid w:val="00334692"/>
    <w:rsid w:val="00335154"/>
    <w:rsid w:val="00342B5A"/>
    <w:rsid w:val="00343E4C"/>
    <w:rsid w:val="00345698"/>
    <w:rsid w:val="00346426"/>
    <w:rsid w:val="003544FA"/>
    <w:rsid w:val="003601FD"/>
    <w:rsid w:val="003645CE"/>
    <w:rsid w:val="003653D3"/>
    <w:rsid w:val="00370A94"/>
    <w:rsid w:val="00375F92"/>
    <w:rsid w:val="00381B0C"/>
    <w:rsid w:val="00393CFC"/>
    <w:rsid w:val="0039447F"/>
    <w:rsid w:val="0039750D"/>
    <w:rsid w:val="003A098B"/>
    <w:rsid w:val="003A2D21"/>
    <w:rsid w:val="003B54BD"/>
    <w:rsid w:val="003B68DE"/>
    <w:rsid w:val="003D6CFA"/>
    <w:rsid w:val="00400E77"/>
    <w:rsid w:val="00402CBE"/>
    <w:rsid w:val="004047E5"/>
    <w:rsid w:val="004300ED"/>
    <w:rsid w:val="00431C2C"/>
    <w:rsid w:val="00432D4F"/>
    <w:rsid w:val="00435EFF"/>
    <w:rsid w:val="004406AE"/>
    <w:rsid w:val="00442C8A"/>
    <w:rsid w:val="00443CF9"/>
    <w:rsid w:val="004447C1"/>
    <w:rsid w:val="00453FB3"/>
    <w:rsid w:val="00455A17"/>
    <w:rsid w:val="004762AB"/>
    <w:rsid w:val="00492262"/>
    <w:rsid w:val="0049378E"/>
    <w:rsid w:val="004A67F8"/>
    <w:rsid w:val="004B5314"/>
    <w:rsid w:val="004C0EAE"/>
    <w:rsid w:val="004C6680"/>
    <w:rsid w:val="004D0884"/>
    <w:rsid w:val="004D08B0"/>
    <w:rsid w:val="004D3253"/>
    <w:rsid w:val="004D6A78"/>
    <w:rsid w:val="004F0158"/>
    <w:rsid w:val="004F4676"/>
    <w:rsid w:val="004F6FD4"/>
    <w:rsid w:val="00500AA0"/>
    <w:rsid w:val="00501F3E"/>
    <w:rsid w:val="00510849"/>
    <w:rsid w:val="00511C2A"/>
    <w:rsid w:val="00511E8C"/>
    <w:rsid w:val="005147CD"/>
    <w:rsid w:val="005332B8"/>
    <w:rsid w:val="005342B7"/>
    <w:rsid w:val="005403AF"/>
    <w:rsid w:val="00541FA9"/>
    <w:rsid w:val="00545641"/>
    <w:rsid w:val="00564095"/>
    <w:rsid w:val="005659D1"/>
    <w:rsid w:val="0056715B"/>
    <w:rsid w:val="00567CBF"/>
    <w:rsid w:val="0057098D"/>
    <w:rsid w:val="005848FF"/>
    <w:rsid w:val="00585720"/>
    <w:rsid w:val="00595D5F"/>
    <w:rsid w:val="00597508"/>
    <w:rsid w:val="005A2C49"/>
    <w:rsid w:val="005A6140"/>
    <w:rsid w:val="005B1777"/>
    <w:rsid w:val="005B2573"/>
    <w:rsid w:val="005D0E5E"/>
    <w:rsid w:val="005D26ED"/>
    <w:rsid w:val="005E1D1C"/>
    <w:rsid w:val="005F1B8E"/>
    <w:rsid w:val="005F508B"/>
    <w:rsid w:val="005F671E"/>
    <w:rsid w:val="00607BF6"/>
    <w:rsid w:val="00610F55"/>
    <w:rsid w:val="00611D4E"/>
    <w:rsid w:val="0061392C"/>
    <w:rsid w:val="00616EC9"/>
    <w:rsid w:val="0062358C"/>
    <w:rsid w:val="00627A86"/>
    <w:rsid w:val="00630A4C"/>
    <w:rsid w:val="00633BC0"/>
    <w:rsid w:val="0064188F"/>
    <w:rsid w:val="00644BDD"/>
    <w:rsid w:val="00647B20"/>
    <w:rsid w:val="00650ACD"/>
    <w:rsid w:val="0067147E"/>
    <w:rsid w:val="00673D09"/>
    <w:rsid w:val="006762FB"/>
    <w:rsid w:val="0068099B"/>
    <w:rsid w:val="006833ED"/>
    <w:rsid w:val="00696634"/>
    <w:rsid w:val="006A3443"/>
    <w:rsid w:val="006B4812"/>
    <w:rsid w:val="006D2DA8"/>
    <w:rsid w:val="006D3111"/>
    <w:rsid w:val="006D41F9"/>
    <w:rsid w:val="006D4F2E"/>
    <w:rsid w:val="006F5719"/>
    <w:rsid w:val="0070497E"/>
    <w:rsid w:val="007061C7"/>
    <w:rsid w:val="007157BF"/>
    <w:rsid w:val="00723568"/>
    <w:rsid w:val="007545D5"/>
    <w:rsid w:val="00755598"/>
    <w:rsid w:val="0075568D"/>
    <w:rsid w:val="00766602"/>
    <w:rsid w:val="00772B6F"/>
    <w:rsid w:val="00782B0C"/>
    <w:rsid w:val="00783EAF"/>
    <w:rsid w:val="00786DC4"/>
    <w:rsid w:val="00792EE7"/>
    <w:rsid w:val="007A271D"/>
    <w:rsid w:val="007A4EB4"/>
    <w:rsid w:val="007B6922"/>
    <w:rsid w:val="007C2AD6"/>
    <w:rsid w:val="007C72C2"/>
    <w:rsid w:val="007D6DA5"/>
    <w:rsid w:val="007D7C86"/>
    <w:rsid w:val="007E02B4"/>
    <w:rsid w:val="007E5561"/>
    <w:rsid w:val="007F6129"/>
    <w:rsid w:val="00801DBC"/>
    <w:rsid w:val="008063BC"/>
    <w:rsid w:val="00811A68"/>
    <w:rsid w:val="008129CC"/>
    <w:rsid w:val="008222A3"/>
    <w:rsid w:val="00822D62"/>
    <w:rsid w:val="008300F3"/>
    <w:rsid w:val="00830652"/>
    <w:rsid w:val="00833719"/>
    <w:rsid w:val="00833EB2"/>
    <w:rsid w:val="008408CB"/>
    <w:rsid w:val="008414E5"/>
    <w:rsid w:val="00843D6F"/>
    <w:rsid w:val="00846D6A"/>
    <w:rsid w:val="00853FE3"/>
    <w:rsid w:val="0085458C"/>
    <w:rsid w:val="008614D4"/>
    <w:rsid w:val="00866B89"/>
    <w:rsid w:val="00866B91"/>
    <w:rsid w:val="00867852"/>
    <w:rsid w:val="00880B17"/>
    <w:rsid w:val="00883C6B"/>
    <w:rsid w:val="00884D70"/>
    <w:rsid w:val="00884EF5"/>
    <w:rsid w:val="008861AF"/>
    <w:rsid w:val="008A18E0"/>
    <w:rsid w:val="008A1A1A"/>
    <w:rsid w:val="008A2D87"/>
    <w:rsid w:val="008A30D0"/>
    <w:rsid w:val="008A35F0"/>
    <w:rsid w:val="008B2A74"/>
    <w:rsid w:val="008B388E"/>
    <w:rsid w:val="008E06CB"/>
    <w:rsid w:val="008F1DE3"/>
    <w:rsid w:val="008F3B56"/>
    <w:rsid w:val="009009BC"/>
    <w:rsid w:val="009108C2"/>
    <w:rsid w:val="00910CCB"/>
    <w:rsid w:val="009146AF"/>
    <w:rsid w:val="009161E8"/>
    <w:rsid w:val="00916772"/>
    <w:rsid w:val="009175E7"/>
    <w:rsid w:val="00923277"/>
    <w:rsid w:val="00924DBE"/>
    <w:rsid w:val="00930FED"/>
    <w:rsid w:val="00951CD2"/>
    <w:rsid w:val="0096001E"/>
    <w:rsid w:val="00962165"/>
    <w:rsid w:val="00963512"/>
    <w:rsid w:val="00963DD6"/>
    <w:rsid w:val="00964F46"/>
    <w:rsid w:val="00964F77"/>
    <w:rsid w:val="009658DF"/>
    <w:rsid w:val="0097652F"/>
    <w:rsid w:val="009768D7"/>
    <w:rsid w:val="00984BBF"/>
    <w:rsid w:val="0098695C"/>
    <w:rsid w:val="009933EC"/>
    <w:rsid w:val="009966D3"/>
    <w:rsid w:val="009A1825"/>
    <w:rsid w:val="009A1F00"/>
    <w:rsid w:val="009A4786"/>
    <w:rsid w:val="009A48AD"/>
    <w:rsid w:val="009A7E9E"/>
    <w:rsid w:val="009B352B"/>
    <w:rsid w:val="009B4AB2"/>
    <w:rsid w:val="009B5C0E"/>
    <w:rsid w:val="009C0784"/>
    <w:rsid w:val="009C59C6"/>
    <w:rsid w:val="009C7648"/>
    <w:rsid w:val="009E3573"/>
    <w:rsid w:val="009E42D9"/>
    <w:rsid w:val="009E7853"/>
    <w:rsid w:val="00A0225C"/>
    <w:rsid w:val="00A0497F"/>
    <w:rsid w:val="00A22439"/>
    <w:rsid w:val="00A27CA3"/>
    <w:rsid w:val="00A31623"/>
    <w:rsid w:val="00A352FB"/>
    <w:rsid w:val="00A4370A"/>
    <w:rsid w:val="00A43E91"/>
    <w:rsid w:val="00A45285"/>
    <w:rsid w:val="00A52780"/>
    <w:rsid w:val="00A550ED"/>
    <w:rsid w:val="00A772A3"/>
    <w:rsid w:val="00A933A1"/>
    <w:rsid w:val="00A9558A"/>
    <w:rsid w:val="00AA0448"/>
    <w:rsid w:val="00AA6CBD"/>
    <w:rsid w:val="00AB15D3"/>
    <w:rsid w:val="00AB1F83"/>
    <w:rsid w:val="00AB2F61"/>
    <w:rsid w:val="00AD17B2"/>
    <w:rsid w:val="00AE7155"/>
    <w:rsid w:val="00AF3470"/>
    <w:rsid w:val="00AF47F0"/>
    <w:rsid w:val="00AF7BFF"/>
    <w:rsid w:val="00B0092B"/>
    <w:rsid w:val="00B00E97"/>
    <w:rsid w:val="00B02576"/>
    <w:rsid w:val="00B1200F"/>
    <w:rsid w:val="00B131F2"/>
    <w:rsid w:val="00B1548A"/>
    <w:rsid w:val="00B16FA3"/>
    <w:rsid w:val="00B414EB"/>
    <w:rsid w:val="00B41E3E"/>
    <w:rsid w:val="00B4359F"/>
    <w:rsid w:val="00B44FFC"/>
    <w:rsid w:val="00B47839"/>
    <w:rsid w:val="00B70256"/>
    <w:rsid w:val="00B743EA"/>
    <w:rsid w:val="00B91FD0"/>
    <w:rsid w:val="00BA575F"/>
    <w:rsid w:val="00BB61BB"/>
    <w:rsid w:val="00BC4CC0"/>
    <w:rsid w:val="00BC6746"/>
    <w:rsid w:val="00BD3242"/>
    <w:rsid w:val="00BF494F"/>
    <w:rsid w:val="00BF6E5A"/>
    <w:rsid w:val="00C01E64"/>
    <w:rsid w:val="00C05311"/>
    <w:rsid w:val="00C054FE"/>
    <w:rsid w:val="00C06867"/>
    <w:rsid w:val="00C12253"/>
    <w:rsid w:val="00C13021"/>
    <w:rsid w:val="00C13CA6"/>
    <w:rsid w:val="00C15652"/>
    <w:rsid w:val="00C1721D"/>
    <w:rsid w:val="00C17786"/>
    <w:rsid w:val="00C24DD9"/>
    <w:rsid w:val="00C50610"/>
    <w:rsid w:val="00C55C68"/>
    <w:rsid w:val="00C65B5C"/>
    <w:rsid w:val="00C87587"/>
    <w:rsid w:val="00C92484"/>
    <w:rsid w:val="00CA3A87"/>
    <w:rsid w:val="00CA6134"/>
    <w:rsid w:val="00CC4196"/>
    <w:rsid w:val="00CC4CDA"/>
    <w:rsid w:val="00CC6FE3"/>
    <w:rsid w:val="00CD3E86"/>
    <w:rsid w:val="00CD57D9"/>
    <w:rsid w:val="00CE167D"/>
    <w:rsid w:val="00CF4C80"/>
    <w:rsid w:val="00CF57A8"/>
    <w:rsid w:val="00D04009"/>
    <w:rsid w:val="00D22994"/>
    <w:rsid w:val="00D27E13"/>
    <w:rsid w:val="00D32794"/>
    <w:rsid w:val="00D33A8C"/>
    <w:rsid w:val="00D363F5"/>
    <w:rsid w:val="00D44266"/>
    <w:rsid w:val="00D56CA2"/>
    <w:rsid w:val="00D60D1B"/>
    <w:rsid w:val="00D66EB5"/>
    <w:rsid w:val="00D7116A"/>
    <w:rsid w:val="00D7139C"/>
    <w:rsid w:val="00D770A2"/>
    <w:rsid w:val="00D830F3"/>
    <w:rsid w:val="00D85A09"/>
    <w:rsid w:val="00D85E9B"/>
    <w:rsid w:val="00D85FE4"/>
    <w:rsid w:val="00D913DE"/>
    <w:rsid w:val="00D93A9E"/>
    <w:rsid w:val="00DA2688"/>
    <w:rsid w:val="00DA2973"/>
    <w:rsid w:val="00DA31C5"/>
    <w:rsid w:val="00DA403C"/>
    <w:rsid w:val="00DA620F"/>
    <w:rsid w:val="00DB7556"/>
    <w:rsid w:val="00DC0527"/>
    <w:rsid w:val="00DC53B0"/>
    <w:rsid w:val="00DC5BE1"/>
    <w:rsid w:val="00DC6D75"/>
    <w:rsid w:val="00DD2CCA"/>
    <w:rsid w:val="00DD66E6"/>
    <w:rsid w:val="00DF39BD"/>
    <w:rsid w:val="00DF7446"/>
    <w:rsid w:val="00E02CDE"/>
    <w:rsid w:val="00E03D34"/>
    <w:rsid w:val="00E10701"/>
    <w:rsid w:val="00E10955"/>
    <w:rsid w:val="00E146B2"/>
    <w:rsid w:val="00E15BF7"/>
    <w:rsid w:val="00E21521"/>
    <w:rsid w:val="00E22EAC"/>
    <w:rsid w:val="00E26146"/>
    <w:rsid w:val="00E317BB"/>
    <w:rsid w:val="00E35BAB"/>
    <w:rsid w:val="00E361A4"/>
    <w:rsid w:val="00E37B03"/>
    <w:rsid w:val="00E451E4"/>
    <w:rsid w:val="00E45F4B"/>
    <w:rsid w:val="00E56635"/>
    <w:rsid w:val="00E63E7D"/>
    <w:rsid w:val="00E8230E"/>
    <w:rsid w:val="00E87EBE"/>
    <w:rsid w:val="00E9603D"/>
    <w:rsid w:val="00EA233F"/>
    <w:rsid w:val="00EC5BF0"/>
    <w:rsid w:val="00ED0E5F"/>
    <w:rsid w:val="00EF1CC0"/>
    <w:rsid w:val="00EF340A"/>
    <w:rsid w:val="00EF4594"/>
    <w:rsid w:val="00F003E5"/>
    <w:rsid w:val="00F06370"/>
    <w:rsid w:val="00F14FC0"/>
    <w:rsid w:val="00F2513D"/>
    <w:rsid w:val="00F25D2A"/>
    <w:rsid w:val="00F3041F"/>
    <w:rsid w:val="00F3263C"/>
    <w:rsid w:val="00F440C0"/>
    <w:rsid w:val="00F47805"/>
    <w:rsid w:val="00F52013"/>
    <w:rsid w:val="00F53BB6"/>
    <w:rsid w:val="00F60051"/>
    <w:rsid w:val="00F6149F"/>
    <w:rsid w:val="00F61B4F"/>
    <w:rsid w:val="00F61BC6"/>
    <w:rsid w:val="00F625AC"/>
    <w:rsid w:val="00F627BC"/>
    <w:rsid w:val="00F65730"/>
    <w:rsid w:val="00F65C7D"/>
    <w:rsid w:val="00F71A6D"/>
    <w:rsid w:val="00F81A28"/>
    <w:rsid w:val="00F862E8"/>
    <w:rsid w:val="00F93481"/>
    <w:rsid w:val="00FA6908"/>
    <w:rsid w:val="00FB1018"/>
    <w:rsid w:val="00FB49E6"/>
    <w:rsid w:val="00FC10E1"/>
    <w:rsid w:val="00FC1BF5"/>
    <w:rsid w:val="00FC71AA"/>
    <w:rsid w:val="00FD4AE0"/>
    <w:rsid w:val="00FD62F5"/>
    <w:rsid w:val="00FE0ED0"/>
    <w:rsid w:val="00FE7126"/>
    <w:rsid w:val="00FE7AE4"/>
    <w:rsid w:val="00FF00C3"/>
    <w:rsid w:val="00FF02EC"/>
    <w:rsid w:val="00FF18F9"/>
    <w:rsid w:val="00FF1D77"/>
    <w:rsid w:val="00FF5AEF"/>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A79084E"/>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933EC"/>
    <w:rPr>
      <w:rFonts w:ascii="Times New Roman" w:hAnsi="Times New Roman" w:cs="Times New Roman"/>
      <w:sz w:val="24"/>
      <w:szCs w:val="24"/>
      <w:lang w:eastAsia="en-GB"/>
    </w:rPr>
  </w:style>
  <w:style w:type="paragraph" w:styleId="Heading1">
    <w:name w:val="heading 1"/>
    <w:basedOn w:val="Normal"/>
    <w:next w:val="Normal"/>
    <w:link w:val="Heading1Char"/>
    <w:uiPriority w:val="9"/>
    <w:qFormat/>
    <w:rsid w:val="00A2243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0D44CB"/>
    <w:pPr>
      <w:spacing w:after="0" w:line="240" w:lineRule="auto"/>
    </w:pPr>
    <w:rPr>
      <w:rFonts w:ascii="Times New Roman" w:eastAsia="Times New Roman" w:hAnsi="Times New Roman" w:cs="Times New Roman"/>
      <w:sz w:val="20"/>
      <w:szCs w:val="20"/>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BA575F"/>
    <w:rPr>
      <w:color w:val="0563C1" w:themeColor="hyperlink"/>
      <w:u w:val="single"/>
    </w:rPr>
  </w:style>
  <w:style w:type="paragraph" w:customStyle="1" w:styleId="paradefault">
    <w:name w:val="paradefault"/>
    <w:basedOn w:val="Normal"/>
    <w:rsid w:val="0075568D"/>
    <w:pPr>
      <w:spacing w:before="30" w:after="90" w:line="240" w:lineRule="auto"/>
      <w:jc w:val="both"/>
    </w:pPr>
    <w:rPr>
      <w:rFonts w:ascii="Verdana" w:eastAsia="Times New Roman" w:hAnsi="Verdana"/>
      <w:color w:val="333333"/>
      <w:sz w:val="23"/>
      <w:szCs w:val="23"/>
    </w:rPr>
  </w:style>
  <w:style w:type="character" w:customStyle="1" w:styleId="Heading1Char">
    <w:name w:val="Heading 1 Char"/>
    <w:basedOn w:val="DefaultParagraphFont"/>
    <w:link w:val="Heading1"/>
    <w:uiPriority w:val="9"/>
    <w:rsid w:val="00A22439"/>
    <w:rPr>
      <w:rFonts w:asciiTheme="majorHAnsi" w:eastAsiaTheme="majorEastAsia" w:hAnsiTheme="majorHAnsi" w:cstheme="majorBidi"/>
      <w:color w:val="2E74B5" w:themeColor="accent1" w:themeShade="BF"/>
      <w:sz w:val="32"/>
      <w:szCs w:val="32"/>
    </w:rPr>
  </w:style>
  <w:style w:type="character" w:styleId="FollowedHyperlink">
    <w:name w:val="FollowedHyperlink"/>
    <w:basedOn w:val="DefaultParagraphFont"/>
    <w:uiPriority w:val="99"/>
    <w:semiHidden/>
    <w:unhideWhenUsed/>
    <w:rsid w:val="0010031E"/>
    <w:rPr>
      <w:color w:val="954F72" w:themeColor="followedHyperlink"/>
      <w:u w:val="single"/>
    </w:rPr>
  </w:style>
  <w:style w:type="character" w:styleId="CommentReference">
    <w:name w:val="annotation reference"/>
    <w:basedOn w:val="DefaultParagraphFont"/>
    <w:uiPriority w:val="99"/>
    <w:semiHidden/>
    <w:unhideWhenUsed/>
    <w:rsid w:val="00D7139C"/>
    <w:rPr>
      <w:sz w:val="18"/>
      <w:szCs w:val="18"/>
    </w:rPr>
  </w:style>
  <w:style w:type="paragraph" w:styleId="CommentText">
    <w:name w:val="annotation text"/>
    <w:basedOn w:val="Normal"/>
    <w:link w:val="CommentTextChar"/>
    <w:uiPriority w:val="99"/>
    <w:semiHidden/>
    <w:unhideWhenUsed/>
    <w:rsid w:val="00D7139C"/>
    <w:pPr>
      <w:spacing w:line="240" w:lineRule="auto"/>
    </w:pPr>
  </w:style>
  <w:style w:type="character" w:customStyle="1" w:styleId="CommentTextChar">
    <w:name w:val="Comment Text Char"/>
    <w:basedOn w:val="DefaultParagraphFont"/>
    <w:link w:val="CommentText"/>
    <w:uiPriority w:val="99"/>
    <w:semiHidden/>
    <w:rsid w:val="00D7139C"/>
    <w:rPr>
      <w:sz w:val="24"/>
      <w:szCs w:val="24"/>
    </w:rPr>
  </w:style>
  <w:style w:type="paragraph" w:styleId="CommentSubject">
    <w:name w:val="annotation subject"/>
    <w:basedOn w:val="CommentText"/>
    <w:next w:val="CommentText"/>
    <w:link w:val="CommentSubjectChar"/>
    <w:uiPriority w:val="99"/>
    <w:semiHidden/>
    <w:unhideWhenUsed/>
    <w:rsid w:val="00D7139C"/>
    <w:rPr>
      <w:b/>
      <w:bCs/>
      <w:sz w:val="20"/>
      <w:szCs w:val="20"/>
    </w:rPr>
  </w:style>
  <w:style w:type="character" w:customStyle="1" w:styleId="CommentSubjectChar">
    <w:name w:val="Comment Subject Char"/>
    <w:basedOn w:val="CommentTextChar"/>
    <w:link w:val="CommentSubject"/>
    <w:uiPriority w:val="99"/>
    <w:semiHidden/>
    <w:rsid w:val="00D7139C"/>
    <w:rPr>
      <w:b/>
      <w:bCs/>
      <w:sz w:val="20"/>
      <w:szCs w:val="20"/>
    </w:rPr>
  </w:style>
  <w:style w:type="paragraph" w:styleId="BalloonText">
    <w:name w:val="Balloon Text"/>
    <w:basedOn w:val="Normal"/>
    <w:link w:val="BalloonTextChar"/>
    <w:uiPriority w:val="99"/>
    <w:semiHidden/>
    <w:unhideWhenUsed/>
    <w:rsid w:val="00D7139C"/>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7139C"/>
    <w:rPr>
      <w:rFonts w:ascii="Lucida Grande" w:hAnsi="Lucida Grande" w:cs="Lucida Grande"/>
      <w:sz w:val="18"/>
      <w:szCs w:val="18"/>
    </w:rPr>
  </w:style>
  <w:style w:type="character" w:customStyle="1" w:styleId="apple-converted-space">
    <w:name w:val="apple-converted-space"/>
    <w:basedOn w:val="DefaultParagraphFont"/>
    <w:rsid w:val="007B6922"/>
  </w:style>
  <w:style w:type="character" w:customStyle="1" w:styleId="cit-source">
    <w:name w:val="cit-source"/>
    <w:basedOn w:val="DefaultParagraphFont"/>
    <w:rsid w:val="007B6922"/>
  </w:style>
  <w:style w:type="character" w:customStyle="1" w:styleId="cit-pub-date">
    <w:name w:val="cit-pub-date"/>
    <w:basedOn w:val="DefaultParagraphFont"/>
    <w:rsid w:val="007B6922"/>
  </w:style>
  <w:style w:type="paragraph" w:styleId="NormalWeb">
    <w:name w:val="Normal (Web)"/>
    <w:basedOn w:val="Normal"/>
    <w:uiPriority w:val="99"/>
    <w:unhideWhenUsed/>
    <w:rsid w:val="007B6922"/>
    <w:pPr>
      <w:spacing w:before="100" w:beforeAutospacing="1" w:after="100" w:afterAutospacing="1" w:line="240" w:lineRule="auto"/>
    </w:pPr>
  </w:style>
  <w:style w:type="paragraph" w:styleId="ListParagraph">
    <w:name w:val="List Paragraph"/>
    <w:basedOn w:val="Normal"/>
    <w:uiPriority w:val="34"/>
    <w:qFormat/>
    <w:rsid w:val="00D93A9E"/>
    <w:pPr>
      <w:ind w:left="720"/>
      <w:contextualSpacing/>
    </w:pPr>
  </w:style>
  <w:style w:type="paragraph" w:styleId="Header">
    <w:name w:val="header"/>
    <w:basedOn w:val="Normal"/>
    <w:link w:val="HeaderChar"/>
    <w:uiPriority w:val="99"/>
    <w:unhideWhenUsed/>
    <w:rsid w:val="00F81A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1A28"/>
    <w:rPr>
      <w:rFonts w:ascii="Times New Roman" w:hAnsi="Times New Roman" w:cs="Times New Roman"/>
      <w:sz w:val="24"/>
      <w:szCs w:val="24"/>
      <w:lang w:eastAsia="en-GB"/>
    </w:rPr>
  </w:style>
  <w:style w:type="paragraph" w:styleId="Footer">
    <w:name w:val="footer"/>
    <w:basedOn w:val="Normal"/>
    <w:link w:val="FooterChar"/>
    <w:uiPriority w:val="99"/>
    <w:unhideWhenUsed/>
    <w:rsid w:val="00F81A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1A28"/>
    <w:rPr>
      <w:rFonts w:ascii="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381120">
      <w:bodyDiv w:val="1"/>
      <w:marLeft w:val="0"/>
      <w:marRight w:val="0"/>
      <w:marTop w:val="0"/>
      <w:marBottom w:val="0"/>
      <w:divBdr>
        <w:top w:val="none" w:sz="0" w:space="0" w:color="auto"/>
        <w:left w:val="none" w:sz="0" w:space="0" w:color="auto"/>
        <w:bottom w:val="none" w:sz="0" w:space="0" w:color="auto"/>
        <w:right w:val="none" w:sz="0" w:space="0" w:color="auto"/>
      </w:divBdr>
      <w:divsChild>
        <w:div w:id="1001929845">
          <w:marLeft w:val="0"/>
          <w:marRight w:val="0"/>
          <w:marTop w:val="0"/>
          <w:marBottom w:val="0"/>
          <w:divBdr>
            <w:top w:val="none" w:sz="0" w:space="0" w:color="auto"/>
            <w:left w:val="none" w:sz="0" w:space="0" w:color="auto"/>
            <w:bottom w:val="none" w:sz="0" w:space="0" w:color="auto"/>
            <w:right w:val="none" w:sz="0" w:space="0" w:color="auto"/>
          </w:divBdr>
        </w:div>
        <w:div w:id="1719819869">
          <w:marLeft w:val="0"/>
          <w:marRight w:val="0"/>
          <w:marTop w:val="0"/>
          <w:marBottom w:val="0"/>
          <w:divBdr>
            <w:top w:val="none" w:sz="0" w:space="0" w:color="auto"/>
            <w:left w:val="none" w:sz="0" w:space="0" w:color="auto"/>
            <w:bottom w:val="none" w:sz="0" w:space="0" w:color="auto"/>
            <w:right w:val="none" w:sz="0" w:space="0" w:color="auto"/>
          </w:divBdr>
        </w:div>
      </w:divsChild>
    </w:div>
    <w:div w:id="51465197">
      <w:bodyDiv w:val="1"/>
      <w:marLeft w:val="0"/>
      <w:marRight w:val="0"/>
      <w:marTop w:val="0"/>
      <w:marBottom w:val="0"/>
      <w:divBdr>
        <w:top w:val="none" w:sz="0" w:space="0" w:color="auto"/>
        <w:left w:val="none" w:sz="0" w:space="0" w:color="auto"/>
        <w:bottom w:val="none" w:sz="0" w:space="0" w:color="auto"/>
        <w:right w:val="none" w:sz="0" w:space="0" w:color="auto"/>
      </w:divBdr>
      <w:divsChild>
        <w:div w:id="61106850">
          <w:marLeft w:val="0"/>
          <w:marRight w:val="0"/>
          <w:marTop w:val="0"/>
          <w:marBottom w:val="0"/>
          <w:divBdr>
            <w:top w:val="none" w:sz="0" w:space="0" w:color="auto"/>
            <w:left w:val="none" w:sz="0" w:space="0" w:color="auto"/>
            <w:bottom w:val="none" w:sz="0" w:space="0" w:color="auto"/>
            <w:right w:val="none" w:sz="0" w:space="0" w:color="auto"/>
          </w:divBdr>
          <w:divsChild>
            <w:div w:id="1310358086">
              <w:marLeft w:val="0"/>
              <w:marRight w:val="0"/>
              <w:marTop w:val="0"/>
              <w:marBottom w:val="0"/>
              <w:divBdr>
                <w:top w:val="none" w:sz="0" w:space="0" w:color="auto"/>
                <w:left w:val="none" w:sz="0" w:space="0" w:color="auto"/>
                <w:bottom w:val="none" w:sz="0" w:space="0" w:color="auto"/>
                <w:right w:val="none" w:sz="0" w:space="0" w:color="auto"/>
              </w:divBdr>
              <w:divsChild>
                <w:div w:id="536816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533983">
      <w:bodyDiv w:val="1"/>
      <w:marLeft w:val="0"/>
      <w:marRight w:val="0"/>
      <w:marTop w:val="0"/>
      <w:marBottom w:val="0"/>
      <w:divBdr>
        <w:top w:val="none" w:sz="0" w:space="0" w:color="auto"/>
        <w:left w:val="none" w:sz="0" w:space="0" w:color="auto"/>
        <w:bottom w:val="none" w:sz="0" w:space="0" w:color="auto"/>
        <w:right w:val="none" w:sz="0" w:space="0" w:color="auto"/>
      </w:divBdr>
      <w:divsChild>
        <w:div w:id="52123567">
          <w:marLeft w:val="0"/>
          <w:marRight w:val="0"/>
          <w:marTop w:val="0"/>
          <w:marBottom w:val="0"/>
          <w:divBdr>
            <w:top w:val="none" w:sz="0" w:space="0" w:color="auto"/>
            <w:left w:val="none" w:sz="0" w:space="0" w:color="auto"/>
            <w:bottom w:val="none" w:sz="0" w:space="0" w:color="auto"/>
            <w:right w:val="none" w:sz="0" w:space="0" w:color="auto"/>
          </w:divBdr>
          <w:divsChild>
            <w:div w:id="704254153">
              <w:marLeft w:val="0"/>
              <w:marRight w:val="0"/>
              <w:marTop w:val="0"/>
              <w:marBottom w:val="0"/>
              <w:divBdr>
                <w:top w:val="none" w:sz="0" w:space="0" w:color="auto"/>
                <w:left w:val="none" w:sz="0" w:space="0" w:color="auto"/>
                <w:bottom w:val="none" w:sz="0" w:space="0" w:color="auto"/>
                <w:right w:val="none" w:sz="0" w:space="0" w:color="auto"/>
              </w:divBdr>
              <w:divsChild>
                <w:div w:id="1620793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441719">
      <w:bodyDiv w:val="1"/>
      <w:marLeft w:val="0"/>
      <w:marRight w:val="0"/>
      <w:marTop w:val="0"/>
      <w:marBottom w:val="0"/>
      <w:divBdr>
        <w:top w:val="none" w:sz="0" w:space="0" w:color="auto"/>
        <w:left w:val="none" w:sz="0" w:space="0" w:color="auto"/>
        <w:bottom w:val="none" w:sz="0" w:space="0" w:color="auto"/>
        <w:right w:val="none" w:sz="0" w:space="0" w:color="auto"/>
      </w:divBdr>
      <w:divsChild>
        <w:div w:id="1979069827">
          <w:marLeft w:val="0"/>
          <w:marRight w:val="0"/>
          <w:marTop w:val="0"/>
          <w:marBottom w:val="0"/>
          <w:divBdr>
            <w:top w:val="none" w:sz="0" w:space="0" w:color="auto"/>
            <w:left w:val="none" w:sz="0" w:space="0" w:color="auto"/>
            <w:bottom w:val="none" w:sz="0" w:space="0" w:color="auto"/>
            <w:right w:val="none" w:sz="0" w:space="0" w:color="auto"/>
          </w:divBdr>
          <w:divsChild>
            <w:div w:id="1144855163">
              <w:marLeft w:val="0"/>
              <w:marRight w:val="0"/>
              <w:marTop w:val="0"/>
              <w:marBottom w:val="0"/>
              <w:divBdr>
                <w:top w:val="none" w:sz="0" w:space="0" w:color="auto"/>
                <w:left w:val="none" w:sz="0" w:space="0" w:color="auto"/>
                <w:bottom w:val="none" w:sz="0" w:space="0" w:color="auto"/>
                <w:right w:val="none" w:sz="0" w:space="0" w:color="auto"/>
              </w:divBdr>
              <w:divsChild>
                <w:div w:id="1978147404">
                  <w:marLeft w:val="0"/>
                  <w:marRight w:val="0"/>
                  <w:marTop w:val="0"/>
                  <w:marBottom w:val="0"/>
                  <w:divBdr>
                    <w:top w:val="none" w:sz="0" w:space="0" w:color="auto"/>
                    <w:left w:val="none" w:sz="0" w:space="0" w:color="auto"/>
                    <w:bottom w:val="none" w:sz="0" w:space="0" w:color="auto"/>
                    <w:right w:val="none" w:sz="0" w:space="0" w:color="auto"/>
                  </w:divBdr>
                  <w:divsChild>
                    <w:div w:id="1380664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136257">
      <w:bodyDiv w:val="1"/>
      <w:marLeft w:val="0"/>
      <w:marRight w:val="0"/>
      <w:marTop w:val="0"/>
      <w:marBottom w:val="0"/>
      <w:divBdr>
        <w:top w:val="none" w:sz="0" w:space="0" w:color="auto"/>
        <w:left w:val="none" w:sz="0" w:space="0" w:color="auto"/>
        <w:bottom w:val="none" w:sz="0" w:space="0" w:color="auto"/>
        <w:right w:val="none" w:sz="0" w:space="0" w:color="auto"/>
      </w:divBdr>
      <w:divsChild>
        <w:div w:id="948195581">
          <w:marLeft w:val="0"/>
          <w:marRight w:val="0"/>
          <w:marTop w:val="0"/>
          <w:marBottom w:val="0"/>
          <w:divBdr>
            <w:top w:val="none" w:sz="0" w:space="0" w:color="auto"/>
            <w:left w:val="none" w:sz="0" w:space="0" w:color="auto"/>
            <w:bottom w:val="none" w:sz="0" w:space="0" w:color="auto"/>
            <w:right w:val="none" w:sz="0" w:space="0" w:color="auto"/>
          </w:divBdr>
          <w:divsChild>
            <w:div w:id="951474984">
              <w:marLeft w:val="0"/>
              <w:marRight w:val="0"/>
              <w:marTop w:val="0"/>
              <w:marBottom w:val="0"/>
              <w:divBdr>
                <w:top w:val="none" w:sz="0" w:space="0" w:color="auto"/>
                <w:left w:val="none" w:sz="0" w:space="0" w:color="auto"/>
                <w:bottom w:val="none" w:sz="0" w:space="0" w:color="auto"/>
                <w:right w:val="none" w:sz="0" w:space="0" w:color="auto"/>
              </w:divBdr>
            </w:div>
            <w:div w:id="1133325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024052">
      <w:bodyDiv w:val="1"/>
      <w:marLeft w:val="0"/>
      <w:marRight w:val="0"/>
      <w:marTop w:val="0"/>
      <w:marBottom w:val="0"/>
      <w:divBdr>
        <w:top w:val="none" w:sz="0" w:space="0" w:color="auto"/>
        <w:left w:val="none" w:sz="0" w:space="0" w:color="auto"/>
        <w:bottom w:val="none" w:sz="0" w:space="0" w:color="auto"/>
        <w:right w:val="none" w:sz="0" w:space="0" w:color="auto"/>
      </w:divBdr>
    </w:div>
    <w:div w:id="202447938">
      <w:bodyDiv w:val="1"/>
      <w:marLeft w:val="0"/>
      <w:marRight w:val="0"/>
      <w:marTop w:val="0"/>
      <w:marBottom w:val="0"/>
      <w:divBdr>
        <w:top w:val="none" w:sz="0" w:space="0" w:color="auto"/>
        <w:left w:val="none" w:sz="0" w:space="0" w:color="auto"/>
        <w:bottom w:val="none" w:sz="0" w:space="0" w:color="auto"/>
        <w:right w:val="none" w:sz="0" w:space="0" w:color="auto"/>
      </w:divBdr>
      <w:divsChild>
        <w:div w:id="205024202">
          <w:marLeft w:val="0"/>
          <w:marRight w:val="0"/>
          <w:marTop w:val="0"/>
          <w:marBottom w:val="0"/>
          <w:divBdr>
            <w:top w:val="none" w:sz="0" w:space="0" w:color="auto"/>
            <w:left w:val="none" w:sz="0" w:space="0" w:color="auto"/>
            <w:bottom w:val="none" w:sz="0" w:space="0" w:color="auto"/>
            <w:right w:val="none" w:sz="0" w:space="0" w:color="auto"/>
          </w:divBdr>
          <w:divsChild>
            <w:div w:id="206141696">
              <w:marLeft w:val="0"/>
              <w:marRight w:val="0"/>
              <w:marTop w:val="0"/>
              <w:marBottom w:val="0"/>
              <w:divBdr>
                <w:top w:val="none" w:sz="0" w:space="0" w:color="auto"/>
                <w:left w:val="none" w:sz="0" w:space="0" w:color="auto"/>
                <w:bottom w:val="none" w:sz="0" w:space="0" w:color="auto"/>
                <w:right w:val="none" w:sz="0" w:space="0" w:color="auto"/>
              </w:divBdr>
              <w:divsChild>
                <w:div w:id="159584174">
                  <w:marLeft w:val="0"/>
                  <w:marRight w:val="0"/>
                  <w:marTop w:val="0"/>
                  <w:marBottom w:val="0"/>
                  <w:divBdr>
                    <w:top w:val="none" w:sz="0" w:space="0" w:color="auto"/>
                    <w:left w:val="none" w:sz="0" w:space="0" w:color="auto"/>
                    <w:bottom w:val="none" w:sz="0" w:space="0" w:color="auto"/>
                    <w:right w:val="none" w:sz="0" w:space="0" w:color="auto"/>
                  </w:divBdr>
                </w:div>
              </w:divsChild>
            </w:div>
            <w:div w:id="1422599251">
              <w:marLeft w:val="0"/>
              <w:marRight w:val="0"/>
              <w:marTop w:val="0"/>
              <w:marBottom w:val="0"/>
              <w:divBdr>
                <w:top w:val="none" w:sz="0" w:space="0" w:color="auto"/>
                <w:left w:val="none" w:sz="0" w:space="0" w:color="auto"/>
                <w:bottom w:val="none" w:sz="0" w:space="0" w:color="auto"/>
                <w:right w:val="none" w:sz="0" w:space="0" w:color="auto"/>
              </w:divBdr>
              <w:divsChild>
                <w:div w:id="702677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3580355">
          <w:marLeft w:val="0"/>
          <w:marRight w:val="0"/>
          <w:marTop w:val="0"/>
          <w:marBottom w:val="0"/>
          <w:divBdr>
            <w:top w:val="none" w:sz="0" w:space="0" w:color="auto"/>
            <w:left w:val="none" w:sz="0" w:space="0" w:color="auto"/>
            <w:bottom w:val="none" w:sz="0" w:space="0" w:color="auto"/>
            <w:right w:val="none" w:sz="0" w:space="0" w:color="auto"/>
          </w:divBdr>
          <w:divsChild>
            <w:div w:id="926232163">
              <w:marLeft w:val="0"/>
              <w:marRight w:val="0"/>
              <w:marTop w:val="0"/>
              <w:marBottom w:val="0"/>
              <w:divBdr>
                <w:top w:val="none" w:sz="0" w:space="0" w:color="auto"/>
                <w:left w:val="none" w:sz="0" w:space="0" w:color="auto"/>
                <w:bottom w:val="none" w:sz="0" w:space="0" w:color="auto"/>
                <w:right w:val="none" w:sz="0" w:space="0" w:color="auto"/>
              </w:divBdr>
              <w:divsChild>
                <w:div w:id="1522669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8775678">
      <w:bodyDiv w:val="1"/>
      <w:marLeft w:val="0"/>
      <w:marRight w:val="0"/>
      <w:marTop w:val="0"/>
      <w:marBottom w:val="0"/>
      <w:divBdr>
        <w:top w:val="none" w:sz="0" w:space="0" w:color="auto"/>
        <w:left w:val="none" w:sz="0" w:space="0" w:color="auto"/>
        <w:bottom w:val="none" w:sz="0" w:space="0" w:color="auto"/>
        <w:right w:val="none" w:sz="0" w:space="0" w:color="auto"/>
      </w:divBdr>
      <w:divsChild>
        <w:div w:id="1694645036">
          <w:marLeft w:val="0"/>
          <w:marRight w:val="0"/>
          <w:marTop w:val="0"/>
          <w:marBottom w:val="0"/>
          <w:divBdr>
            <w:top w:val="none" w:sz="0" w:space="0" w:color="auto"/>
            <w:left w:val="none" w:sz="0" w:space="0" w:color="auto"/>
            <w:bottom w:val="none" w:sz="0" w:space="0" w:color="auto"/>
            <w:right w:val="none" w:sz="0" w:space="0" w:color="auto"/>
          </w:divBdr>
          <w:divsChild>
            <w:div w:id="1246299255">
              <w:marLeft w:val="0"/>
              <w:marRight w:val="0"/>
              <w:marTop w:val="0"/>
              <w:marBottom w:val="0"/>
              <w:divBdr>
                <w:top w:val="none" w:sz="0" w:space="0" w:color="auto"/>
                <w:left w:val="none" w:sz="0" w:space="0" w:color="auto"/>
                <w:bottom w:val="none" w:sz="0" w:space="0" w:color="auto"/>
                <w:right w:val="none" w:sz="0" w:space="0" w:color="auto"/>
              </w:divBdr>
              <w:divsChild>
                <w:div w:id="2077050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5435331">
      <w:bodyDiv w:val="1"/>
      <w:marLeft w:val="0"/>
      <w:marRight w:val="0"/>
      <w:marTop w:val="0"/>
      <w:marBottom w:val="0"/>
      <w:divBdr>
        <w:top w:val="none" w:sz="0" w:space="0" w:color="auto"/>
        <w:left w:val="none" w:sz="0" w:space="0" w:color="auto"/>
        <w:bottom w:val="none" w:sz="0" w:space="0" w:color="auto"/>
        <w:right w:val="none" w:sz="0" w:space="0" w:color="auto"/>
      </w:divBdr>
      <w:divsChild>
        <w:div w:id="1565943922">
          <w:marLeft w:val="0"/>
          <w:marRight w:val="0"/>
          <w:marTop w:val="0"/>
          <w:marBottom w:val="0"/>
          <w:divBdr>
            <w:top w:val="none" w:sz="0" w:space="0" w:color="auto"/>
            <w:left w:val="none" w:sz="0" w:space="0" w:color="auto"/>
            <w:bottom w:val="none" w:sz="0" w:space="0" w:color="auto"/>
            <w:right w:val="none" w:sz="0" w:space="0" w:color="auto"/>
          </w:divBdr>
          <w:divsChild>
            <w:div w:id="1899433283">
              <w:marLeft w:val="0"/>
              <w:marRight w:val="0"/>
              <w:marTop w:val="0"/>
              <w:marBottom w:val="0"/>
              <w:divBdr>
                <w:top w:val="none" w:sz="0" w:space="0" w:color="auto"/>
                <w:left w:val="none" w:sz="0" w:space="0" w:color="auto"/>
                <w:bottom w:val="none" w:sz="0" w:space="0" w:color="auto"/>
                <w:right w:val="none" w:sz="0" w:space="0" w:color="auto"/>
              </w:divBdr>
              <w:divsChild>
                <w:div w:id="1023750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9986891">
      <w:bodyDiv w:val="1"/>
      <w:marLeft w:val="0"/>
      <w:marRight w:val="0"/>
      <w:marTop w:val="0"/>
      <w:marBottom w:val="0"/>
      <w:divBdr>
        <w:top w:val="none" w:sz="0" w:space="0" w:color="auto"/>
        <w:left w:val="none" w:sz="0" w:space="0" w:color="auto"/>
        <w:bottom w:val="none" w:sz="0" w:space="0" w:color="auto"/>
        <w:right w:val="none" w:sz="0" w:space="0" w:color="auto"/>
      </w:divBdr>
      <w:divsChild>
        <w:div w:id="1402097946">
          <w:marLeft w:val="0"/>
          <w:marRight w:val="0"/>
          <w:marTop w:val="0"/>
          <w:marBottom w:val="0"/>
          <w:divBdr>
            <w:top w:val="none" w:sz="0" w:space="0" w:color="auto"/>
            <w:left w:val="none" w:sz="0" w:space="0" w:color="auto"/>
            <w:bottom w:val="none" w:sz="0" w:space="0" w:color="auto"/>
            <w:right w:val="none" w:sz="0" w:space="0" w:color="auto"/>
          </w:divBdr>
        </w:div>
        <w:div w:id="1492018806">
          <w:marLeft w:val="0"/>
          <w:marRight w:val="0"/>
          <w:marTop w:val="0"/>
          <w:marBottom w:val="0"/>
          <w:divBdr>
            <w:top w:val="none" w:sz="0" w:space="0" w:color="auto"/>
            <w:left w:val="none" w:sz="0" w:space="0" w:color="auto"/>
            <w:bottom w:val="none" w:sz="0" w:space="0" w:color="auto"/>
            <w:right w:val="none" w:sz="0" w:space="0" w:color="auto"/>
          </w:divBdr>
        </w:div>
        <w:div w:id="1966039387">
          <w:marLeft w:val="0"/>
          <w:marRight w:val="0"/>
          <w:marTop w:val="0"/>
          <w:marBottom w:val="0"/>
          <w:divBdr>
            <w:top w:val="none" w:sz="0" w:space="0" w:color="auto"/>
            <w:left w:val="none" w:sz="0" w:space="0" w:color="auto"/>
            <w:bottom w:val="none" w:sz="0" w:space="0" w:color="auto"/>
            <w:right w:val="none" w:sz="0" w:space="0" w:color="auto"/>
          </w:divBdr>
        </w:div>
      </w:divsChild>
    </w:div>
    <w:div w:id="313726736">
      <w:bodyDiv w:val="1"/>
      <w:marLeft w:val="0"/>
      <w:marRight w:val="0"/>
      <w:marTop w:val="0"/>
      <w:marBottom w:val="0"/>
      <w:divBdr>
        <w:top w:val="none" w:sz="0" w:space="0" w:color="auto"/>
        <w:left w:val="none" w:sz="0" w:space="0" w:color="auto"/>
        <w:bottom w:val="none" w:sz="0" w:space="0" w:color="auto"/>
        <w:right w:val="none" w:sz="0" w:space="0" w:color="auto"/>
      </w:divBdr>
      <w:divsChild>
        <w:div w:id="1229532467">
          <w:marLeft w:val="0"/>
          <w:marRight w:val="0"/>
          <w:marTop w:val="0"/>
          <w:marBottom w:val="0"/>
          <w:divBdr>
            <w:top w:val="none" w:sz="0" w:space="0" w:color="auto"/>
            <w:left w:val="none" w:sz="0" w:space="0" w:color="auto"/>
            <w:bottom w:val="none" w:sz="0" w:space="0" w:color="auto"/>
            <w:right w:val="none" w:sz="0" w:space="0" w:color="auto"/>
          </w:divBdr>
          <w:divsChild>
            <w:div w:id="573321665">
              <w:marLeft w:val="0"/>
              <w:marRight w:val="0"/>
              <w:marTop w:val="0"/>
              <w:marBottom w:val="0"/>
              <w:divBdr>
                <w:top w:val="none" w:sz="0" w:space="0" w:color="auto"/>
                <w:left w:val="none" w:sz="0" w:space="0" w:color="auto"/>
                <w:bottom w:val="none" w:sz="0" w:space="0" w:color="auto"/>
                <w:right w:val="none" w:sz="0" w:space="0" w:color="auto"/>
              </w:divBdr>
              <w:divsChild>
                <w:div w:id="767847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9408343">
      <w:bodyDiv w:val="1"/>
      <w:marLeft w:val="0"/>
      <w:marRight w:val="0"/>
      <w:marTop w:val="0"/>
      <w:marBottom w:val="0"/>
      <w:divBdr>
        <w:top w:val="none" w:sz="0" w:space="0" w:color="auto"/>
        <w:left w:val="none" w:sz="0" w:space="0" w:color="auto"/>
        <w:bottom w:val="none" w:sz="0" w:space="0" w:color="auto"/>
        <w:right w:val="none" w:sz="0" w:space="0" w:color="auto"/>
      </w:divBdr>
    </w:div>
    <w:div w:id="336812779">
      <w:bodyDiv w:val="1"/>
      <w:marLeft w:val="0"/>
      <w:marRight w:val="0"/>
      <w:marTop w:val="0"/>
      <w:marBottom w:val="0"/>
      <w:divBdr>
        <w:top w:val="none" w:sz="0" w:space="0" w:color="auto"/>
        <w:left w:val="none" w:sz="0" w:space="0" w:color="auto"/>
        <w:bottom w:val="none" w:sz="0" w:space="0" w:color="auto"/>
        <w:right w:val="none" w:sz="0" w:space="0" w:color="auto"/>
      </w:divBdr>
      <w:divsChild>
        <w:div w:id="1513497449">
          <w:marLeft w:val="0"/>
          <w:marRight w:val="0"/>
          <w:marTop w:val="0"/>
          <w:marBottom w:val="0"/>
          <w:divBdr>
            <w:top w:val="none" w:sz="0" w:space="0" w:color="auto"/>
            <w:left w:val="none" w:sz="0" w:space="0" w:color="auto"/>
            <w:bottom w:val="none" w:sz="0" w:space="0" w:color="auto"/>
            <w:right w:val="none" w:sz="0" w:space="0" w:color="auto"/>
          </w:divBdr>
          <w:divsChild>
            <w:div w:id="1534227586">
              <w:marLeft w:val="0"/>
              <w:marRight w:val="0"/>
              <w:marTop w:val="0"/>
              <w:marBottom w:val="0"/>
              <w:divBdr>
                <w:top w:val="none" w:sz="0" w:space="0" w:color="auto"/>
                <w:left w:val="none" w:sz="0" w:space="0" w:color="auto"/>
                <w:bottom w:val="none" w:sz="0" w:space="0" w:color="auto"/>
                <w:right w:val="none" w:sz="0" w:space="0" w:color="auto"/>
              </w:divBdr>
              <w:divsChild>
                <w:div w:id="1612473217">
                  <w:marLeft w:val="0"/>
                  <w:marRight w:val="0"/>
                  <w:marTop w:val="0"/>
                  <w:marBottom w:val="0"/>
                  <w:divBdr>
                    <w:top w:val="none" w:sz="0" w:space="0" w:color="auto"/>
                    <w:left w:val="none" w:sz="0" w:space="0" w:color="auto"/>
                    <w:bottom w:val="none" w:sz="0" w:space="0" w:color="auto"/>
                    <w:right w:val="none" w:sz="0" w:space="0" w:color="auto"/>
                  </w:divBdr>
                  <w:divsChild>
                    <w:div w:id="1529485850">
                      <w:marLeft w:val="0"/>
                      <w:marRight w:val="0"/>
                      <w:marTop w:val="0"/>
                      <w:marBottom w:val="0"/>
                      <w:divBdr>
                        <w:top w:val="none" w:sz="0" w:space="0" w:color="auto"/>
                        <w:left w:val="none" w:sz="0" w:space="0" w:color="auto"/>
                        <w:bottom w:val="none" w:sz="0" w:space="0" w:color="auto"/>
                        <w:right w:val="none" w:sz="0" w:space="0" w:color="auto"/>
                      </w:divBdr>
                    </w:div>
                  </w:divsChild>
                </w:div>
                <w:div w:id="376318097">
                  <w:marLeft w:val="0"/>
                  <w:marRight w:val="0"/>
                  <w:marTop w:val="0"/>
                  <w:marBottom w:val="0"/>
                  <w:divBdr>
                    <w:top w:val="none" w:sz="0" w:space="0" w:color="auto"/>
                    <w:left w:val="none" w:sz="0" w:space="0" w:color="auto"/>
                    <w:bottom w:val="none" w:sz="0" w:space="0" w:color="auto"/>
                    <w:right w:val="none" w:sz="0" w:space="0" w:color="auto"/>
                  </w:divBdr>
                  <w:divsChild>
                    <w:div w:id="17127863">
                      <w:marLeft w:val="0"/>
                      <w:marRight w:val="0"/>
                      <w:marTop w:val="0"/>
                      <w:marBottom w:val="0"/>
                      <w:divBdr>
                        <w:top w:val="none" w:sz="0" w:space="0" w:color="auto"/>
                        <w:left w:val="none" w:sz="0" w:space="0" w:color="auto"/>
                        <w:bottom w:val="none" w:sz="0" w:space="0" w:color="auto"/>
                        <w:right w:val="none" w:sz="0" w:space="0" w:color="auto"/>
                      </w:divBdr>
                    </w:div>
                    <w:div w:id="1721856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0036013">
      <w:bodyDiv w:val="1"/>
      <w:marLeft w:val="0"/>
      <w:marRight w:val="0"/>
      <w:marTop w:val="0"/>
      <w:marBottom w:val="0"/>
      <w:divBdr>
        <w:top w:val="none" w:sz="0" w:space="0" w:color="auto"/>
        <w:left w:val="none" w:sz="0" w:space="0" w:color="auto"/>
        <w:bottom w:val="none" w:sz="0" w:space="0" w:color="auto"/>
        <w:right w:val="none" w:sz="0" w:space="0" w:color="auto"/>
      </w:divBdr>
      <w:divsChild>
        <w:div w:id="1237714561">
          <w:marLeft w:val="0"/>
          <w:marRight w:val="0"/>
          <w:marTop w:val="0"/>
          <w:marBottom w:val="0"/>
          <w:divBdr>
            <w:top w:val="none" w:sz="0" w:space="0" w:color="auto"/>
            <w:left w:val="none" w:sz="0" w:space="0" w:color="auto"/>
            <w:bottom w:val="none" w:sz="0" w:space="0" w:color="auto"/>
            <w:right w:val="none" w:sz="0" w:space="0" w:color="auto"/>
          </w:divBdr>
          <w:divsChild>
            <w:div w:id="1955556288">
              <w:marLeft w:val="0"/>
              <w:marRight w:val="0"/>
              <w:marTop w:val="0"/>
              <w:marBottom w:val="0"/>
              <w:divBdr>
                <w:top w:val="none" w:sz="0" w:space="0" w:color="auto"/>
                <w:left w:val="none" w:sz="0" w:space="0" w:color="auto"/>
                <w:bottom w:val="none" w:sz="0" w:space="0" w:color="auto"/>
                <w:right w:val="none" w:sz="0" w:space="0" w:color="auto"/>
              </w:divBdr>
              <w:divsChild>
                <w:div w:id="447165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9864554">
      <w:bodyDiv w:val="1"/>
      <w:marLeft w:val="0"/>
      <w:marRight w:val="0"/>
      <w:marTop w:val="0"/>
      <w:marBottom w:val="0"/>
      <w:divBdr>
        <w:top w:val="none" w:sz="0" w:space="0" w:color="auto"/>
        <w:left w:val="none" w:sz="0" w:space="0" w:color="auto"/>
        <w:bottom w:val="none" w:sz="0" w:space="0" w:color="auto"/>
        <w:right w:val="none" w:sz="0" w:space="0" w:color="auto"/>
      </w:divBdr>
      <w:divsChild>
        <w:div w:id="196696181">
          <w:marLeft w:val="0"/>
          <w:marRight w:val="0"/>
          <w:marTop w:val="0"/>
          <w:marBottom w:val="0"/>
          <w:divBdr>
            <w:top w:val="none" w:sz="0" w:space="0" w:color="auto"/>
            <w:left w:val="none" w:sz="0" w:space="0" w:color="auto"/>
            <w:bottom w:val="none" w:sz="0" w:space="0" w:color="auto"/>
            <w:right w:val="none" w:sz="0" w:space="0" w:color="auto"/>
          </w:divBdr>
        </w:div>
      </w:divsChild>
    </w:div>
    <w:div w:id="407532221">
      <w:bodyDiv w:val="1"/>
      <w:marLeft w:val="0"/>
      <w:marRight w:val="0"/>
      <w:marTop w:val="0"/>
      <w:marBottom w:val="0"/>
      <w:divBdr>
        <w:top w:val="none" w:sz="0" w:space="0" w:color="auto"/>
        <w:left w:val="none" w:sz="0" w:space="0" w:color="auto"/>
        <w:bottom w:val="none" w:sz="0" w:space="0" w:color="auto"/>
        <w:right w:val="none" w:sz="0" w:space="0" w:color="auto"/>
      </w:divBdr>
      <w:divsChild>
        <w:div w:id="964312392">
          <w:marLeft w:val="0"/>
          <w:marRight w:val="0"/>
          <w:marTop w:val="0"/>
          <w:marBottom w:val="0"/>
          <w:divBdr>
            <w:top w:val="none" w:sz="0" w:space="0" w:color="auto"/>
            <w:left w:val="none" w:sz="0" w:space="0" w:color="auto"/>
            <w:bottom w:val="none" w:sz="0" w:space="0" w:color="auto"/>
            <w:right w:val="none" w:sz="0" w:space="0" w:color="auto"/>
          </w:divBdr>
          <w:divsChild>
            <w:div w:id="1462454175">
              <w:marLeft w:val="0"/>
              <w:marRight w:val="0"/>
              <w:marTop w:val="0"/>
              <w:marBottom w:val="0"/>
              <w:divBdr>
                <w:top w:val="none" w:sz="0" w:space="0" w:color="auto"/>
                <w:left w:val="none" w:sz="0" w:space="0" w:color="auto"/>
                <w:bottom w:val="none" w:sz="0" w:space="0" w:color="auto"/>
                <w:right w:val="none" w:sz="0" w:space="0" w:color="auto"/>
              </w:divBdr>
              <w:divsChild>
                <w:div w:id="1753433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6409717">
      <w:bodyDiv w:val="1"/>
      <w:marLeft w:val="0"/>
      <w:marRight w:val="0"/>
      <w:marTop w:val="0"/>
      <w:marBottom w:val="0"/>
      <w:divBdr>
        <w:top w:val="none" w:sz="0" w:space="0" w:color="auto"/>
        <w:left w:val="none" w:sz="0" w:space="0" w:color="auto"/>
        <w:bottom w:val="none" w:sz="0" w:space="0" w:color="auto"/>
        <w:right w:val="none" w:sz="0" w:space="0" w:color="auto"/>
      </w:divBdr>
      <w:divsChild>
        <w:div w:id="207961381">
          <w:marLeft w:val="0"/>
          <w:marRight w:val="0"/>
          <w:marTop w:val="0"/>
          <w:marBottom w:val="0"/>
          <w:divBdr>
            <w:top w:val="none" w:sz="0" w:space="0" w:color="auto"/>
            <w:left w:val="none" w:sz="0" w:space="0" w:color="auto"/>
            <w:bottom w:val="none" w:sz="0" w:space="0" w:color="auto"/>
            <w:right w:val="none" w:sz="0" w:space="0" w:color="auto"/>
          </w:divBdr>
        </w:div>
        <w:div w:id="789595892">
          <w:marLeft w:val="0"/>
          <w:marRight w:val="0"/>
          <w:marTop w:val="0"/>
          <w:marBottom w:val="0"/>
          <w:divBdr>
            <w:top w:val="none" w:sz="0" w:space="0" w:color="auto"/>
            <w:left w:val="none" w:sz="0" w:space="0" w:color="auto"/>
            <w:bottom w:val="none" w:sz="0" w:space="0" w:color="auto"/>
            <w:right w:val="none" w:sz="0" w:space="0" w:color="auto"/>
          </w:divBdr>
        </w:div>
        <w:div w:id="1396244859">
          <w:marLeft w:val="0"/>
          <w:marRight w:val="0"/>
          <w:marTop w:val="0"/>
          <w:marBottom w:val="0"/>
          <w:divBdr>
            <w:top w:val="none" w:sz="0" w:space="0" w:color="auto"/>
            <w:left w:val="none" w:sz="0" w:space="0" w:color="auto"/>
            <w:bottom w:val="none" w:sz="0" w:space="0" w:color="auto"/>
            <w:right w:val="none" w:sz="0" w:space="0" w:color="auto"/>
          </w:divBdr>
        </w:div>
        <w:div w:id="1508204592">
          <w:marLeft w:val="0"/>
          <w:marRight w:val="0"/>
          <w:marTop w:val="0"/>
          <w:marBottom w:val="0"/>
          <w:divBdr>
            <w:top w:val="none" w:sz="0" w:space="0" w:color="auto"/>
            <w:left w:val="none" w:sz="0" w:space="0" w:color="auto"/>
            <w:bottom w:val="none" w:sz="0" w:space="0" w:color="auto"/>
            <w:right w:val="none" w:sz="0" w:space="0" w:color="auto"/>
          </w:divBdr>
        </w:div>
        <w:div w:id="2075663926">
          <w:marLeft w:val="0"/>
          <w:marRight w:val="0"/>
          <w:marTop w:val="0"/>
          <w:marBottom w:val="0"/>
          <w:divBdr>
            <w:top w:val="none" w:sz="0" w:space="0" w:color="auto"/>
            <w:left w:val="none" w:sz="0" w:space="0" w:color="auto"/>
            <w:bottom w:val="none" w:sz="0" w:space="0" w:color="auto"/>
            <w:right w:val="none" w:sz="0" w:space="0" w:color="auto"/>
          </w:divBdr>
        </w:div>
      </w:divsChild>
    </w:div>
    <w:div w:id="606933129">
      <w:bodyDiv w:val="1"/>
      <w:marLeft w:val="0"/>
      <w:marRight w:val="0"/>
      <w:marTop w:val="0"/>
      <w:marBottom w:val="0"/>
      <w:divBdr>
        <w:top w:val="none" w:sz="0" w:space="0" w:color="auto"/>
        <w:left w:val="none" w:sz="0" w:space="0" w:color="auto"/>
        <w:bottom w:val="none" w:sz="0" w:space="0" w:color="auto"/>
        <w:right w:val="none" w:sz="0" w:space="0" w:color="auto"/>
      </w:divBdr>
      <w:divsChild>
        <w:div w:id="1720854982">
          <w:marLeft w:val="0"/>
          <w:marRight w:val="0"/>
          <w:marTop w:val="0"/>
          <w:marBottom w:val="0"/>
          <w:divBdr>
            <w:top w:val="none" w:sz="0" w:space="0" w:color="auto"/>
            <w:left w:val="none" w:sz="0" w:space="0" w:color="auto"/>
            <w:bottom w:val="none" w:sz="0" w:space="0" w:color="auto"/>
            <w:right w:val="none" w:sz="0" w:space="0" w:color="auto"/>
          </w:divBdr>
          <w:divsChild>
            <w:div w:id="102771824">
              <w:marLeft w:val="0"/>
              <w:marRight w:val="0"/>
              <w:marTop w:val="0"/>
              <w:marBottom w:val="0"/>
              <w:divBdr>
                <w:top w:val="none" w:sz="0" w:space="0" w:color="auto"/>
                <w:left w:val="none" w:sz="0" w:space="0" w:color="auto"/>
                <w:bottom w:val="none" w:sz="0" w:space="0" w:color="auto"/>
                <w:right w:val="none" w:sz="0" w:space="0" w:color="auto"/>
              </w:divBdr>
              <w:divsChild>
                <w:div w:id="347760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5091690">
      <w:bodyDiv w:val="1"/>
      <w:marLeft w:val="0"/>
      <w:marRight w:val="0"/>
      <w:marTop w:val="0"/>
      <w:marBottom w:val="0"/>
      <w:divBdr>
        <w:top w:val="none" w:sz="0" w:space="0" w:color="auto"/>
        <w:left w:val="none" w:sz="0" w:space="0" w:color="auto"/>
        <w:bottom w:val="none" w:sz="0" w:space="0" w:color="auto"/>
        <w:right w:val="none" w:sz="0" w:space="0" w:color="auto"/>
      </w:divBdr>
      <w:divsChild>
        <w:div w:id="2083941454">
          <w:marLeft w:val="0"/>
          <w:marRight w:val="0"/>
          <w:marTop w:val="0"/>
          <w:marBottom w:val="0"/>
          <w:divBdr>
            <w:top w:val="none" w:sz="0" w:space="0" w:color="auto"/>
            <w:left w:val="none" w:sz="0" w:space="0" w:color="auto"/>
            <w:bottom w:val="none" w:sz="0" w:space="0" w:color="auto"/>
            <w:right w:val="none" w:sz="0" w:space="0" w:color="auto"/>
          </w:divBdr>
          <w:divsChild>
            <w:div w:id="1789658215">
              <w:marLeft w:val="0"/>
              <w:marRight w:val="0"/>
              <w:marTop w:val="0"/>
              <w:marBottom w:val="0"/>
              <w:divBdr>
                <w:top w:val="none" w:sz="0" w:space="0" w:color="auto"/>
                <w:left w:val="none" w:sz="0" w:space="0" w:color="auto"/>
                <w:bottom w:val="none" w:sz="0" w:space="0" w:color="auto"/>
                <w:right w:val="none" w:sz="0" w:space="0" w:color="auto"/>
              </w:divBdr>
              <w:divsChild>
                <w:div w:id="791510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3991613">
      <w:bodyDiv w:val="1"/>
      <w:marLeft w:val="0"/>
      <w:marRight w:val="0"/>
      <w:marTop w:val="0"/>
      <w:marBottom w:val="0"/>
      <w:divBdr>
        <w:top w:val="none" w:sz="0" w:space="0" w:color="auto"/>
        <w:left w:val="none" w:sz="0" w:space="0" w:color="auto"/>
        <w:bottom w:val="none" w:sz="0" w:space="0" w:color="auto"/>
        <w:right w:val="none" w:sz="0" w:space="0" w:color="auto"/>
      </w:divBdr>
      <w:divsChild>
        <w:div w:id="801191594">
          <w:marLeft w:val="0"/>
          <w:marRight w:val="0"/>
          <w:marTop w:val="0"/>
          <w:marBottom w:val="0"/>
          <w:divBdr>
            <w:top w:val="none" w:sz="0" w:space="0" w:color="auto"/>
            <w:left w:val="none" w:sz="0" w:space="0" w:color="auto"/>
            <w:bottom w:val="none" w:sz="0" w:space="0" w:color="auto"/>
            <w:right w:val="none" w:sz="0" w:space="0" w:color="auto"/>
          </w:divBdr>
          <w:divsChild>
            <w:div w:id="1045445354">
              <w:marLeft w:val="0"/>
              <w:marRight w:val="0"/>
              <w:marTop w:val="0"/>
              <w:marBottom w:val="0"/>
              <w:divBdr>
                <w:top w:val="none" w:sz="0" w:space="0" w:color="auto"/>
                <w:left w:val="none" w:sz="0" w:space="0" w:color="auto"/>
                <w:bottom w:val="none" w:sz="0" w:space="0" w:color="auto"/>
                <w:right w:val="none" w:sz="0" w:space="0" w:color="auto"/>
              </w:divBdr>
              <w:divsChild>
                <w:div w:id="105272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7948243">
      <w:bodyDiv w:val="1"/>
      <w:marLeft w:val="0"/>
      <w:marRight w:val="0"/>
      <w:marTop w:val="0"/>
      <w:marBottom w:val="0"/>
      <w:divBdr>
        <w:top w:val="none" w:sz="0" w:space="0" w:color="auto"/>
        <w:left w:val="none" w:sz="0" w:space="0" w:color="auto"/>
        <w:bottom w:val="none" w:sz="0" w:space="0" w:color="auto"/>
        <w:right w:val="none" w:sz="0" w:space="0" w:color="auto"/>
      </w:divBdr>
      <w:divsChild>
        <w:div w:id="2368228">
          <w:marLeft w:val="0"/>
          <w:marRight w:val="0"/>
          <w:marTop w:val="0"/>
          <w:marBottom w:val="0"/>
          <w:divBdr>
            <w:top w:val="none" w:sz="0" w:space="0" w:color="auto"/>
            <w:left w:val="none" w:sz="0" w:space="0" w:color="auto"/>
            <w:bottom w:val="none" w:sz="0" w:space="0" w:color="auto"/>
            <w:right w:val="none" w:sz="0" w:space="0" w:color="auto"/>
          </w:divBdr>
        </w:div>
        <w:div w:id="38749429">
          <w:marLeft w:val="0"/>
          <w:marRight w:val="0"/>
          <w:marTop w:val="0"/>
          <w:marBottom w:val="0"/>
          <w:divBdr>
            <w:top w:val="none" w:sz="0" w:space="0" w:color="auto"/>
            <w:left w:val="none" w:sz="0" w:space="0" w:color="auto"/>
            <w:bottom w:val="none" w:sz="0" w:space="0" w:color="auto"/>
            <w:right w:val="none" w:sz="0" w:space="0" w:color="auto"/>
          </w:divBdr>
        </w:div>
        <w:div w:id="81608306">
          <w:marLeft w:val="0"/>
          <w:marRight w:val="0"/>
          <w:marTop w:val="0"/>
          <w:marBottom w:val="0"/>
          <w:divBdr>
            <w:top w:val="none" w:sz="0" w:space="0" w:color="auto"/>
            <w:left w:val="none" w:sz="0" w:space="0" w:color="auto"/>
            <w:bottom w:val="none" w:sz="0" w:space="0" w:color="auto"/>
            <w:right w:val="none" w:sz="0" w:space="0" w:color="auto"/>
          </w:divBdr>
        </w:div>
        <w:div w:id="160975902">
          <w:marLeft w:val="0"/>
          <w:marRight w:val="0"/>
          <w:marTop w:val="0"/>
          <w:marBottom w:val="0"/>
          <w:divBdr>
            <w:top w:val="none" w:sz="0" w:space="0" w:color="auto"/>
            <w:left w:val="none" w:sz="0" w:space="0" w:color="auto"/>
            <w:bottom w:val="none" w:sz="0" w:space="0" w:color="auto"/>
            <w:right w:val="none" w:sz="0" w:space="0" w:color="auto"/>
          </w:divBdr>
        </w:div>
        <w:div w:id="294338402">
          <w:marLeft w:val="0"/>
          <w:marRight w:val="0"/>
          <w:marTop w:val="0"/>
          <w:marBottom w:val="0"/>
          <w:divBdr>
            <w:top w:val="none" w:sz="0" w:space="0" w:color="auto"/>
            <w:left w:val="none" w:sz="0" w:space="0" w:color="auto"/>
            <w:bottom w:val="none" w:sz="0" w:space="0" w:color="auto"/>
            <w:right w:val="none" w:sz="0" w:space="0" w:color="auto"/>
          </w:divBdr>
        </w:div>
        <w:div w:id="338772828">
          <w:marLeft w:val="0"/>
          <w:marRight w:val="0"/>
          <w:marTop w:val="0"/>
          <w:marBottom w:val="0"/>
          <w:divBdr>
            <w:top w:val="none" w:sz="0" w:space="0" w:color="auto"/>
            <w:left w:val="none" w:sz="0" w:space="0" w:color="auto"/>
            <w:bottom w:val="none" w:sz="0" w:space="0" w:color="auto"/>
            <w:right w:val="none" w:sz="0" w:space="0" w:color="auto"/>
          </w:divBdr>
        </w:div>
        <w:div w:id="363747718">
          <w:marLeft w:val="0"/>
          <w:marRight w:val="0"/>
          <w:marTop w:val="0"/>
          <w:marBottom w:val="0"/>
          <w:divBdr>
            <w:top w:val="none" w:sz="0" w:space="0" w:color="auto"/>
            <w:left w:val="none" w:sz="0" w:space="0" w:color="auto"/>
            <w:bottom w:val="none" w:sz="0" w:space="0" w:color="auto"/>
            <w:right w:val="none" w:sz="0" w:space="0" w:color="auto"/>
          </w:divBdr>
        </w:div>
        <w:div w:id="443500626">
          <w:marLeft w:val="0"/>
          <w:marRight w:val="0"/>
          <w:marTop w:val="0"/>
          <w:marBottom w:val="0"/>
          <w:divBdr>
            <w:top w:val="none" w:sz="0" w:space="0" w:color="auto"/>
            <w:left w:val="none" w:sz="0" w:space="0" w:color="auto"/>
            <w:bottom w:val="none" w:sz="0" w:space="0" w:color="auto"/>
            <w:right w:val="none" w:sz="0" w:space="0" w:color="auto"/>
          </w:divBdr>
        </w:div>
        <w:div w:id="637610576">
          <w:marLeft w:val="0"/>
          <w:marRight w:val="0"/>
          <w:marTop w:val="0"/>
          <w:marBottom w:val="0"/>
          <w:divBdr>
            <w:top w:val="none" w:sz="0" w:space="0" w:color="auto"/>
            <w:left w:val="none" w:sz="0" w:space="0" w:color="auto"/>
            <w:bottom w:val="none" w:sz="0" w:space="0" w:color="auto"/>
            <w:right w:val="none" w:sz="0" w:space="0" w:color="auto"/>
          </w:divBdr>
        </w:div>
        <w:div w:id="741636958">
          <w:marLeft w:val="0"/>
          <w:marRight w:val="0"/>
          <w:marTop w:val="0"/>
          <w:marBottom w:val="0"/>
          <w:divBdr>
            <w:top w:val="none" w:sz="0" w:space="0" w:color="auto"/>
            <w:left w:val="none" w:sz="0" w:space="0" w:color="auto"/>
            <w:bottom w:val="none" w:sz="0" w:space="0" w:color="auto"/>
            <w:right w:val="none" w:sz="0" w:space="0" w:color="auto"/>
          </w:divBdr>
        </w:div>
        <w:div w:id="813063642">
          <w:marLeft w:val="0"/>
          <w:marRight w:val="0"/>
          <w:marTop w:val="0"/>
          <w:marBottom w:val="0"/>
          <w:divBdr>
            <w:top w:val="none" w:sz="0" w:space="0" w:color="auto"/>
            <w:left w:val="none" w:sz="0" w:space="0" w:color="auto"/>
            <w:bottom w:val="none" w:sz="0" w:space="0" w:color="auto"/>
            <w:right w:val="none" w:sz="0" w:space="0" w:color="auto"/>
          </w:divBdr>
        </w:div>
        <w:div w:id="926424335">
          <w:marLeft w:val="0"/>
          <w:marRight w:val="0"/>
          <w:marTop w:val="0"/>
          <w:marBottom w:val="0"/>
          <w:divBdr>
            <w:top w:val="none" w:sz="0" w:space="0" w:color="auto"/>
            <w:left w:val="none" w:sz="0" w:space="0" w:color="auto"/>
            <w:bottom w:val="none" w:sz="0" w:space="0" w:color="auto"/>
            <w:right w:val="none" w:sz="0" w:space="0" w:color="auto"/>
          </w:divBdr>
        </w:div>
        <w:div w:id="985474312">
          <w:marLeft w:val="0"/>
          <w:marRight w:val="0"/>
          <w:marTop w:val="0"/>
          <w:marBottom w:val="0"/>
          <w:divBdr>
            <w:top w:val="none" w:sz="0" w:space="0" w:color="auto"/>
            <w:left w:val="none" w:sz="0" w:space="0" w:color="auto"/>
            <w:bottom w:val="none" w:sz="0" w:space="0" w:color="auto"/>
            <w:right w:val="none" w:sz="0" w:space="0" w:color="auto"/>
          </w:divBdr>
        </w:div>
        <w:div w:id="1126433042">
          <w:marLeft w:val="0"/>
          <w:marRight w:val="0"/>
          <w:marTop w:val="0"/>
          <w:marBottom w:val="0"/>
          <w:divBdr>
            <w:top w:val="none" w:sz="0" w:space="0" w:color="auto"/>
            <w:left w:val="none" w:sz="0" w:space="0" w:color="auto"/>
            <w:bottom w:val="none" w:sz="0" w:space="0" w:color="auto"/>
            <w:right w:val="none" w:sz="0" w:space="0" w:color="auto"/>
          </w:divBdr>
        </w:div>
        <w:div w:id="1186600754">
          <w:marLeft w:val="0"/>
          <w:marRight w:val="0"/>
          <w:marTop w:val="0"/>
          <w:marBottom w:val="0"/>
          <w:divBdr>
            <w:top w:val="none" w:sz="0" w:space="0" w:color="auto"/>
            <w:left w:val="none" w:sz="0" w:space="0" w:color="auto"/>
            <w:bottom w:val="none" w:sz="0" w:space="0" w:color="auto"/>
            <w:right w:val="none" w:sz="0" w:space="0" w:color="auto"/>
          </w:divBdr>
        </w:div>
        <w:div w:id="1523125888">
          <w:marLeft w:val="0"/>
          <w:marRight w:val="0"/>
          <w:marTop w:val="0"/>
          <w:marBottom w:val="0"/>
          <w:divBdr>
            <w:top w:val="none" w:sz="0" w:space="0" w:color="auto"/>
            <w:left w:val="none" w:sz="0" w:space="0" w:color="auto"/>
            <w:bottom w:val="none" w:sz="0" w:space="0" w:color="auto"/>
            <w:right w:val="none" w:sz="0" w:space="0" w:color="auto"/>
          </w:divBdr>
        </w:div>
        <w:div w:id="1583028974">
          <w:marLeft w:val="0"/>
          <w:marRight w:val="0"/>
          <w:marTop w:val="0"/>
          <w:marBottom w:val="0"/>
          <w:divBdr>
            <w:top w:val="none" w:sz="0" w:space="0" w:color="auto"/>
            <w:left w:val="none" w:sz="0" w:space="0" w:color="auto"/>
            <w:bottom w:val="none" w:sz="0" w:space="0" w:color="auto"/>
            <w:right w:val="none" w:sz="0" w:space="0" w:color="auto"/>
          </w:divBdr>
        </w:div>
        <w:div w:id="1620137486">
          <w:marLeft w:val="0"/>
          <w:marRight w:val="0"/>
          <w:marTop w:val="0"/>
          <w:marBottom w:val="0"/>
          <w:divBdr>
            <w:top w:val="none" w:sz="0" w:space="0" w:color="auto"/>
            <w:left w:val="none" w:sz="0" w:space="0" w:color="auto"/>
            <w:bottom w:val="none" w:sz="0" w:space="0" w:color="auto"/>
            <w:right w:val="none" w:sz="0" w:space="0" w:color="auto"/>
          </w:divBdr>
        </w:div>
        <w:div w:id="1711765669">
          <w:marLeft w:val="0"/>
          <w:marRight w:val="0"/>
          <w:marTop w:val="0"/>
          <w:marBottom w:val="0"/>
          <w:divBdr>
            <w:top w:val="none" w:sz="0" w:space="0" w:color="auto"/>
            <w:left w:val="none" w:sz="0" w:space="0" w:color="auto"/>
            <w:bottom w:val="none" w:sz="0" w:space="0" w:color="auto"/>
            <w:right w:val="none" w:sz="0" w:space="0" w:color="auto"/>
          </w:divBdr>
        </w:div>
        <w:div w:id="2028359854">
          <w:marLeft w:val="0"/>
          <w:marRight w:val="0"/>
          <w:marTop w:val="0"/>
          <w:marBottom w:val="0"/>
          <w:divBdr>
            <w:top w:val="none" w:sz="0" w:space="0" w:color="auto"/>
            <w:left w:val="none" w:sz="0" w:space="0" w:color="auto"/>
            <w:bottom w:val="none" w:sz="0" w:space="0" w:color="auto"/>
            <w:right w:val="none" w:sz="0" w:space="0" w:color="auto"/>
          </w:divBdr>
        </w:div>
        <w:div w:id="2101365819">
          <w:marLeft w:val="0"/>
          <w:marRight w:val="0"/>
          <w:marTop w:val="0"/>
          <w:marBottom w:val="0"/>
          <w:divBdr>
            <w:top w:val="none" w:sz="0" w:space="0" w:color="auto"/>
            <w:left w:val="none" w:sz="0" w:space="0" w:color="auto"/>
            <w:bottom w:val="none" w:sz="0" w:space="0" w:color="auto"/>
            <w:right w:val="none" w:sz="0" w:space="0" w:color="auto"/>
          </w:divBdr>
        </w:div>
      </w:divsChild>
    </w:div>
    <w:div w:id="837623032">
      <w:bodyDiv w:val="1"/>
      <w:marLeft w:val="0"/>
      <w:marRight w:val="0"/>
      <w:marTop w:val="0"/>
      <w:marBottom w:val="0"/>
      <w:divBdr>
        <w:top w:val="none" w:sz="0" w:space="0" w:color="auto"/>
        <w:left w:val="none" w:sz="0" w:space="0" w:color="auto"/>
        <w:bottom w:val="none" w:sz="0" w:space="0" w:color="auto"/>
        <w:right w:val="none" w:sz="0" w:space="0" w:color="auto"/>
      </w:divBdr>
      <w:divsChild>
        <w:div w:id="1921065080">
          <w:marLeft w:val="0"/>
          <w:marRight w:val="0"/>
          <w:marTop w:val="0"/>
          <w:marBottom w:val="0"/>
          <w:divBdr>
            <w:top w:val="none" w:sz="0" w:space="0" w:color="auto"/>
            <w:left w:val="none" w:sz="0" w:space="0" w:color="auto"/>
            <w:bottom w:val="none" w:sz="0" w:space="0" w:color="auto"/>
            <w:right w:val="none" w:sz="0" w:space="0" w:color="auto"/>
          </w:divBdr>
          <w:divsChild>
            <w:div w:id="544606398">
              <w:marLeft w:val="0"/>
              <w:marRight w:val="0"/>
              <w:marTop w:val="0"/>
              <w:marBottom w:val="0"/>
              <w:divBdr>
                <w:top w:val="none" w:sz="0" w:space="0" w:color="auto"/>
                <w:left w:val="none" w:sz="0" w:space="0" w:color="auto"/>
                <w:bottom w:val="none" w:sz="0" w:space="0" w:color="auto"/>
                <w:right w:val="none" w:sz="0" w:space="0" w:color="auto"/>
              </w:divBdr>
              <w:divsChild>
                <w:div w:id="1903321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3034627">
      <w:bodyDiv w:val="1"/>
      <w:marLeft w:val="0"/>
      <w:marRight w:val="0"/>
      <w:marTop w:val="0"/>
      <w:marBottom w:val="0"/>
      <w:divBdr>
        <w:top w:val="none" w:sz="0" w:space="0" w:color="auto"/>
        <w:left w:val="none" w:sz="0" w:space="0" w:color="auto"/>
        <w:bottom w:val="none" w:sz="0" w:space="0" w:color="auto"/>
        <w:right w:val="none" w:sz="0" w:space="0" w:color="auto"/>
      </w:divBdr>
      <w:divsChild>
        <w:div w:id="1669551828">
          <w:marLeft w:val="0"/>
          <w:marRight w:val="0"/>
          <w:marTop w:val="0"/>
          <w:marBottom w:val="0"/>
          <w:divBdr>
            <w:top w:val="none" w:sz="0" w:space="0" w:color="auto"/>
            <w:left w:val="none" w:sz="0" w:space="0" w:color="auto"/>
            <w:bottom w:val="none" w:sz="0" w:space="0" w:color="auto"/>
            <w:right w:val="none" w:sz="0" w:space="0" w:color="auto"/>
          </w:divBdr>
          <w:divsChild>
            <w:div w:id="1059547479">
              <w:marLeft w:val="0"/>
              <w:marRight w:val="0"/>
              <w:marTop w:val="0"/>
              <w:marBottom w:val="0"/>
              <w:divBdr>
                <w:top w:val="none" w:sz="0" w:space="0" w:color="auto"/>
                <w:left w:val="none" w:sz="0" w:space="0" w:color="auto"/>
                <w:bottom w:val="none" w:sz="0" w:space="0" w:color="auto"/>
                <w:right w:val="none" w:sz="0" w:space="0" w:color="auto"/>
              </w:divBdr>
              <w:divsChild>
                <w:div w:id="1369178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0123635">
      <w:bodyDiv w:val="1"/>
      <w:marLeft w:val="0"/>
      <w:marRight w:val="0"/>
      <w:marTop w:val="0"/>
      <w:marBottom w:val="0"/>
      <w:divBdr>
        <w:top w:val="none" w:sz="0" w:space="0" w:color="auto"/>
        <w:left w:val="none" w:sz="0" w:space="0" w:color="auto"/>
        <w:bottom w:val="none" w:sz="0" w:space="0" w:color="auto"/>
        <w:right w:val="none" w:sz="0" w:space="0" w:color="auto"/>
      </w:divBdr>
    </w:div>
    <w:div w:id="906459933">
      <w:bodyDiv w:val="1"/>
      <w:marLeft w:val="0"/>
      <w:marRight w:val="0"/>
      <w:marTop w:val="0"/>
      <w:marBottom w:val="0"/>
      <w:divBdr>
        <w:top w:val="none" w:sz="0" w:space="0" w:color="auto"/>
        <w:left w:val="none" w:sz="0" w:space="0" w:color="auto"/>
        <w:bottom w:val="none" w:sz="0" w:space="0" w:color="auto"/>
        <w:right w:val="none" w:sz="0" w:space="0" w:color="auto"/>
      </w:divBdr>
      <w:divsChild>
        <w:div w:id="981813515">
          <w:marLeft w:val="0"/>
          <w:marRight w:val="0"/>
          <w:marTop w:val="0"/>
          <w:marBottom w:val="0"/>
          <w:divBdr>
            <w:top w:val="none" w:sz="0" w:space="0" w:color="auto"/>
            <w:left w:val="none" w:sz="0" w:space="0" w:color="auto"/>
            <w:bottom w:val="none" w:sz="0" w:space="0" w:color="auto"/>
            <w:right w:val="none" w:sz="0" w:space="0" w:color="auto"/>
          </w:divBdr>
          <w:divsChild>
            <w:div w:id="1803576976">
              <w:marLeft w:val="0"/>
              <w:marRight w:val="0"/>
              <w:marTop w:val="0"/>
              <w:marBottom w:val="0"/>
              <w:divBdr>
                <w:top w:val="none" w:sz="0" w:space="0" w:color="auto"/>
                <w:left w:val="none" w:sz="0" w:space="0" w:color="auto"/>
                <w:bottom w:val="none" w:sz="0" w:space="0" w:color="auto"/>
                <w:right w:val="none" w:sz="0" w:space="0" w:color="auto"/>
              </w:divBdr>
              <w:divsChild>
                <w:div w:id="1912807099">
                  <w:marLeft w:val="0"/>
                  <w:marRight w:val="0"/>
                  <w:marTop w:val="0"/>
                  <w:marBottom w:val="0"/>
                  <w:divBdr>
                    <w:top w:val="none" w:sz="0" w:space="0" w:color="auto"/>
                    <w:left w:val="none" w:sz="0" w:space="0" w:color="auto"/>
                    <w:bottom w:val="none" w:sz="0" w:space="0" w:color="auto"/>
                    <w:right w:val="none" w:sz="0" w:space="0" w:color="auto"/>
                  </w:divBdr>
                  <w:divsChild>
                    <w:div w:id="1851530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2088329">
      <w:bodyDiv w:val="1"/>
      <w:marLeft w:val="0"/>
      <w:marRight w:val="0"/>
      <w:marTop w:val="0"/>
      <w:marBottom w:val="0"/>
      <w:divBdr>
        <w:top w:val="none" w:sz="0" w:space="0" w:color="auto"/>
        <w:left w:val="none" w:sz="0" w:space="0" w:color="auto"/>
        <w:bottom w:val="none" w:sz="0" w:space="0" w:color="auto"/>
        <w:right w:val="none" w:sz="0" w:space="0" w:color="auto"/>
      </w:divBdr>
    </w:div>
    <w:div w:id="935791449">
      <w:bodyDiv w:val="1"/>
      <w:marLeft w:val="0"/>
      <w:marRight w:val="0"/>
      <w:marTop w:val="0"/>
      <w:marBottom w:val="0"/>
      <w:divBdr>
        <w:top w:val="none" w:sz="0" w:space="0" w:color="auto"/>
        <w:left w:val="none" w:sz="0" w:space="0" w:color="auto"/>
        <w:bottom w:val="none" w:sz="0" w:space="0" w:color="auto"/>
        <w:right w:val="none" w:sz="0" w:space="0" w:color="auto"/>
      </w:divBdr>
    </w:div>
    <w:div w:id="936062455">
      <w:bodyDiv w:val="1"/>
      <w:marLeft w:val="0"/>
      <w:marRight w:val="0"/>
      <w:marTop w:val="0"/>
      <w:marBottom w:val="0"/>
      <w:divBdr>
        <w:top w:val="none" w:sz="0" w:space="0" w:color="auto"/>
        <w:left w:val="none" w:sz="0" w:space="0" w:color="auto"/>
        <w:bottom w:val="none" w:sz="0" w:space="0" w:color="auto"/>
        <w:right w:val="none" w:sz="0" w:space="0" w:color="auto"/>
      </w:divBdr>
    </w:div>
    <w:div w:id="957758588">
      <w:bodyDiv w:val="1"/>
      <w:marLeft w:val="0"/>
      <w:marRight w:val="0"/>
      <w:marTop w:val="0"/>
      <w:marBottom w:val="0"/>
      <w:divBdr>
        <w:top w:val="none" w:sz="0" w:space="0" w:color="auto"/>
        <w:left w:val="none" w:sz="0" w:space="0" w:color="auto"/>
        <w:bottom w:val="none" w:sz="0" w:space="0" w:color="auto"/>
        <w:right w:val="none" w:sz="0" w:space="0" w:color="auto"/>
      </w:divBdr>
      <w:divsChild>
        <w:div w:id="612979292">
          <w:marLeft w:val="0"/>
          <w:marRight w:val="0"/>
          <w:marTop w:val="0"/>
          <w:marBottom w:val="0"/>
          <w:divBdr>
            <w:top w:val="none" w:sz="0" w:space="0" w:color="auto"/>
            <w:left w:val="none" w:sz="0" w:space="0" w:color="auto"/>
            <w:bottom w:val="none" w:sz="0" w:space="0" w:color="auto"/>
            <w:right w:val="none" w:sz="0" w:space="0" w:color="auto"/>
          </w:divBdr>
        </w:div>
        <w:div w:id="620960128">
          <w:marLeft w:val="0"/>
          <w:marRight w:val="0"/>
          <w:marTop w:val="0"/>
          <w:marBottom w:val="0"/>
          <w:divBdr>
            <w:top w:val="none" w:sz="0" w:space="0" w:color="auto"/>
            <w:left w:val="none" w:sz="0" w:space="0" w:color="auto"/>
            <w:bottom w:val="none" w:sz="0" w:space="0" w:color="auto"/>
            <w:right w:val="none" w:sz="0" w:space="0" w:color="auto"/>
          </w:divBdr>
        </w:div>
        <w:div w:id="669258251">
          <w:marLeft w:val="0"/>
          <w:marRight w:val="0"/>
          <w:marTop w:val="0"/>
          <w:marBottom w:val="0"/>
          <w:divBdr>
            <w:top w:val="none" w:sz="0" w:space="0" w:color="auto"/>
            <w:left w:val="none" w:sz="0" w:space="0" w:color="auto"/>
            <w:bottom w:val="none" w:sz="0" w:space="0" w:color="auto"/>
            <w:right w:val="none" w:sz="0" w:space="0" w:color="auto"/>
          </w:divBdr>
        </w:div>
        <w:div w:id="704326761">
          <w:marLeft w:val="0"/>
          <w:marRight w:val="0"/>
          <w:marTop w:val="0"/>
          <w:marBottom w:val="0"/>
          <w:divBdr>
            <w:top w:val="none" w:sz="0" w:space="0" w:color="auto"/>
            <w:left w:val="none" w:sz="0" w:space="0" w:color="auto"/>
            <w:bottom w:val="none" w:sz="0" w:space="0" w:color="auto"/>
            <w:right w:val="none" w:sz="0" w:space="0" w:color="auto"/>
          </w:divBdr>
        </w:div>
        <w:div w:id="775908445">
          <w:marLeft w:val="0"/>
          <w:marRight w:val="0"/>
          <w:marTop w:val="0"/>
          <w:marBottom w:val="0"/>
          <w:divBdr>
            <w:top w:val="none" w:sz="0" w:space="0" w:color="auto"/>
            <w:left w:val="none" w:sz="0" w:space="0" w:color="auto"/>
            <w:bottom w:val="none" w:sz="0" w:space="0" w:color="auto"/>
            <w:right w:val="none" w:sz="0" w:space="0" w:color="auto"/>
          </w:divBdr>
        </w:div>
        <w:div w:id="904603949">
          <w:marLeft w:val="0"/>
          <w:marRight w:val="0"/>
          <w:marTop w:val="0"/>
          <w:marBottom w:val="0"/>
          <w:divBdr>
            <w:top w:val="none" w:sz="0" w:space="0" w:color="auto"/>
            <w:left w:val="none" w:sz="0" w:space="0" w:color="auto"/>
            <w:bottom w:val="none" w:sz="0" w:space="0" w:color="auto"/>
            <w:right w:val="none" w:sz="0" w:space="0" w:color="auto"/>
          </w:divBdr>
        </w:div>
        <w:div w:id="1007176166">
          <w:marLeft w:val="0"/>
          <w:marRight w:val="0"/>
          <w:marTop w:val="0"/>
          <w:marBottom w:val="0"/>
          <w:divBdr>
            <w:top w:val="none" w:sz="0" w:space="0" w:color="auto"/>
            <w:left w:val="none" w:sz="0" w:space="0" w:color="auto"/>
            <w:bottom w:val="none" w:sz="0" w:space="0" w:color="auto"/>
            <w:right w:val="none" w:sz="0" w:space="0" w:color="auto"/>
          </w:divBdr>
        </w:div>
        <w:div w:id="1132937897">
          <w:marLeft w:val="0"/>
          <w:marRight w:val="0"/>
          <w:marTop w:val="0"/>
          <w:marBottom w:val="0"/>
          <w:divBdr>
            <w:top w:val="none" w:sz="0" w:space="0" w:color="auto"/>
            <w:left w:val="none" w:sz="0" w:space="0" w:color="auto"/>
            <w:bottom w:val="none" w:sz="0" w:space="0" w:color="auto"/>
            <w:right w:val="none" w:sz="0" w:space="0" w:color="auto"/>
          </w:divBdr>
        </w:div>
        <w:div w:id="1308626439">
          <w:marLeft w:val="0"/>
          <w:marRight w:val="0"/>
          <w:marTop w:val="0"/>
          <w:marBottom w:val="0"/>
          <w:divBdr>
            <w:top w:val="none" w:sz="0" w:space="0" w:color="auto"/>
            <w:left w:val="none" w:sz="0" w:space="0" w:color="auto"/>
            <w:bottom w:val="none" w:sz="0" w:space="0" w:color="auto"/>
            <w:right w:val="none" w:sz="0" w:space="0" w:color="auto"/>
          </w:divBdr>
        </w:div>
        <w:div w:id="1539317560">
          <w:marLeft w:val="0"/>
          <w:marRight w:val="0"/>
          <w:marTop w:val="0"/>
          <w:marBottom w:val="0"/>
          <w:divBdr>
            <w:top w:val="none" w:sz="0" w:space="0" w:color="auto"/>
            <w:left w:val="none" w:sz="0" w:space="0" w:color="auto"/>
            <w:bottom w:val="none" w:sz="0" w:space="0" w:color="auto"/>
            <w:right w:val="none" w:sz="0" w:space="0" w:color="auto"/>
          </w:divBdr>
        </w:div>
        <w:div w:id="1745444908">
          <w:marLeft w:val="0"/>
          <w:marRight w:val="0"/>
          <w:marTop w:val="0"/>
          <w:marBottom w:val="0"/>
          <w:divBdr>
            <w:top w:val="none" w:sz="0" w:space="0" w:color="auto"/>
            <w:left w:val="none" w:sz="0" w:space="0" w:color="auto"/>
            <w:bottom w:val="none" w:sz="0" w:space="0" w:color="auto"/>
            <w:right w:val="none" w:sz="0" w:space="0" w:color="auto"/>
          </w:divBdr>
        </w:div>
        <w:div w:id="2043894096">
          <w:marLeft w:val="0"/>
          <w:marRight w:val="0"/>
          <w:marTop w:val="0"/>
          <w:marBottom w:val="0"/>
          <w:divBdr>
            <w:top w:val="none" w:sz="0" w:space="0" w:color="auto"/>
            <w:left w:val="none" w:sz="0" w:space="0" w:color="auto"/>
            <w:bottom w:val="none" w:sz="0" w:space="0" w:color="auto"/>
            <w:right w:val="none" w:sz="0" w:space="0" w:color="auto"/>
          </w:divBdr>
        </w:div>
      </w:divsChild>
    </w:div>
    <w:div w:id="975916044">
      <w:bodyDiv w:val="1"/>
      <w:marLeft w:val="0"/>
      <w:marRight w:val="0"/>
      <w:marTop w:val="0"/>
      <w:marBottom w:val="0"/>
      <w:divBdr>
        <w:top w:val="none" w:sz="0" w:space="0" w:color="auto"/>
        <w:left w:val="none" w:sz="0" w:space="0" w:color="auto"/>
        <w:bottom w:val="none" w:sz="0" w:space="0" w:color="auto"/>
        <w:right w:val="none" w:sz="0" w:space="0" w:color="auto"/>
      </w:divBdr>
    </w:div>
    <w:div w:id="990064775">
      <w:bodyDiv w:val="1"/>
      <w:marLeft w:val="0"/>
      <w:marRight w:val="0"/>
      <w:marTop w:val="0"/>
      <w:marBottom w:val="0"/>
      <w:divBdr>
        <w:top w:val="none" w:sz="0" w:space="0" w:color="auto"/>
        <w:left w:val="none" w:sz="0" w:space="0" w:color="auto"/>
        <w:bottom w:val="none" w:sz="0" w:space="0" w:color="auto"/>
        <w:right w:val="none" w:sz="0" w:space="0" w:color="auto"/>
      </w:divBdr>
      <w:divsChild>
        <w:div w:id="2065059590">
          <w:marLeft w:val="0"/>
          <w:marRight w:val="0"/>
          <w:marTop w:val="0"/>
          <w:marBottom w:val="0"/>
          <w:divBdr>
            <w:top w:val="none" w:sz="0" w:space="0" w:color="auto"/>
            <w:left w:val="none" w:sz="0" w:space="0" w:color="auto"/>
            <w:bottom w:val="none" w:sz="0" w:space="0" w:color="auto"/>
            <w:right w:val="none" w:sz="0" w:space="0" w:color="auto"/>
          </w:divBdr>
          <w:divsChild>
            <w:div w:id="1812205836">
              <w:marLeft w:val="0"/>
              <w:marRight w:val="0"/>
              <w:marTop w:val="0"/>
              <w:marBottom w:val="0"/>
              <w:divBdr>
                <w:top w:val="none" w:sz="0" w:space="0" w:color="auto"/>
                <w:left w:val="none" w:sz="0" w:space="0" w:color="auto"/>
                <w:bottom w:val="none" w:sz="0" w:space="0" w:color="auto"/>
                <w:right w:val="none" w:sz="0" w:space="0" w:color="auto"/>
              </w:divBdr>
              <w:divsChild>
                <w:div w:id="1052801552">
                  <w:marLeft w:val="0"/>
                  <w:marRight w:val="0"/>
                  <w:marTop w:val="0"/>
                  <w:marBottom w:val="0"/>
                  <w:divBdr>
                    <w:top w:val="none" w:sz="0" w:space="0" w:color="auto"/>
                    <w:left w:val="none" w:sz="0" w:space="0" w:color="auto"/>
                    <w:bottom w:val="none" w:sz="0" w:space="0" w:color="auto"/>
                    <w:right w:val="none" w:sz="0" w:space="0" w:color="auto"/>
                  </w:divBdr>
                  <w:divsChild>
                    <w:div w:id="328099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7029692">
      <w:bodyDiv w:val="1"/>
      <w:marLeft w:val="0"/>
      <w:marRight w:val="0"/>
      <w:marTop w:val="0"/>
      <w:marBottom w:val="0"/>
      <w:divBdr>
        <w:top w:val="none" w:sz="0" w:space="0" w:color="auto"/>
        <w:left w:val="none" w:sz="0" w:space="0" w:color="auto"/>
        <w:bottom w:val="none" w:sz="0" w:space="0" w:color="auto"/>
        <w:right w:val="none" w:sz="0" w:space="0" w:color="auto"/>
      </w:divBdr>
      <w:divsChild>
        <w:div w:id="302777389">
          <w:marLeft w:val="0"/>
          <w:marRight w:val="0"/>
          <w:marTop w:val="0"/>
          <w:marBottom w:val="0"/>
          <w:divBdr>
            <w:top w:val="none" w:sz="0" w:space="0" w:color="auto"/>
            <w:left w:val="none" w:sz="0" w:space="0" w:color="auto"/>
            <w:bottom w:val="none" w:sz="0" w:space="0" w:color="auto"/>
            <w:right w:val="none" w:sz="0" w:space="0" w:color="auto"/>
          </w:divBdr>
          <w:divsChild>
            <w:div w:id="332731857">
              <w:marLeft w:val="0"/>
              <w:marRight w:val="0"/>
              <w:marTop w:val="0"/>
              <w:marBottom w:val="0"/>
              <w:divBdr>
                <w:top w:val="none" w:sz="0" w:space="0" w:color="auto"/>
                <w:left w:val="none" w:sz="0" w:space="0" w:color="auto"/>
                <w:bottom w:val="none" w:sz="0" w:space="0" w:color="auto"/>
                <w:right w:val="none" w:sz="0" w:space="0" w:color="auto"/>
              </w:divBdr>
              <w:divsChild>
                <w:div w:id="2095589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5470739">
      <w:bodyDiv w:val="1"/>
      <w:marLeft w:val="0"/>
      <w:marRight w:val="0"/>
      <w:marTop w:val="0"/>
      <w:marBottom w:val="0"/>
      <w:divBdr>
        <w:top w:val="none" w:sz="0" w:space="0" w:color="auto"/>
        <w:left w:val="none" w:sz="0" w:space="0" w:color="auto"/>
        <w:bottom w:val="none" w:sz="0" w:space="0" w:color="auto"/>
        <w:right w:val="none" w:sz="0" w:space="0" w:color="auto"/>
      </w:divBdr>
    </w:div>
    <w:div w:id="1070465929">
      <w:bodyDiv w:val="1"/>
      <w:marLeft w:val="0"/>
      <w:marRight w:val="0"/>
      <w:marTop w:val="0"/>
      <w:marBottom w:val="0"/>
      <w:divBdr>
        <w:top w:val="none" w:sz="0" w:space="0" w:color="auto"/>
        <w:left w:val="none" w:sz="0" w:space="0" w:color="auto"/>
        <w:bottom w:val="none" w:sz="0" w:space="0" w:color="auto"/>
        <w:right w:val="none" w:sz="0" w:space="0" w:color="auto"/>
      </w:divBdr>
      <w:divsChild>
        <w:div w:id="1446076464">
          <w:marLeft w:val="0"/>
          <w:marRight w:val="0"/>
          <w:marTop w:val="0"/>
          <w:marBottom w:val="0"/>
          <w:divBdr>
            <w:top w:val="none" w:sz="0" w:space="0" w:color="auto"/>
            <w:left w:val="none" w:sz="0" w:space="0" w:color="auto"/>
            <w:bottom w:val="none" w:sz="0" w:space="0" w:color="auto"/>
            <w:right w:val="none" w:sz="0" w:space="0" w:color="auto"/>
          </w:divBdr>
          <w:divsChild>
            <w:div w:id="220335541">
              <w:marLeft w:val="0"/>
              <w:marRight w:val="0"/>
              <w:marTop w:val="0"/>
              <w:marBottom w:val="0"/>
              <w:divBdr>
                <w:top w:val="none" w:sz="0" w:space="0" w:color="auto"/>
                <w:left w:val="none" w:sz="0" w:space="0" w:color="auto"/>
                <w:bottom w:val="none" w:sz="0" w:space="0" w:color="auto"/>
                <w:right w:val="none" w:sz="0" w:space="0" w:color="auto"/>
              </w:divBdr>
              <w:divsChild>
                <w:div w:id="1842352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3231666">
      <w:bodyDiv w:val="1"/>
      <w:marLeft w:val="0"/>
      <w:marRight w:val="0"/>
      <w:marTop w:val="0"/>
      <w:marBottom w:val="0"/>
      <w:divBdr>
        <w:top w:val="none" w:sz="0" w:space="0" w:color="auto"/>
        <w:left w:val="none" w:sz="0" w:space="0" w:color="auto"/>
        <w:bottom w:val="none" w:sz="0" w:space="0" w:color="auto"/>
        <w:right w:val="none" w:sz="0" w:space="0" w:color="auto"/>
      </w:divBdr>
    </w:div>
    <w:div w:id="1237546186">
      <w:bodyDiv w:val="1"/>
      <w:marLeft w:val="0"/>
      <w:marRight w:val="0"/>
      <w:marTop w:val="0"/>
      <w:marBottom w:val="0"/>
      <w:divBdr>
        <w:top w:val="none" w:sz="0" w:space="0" w:color="auto"/>
        <w:left w:val="none" w:sz="0" w:space="0" w:color="auto"/>
        <w:bottom w:val="none" w:sz="0" w:space="0" w:color="auto"/>
        <w:right w:val="none" w:sz="0" w:space="0" w:color="auto"/>
      </w:divBdr>
      <w:divsChild>
        <w:div w:id="856508796">
          <w:marLeft w:val="0"/>
          <w:marRight w:val="0"/>
          <w:marTop w:val="0"/>
          <w:marBottom w:val="0"/>
          <w:divBdr>
            <w:top w:val="none" w:sz="0" w:space="0" w:color="auto"/>
            <w:left w:val="none" w:sz="0" w:space="0" w:color="auto"/>
            <w:bottom w:val="none" w:sz="0" w:space="0" w:color="auto"/>
            <w:right w:val="none" w:sz="0" w:space="0" w:color="auto"/>
          </w:divBdr>
          <w:divsChild>
            <w:div w:id="235170464">
              <w:marLeft w:val="0"/>
              <w:marRight w:val="0"/>
              <w:marTop w:val="0"/>
              <w:marBottom w:val="0"/>
              <w:divBdr>
                <w:top w:val="none" w:sz="0" w:space="0" w:color="auto"/>
                <w:left w:val="none" w:sz="0" w:space="0" w:color="auto"/>
                <w:bottom w:val="none" w:sz="0" w:space="0" w:color="auto"/>
                <w:right w:val="none" w:sz="0" w:space="0" w:color="auto"/>
              </w:divBdr>
              <w:divsChild>
                <w:div w:id="1930848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6639661">
      <w:bodyDiv w:val="1"/>
      <w:marLeft w:val="0"/>
      <w:marRight w:val="0"/>
      <w:marTop w:val="0"/>
      <w:marBottom w:val="0"/>
      <w:divBdr>
        <w:top w:val="none" w:sz="0" w:space="0" w:color="auto"/>
        <w:left w:val="none" w:sz="0" w:space="0" w:color="auto"/>
        <w:bottom w:val="none" w:sz="0" w:space="0" w:color="auto"/>
        <w:right w:val="none" w:sz="0" w:space="0" w:color="auto"/>
      </w:divBdr>
      <w:divsChild>
        <w:div w:id="777720698">
          <w:marLeft w:val="0"/>
          <w:marRight w:val="0"/>
          <w:marTop w:val="0"/>
          <w:marBottom w:val="0"/>
          <w:divBdr>
            <w:top w:val="none" w:sz="0" w:space="0" w:color="auto"/>
            <w:left w:val="none" w:sz="0" w:space="0" w:color="auto"/>
            <w:bottom w:val="none" w:sz="0" w:space="0" w:color="auto"/>
            <w:right w:val="none" w:sz="0" w:space="0" w:color="auto"/>
          </w:divBdr>
        </w:div>
      </w:divsChild>
    </w:div>
    <w:div w:id="1343968597">
      <w:bodyDiv w:val="1"/>
      <w:marLeft w:val="0"/>
      <w:marRight w:val="0"/>
      <w:marTop w:val="0"/>
      <w:marBottom w:val="0"/>
      <w:divBdr>
        <w:top w:val="none" w:sz="0" w:space="0" w:color="auto"/>
        <w:left w:val="none" w:sz="0" w:space="0" w:color="auto"/>
        <w:bottom w:val="none" w:sz="0" w:space="0" w:color="auto"/>
        <w:right w:val="none" w:sz="0" w:space="0" w:color="auto"/>
      </w:divBdr>
      <w:divsChild>
        <w:div w:id="169102836">
          <w:marLeft w:val="0"/>
          <w:marRight w:val="0"/>
          <w:marTop w:val="0"/>
          <w:marBottom w:val="0"/>
          <w:divBdr>
            <w:top w:val="none" w:sz="0" w:space="0" w:color="auto"/>
            <w:left w:val="none" w:sz="0" w:space="0" w:color="auto"/>
            <w:bottom w:val="none" w:sz="0" w:space="0" w:color="auto"/>
            <w:right w:val="none" w:sz="0" w:space="0" w:color="auto"/>
          </w:divBdr>
        </w:div>
        <w:div w:id="334041859">
          <w:marLeft w:val="0"/>
          <w:marRight w:val="0"/>
          <w:marTop w:val="0"/>
          <w:marBottom w:val="0"/>
          <w:divBdr>
            <w:top w:val="none" w:sz="0" w:space="0" w:color="auto"/>
            <w:left w:val="none" w:sz="0" w:space="0" w:color="auto"/>
            <w:bottom w:val="none" w:sz="0" w:space="0" w:color="auto"/>
            <w:right w:val="none" w:sz="0" w:space="0" w:color="auto"/>
          </w:divBdr>
        </w:div>
        <w:div w:id="898322833">
          <w:marLeft w:val="0"/>
          <w:marRight w:val="0"/>
          <w:marTop w:val="0"/>
          <w:marBottom w:val="0"/>
          <w:divBdr>
            <w:top w:val="none" w:sz="0" w:space="0" w:color="auto"/>
            <w:left w:val="none" w:sz="0" w:space="0" w:color="auto"/>
            <w:bottom w:val="none" w:sz="0" w:space="0" w:color="auto"/>
            <w:right w:val="none" w:sz="0" w:space="0" w:color="auto"/>
          </w:divBdr>
        </w:div>
        <w:div w:id="1027684786">
          <w:marLeft w:val="0"/>
          <w:marRight w:val="0"/>
          <w:marTop w:val="0"/>
          <w:marBottom w:val="0"/>
          <w:divBdr>
            <w:top w:val="none" w:sz="0" w:space="0" w:color="auto"/>
            <w:left w:val="none" w:sz="0" w:space="0" w:color="auto"/>
            <w:bottom w:val="none" w:sz="0" w:space="0" w:color="auto"/>
            <w:right w:val="none" w:sz="0" w:space="0" w:color="auto"/>
          </w:divBdr>
        </w:div>
        <w:div w:id="1237516910">
          <w:marLeft w:val="0"/>
          <w:marRight w:val="0"/>
          <w:marTop w:val="0"/>
          <w:marBottom w:val="0"/>
          <w:divBdr>
            <w:top w:val="none" w:sz="0" w:space="0" w:color="auto"/>
            <w:left w:val="none" w:sz="0" w:space="0" w:color="auto"/>
            <w:bottom w:val="none" w:sz="0" w:space="0" w:color="auto"/>
            <w:right w:val="none" w:sz="0" w:space="0" w:color="auto"/>
          </w:divBdr>
        </w:div>
        <w:div w:id="1558122607">
          <w:marLeft w:val="0"/>
          <w:marRight w:val="0"/>
          <w:marTop w:val="0"/>
          <w:marBottom w:val="0"/>
          <w:divBdr>
            <w:top w:val="none" w:sz="0" w:space="0" w:color="auto"/>
            <w:left w:val="none" w:sz="0" w:space="0" w:color="auto"/>
            <w:bottom w:val="none" w:sz="0" w:space="0" w:color="auto"/>
            <w:right w:val="none" w:sz="0" w:space="0" w:color="auto"/>
          </w:divBdr>
        </w:div>
        <w:div w:id="1810440142">
          <w:marLeft w:val="0"/>
          <w:marRight w:val="0"/>
          <w:marTop w:val="0"/>
          <w:marBottom w:val="0"/>
          <w:divBdr>
            <w:top w:val="none" w:sz="0" w:space="0" w:color="auto"/>
            <w:left w:val="none" w:sz="0" w:space="0" w:color="auto"/>
            <w:bottom w:val="none" w:sz="0" w:space="0" w:color="auto"/>
            <w:right w:val="none" w:sz="0" w:space="0" w:color="auto"/>
          </w:divBdr>
        </w:div>
        <w:div w:id="1956980848">
          <w:marLeft w:val="0"/>
          <w:marRight w:val="0"/>
          <w:marTop w:val="0"/>
          <w:marBottom w:val="0"/>
          <w:divBdr>
            <w:top w:val="none" w:sz="0" w:space="0" w:color="auto"/>
            <w:left w:val="none" w:sz="0" w:space="0" w:color="auto"/>
            <w:bottom w:val="none" w:sz="0" w:space="0" w:color="auto"/>
            <w:right w:val="none" w:sz="0" w:space="0" w:color="auto"/>
          </w:divBdr>
        </w:div>
        <w:div w:id="2124375771">
          <w:marLeft w:val="0"/>
          <w:marRight w:val="0"/>
          <w:marTop w:val="0"/>
          <w:marBottom w:val="0"/>
          <w:divBdr>
            <w:top w:val="none" w:sz="0" w:space="0" w:color="auto"/>
            <w:left w:val="none" w:sz="0" w:space="0" w:color="auto"/>
            <w:bottom w:val="none" w:sz="0" w:space="0" w:color="auto"/>
            <w:right w:val="none" w:sz="0" w:space="0" w:color="auto"/>
          </w:divBdr>
        </w:div>
      </w:divsChild>
    </w:div>
    <w:div w:id="1378431325">
      <w:bodyDiv w:val="1"/>
      <w:marLeft w:val="0"/>
      <w:marRight w:val="0"/>
      <w:marTop w:val="0"/>
      <w:marBottom w:val="0"/>
      <w:divBdr>
        <w:top w:val="none" w:sz="0" w:space="0" w:color="auto"/>
        <w:left w:val="none" w:sz="0" w:space="0" w:color="auto"/>
        <w:bottom w:val="none" w:sz="0" w:space="0" w:color="auto"/>
        <w:right w:val="none" w:sz="0" w:space="0" w:color="auto"/>
      </w:divBdr>
      <w:divsChild>
        <w:div w:id="940259858">
          <w:marLeft w:val="0"/>
          <w:marRight w:val="0"/>
          <w:marTop w:val="0"/>
          <w:marBottom w:val="0"/>
          <w:divBdr>
            <w:top w:val="none" w:sz="0" w:space="0" w:color="auto"/>
            <w:left w:val="none" w:sz="0" w:space="0" w:color="auto"/>
            <w:bottom w:val="none" w:sz="0" w:space="0" w:color="auto"/>
            <w:right w:val="none" w:sz="0" w:space="0" w:color="auto"/>
          </w:divBdr>
          <w:divsChild>
            <w:div w:id="343090587">
              <w:marLeft w:val="0"/>
              <w:marRight w:val="0"/>
              <w:marTop w:val="0"/>
              <w:marBottom w:val="0"/>
              <w:divBdr>
                <w:top w:val="none" w:sz="0" w:space="0" w:color="auto"/>
                <w:left w:val="none" w:sz="0" w:space="0" w:color="auto"/>
                <w:bottom w:val="none" w:sz="0" w:space="0" w:color="auto"/>
                <w:right w:val="none" w:sz="0" w:space="0" w:color="auto"/>
              </w:divBdr>
              <w:divsChild>
                <w:div w:id="1340692203">
                  <w:marLeft w:val="0"/>
                  <w:marRight w:val="0"/>
                  <w:marTop w:val="0"/>
                  <w:marBottom w:val="0"/>
                  <w:divBdr>
                    <w:top w:val="none" w:sz="0" w:space="0" w:color="auto"/>
                    <w:left w:val="none" w:sz="0" w:space="0" w:color="auto"/>
                    <w:bottom w:val="none" w:sz="0" w:space="0" w:color="auto"/>
                    <w:right w:val="none" w:sz="0" w:space="0" w:color="auto"/>
                  </w:divBdr>
                  <w:divsChild>
                    <w:div w:id="1194928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6148193">
      <w:bodyDiv w:val="1"/>
      <w:marLeft w:val="0"/>
      <w:marRight w:val="0"/>
      <w:marTop w:val="0"/>
      <w:marBottom w:val="0"/>
      <w:divBdr>
        <w:top w:val="none" w:sz="0" w:space="0" w:color="auto"/>
        <w:left w:val="none" w:sz="0" w:space="0" w:color="auto"/>
        <w:bottom w:val="none" w:sz="0" w:space="0" w:color="auto"/>
        <w:right w:val="none" w:sz="0" w:space="0" w:color="auto"/>
      </w:divBdr>
    </w:div>
    <w:div w:id="1563633467">
      <w:bodyDiv w:val="1"/>
      <w:marLeft w:val="0"/>
      <w:marRight w:val="0"/>
      <w:marTop w:val="0"/>
      <w:marBottom w:val="0"/>
      <w:divBdr>
        <w:top w:val="none" w:sz="0" w:space="0" w:color="auto"/>
        <w:left w:val="none" w:sz="0" w:space="0" w:color="auto"/>
        <w:bottom w:val="none" w:sz="0" w:space="0" w:color="auto"/>
        <w:right w:val="none" w:sz="0" w:space="0" w:color="auto"/>
      </w:divBdr>
      <w:divsChild>
        <w:div w:id="878585284">
          <w:marLeft w:val="0"/>
          <w:marRight w:val="0"/>
          <w:marTop w:val="0"/>
          <w:marBottom w:val="0"/>
          <w:divBdr>
            <w:top w:val="none" w:sz="0" w:space="0" w:color="auto"/>
            <w:left w:val="none" w:sz="0" w:space="0" w:color="auto"/>
            <w:bottom w:val="none" w:sz="0" w:space="0" w:color="auto"/>
            <w:right w:val="none" w:sz="0" w:space="0" w:color="auto"/>
          </w:divBdr>
          <w:divsChild>
            <w:div w:id="1022777068">
              <w:marLeft w:val="0"/>
              <w:marRight w:val="0"/>
              <w:marTop w:val="0"/>
              <w:marBottom w:val="0"/>
              <w:divBdr>
                <w:top w:val="none" w:sz="0" w:space="0" w:color="auto"/>
                <w:left w:val="none" w:sz="0" w:space="0" w:color="auto"/>
                <w:bottom w:val="none" w:sz="0" w:space="0" w:color="auto"/>
                <w:right w:val="none" w:sz="0" w:space="0" w:color="auto"/>
              </w:divBdr>
              <w:divsChild>
                <w:div w:id="1280989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0646842">
      <w:bodyDiv w:val="1"/>
      <w:marLeft w:val="0"/>
      <w:marRight w:val="0"/>
      <w:marTop w:val="0"/>
      <w:marBottom w:val="0"/>
      <w:divBdr>
        <w:top w:val="none" w:sz="0" w:space="0" w:color="auto"/>
        <w:left w:val="none" w:sz="0" w:space="0" w:color="auto"/>
        <w:bottom w:val="none" w:sz="0" w:space="0" w:color="auto"/>
        <w:right w:val="none" w:sz="0" w:space="0" w:color="auto"/>
      </w:divBdr>
      <w:divsChild>
        <w:div w:id="1216774142">
          <w:marLeft w:val="0"/>
          <w:marRight w:val="0"/>
          <w:marTop w:val="0"/>
          <w:marBottom w:val="0"/>
          <w:divBdr>
            <w:top w:val="none" w:sz="0" w:space="0" w:color="auto"/>
            <w:left w:val="none" w:sz="0" w:space="0" w:color="auto"/>
            <w:bottom w:val="none" w:sz="0" w:space="0" w:color="auto"/>
            <w:right w:val="none" w:sz="0" w:space="0" w:color="auto"/>
          </w:divBdr>
          <w:divsChild>
            <w:div w:id="1532105381">
              <w:marLeft w:val="0"/>
              <w:marRight w:val="0"/>
              <w:marTop w:val="0"/>
              <w:marBottom w:val="0"/>
              <w:divBdr>
                <w:top w:val="none" w:sz="0" w:space="0" w:color="auto"/>
                <w:left w:val="none" w:sz="0" w:space="0" w:color="auto"/>
                <w:bottom w:val="none" w:sz="0" w:space="0" w:color="auto"/>
                <w:right w:val="none" w:sz="0" w:space="0" w:color="auto"/>
              </w:divBdr>
            </w:div>
            <w:div w:id="2118209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3096222">
      <w:bodyDiv w:val="1"/>
      <w:marLeft w:val="0"/>
      <w:marRight w:val="0"/>
      <w:marTop w:val="0"/>
      <w:marBottom w:val="0"/>
      <w:divBdr>
        <w:top w:val="none" w:sz="0" w:space="0" w:color="auto"/>
        <w:left w:val="none" w:sz="0" w:space="0" w:color="auto"/>
        <w:bottom w:val="none" w:sz="0" w:space="0" w:color="auto"/>
        <w:right w:val="none" w:sz="0" w:space="0" w:color="auto"/>
      </w:divBdr>
      <w:divsChild>
        <w:div w:id="988242336">
          <w:marLeft w:val="0"/>
          <w:marRight w:val="0"/>
          <w:marTop w:val="0"/>
          <w:marBottom w:val="0"/>
          <w:divBdr>
            <w:top w:val="none" w:sz="0" w:space="0" w:color="auto"/>
            <w:left w:val="none" w:sz="0" w:space="0" w:color="auto"/>
            <w:bottom w:val="none" w:sz="0" w:space="0" w:color="auto"/>
            <w:right w:val="none" w:sz="0" w:space="0" w:color="auto"/>
          </w:divBdr>
          <w:divsChild>
            <w:div w:id="659773788">
              <w:marLeft w:val="0"/>
              <w:marRight w:val="0"/>
              <w:marTop w:val="0"/>
              <w:marBottom w:val="0"/>
              <w:divBdr>
                <w:top w:val="none" w:sz="0" w:space="0" w:color="auto"/>
                <w:left w:val="none" w:sz="0" w:space="0" w:color="auto"/>
                <w:bottom w:val="none" w:sz="0" w:space="0" w:color="auto"/>
                <w:right w:val="none" w:sz="0" w:space="0" w:color="auto"/>
              </w:divBdr>
              <w:divsChild>
                <w:div w:id="344672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5811048">
      <w:bodyDiv w:val="1"/>
      <w:marLeft w:val="0"/>
      <w:marRight w:val="0"/>
      <w:marTop w:val="0"/>
      <w:marBottom w:val="0"/>
      <w:divBdr>
        <w:top w:val="none" w:sz="0" w:space="0" w:color="auto"/>
        <w:left w:val="none" w:sz="0" w:space="0" w:color="auto"/>
        <w:bottom w:val="none" w:sz="0" w:space="0" w:color="auto"/>
        <w:right w:val="none" w:sz="0" w:space="0" w:color="auto"/>
      </w:divBdr>
    </w:div>
    <w:div w:id="1822042235">
      <w:bodyDiv w:val="1"/>
      <w:marLeft w:val="0"/>
      <w:marRight w:val="0"/>
      <w:marTop w:val="0"/>
      <w:marBottom w:val="0"/>
      <w:divBdr>
        <w:top w:val="none" w:sz="0" w:space="0" w:color="auto"/>
        <w:left w:val="none" w:sz="0" w:space="0" w:color="auto"/>
        <w:bottom w:val="none" w:sz="0" w:space="0" w:color="auto"/>
        <w:right w:val="none" w:sz="0" w:space="0" w:color="auto"/>
      </w:divBdr>
      <w:divsChild>
        <w:div w:id="885220845">
          <w:marLeft w:val="0"/>
          <w:marRight w:val="0"/>
          <w:marTop w:val="0"/>
          <w:marBottom w:val="0"/>
          <w:divBdr>
            <w:top w:val="none" w:sz="0" w:space="0" w:color="auto"/>
            <w:left w:val="none" w:sz="0" w:space="0" w:color="auto"/>
            <w:bottom w:val="none" w:sz="0" w:space="0" w:color="auto"/>
            <w:right w:val="none" w:sz="0" w:space="0" w:color="auto"/>
          </w:divBdr>
          <w:divsChild>
            <w:div w:id="2096171994">
              <w:marLeft w:val="0"/>
              <w:marRight w:val="0"/>
              <w:marTop w:val="0"/>
              <w:marBottom w:val="0"/>
              <w:divBdr>
                <w:top w:val="none" w:sz="0" w:space="0" w:color="auto"/>
                <w:left w:val="none" w:sz="0" w:space="0" w:color="auto"/>
                <w:bottom w:val="none" w:sz="0" w:space="0" w:color="auto"/>
                <w:right w:val="none" w:sz="0" w:space="0" w:color="auto"/>
              </w:divBdr>
              <w:divsChild>
                <w:div w:id="1367680730">
                  <w:marLeft w:val="0"/>
                  <w:marRight w:val="0"/>
                  <w:marTop w:val="0"/>
                  <w:marBottom w:val="0"/>
                  <w:divBdr>
                    <w:top w:val="none" w:sz="0" w:space="0" w:color="auto"/>
                    <w:left w:val="none" w:sz="0" w:space="0" w:color="auto"/>
                    <w:bottom w:val="none" w:sz="0" w:space="0" w:color="auto"/>
                    <w:right w:val="none" w:sz="0" w:space="0" w:color="auto"/>
                  </w:divBdr>
                  <w:divsChild>
                    <w:div w:id="394356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4340414">
      <w:bodyDiv w:val="1"/>
      <w:marLeft w:val="0"/>
      <w:marRight w:val="0"/>
      <w:marTop w:val="0"/>
      <w:marBottom w:val="0"/>
      <w:divBdr>
        <w:top w:val="none" w:sz="0" w:space="0" w:color="auto"/>
        <w:left w:val="none" w:sz="0" w:space="0" w:color="auto"/>
        <w:bottom w:val="none" w:sz="0" w:space="0" w:color="auto"/>
        <w:right w:val="none" w:sz="0" w:space="0" w:color="auto"/>
      </w:divBdr>
    </w:div>
    <w:div w:id="1917549890">
      <w:bodyDiv w:val="1"/>
      <w:marLeft w:val="0"/>
      <w:marRight w:val="0"/>
      <w:marTop w:val="0"/>
      <w:marBottom w:val="0"/>
      <w:divBdr>
        <w:top w:val="none" w:sz="0" w:space="0" w:color="auto"/>
        <w:left w:val="none" w:sz="0" w:space="0" w:color="auto"/>
        <w:bottom w:val="none" w:sz="0" w:space="0" w:color="auto"/>
        <w:right w:val="none" w:sz="0" w:space="0" w:color="auto"/>
      </w:divBdr>
      <w:divsChild>
        <w:div w:id="2019966223">
          <w:marLeft w:val="0"/>
          <w:marRight w:val="0"/>
          <w:marTop w:val="0"/>
          <w:marBottom w:val="0"/>
          <w:divBdr>
            <w:top w:val="none" w:sz="0" w:space="0" w:color="auto"/>
            <w:left w:val="none" w:sz="0" w:space="0" w:color="auto"/>
            <w:bottom w:val="none" w:sz="0" w:space="0" w:color="auto"/>
            <w:right w:val="none" w:sz="0" w:space="0" w:color="auto"/>
          </w:divBdr>
          <w:divsChild>
            <w:div w:id="1368292167">
              <w:marLeft w:val="0"/>
              <w:marRight w:val="0"/>
              <w:marTop w:val="0"/>
              <w:marBottom w:val="0"/>
              <w:divBdr>
                <w:top w:val="none" w:sz="0" w:space="0" w:color="auto"/>
                <w:left w:val="none" w:sz="0" w:space="0" w:color="auto"/>
                <w:bottom w:val="none" w:sz="0" w:space="0" w:color="auto"/>
                <w:right w:val="none" w:sz="0" w:space="0" w:color="auto"/>
              </w:divBdr>
              <w:divsChild>
                <w:div w:id="1290671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2180779">
      <w:bodyDiv w:val="1"/>
      <w:marLeft w:val="0"/>
      <w:marRight w:val="0"/>
      <w:marTop w:val="0"/>
      <w:marBottom w:val="0"/>
      <w:divBdr>
        <w:top w:val="none" w:sz="0" w:space="0" w:color="auto"/>
        <w:left w:val="none" w:sz="0" w:space="0" w:color="auto"/>
        <w:bottom w:val="none" w:sz="0" w:space="0" w:color="auto"/>
        <w:right w:val="none" w:sz="0" w:space="0" w:color="auto"/>
      </w:divBdr>
      <w:divsChild>
        <w:div w:id="116947913">
          <w:marLeft w:val="0"/>
          <w:marRight w:val="0"/>
          <w:marTop w:val="0"/>
          <w:marBottom w:val="0"/>
          <w:divBdr>
            <w:top w:val="none" w:sz="0" w:space="0" w:color="auto"/>
            <w:left w:val="none" w:sz="0" w:space="0" w:color="auto"/>
            <w:bottom w:val="none" w:sz="0" w:space="0" w:color="auto"/>
            <w:right w:val="none" w:sz="0" w:space="0" w:color="auto"/>
          </w:divBdr>
          <w:divsChild>
            <w:div w:id="1238511509">
              <w:marLeft w:val="0"/>
              <w:marRight w:val="0"/>
              <w:marTop w:val="0"/>
              <w:marBottom w:val="0"/>
              <w:divBdr>
                <w:top w:val="none" w:sz="0" w:space="0" w:color="auto"/>
                <w:left w:val="none" w:sz="0" w:space="0" w:color="auto"/>
                <w:bottom w:val="none" w:sz="0" w:space="0" w:color="auto"/>
                <w:right w:val="none" w:sz="0" w:space="0" w:color="auto"/>
              </w:divBdr>
              <w:divsChild>
                <w:div w:id="1344435073">
                  <w:marLeft w:val="0"/>
                  <w:marRight w:val="0"/>
                  <w:marTop w:val="0"/>
                  <w:marBottom w:val="0"/>
                  <w:divBdr>
                    <w:top w:val="none" w:sz="0" w:space="0" w:color="auto"/>
                    <w:left w:val="none" w:sz="0" w:space="0" w:color="auto"/>
                    <w:bottom w:val="none" w:sz="0" w:space="0" w:color="auto"/>
                    <w:right w:val="none" w:sz="0" w:space="0" w:color="auto"/>
                  </w:divBdr>
                  <w:divsChild>
                    <w:div w:id="585304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7755794">
      <w:bodyDiv w:val="1"/>
      <w:marLeft w:val="0"/>
      <w:marRight w:val="0"/>
      <w:marTop w:val="0"/>
      <w:marBottom w:val="0"/>
      <w:divBdr>
        <w:top w:val="none" w:sz="0" w:space="0" w:color="auto"/>
        <w:left w:val="none" w:sz="0" w:space="0" w:color="auto"/>
        <w:bottom w:val="none" w:sz="0" w:space="0" w:color="auto"/>
        <w:right w:val="none" w:sz="0" w:space="0" w:color="auto"/>
      </w:divBdr>
      <w:divsChild>
        <w:div w:id="1084062345">
          <w:marLeft w:val="0"/>
          <w:marRight w:val="0"/>
          <w:marTop w:val="0"/>
          <w:marBottom w:val="0"/>
          <w:divBdr>
            <w:top w:val="none" w:sz="0" w:space="0" w:color="auto"/>
            <w:left w:val="none" w:sz="0" w:space="0" w:color="auto"/>
            <w:bottom w:val="none" w:sz="0" w:space="0" w:color="auto"/>
            <w:right w:val="none" w:sz="0" w:space="0" w:color="auto"/>
          </w:divBdr>
          <w:divsChild>
            <w:div w:id="1597664662">
              <w:marLeft w:val="0"/>
              <w:marRight w:val="0"/>
              <w:marTop w:val="0"/>
              <w:marBottom w:val="0"/>
              <w:divBdr>
                <w:top w:val="none" w:sz="0" w:space="0" w:color="auto"/>
                <w:left w:val="none" w:sz="0" w:space="0" w:color="auto"/>
                <w:bottom w:val="none" w:sz="0" w:space="0" w:color="auto"/>
                <w:right w:val="none" w:sz="0" w:space="0" w:color="auto"/>
              </w:divBdr>
              <w:divsChild>
                <w:div w:id="51145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6486856">
      <w:bodyDiv w:val="1"/>
      <w:marLeft w:val="0"/>
      <w:marRight w:val="0"/>
      <w:marTop w:val="0"/>
      <w:marBottom w:val="0"/>
      <w:divBdr>
        <w:top w:val="none" w:sz="0" w:space="0" w:color="auto"/>
        <w:left w:val="none" w:sz="0" w:space="0" w:color="auto"/>
        <w:bottom w:val="none" w:sz="0" w:space="0" w:color="auto"/>
        <w:right w:val="none" w:sz="0" w:space="0" w:color="auto"/>
      </w:divBdr>
      <w:divsChild>
        <w:div w:id="1087070254">
          <w:marLeft w:val="0"/>
          <w:marRight w:val="0"/>
          <w:marTop w:val="0"/>
          <w:marBottom w:val="0"/>
          <w:divBdr>
            <w:top w:val="none" w:sz="0" w:space="0" w:color="auto"/>
            <w:left w:val="none" w:sz="0" w:space="0" w:color="auto"/>
            <w:bottom w:val="none" w:sz="0" w:space="0" w:color="auto"/>
            <w:right w:val="none" w:sz="0" w:space="0" w:color="auto"/>
          </w:divBdr>
          <w:divsChild>
            <w:div w:id="87121464">
              <w:marLeft w:val="0"/>
              <w:marRight w:val="0"/>
              <w:marTop w:val="0"/>
              <w:marBottom w:val="0"/>
              <w:divBdr>
                <w:top w:val="none" w:sz="0" w:space="0" w:color="auto"/>
                <w:left w:val="none" w:sz="0" w:space="0" w:color="auto"/>
                <w:bottom w:val="none" w:sz="0" w:space="0" w:color="auto"/>
                <w:right w:val="none" w:sz="0" w:space="0" w:color="auto"/>
              </w:divBdr>
              <w:divsChild>
                <w:div w:id="1371489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1099306">
      <w:bodyDiv w:val="1"/>
      <w:marLeft w:val="0"/>
      <w:marRight w:val="0"/>
      <w:marTop w:val="0"/>
      <w:marBottom w:val="0"/>
      <w:divBdr>
        <w:top w:val="none" w:sz="0" w:space="0" w:color="auto"/>
        <w:left w:val="none" w:sz="0" w:space="0" w:color="auto"/>
        <w:bottom w:val="none" w:sz="0" w:space="0" w:color="auto"/>
        <w:right w:val="none" w:sz="0" w:space="0" w:color="auto"/>
      </w:divBdr>
      <w:divsChild>
        <w:div w:id="1000156423">
          <w:marLeft w:val="0"/>
          <w:marRight w:val="0"/>
          <w:marTop w:val="0"/>
          <w:marBottom w:val="0"/>
          <w:divBdr>
            <w:top w:val="none" w:sz="0" w:space="0" w:color="auto"/>
            <w:left w:val="none" w:sz="0" w:space="0" w:color="auto"/>
            <w:bottom w:val="none" w:sz="0" w:space="0" w:color="auto"/>
            <w:right w:val="none" w:sz="0" w:space="0" w:color="auto"/>
          </w:divBdr>
          <w:divsChild>
            <w:div w:id="2110539065">
              <w:marLeft w:val="0"/>
              <w:marRight w:val="0"/>
              <w:marTop w:val="0"/>
              <w:marBottom w:val="0"/>
              <w:divBdr>
                <w:top w:val="none" w:sz="0" w:space="0" w:color="auto"/>
                <w:left w:val="none" w:sz="0" w:space="0" w:color="auto"/>
                <w:bottom w:val="none" w:sz="0" w:space="0" w:color="auto"/>
                <w:right w:val="none" w:sz="0" w:space="0" w:color="auto"/>
              </w:divBdr>
              <w:divsChild>
                <w:div w:id="1904565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0467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image" Target="media/image6.png"/><Relationship Id="rId14" Type="http://schemas.openxmlformats.org/officeDocument/2006/relationships/image" Target="media/image7.png"/><Relationship Id="rId15" Type="http://schemas.openxmlformats.org/officeDocument/2006/relationships/hyperlink" Target="http://www2.nphs.wales.nhs.uk:8080/PubHObservatoryProjDocs.nsf/public/69A0697E9FF0BDF08025795E00579BDA/$file/InequalitiesProfilesLA_MerthyrTydfil_v1.pdf" TargetMode="Externa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F62E5CCA-FF94-5447-9257-C4BC2E00A0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19</Pages>
  <Words>4442</Words>
  <Characters>25324</Characters>
  <Application>Microsoft Macintosh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 Anderson</dc:creator>
  <cp:keywords/>
  <dc:description/>
  <cp:lastModifiedBy>Microsoft Office User</cp:lastModifiedBy>
  <cp:revision>2</cp:revision>
  <cp:lastPrinted>2019-01-01T14:17:00Z</cp:lastPrinted>
  <dcterms:created xsi:type="dcterms:W3CDTF">2019-01-04T11:26:00Z</dcterms:created>
  <dcterms:modified xsi:type="dcterms:W3CDTF">2019-01-04T11:26:00Z</dcterms:modified>
</cp:coreProperties>
</file>