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1A001" w14:textId="07332351" w:rsidR="005E7420" w:rsidRPr="005E7420" w:rsidRDefault="0025784B" w:rsidP="005E7420">
      <w:pPr>
        <w:spacing w:after="240" w:line="360" w:lineRule="auto"/>
        <w:rPr>
          <w:rFonts w:ascii="Times New Roman" w:eastAsia="Times New Roman" w:hAnsi="Times New Roman" w:cs="Times New Roman"/>
          <w:b/>
          <w:bCs/>
          <w:kern w:val="0"/>
          <w:sz w:val="24"/>
          <w:szCs w:val="24"/>
          <w:lang w:val="en-US" w:eastAsia="en-GB"/>
          <w14:ligatures w14:val="none"/>
        </w:rPr>
      </w:pPr>
      <w:r>
        <w:rPr>
          <w:rFonts w:ascii="Times New Roman" w:eastAsia="Times New Roman" w:hAnsi="Times New Roman" w:cs="Times New Roman"/>
          <w:b/>
          <w:bCs/>
          <w:kern w:val="0"/>
          <w:sz w:val="24"/>
          <w:szCs w:val="24"/>
          <w:lang w:val="en-US" w:eastAsia="en-GB"/>
          <w14:ligatures w14:val="none"/>
        </w:rPr>
        <w:t>Task 1</w:t>
      </w:r>
    </w:p>
    <w:p w14:paraId="7329C952"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eastAsia="en-GB"/>
          <w14:ligatures w14:val="none"/>
        </w:rPr>
      </w:pPr>
      <w:r w:rsidRPr="005E7420">
        <w:rPr>
          <w:rFonts w:ascii="Times New Roman" w:eastAsia="Times New Roman" w:hAnsi="Times New Roman" w:cs="Times New Roman"/>
          <w:b/>
          <w:bCs/>
          <w:kern w:val="0"/>
          <w:sz w:val="24"/>
          <w:szCs w:val="24"/>
          <w:lang w:val="en-US" w:eastAsia="en-GB"/>
          <w14:ligatures w14:val="none"/>
        </w:rPr>
        <w:t>Follow-up Email to Ms. Thropp</w:t>
      </w:r>
    </w:p>
    <w:p w14:paraId="251D4075"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Subject:</w:t>
      </w:r>
      <w:r w:rsidRPr="005E7420">
        <w:rPr>
          <w:rFonts w:ascii="Times New Roman" w:eastAsia="Times New Roman" w:hAnsi="Times New Roman" w:cs="Times New Roman"/>
          <w:kern w:val="0"/>
          <w:sz w:val="24"/>
          <w:szCs w:val="24"/>
          <w:lang w:val="en-US" w:eastAsia="en-GB"/>
          <w14:ligatures w14:val="none"/>
        </w:rPr>
        <w:t xml:space="preserve"> Breakdown of Costs for Your Property Purchase</w:t>
      </w:r>
    </w:p>
    <w:p w14:paraId="3D57D84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Dear Ms. Thropp,</w:t>
      </w:r>
    </w:p>
    <w:p w14:paraId="6E1051FC" w14:textId="1B120991"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Thank you for your call regarding your </w:t>
      </w:r>
      <w:r w:rsidR="00F00CFB">
        <w:rPr>
          <w:rFonts w:ascii="Times New Roman" w:eastAsia="Times New Roman" w:hAnsi="Times New Roman" w:cs="Times New Roman"/>
          <w:kern w:val="0"/>
          <w:sz w:val="24"/>
          <w:szCs w:val="24"/>
          <w:lang w:val="en-US" w:eastAsia="en-GB"/>
          <w14:ligatures w14:val="none"/>
        </w:rPr>
        <w:t xml:space="preserve">interest to </w:t>
      </w:r>
      <w:proofErr w:type="gramStart"/>
      <w:r w:rsidRPr="005E7420">
        <w:rPr>
          <w:rFonts w:ascii="Times New Roman" w:eastAsia="Times New Roman" w:hAnsi="Times New Roman" w:cs="Times New Roman"/>
          <w:kern w:val="0"/>
          <w:sz w:val="24"/>
          <w:szCs w:val="24"/>
          <w:lang w:val="en-US" w:eastAsia="en-GB"/>
          <w14:ligatures w14:val="none"/>
        </w:rPr>
        <w:t xml:space="preserve">purchase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proofErr w:type="gramEnd"/>
      <w:r w:rsidRPr="005E7420">
        <w:rPr>
          <w:rFonts w:ascii="Times New Roman" w:eastAsia="Times New Roman" w:hAnsi="Times New Roman" w:cs="Times New Roman"/>
          <w:kern w:val="0"/>
          <w:sz w:val="24"/>
          <w:szCs w:val="24"/>
          <w:lang w:val="en-US" w:eastAsia="en-GB"/>
          <w14:ligatures w14:val="none"/>
        </w:rPr>
        <w:t xml:space="preserve"> Ko Castle, Swansea West. As discussed in my voicemail, please find below a breakdown of the estimated legal costs associated with your purchase.</w:t>
      </w:r>
    </w:p>
    <w:p w14:paraId="032633FA"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Legal Fees &amp; Disbursements</w:t>
      </w:r>
    </w:p>
    <w:p w14:paraId="6BA4A20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Legal Fee (Property Price: £739,000) – £1,800</w:t>
      </w:r>
    </w:p>
    <w:p w14:paraId="25E81CA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Mortgage Handling Fee – £200</w:t>
      </w:r>
    </w:p>
    <w:p w14:paraId="54A092ED"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Land Registry Fee – £295</w:t>
      </w:r>
    </w:p>
    <w:p w14:paraId="2F3180E4"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Property Search Fees (Estimate) – £300</w:t>
      </w:r>
    </w:p>
    <w:p w14:paraId="192A68CC" w14:textId="7176A670"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Bank Transfer Fee – £20 + VAT</w:t>
      </w:r>
      <w:r w:rsidR="009072B5">
        <w:rPr>
          <w:rFonts w:ascii="Times New Roman" w:eastAsia="Times New Roman" w:hAnsi="Times New Roman" w:cs="Times New Roman"/>
          <w:kern w:val="0"/>
          <w:sz w:val="24"/>
          <w:szCs w:val="24"/>
          <w:lang w:val="en-US" w:eastAsia="en-GB"/>
          <w14:ligatures w14:val="none"/>
        </w:rPr>
        <w:t>=24</w:t>
      </w:r>
    </w:p>
    <w:p w14:paraId="4C3EAB27" w14:textId="3D6165A8" w:rsidR="009072B5" w:rsidRPr="005E7420" w:rsidRDefault="009072B5"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ID verification fees-£20 + VAT=24</w:t>
      </w:r>
    </w:p>
    <w:p w14:paraId="0B0315E8" w14:textId="0FC07D48"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VAT on Legal Fees</w:t>
      </w:r>
      <w:r w:rsidR="00F00CFB">
        <w:rPr>
          <w:rFonts w:ascii="Times New Roman" w:eastAsia="Times New Roman" w:hAnsi="Times New Roman" w:cs="Times New Roman"/>
          <w:kern w:val="0"/>
          <w:sz w:val="24"/>
          <w:szCs w:val="24"/>
          <w:lang w:val="en-US" w:eastAsia="en-GB"/>
          <w14:ligatures w14:val="none"/>
        </w:rPr>
        <w:t xml:space="preserve"> and Mortgage Handling Fee</w:t>
      </w:r>
      <w:r w:rsidRPr="005E7420">
        <w:rPr>
          <w:rFonts w:ascii="Times New Roman" w:eastAsia="Times New Roman" w:hAnsi="Times New Roman" w:cs="Times New Roman"/>
          <w:kern w:val="0"/>
          <w:sz w:val="24"/>
          <w:szCs w:val="24"/>
          <w:lang w:val="en-US" w:eastAsia="en-GB"/>
          <w14:ligatures w14:val="none"/>
        </w:rPr>
        <w:t xml:space="preserve"> (20</w:t>
      </w:r>
      <w:proofErr w:type="gramStart"/>
      <w:r w:rsidRPr="005E7420">
        <w:rPr>
          <w:rFonts w:ascii="Times New Roman" w:eastAsia="Times New Roman" w:hAnsi="Times New Roman" w:cs="Times New Roman"/>
          <w:kern w:val="0"/>
          <w:sz w:val="24"/>
          <w:szCs w:val="24"/>
          <w:lang w:val="en-US" w:eastAsia="en-GB"/>
          <w14:ligatures w14:val="none"/>
        </w:rPr>
        <w:t>%)</w:t>
      </w:r>
      <w:r w:rsidR="00361289">
        <w:rPr>
          <w:rFonts w:ascii="Times New Roman" w:eastAsia="Times New Roman" w:hAnsi="Times New Roman" w:cs="Times New Roman"/>
          <w:kern w:val="0"/>
          <w:sz w:val="24"/>
          <w:szCs w:val="24"/>
          <w:lang w:val="en-US" w:eastAsia="en-GB"/>
          <w14:ligatures w14:val="none"/>
        </w:rPr>
        <w:t>(</w:t>
      </w:r>
      <w:proofErr w:type="gramEnd"/>
      <w:r w:rsidR="00361289">
        <w:rPr>
          <w:rFonts w:ascii="Times New Roman" w:eastAsia="Times New Roman" w:hAnsi="Times New Roman" w:cs="Times New Roman"/>
          <w:kern w:val="0"/>
          <w:sz w:val="24"/>
          <w:szCs w:val="24"/>
          <w:lang w:val="en-US" w:eastAsia="en-GB"/>
          <w14:ligatures w14:val="none"/>
        </w:rPr>
        <w:t>1,800 + 200)</w:t>
      </w:r>
      <w:r w:rsidRPr="005E7420">
        <w:rPr>
          <w:rFonts w:ascii="Times New Roman" w:eastAsia="Times New Roman" w:hAnsi="Times New Roman" w:cs="Times New Roman"/>
          <w:kern w:val="0"/>
          <w:sz w:val="24"/>
          <w:szCs w:val="24"/>
          <w:lang w:val="en-US" w:eastAsia="en-GB"/>
          <w14:ligatures w14:val="none"/>
        </w:rPr>
        <w:t xml:space="preserve"> </w:t>
      </w:r>
      <w:r w:rsidR="00361289">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£400</w:t>
      </w:r>
    </w:p>
    <w:p w14:paraId="106C16D0" w14:textId="42B89CAE"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Total Estimated Legal Costs – £3,0</w:t>
      </w:r>
      <w:r w:rsidR="009072B5">
        <w:rPr>
          <w:rFonts w:ascii="Times New Roman" w:eastAsia="Times New Roman" w:hAnsi="Times New Roman" w:cs="Times New Roman"/>
          <w:kern w:val="0"/>
          <w:sz w:val="24"/>
          <w:szCs w:val="24"/>
          <w:lang w:val="en-US" w:eastAsia="en-GB"/>
          <w14:ligatures w14:val="none"/>
        </w:rPr>
        <w:t>43</w:t>
      </w:r>
      <w:r w:rsidRPr="005E7420">
        <w:rPr>
          <w:rFonts w:ascii="Times New Roman" w:eastAsia="Times New Roman" w:hAnsi="Times New Roman" w:cs="Times New Roman"/>
          <w:kern w:val="0"/>
          <w:sz w:val="24"/>
          <w:szCs w:val="24"/>
          <w:lang w:val="en-US" w:eastAsia="en-GB"/>
          <w14:ligatures w14:val="none"/>
        </w:rPr>
        <w:t xml:space="preserve"> (</w:t>
      </w:r>
      <w:r w:rsidR="00E23D4C">
        <w:rPr>
          <w:rFonts w:ascii="Times New Roman" w:eastAsia="Times New Roman" w:hAnsi="Times New Roman" w:cs="Times New Roman"/>
          <w:kern w:val="0"/>
          <w:sz w:val="24"/>
          <w:szCs w:val="24"/>
          <w:lang w:val="en-US" w:eastAsia="en-GB"/>
          <w14:ligatures w14:val="none"/>
        </w:rPr>
        <w:t>excluding LTT</w:t>
      </w:r>
      <w:r w:rsidRPr="005E7420">
        <w:rPr>
          <w:rFonts w:ascii="Times New Roman" w:eastAsia="Times New Roman" w:hAnsi="Times New Roman" w:cs="Times New Roman"/>
          <w:kern w:val="0"/>
          <w:sz w:val="24"/>
          <w:szCs w:val="24"/>
          <w:lang w:val="en-US" w:eastAsia="en-GB"/>
          <w14:ligatures w14:val="none"/>
        </w:rPr>
        <w:t>)</w:t>
      </w:r>
    </w:p>
    <w:p w14:paraId="2388570F" w14:textId="5CC33AA6" w:rsidR="00F00CFB" w:rsidRPr="00F00CFB" w:rsidRDefault="00F00CFB"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Additional Considerations</w:t>
      </w:r>
      <w:r>
        <w:rPr>
          <w:rFonts w:ascii="Times New Roman" w:eastAsia="Times New Roman" w:hAnsi="Times New Roman" w:cs="Times New Roman"/>
          <w:b/>
          <w:bCs/>
          <w:kern w:val="0"/>
          <w:sz w:val="24"/>
          <w:szCs w:val="24"/>
          <w:lang w:val="en-US" w:eastAsia="en-GB"/>
          <w14:ligatures w14:val="none"/>
        </w:rPr>
        <w:t>-</w:t>
      </w:r>
      <w:r w:rsidRPr="005E7420">
        <w:rPr>
          <w:rFonts w:ascii="Times New Roman" w:eastAsia="Times New Roman" w:hAnsi="Times New Roman" w:cs="Times New Roman"/>
          <w:kern w:val="0"/>
          <w:sz w:val="24"/>
          <w:szCs w:val="24"/>
          <w:lang w:val="en-US" w:eastAsia="en-GB"/>
          <w14:ligatures w14:val="none"/>
        </w:rPr>
        <w:t>Potential Additional Costs – If indemnity insurance is required or additional legal work is needed, this could incur extra fees.</w:t>
      </w:r>
    </w:p>
    <w:p w14:paraId="1DB3DF8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Other Important Information</w:t>
      </w:r>
    </w:p>
    <w:p w14:paraId="45C7221E" w14:textId="648EE73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Timeline: The purchase process typically takes 8-12 weeks, depending on mortgage approval, property searches, and any legal </w:t>
      </w:r>
      <w:r w:rsidR="00F00CFB">
        <w:rPr>
          <w:rFonts w:ascii="Times New Roman" w:eastAsia="Times New Roman" w:hAnsi="Times New Roman" w:cs="Times New Roman"/>
          <w:kern w:val="0"/>
          <w:sz w:val="24"/>
          <w:szCs w:val="24"/>
          <w:lang w:val="en-US" w:eastAsia="en-GB"/>
          <w14:ligatures w14:val="none"/>
        </w:rPr>
        <w:t>e</w:t>
      </w:r>
      <w:r w:rsidRPr="005E7420">
        <w:rPr>
          <w:rFonts w:ascii="Times New Roman" w:eastAsia="Times New Roman" w:hAnsi="Times New Roman" w:cs="Times New Roman"/>
          <w:kern w:val="0"/>
          <w:sz w:val="24"/>
          <w:szCs w:val="24"/>
          <w:lang w:val="en-US" w:eastAsia="en-GB"/>
          <w14:ligatures w14:val="none"/>
        </w:rPr>
        <w:t>nquiries.</w:t>
      </w:r>
    </w:p>
    <w:p w14:paraId="0374B37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Commitment to Purchase: Since contracts have not yet been exchanged, you are not legally bound to proceed at this stage. However, some costs (such as searches) may be non-refundable if you decide to withdraw.</w:t>
      </w:r>
    </w:p>
    <w:p w14:paraId="2F168D0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Please let me know if you have any further questions. I am happy to assist you throughout this process.</w:t>
      </w:r>
    </w:p>
    <w:p w14:paraId="29DC9CEC" w14:textId="254058FB" w:rsidR="00346198" w:rsidRDefault="005E7420" w:rsidP="005E7420">
      <w:r w:rsidRPr="005E7420">
        <w:rPr>
          <w:rFonts w:ascii="Times New Roman" w:eastAsia="Times New Roman" w:hAnsi="Times New Roman" w:cs="Times New Roman"/>
          <w:kern w:val="0"/>
          <w:sz w:val="24"/>
          <w:szCs w:val="24"/>
          <w:lang w:val="en-US" w:eastAsia="en-GB"/>
          <w14:ligatures w14:val="none"/>
        </w:rPr>
        <w:t>Best regards,</w:t>
      </w:r>
      <w:r w:rsidRPr="005E7420">
        <w:rPr>
          <w:rFonts w:ascii="Times New Roman" w:eastAsia="Times New Roman" w:hAnsi="Times New Roman" w:cs="Times New Roman"/>
          <w:kern w:val="0"/>
          <w:sz w:val="24"/>
          <w:szCs w:val="24"/>
          <w:lang w:val="en-US" w:eastAsia="en-GB"/>
          <w14:ligatures w14:val="none"/>
        </w:rPr>
        <w:br/>
      </w:r>
      <w:r>
        <w:t>Mihaela Gavrila</w:t>
      </w:r>
    </w:p>
    <w:p w14:paraId="77873715" w14:textId="5B60879B" w:rsidR="005E7420" w:rsidRDefault="005E7420" w:rsidP="005E7420">
      <w:pPr>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r w:rsidRPr="005E7420">
        <w:rPr>
          <w:rFonts w:ascii="Times New Roman" w:eastAsia="Times New Roman" w:hAnsi="Times New Roman" w:cs="Times New Roman"/>
          <w:kern w:val="0"/>
          <w:sz w:val="24"/>
          <w:szCs w:val="24"/>
          <w:lang w:val="en-US" w:eastAsia="en-GB"/>
          <w14:ligatures w14:val="none"/>
        </w:rPr>
        <w:br/>
        <w:t>Blue Light Law LLP</w:t>
      </w:r>
    </w:p>
    <w:p w14:paraId="0FA5EEF1"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19518C40"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2C7C104E" w14:textId="77777777" w:rsidR="00F01407" w:rsidRDefault="00F01407" w:rsidP="005E7420">
      <w:pPr>
        <w:rPr>
          <w:rFonts w:ascii="Times New Roman" w:eastAsia="Times New Roman" w:hAnsi="Times New Roman" w:cs="Times New Roman"/>
          <w:kern w:val="0"/>
          <w:sz w:val="24"/>
          <w:szCs w:val="24"/>
          <w:lang w:val="en-US" w:eastAsia="en-GB"/>
          <w14:ligatures w14:val="none"/>
        </w:rPr>
      </w:pPr>
    </w:p>
    <w:p w14:paraId="1B7805F0" w14:textId="0B9A31EE" w:rsidR="005E7420" w:rsidRDefault="005E7420" w:rsidP="005E7420">
      <w:pPr>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Task 2</w:t>
      </w:r>
    </w:p>
    <w:p w14:paraId="29BA1747"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26A8A336" w14:textId="4A754727" w:rsidR="005E7420" w:rsidRPr="00F01407"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MEMORANDUM</w:t>
      </w:r>
    </w:p>
    <w:p w14:paraId="085CB3F1" w14:textId="5F2B4C01" w:rsidR="00F01407" w:rsidRDefault="00F01407" w:rsidP="005E7420">
      <w:pPr>
        <w:spacing w:after="240" w:line="360" w:lineRule="auto"/>
        <w:rPr>
          <w:rFonts w:ascii="Times New Roman" w:eastAsia="Times New Roman" w:hAnsi="Times New Roman" w:cs="Times New Roman"/>
          <w:b/>
          <w:bCs/>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To: Vanessa T. Heart, Senior Associate, Blue Light Law LLP</w:t>
      </w:r>
    </w:p>
    <w:p w14:paraId="7FB5F4C2" w14:textId="3A108C83" w:rsidR="00F01407" w:rsidRDefault="00F01407" w:rsidP="005E7420">
      <w:pPr>
        <w:spacing w:after="240" w:line="360" w:lineRule="auto"/>
        <w:rPr>
          <w:rFonts w:ascii="Times New Roman" w:eastAsia="Times New Roman" w:hAnsi="Times New Roman" w:cs="Times New Roman"/>
          <w:b/>
          <w:bCs/>
          <w:kern w:val="0"/>
          <w:sz w:val="24"/>
          <w:szCs w:val="24"/>
          <w:lang w:val="en-US"/>
          <w14:ligatures w14:val="none"/>
        </w:rPr>
      </w:pPr>
      <w:r>
        <w:rPr>
          <w:rFonts w:ascii="Times New Roman" w:eastAsia="Times New Roman" w:hAnsi="Times New Roman" w:cs="Times New Roman"/>
          <w:b/>
          <w:bCs/>
          <w:kern w:val="0"/>
          <w:sz w:val="24"/>
          <w:szCs w:val="24"/>
          <w:lang w:val="en-US"/>
          <w14:ligatures w14:val="none"/>
        </w:rPr>
        <w:t>From: Mihaela Gavrila</w:t>
      </w:r>
    </w:p>
    <w:p w14:paraId="2DBA9A1C" w14:textId="77777777" w:rsidR="00361289" w:rsidRDefault="00F01407" w:rsidP="00F01407">
      <w:pPr>
        <w:spacing w:before="100" w:beforeAutospacing="1" w:after="100" w:afterAutospacing="1" w:line="480" w:lineRule="auto"/>
        <w:rPr>
          <w:rFonts w:ascii="Times New Roman" w:eastAsia="Times New Roman" w:hAnsi="Times New Roman" w:cs="Times New Roman"/>
          <w:b/>
          <w:bCs/>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Date: 28 February 2025</w:t>
      </w:r>
      <w:r w:rsidRPr="00F01407">
        <w:rPr>
          <w:rFonts w:ascii="Times New Roman" w:eastAsia="Times New Roman" w:hAnsi="Times New Roman" w:cs="Times New Roman"/>
          <w:kern w:val="0"/>
          <w:sz w:val="24"/>
          <w:szCs w:val="24"/>
          <w:lang w:val="en-US"/>
          <w14:ligatures w14:val="none"/>
        </w:rPr>
        <w:br/>
      </w:r>
      <w:r w:rsidRPr="00F01407">
        <w:rPr>
          <w:rFonts w:ascii="Times New Roman" w:eastAsia="Times New Roman" w:hAnsi="Times New Roman" w:cs="Times New Roman"/>
          <w:b/>
          <w:bCs/>
          <w:kern w:val="0"/>
          <w:sz w:val="24"/>
          <w:szCs w:val="24"/>
          <w:lang w:val="en-US"/>
          <w14:ligatures w14:val="none"/>
        </w:rPr>
        <w:t xml:space="preserve">Subject: Case Ref: VTH-10485/01 – Title Due Diligence for </w:t>
      </w:r>
      <w:proofErr w:type="spellStart"/>
      <w:r w:rsidRPr="00F01407">
        <w:rPr>
          <w:rFonts w:ascii="Times New Roman" w:eastAsia="Times New Roman" w:hAnsi="Times New Roman" w:cs="Times New Roman"/>
          <w:b/>
          <w:bCs/>
          <w:kern w:val="0"/>
          <w:sz w:val="24"/>
          <w:szCs w:val="24"/>
          <w:lang w:val="en-US"/>
          <w14:ligatures w14:val="none"/>
        </w:rPr>
        <w:t>Kiamo</w:t>
      </w:r>
      <w:proofErr w:type="spellEnd"/>
      <w:r w:rsidRPr="00F01407">
        <w:rPr>
          <w:rFonts w:ascii="Times New Roman" w:eastAsia="Times New Roman" w:hAnsi="Times New Roman" w:cs="Times New Roman"/>
          <w:b/>
          <w:bCs/>
          <w:kern w:val="0"/>
          <w:sz w:val="24"/>
          <w:szCs w:val="24"/>
          <w:lang w:val="en-US"/>
          <w14:ligatures w14:val="none"/>
        </w:rPr>
        <w:t xml:space="preserve"> Ko</w:t>
      </w:r>
    </w:p>
    <w:p w14:paraId="30B6DC97" w14:textId="6692EDD3" w:rsidR="00F01407" w:rsidRPr="00F01407" w:rsidRDefault="00F01407" w:rsidP="00F01407">
      <w:p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br/>
        <w:t xml:space="preserve">The title </w:t>
      </w:r>
      <w:proofErr w:type="gramStart"/>
      <w:r w:rsidRPr="00F01407">
        <w:rPr>
          <w:rFonts w:ascii="Times New Roman" w:eastAsia="Times New Roman" w:hAnsi="Times New Roman" w:cs="Times New Roman"/>
          <w:kern w:val="0"/>
          <w:sz w:val="24"/>
          <w:szCs w:val="24"/>
          <w:lang w:val="en-US"/>
          <w14:ligatures w14:val="none"/>
        </w:rPr>
        <w:t>register</w:t>
      </w:r>
      <w:proofErr w:type="gramEnd"/>
      <w:r w:rsidRPr="00F01407">
        <w:rPr>
          <w:rFonts w:ascii="Times New Roman" w:eastAsia="Times New Roman" w:hAnsi="Times New Roman" w:cs="Times New Roman"/>
          <w:kern w:val="0"/>
          <w:sz w:val="24"/>
          <w:szCs w:val="24"/>
          <w:lang w:val="en-US"/>
          <w14:ligatures w14:val="none"/>
        </w:rPr>
        <w:t xml:space="preserve"> and deeds for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(Appendix B) were reviewed to identify encumbrances or rights affecting the property. </w:t>
      </w:r>
    </w:p>
    <w:p w14:paraId="723950BD"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Easements</w:t>
      </w:r>
    </w:p>
    <w:p w14:paraId="1BDB523B" w14:textId="77777777" w:rsidR="00F01407" w:rsidRPr="00F01407" w:rsidRDefault="00F01407" w:rsidP="00F01407">
      <w:p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Easements are rights over land benefiting or burdening a property (</w:t>
      </w:r>
      <w:proofErr w:type="spellStart"/>
      <w:r w:rsidRPr="00F01407">
        <w:rPr>
          <w:rFonts w:ascii="Times New Roman" w:eastAsia="Times New Roman" w:hAnsi="Times New Roman" w:cs="Times New Roman"/>
          <w:kern w:val="0"/>
          <w:sz w:val="24"/>
          <w:szCs w:val="24"/>
          <w:lang w:val="en-US"/>
          <w14:ligatures w14:val="none"/>
        </w:rPr>
        <w:t>Michelmores</w:t>
      </w:r>
      <w:proofErr w:type="spellEnd"/>
      <w:r w:rsidRPr="00F01407">
        <w:rPr>
          <w:rFonts w:ascii="Times New Roman" w:eastAsia="Times New Roman" w:hAnsi="Times New Roman" w:cs="Times New Roman"/>
          <w:kern w:val="0"/>
          <w:sz w:val="24"/>
          <w:szCs w:val="24"/>
          <w:lang w:val="en-US"/>
          <w14:ligatures w14:val="none"/>
        </w:rPr>
        <w:t>, 2023). Two key easements were identified:</w:t>
      </w:r>
    </w:p>
    <w:p w14:paraId="47EE66BE" w14:textId="77777777" w:rsidR="00F01407" w:rsidRPr="00F01407" w:rsidRDefault="00F01407" w:rsidP="00F01407">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Right of Way Over Neighboring Driveway (Benefit)</w:t>
      </w:r>
      <w:r w:rsidRPr="00F01407">
        <w:rPr>
          <w:rFonts w:ascii="Times New Roman" w:eastAsia="Times New Roman" w:hAnsi="Times New Roman" w:cs="Times New Roman"/>
          <w:kern w:val="0"/>
          <w:sz w:val="24"/>
          <w:szCs w:val="24"/>
          <w:lang w:val="en-US"/>
          <w14:ligatures w14:val="none"/>
        </w:rPr>
        <w:br/>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enjoys </w:t>
      </w:r>
      <w:proofErr w:type="gramStart"/>
      <w:r w:rsidRPr="00F01407">
        <w:rPr>
          <w:rFonts w:ascii="Times New Roman" w:eastAsia="Times New Roman" w:hAnsi="Times New Roman" w:cs="Times New Roman"/>
          <w:kern w:val="0"/>
          <w:sz w:val="24"/>
          <w:szCs w:val="24"/>
          <w:lang w:val="en-US"/>
          <w14:ligatures w14:val="none"/>
        </w:rPr>
        <w:t>a right</w:t>
      </w:r>
      <w:proofErr w:type="gramEnd"/>
      <w:r w:rsidRPr="00F01407">
        <w:rPr>
          <w:rFonts w:ascii="Times New Roman" w:eastAsia="Times New Roman" w:hAnsi="Times New Roman" w:cs="Times New Roman"/>
          <w:kern w:val="0"/>
          <w:sz w:val="24"/>
          <w:szCs w:val="24"/>
          <w:lang w:val="en-US"/>
          <w14:ligatures w14:val="none"/>
        </w:rPr>
        <w:t xml:space="preserve"> of way over the neighboring driveway, ensuring Ms. Thropp’s access. Under Section 2 of the Land Registration Act 2002, legal easements </w:t>
      </w:r>
      <w:r w:rsidRPr="00F01407">
        <w:rPr>
          <w:rFonts w:ascii="Times New Roman" w:eastAsia="Times New Roman" w:hAnsi="Times New Roman" w:cs="Times New Roman"/>
          <w:kern w:val="0"/>
          <w:sz w:val="24"/>
          <w:szCs w:val="24"/>
          <w:lang w:val="en-US"/>
          <w14:ligatures w14:val="none"/>
        </w:rPr>
        <w:lastRenderedPageBreak/>
        <w:t xml:space="preserve">are registrable interests that benefit the dominant tenement and pass to successors in title (Land Registry, 2019). This right will </w:t>
      </w:r>
      <w:proofErr w:type="gramStart"/>
      <w:r w:rsidRPr="00F01407">
        <w:rPr>
          <w:rFonts w:ascii="Times New Roman" w:eastAsia="Times New Roman" w:hAnsi="Times New Roman" w:cs="Times New Roman"/>
          <w:kern w:val="0"/>
          <w:sz w:val="24"/>
          <w:szCs w:val="24"/>
          <w:lang w:val="en-US"/>
          <w14:ligatures w14:val="none"/>
        </w:rPr>
        <w:t>transfer</w:t>
      </w:r>
      <w:proofErr w:type="gramEnd"/>
      <w:r w:rsidRPr="00F01407">
        <w:rPr>
          <w:rFonts w:ascii="Times New Roman" w:eastAsia="Times New Roman" w:hAnsi="Times New Roman" w:cs="Times New Roman"/>
          <w:kern w:val="0"/>
          <w:sz w:val="24"/>
          <w:szCs w:val="24"/>
          <w:lang w:val="en-US"/>
          <w14:ligatures w14:val="none"/>
        </w:rPr>
        <w:t xml:space="preserve"> to Ms. Thropp, enhancing her property’s utility.</w:t>
      </w:r>
    </w:p>
    <w:p w14:paraId="1FE8618A" w14:textId="77777777" w:rsidR="00F01407" w:rsidRPr="00F01407" w:rsidRDefault="00F01407" w:rsidP="00F01407">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Right of Way Over Garden Path (Burden)</w:t>
      </w:r>
      <w:r w:rsidRPr="00F01407">
        <w:rPr>
          <w:rFonts w:ascii="Times New Roman" w:eastAsia="Times New Roman" w:hAnsi="Times New Roman" w:cs="Times New Roman"/>
          <w:kern w:val="0"/>
          <w:sz w:val="24"/>
          <w:szCs w:val="24"/>
          <w:lang w:val="en-US"/>
          <w14:ligatures w14:val="none"/>
        </w:rPr>
        <w:br/>
        <w:t xml:space="preserve">The neighboring property has a right of way over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w:t>
      </w:r>
      <w:proofErr w:type="gramStart"/>
      <w:r w:rsidRPr="00F01407">
        <w:rPr>
          <w:rFonts w:ascii="Times New Roman" w:eastAsia="Times New Roman" w:hAnsi="Times New Roman" w:cs="Times New Roman"/>
          <w:kern w:val="0"/>
          <w:sz w:val="24"/>
          <w:szCs w:val="24"/>
          <w:lang w:val="en-US"/>
          <w14:ligatures w14:val="none"/>
        </w:rPr>
        <w:t>Ko’s garden</w:t>
      </w:r>
      <w:proofErr w:type="gramEnd"/>
      <w:r w:rsidRPr="00F01407">
        <w:rPr>
          <w:rFonts w:ascii="Times New Roman" w:eastAsia="Times New Roman" w:hAnsi="Times New Roman" w:cs="Times New Roman"/>
          <w:kern w:val="0"/>
          <w:sz w:val="24"/>
          <w:szCs w:val="24"/>
          <w:lang w:val="en-US"/>
          <w14:ligatures w14:val="none"/>
        </w:rPr>
        <w:t xml:space="preserve"> path, requiring Ms. Thropp to permit access. This burden runs with the servient tenement under the same Act, binding her as the new owner (Land Registry, 2019). It may </w:t>
      </w:r>
      <w:proofErr w:type="gramStart"/>
      <w:r w:rsidRPr="00F01407">
        <w:rPr>
          <w:rFonts w:ascii="Times New Roman" w:eastAsia="Times New Roman" w:hAnsi="Times New Roman" w:cs="Times New Roman"/>
          <w:kern w:val="0"/>
          <w:sz w:val="24"/>
          <w:szCs w:val="24"/>
          <w:lang w:val="en-US"/>
          <w14:ligatures w14:val="none"/>
        </w:rPr>
        <w:t>impact</w:t>
      </w:r>
      <w:proofErr w:type="gramEnd"/>
      <w:r w:rsidRPr="00F01407">
        <w:rPr>
          <w:rFonts w:ascii="Times New Roman" w:eastAsia="Times New Roman" w:hAnsi="Times New Roman" w:cs="Times New Roman"/>
          <w:kern w:val="0"/>
          <w:sz w:val="24"/>
          <w:szCs w:val="24"/>
          <w:lang w:val="en-US"/>
          <w14:ligatures w14:val="none"/>
        </w:rPr>
        <w:t xml:space="preserve"> her privacy or garden use.</w:t>
      </w:r>
    </w:p>
    <w:p w14:paraId="30F2AECB"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Covenants</w:t>
      </w:r>
    </w:p>
    <w:p w14:paraId="69287C68" w14:textId="77777777" w:rsidR="00F01407" w:rsidRPr="00F01407" w:rsidRDefault="00F01407" w:rsidP="00F01407">
      <w:pPr>
        <w:spacing w:line="480" w:lineRule="auto"/>
        <w:rPr>
          <w:rFonts w:ascii="Times New Roman" w:eastAsia="Calibri" w:hAnsi="Times New Roman" w:cs="Times New Roman"/>
          <w:kern w:val="0"/>
          <w:sz w:val="24"/>
          <w:szCs w:val="24"/>
          <w:lang w:val="en-US"/>
          <w14:ligatures w14:val="none"/>
        </w:rPr>
      </w:pPr>
      <w:r w:rsidRPr="00F01407">
        <w:rPr>
          <w:rFonts w:ascii="Times New Roman" w:eastAsia="Calibri" w:hAnsi="Times New Roman" w:cs="Times New Roman"/>
          <w:kern w:val="0"/>
          <w:sz w:val="24"/>
          <w:szCs w:val="24"/>
          <w:lang w:val="en-US"/>
          <w14:ligatures w14:val="none"/>
        </w:rPr>
        <w:t>Covenants are obligations affecting land use, categorized as restrictive or positive (</w:t>
      </w:r>
      <w:r w:rsidRPr="00F01407">
        <w:rPr>
          <w:rFonts w:ascii="Times New Roman" w:eastAsia="Calibri" w:hAnsi="Times New Roman" w:cs="Times New Roman"/>
          <w:color w:val="222222"/>
          <w:kern w:val="0"/>
          <w:sz w:val="24"/>
          <w:szCs w:val="24"/>
          <w:shd w:val="clear" w:color="auto" w:fill="FFFFFF"/>
          <w:lang w:val="en-US"/>
          <w14:ligatures w14:val="none"/>
        </w:rPr>
        <w:t xml:space="preserve">Wild, 2022; </w:t>
      </w:r>
      <w:r w:rsidRPr="00F01407">
        <w:rPr>
          <w:rFonts w:ascii="Times New Roman" w:eastAsia="Calibri" w:hAnsi="Times New Roman" w:cs="Times New Roman"/>
          <w:kern w:val="0"/>
          <w:sz w:val="24"/>
          <w:szCs w:val="24"/>
          <w:lang w:val="en-US"/>
          <w14:ligatures w14:val="none"/>
        </w:rPr>
        <w:t>Land Registry Documents, 2023). Two were noted:</w:t>
      </w:r>
    </w:p>
    <w:p w14:paraId="513999BE" w14:textId="77777777" w:rsidR="00F01407" w:rsidRPr="00F01407" w:rsidRDefault="00F01407" w:rsidP="00F01407">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Restrictive Covenant: No Trade or Business Use</w:t>
      </w:r>
      <w:r w:rsidRPr="00F01407">
        <w:rPr>
          <w:rFonts w:ascii="Times New Roman" w:eastAsia="Times New Roman" w:hAnsi="Times New Roman" w:cs="Times New Roman"/>
          <w:kern w:val="0"/>
          <w:sz w:val="24"/>
          <w:szCs w:val="24"/>
          <w:lang w:val="en-US"/>
          <w14:ligatures w14:val="none"/>
        </w:rPr>
        <w:br/>
        <w:t xml:space="preserve">A covenant prohibits using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for trade or business, restricting it to residential use. The burden of restrictive covenants runs with the land if registered, as per Section 79 of the Law of Property Act 1925 and the precedent in </w:t>
      </w:r>
      <w:r w:rsidRPr="00F01407">
        <w:rPr>
          <w:rFonts w:ascii="Times New Roman" w:eastAsia="Times New Roman" w:hAnsi="Times New Roman" w:cs="Times New Roman"/>
          <w:i/>
          <w:iCs/>
          <w:kern w:val="0"/>
          <w:sz w:val="24"/>
          <w:szCs w:val="24"/>
          <w:lang w:val="en-US"/>
          <w14:ligatures w14:val="none"/>
        </w:rPr>
        <w:t xml:space="preserve">Tulk v </w:t>
      </w:r>
      <w:proofErr w:type="spellStart"/>
      <w:r w:rsidRPr="00F01407">
        <w:rPr>
          <w:rFonts w:ascii="Times New Roman" w:eastAsia="Times New Roman" w:hAnsi="Times New Roman" w:cs="Times New Roman"/>
          <w:i/>
          <w:iCs/>
          <w:kern w:val="0"/>
          <w:sz w:val="24"/>
          <w:szCs w:val="24"/>
          <w:lang w:val="en-US"/>
          <w14:ligatures w14:val="none"/>
        </w:rPr>
        <w:t>Moxhay</w:t>
      </w:r>
      <w:proofErr w:type="spellEnd"/>
      <w:r w:rsidRPr="00F01407">
        <w:rPr>
          <w:rFonts w:ascii="Times New Roman" w:eastAsia="Times New Roman" w:hAnsi="Times New Roman" w:cs="Times New Roman"/>
          <w:kern w:val="0"/>
          <w:sz w:val="24"/>
          <w:szCs w:val="24"/>
          <w:lang w:val="en-US"/>
          <w14:ligatures w14:val="none"/>
        </w:rPr>
        <w:t xml:space="preserve"> [1848] 41 ER 1143 (Land Registry Documents, 2023). This will bind Ms. Thropp, limiting commercial activities.</w:t>
      </w:r>
    </w:p>
    <w:p w14:paraId="29CBE072" w14:textId="77777777" w:rsidR="00F01407" w:rsidRPr="00F01407" w:rsidRDefault="00F01407" w:rsidP="00F01407">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Positive Covenant: Maintain Shared Boundary Fence</w:t>
      </w:r>
      <w:r w:rsidRPr="00F01407">
        <w:rPr>
          <w:rFonts w:ascii="Times New Roman" w:eastAsia="Times New Roman" w:hAnsi="Times New Roman" w:cs="Times New Roman"/>
          <w:kern w:val="0"/>
          <w:sz w:val="24"/>
          <w:szCs w:val="24"/>
          <w:lang w:val="en-US"/>
          <w14:ligatures w14:val="none"/>
        </w:rPr>
        <w:br/>
        <w:t xml:space="preserve">An obligation exists to maintain the shared boundary fence. Positive covenants typically do not bind successors in title, as established in </w:t>
      </w:r>
      <w:r w:rsidRPr="00F01407">
        <w:rPr>
          <w:rFonts w:ascii="Times New Roman" w:eastAsia="Times New Roman" w:hAnsi="Times New Roman" w:cs="Times New Roman"/>
          <w:i/>
          <w:iCs/>
          <w:kern w:val="0"/>
          <w:sz w:val="24"/>
          <w:szCs w:val="24"/>
          <w:lang w:val="en-US"/>
          <w14:ligatures w14:val="none"/>
        </w:rPr>
        <w:t>Haywood v Brunswick Permanent Benefit Building Society</w:t>
      </w:r>
      <w:r w:rsidRPr="00F01407">
        <w:rPr>
          <w:rFonts w:ascii="Times New Roman" w:eastAsia="Times New Roman" w:hAnsi="Times New Roman" w:cs="Times New Roman"/>
          <w:kern w:val="0"/>
          <w:sz w:val="24"/>
          <w:szCs w:val="24"/>
          <w:lang w:val="en-US"/>
          <w14:ligatures w14:val="none"/>
        </w:rPr>
        <w:t xml:space="preserve"> [1881] 8 QBD 403 (Paris Smith, 2022). However, exceptions like indemnity chains or the benefit and burden principle (</w:t>
      </w:r>
      <w:r w:rsidRPr="00F01407">
        <w:rPr>
          <w:rFonts w:ascii="Times New Roman" w:eastAsia="Times New Roman" w:hAnsi="Times New Roman" w:cs="Times New Roman"/>
          <w:i/>
          <w:iCs/>
          <w:kern w:val="0"/>
          <w:sz w:val="24"/>
          <w:szCs w:val="24"/>
          <w:lang w:val="en-US"/>
          <w14:ligatures w14:val="none"/>
        </w:rPr>
        <w:t xml:space="preserve">Halsall v </w:t>
      </w:r>
      <w:proofErr w:type="spellStart"/>
      <w:r w:rsidRPr="00F01407">
        <w:rPr>
          <w:rFonts w:ascii="Times New Roman" w:eastAsia="Times New Roman" w:hAnsi="Times New Roman" w:cs="Times New Roman"/>
          <w:i/>
          <w:iCs/>
          <w:kern w:val="0"/>
          <w:sz w:val="24"/>
          <w:szCs w:val="24"/>
          <w:lang w:val="en-US"/>
          <w14:ligatures w14:val="none"/>
        </w:rPr>
        <w:t>Brizell</w:t>
      </w:r>
      <w:proofErr w:type="spellEnd"/>
      <w:r w:rsidRPr="00F01407">
        <w:rPr>
          <w:rFonts w:ascii="Times New Roman" w:eastAsia="Times New Roman" w:hAnsi="Times New Roman" w:cs="Times New Roman"/>
          <w:kern w:val="0"/>
          <w:sz w:val="24"/>
          <w:szCs w:val="24"/>
          <w:lang w:val="en-US"/>
          <w14:ligatures w14:val="none"/>
        </w:rPr>
        <w:t xml:space="preserve"> [1957] Ch 169) could apply if Ms. Thropp adopts associated benefits (Paris Smith, 2022). Without such mechanisms, this is unlikely to transfer.</w:t>
      </w:r>
    </w:p>
    <w:p w14:paraId="0D6E47C3"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lastRenderedPageBreak/>
        <w:t>Transfer Analysis</w:t>
      </w:r>
    </w:p>
    <w:p w14:paraId="5AC3CF37"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Easements</w:t>
      </w:r>
      <w:r w:rsidRPr="00F01407">
        <w:rPr>
          <w:rFonts w:ascii="Times New Roman" w:eastAsia="Times New Roman" w:hAnsi="Times New Roman" w:cs="Times New Roman"/>
          <w:kern w:val="0"/>
          <w:sz w:val="24"/>
          <w:szCs w:val="24"/>
          <w:lang w:val="en-US"/>
          <w14:ligatures w14:val="none"/>
        </w:rPr>
        <w:t>: The benefit (driveway access) and burden (garden path use) will transfer to Ms. Thropp, as they are inherent to the land’s legal title (Land Registry, 2019).</w:t>
      </w:r>
    </w:p>
    <w:p w14:paraId="24F166D8"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Restrictive Covenant</w:t>
      </w:r>
      <w:r w:rsidRPr="00F01407">
        <w:rPr>
          <w:rFonts w:ascii="Times New Roman" w:eastAsia="Times New Roman" w:hAnsi="Times New Roman" w:cs="Times New Roman"/>
          <w:kern w:val="0"/>
          <w:sz w:val="24"/>
          <w:szCs w:val="24"/>
          <w:lang w:val="en-US"/>
          <w14:ligatures w14:val="none"/>
        </w:rPr>
        <w:t>: The no-trade-or-business restriction will bind Ms. Thropp, enforceable by benefited parties (</w:t>
      </w:r>
      <w:r w:rsidRPr="00F01407">
        <w:rPr>
          <w:rFonts w:ascii="Arial" w:eastAsia="Calibri" w:hAnsi="Arial" w:cs="Arial"/>
          <w:color w:val="222222"/>
          <w:kern w:val="0"/>
          <w:sz w:val="20"/>
          <w:szCs w:val="20"/>
          <w:shd w:val="clear" w:color="auto" w:fill="FFFFFF"/>
          <w:lang w:val="en-US"/>
          <w14:ligatures w14:val="none"/>
        </w:rPr>
        <w:t xml:space="preserve">Dixon, 2021; </w:t>
      </w:r>
      <w:r w:rsidRPr="00F01407">
        <w:rPr>
          <w:rFonts w:ascii="Times New Roman" w:eastAsia="Times New Roman" w:hAnsi="Times New Roman" w:cs="Times New Roman"/>
          <w:kern w:val="0"/>
          <w:sz w:val="24"/>
          <w:szCs w:val="24"/>
          <w:lang w:val="en-US"/>
          <w14:ligatures w14:val="none"/>
        </w:rPr>
        <w:t>Land Registry Documents, 2023).</w:t>
      </w:r>
    </w:p>
    <w:p w14:paraId="5C033B97"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Positive Covenant</w:t>
      </w:r>
      <w:r w:rsidRPr="00F01407">
        <w:rPr>
          <w:rFonts w:ascii="Times New Roman" w:eastAsia="Times New Roman" w:hAnsi="Times New Roman" w:cs="Times New Roman"/>
          <w:kern w:val="0"/>
          <w:sz w:val="24"/>
          <w:szCs w:val="24"/>
          <w:lang w:val="en-US"/>
          <w14:ligatures w14:val="none"/>
        </w:rPr>
        <w:t>: The fence maintenance obligation is unlikely to bind her absent specific arrangements, though further investigation is advised (Paris Smith, 2022).</w:t>
      </w:r>
    </w:p>
    <w:p w14:paraId="031208DE"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Recommendations</w:t>
      </w:r>
    </w:p>
    <w:p w14:paraId="65EAED89" w14:textId="77777777" w:rsidR="00F01407" w:rsidRPr="00F01407" w:rsidRDefault="00F01407" w:rsidP="00F01407">
      <w:pPr>
        <w:spacing w:before="100" w:beforeAutospacing="1" w:after="100" w:afterAutospacing="1" w:line="480" w:lineRule="auto"/>
        <w:ind w:firstLine="720"/>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Ms. Thropp will acquire the driveway access right and must respect the garden path easement. The restrictive covenant limits her to residential use, while the positive covenant’s enforceability is doubtful but requires checking for indemnity or benefit links in the deeds (ASB, 2023). I recommend verifying the title’s exact wording and any ancillary agreements to confirm these conclusions.</w:t>
      </w:r>
    </w:p>
    <w:p w14:paraId="00A78627"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Conclusion</w:t>
      </w:r>
    </w:p>
    <w:p w14:paraId="004E1B15" w14:textId="05242D53" w:rsidR="005E7420" w:rsidRDefault="00F01407" w:rsidP="00F01407">
      <w:pPr>
        <w:spacing w:after="0" w:line="480" w:lineRule="auto"/>
        <w:ind w:firstLine="720"/>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The easements and restrictive covenant will transfer, shaping Ms. Thropp’s rights and obligations. The positive covenant’s burden seems unlikely to apply, offering her potential relief from maintenance costs, subject to further review.</w:t>
      </w:r>
    </w:p>
    <w:p w14:paraId="020767EC" w14:textId="77777777" w:rsidR="00F01407" w:rsidRPr="00F01407" w:rsidRDefault="00F01407" w:rsidP="00F01407">
      <w:pPr>
        <w:spacing w:after="0" w:line="480" w:lineRule="auto"/>
        <w:ind w:firstLine="720"/>
        <w:rPr>
          <w:rFonts w:ascii="Times New Roman" w:eastAsia="Times New Roman" w:hAnsi="Times New Roman" w:cs="Times New Roman"/>
          <w:kern w:val="0"/>
          <w:sz w:val="24"/>
          <w:szCs w:val="24"/>
          <w:lang w:val="en-US"/>
          <w14:ligatures w14:val="none"/>
        </w:rPr>
      </w:pPr>
    </w:p>
    <w:p w14:paraId="3D9BDC73"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Best regards,</w:t>
      </w:r>
    </w:p>
    <w:p w14:paraId="1F64FDE0" w14:textId="79221BE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Mihaela Gavrila</w:t>
      </w:r>
    </w:p>
    <w:p w14:paraId="006C398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p>
    <w:p w14:paraId="52E841B1"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Blue Light Law LLP</w:t>
      </w:r>
    </w:p>
    <w:p w14:paraId="3A4D7ED3" w14:textId="77777777" w:rsidR="005E7420" w:rsidRDefault="005E7420" w:rsidP="005E7420"/>
    <w:p w14:paraId="6C653E56" w14:textId="77777777" w:rsidR="005E7420" w:rsidRDefault="005E7420" w:rsidP="005E7420"/>
    <w:p w14:paraId="6755ADEA" w14:textId="5E075A2C" w:rsidR="005E7420" w:rsidRDefault="005E7420" w:rsidP="005E7420">
      <w:r>
        <w:t>Task 3</w:t>
      </w:r>
    </w:p>
    <w:p w14:paraId="3DA14BA6" w14:textId="77777777" w:rsidR="005E7420" w:rsidRDefault="005E7420" w:rsidP="005E7420"/>
    <w:p w14:paraId="212E264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Investigation of Title Report</w:t>
      </w:r>
    </w:p>
    <w:p w14:paraId="027E25F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Property: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Beach Road, Swansea, SA51 9FT</w:t>
      </w:r>
    </w:p>
    <w:p w14:paraId="3C84325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Client: Ms. Elisa Thropp</w:t>
      </w:r>
    </w:p>
    <w:p w14:paraId="368C7F9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Solicitor: Blue Light Law LLP</w:t>
      </w:r>
    </w:p>
    <w:p w14:paraId="4706922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Date: 10 February 2025</w:t>
      </w:r>
    </w:p>
    <w:p w14:paraId="6220B52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File Reference: VTH-10485/01</w:t>
      </w:r>
    </w:p>
    <w:p w14:paraId="1BD2B013" w14:textId="7F8A122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1. Introduction</w:t>
      </w:r>
    </w:p>
    <w:p w14:paraId="7CB99BFF" w14:textId="445602E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This report provides an in-depth investigation of the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Swansea, identifying key legal rights and obligations that will transfer to</w:t>
      </w:r>
      <w:r w:rsidR="005B402F">
        <w:rPr>
          <w:rFonts w:ascii="Times New Roman" w:eastAsia="Times New Roman" w:hAnsi="Times New Roman" w:cs="Times New Roman"/>
          <w:kern w:val="0"/>
          <w:sz w:val="24"/>
          <w:szCs w:val="24"/>
          <w:lang w:val="en-US" w:eastAsia="en-GB"/>
          <w14:ligatures w14:val="none"/>
        </w:rPr>
        <w:t xml:space="preserve"> yourself</w:t>
      </w:r>
      <w:r w:rsidRPr="005E7420">
        <w:rPr>
          <w:rFonts w:ascii="Times New Roman" w:eastAsia="Times New Roman" w:hAnsi="Times New Roman" w:cs="Times New Roman"/>
          <w:kern w:val="0"/>
          <w:sz w:val="24"/>
          <w:szCs w:val="24"/>
          <w:lang w:val="en-US" w:eastAsia="en-GB"/>
          <w14:ligatures w14:val="none"/>
        </w:rPr>
        <w:t xml:space="preserve"> upon completing </w:t>
      </w:r>
      <w:r w:rsidR="005B402F">
        <w:rPr>
          <w:rFonts w:ascii="Times New Roman" w:eastAsia="Times New Roman" w:hAnsi="Times New Roman" w:cs="Times New Roman"/>
          <w:kern w:val="0"/>
          <w:sz w:val="24"/>
          <w:szCs w:val="24"/>
          <w:lang w:val="en-US" w:eastAsia="en-GB"/>
          <w14:ligatures w14:val="none"/>
        </w:rPr>
        <w:t xml:space="preserve">your </w:t>
      </w:r>
      <w:r w:rsidRPr="005E7420">
        <w:rPr>
          <w:rFonts w:ascii="Times New Roman" w:eastAsia="Times New Roman" w:hAnsi="Times New Roman" w:cs="Times New Roman"/>
          <w:kern w:val="0"/>
          <w:sz w:val="24"/>
          <w:szCs w:val="24"/>
          <w:lang w:val="en-US" w:eastAsia="en-GB"/>
          <w14:ligatures w14:val="none"/>
        </w:rPr>
        <w:t xml:space="preserve">purchase. The objective is to ensure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fully understand any burdens or benefits of the property and can make an informed decision befor</w:t>
      </w:r>
      <w:r w:rsidR="0025784B">
        <w:rPr>
          <w:rFonts w:ascii="Times New Roman" w:eastAsia="Times New Roman" w:hAnsi="Times New Roman" w:cs="Times New Roman"/>
          <w:kern w:val="0"/>
          <w:sz w:val="24"/>
          <w:szCs w:val="24"/>
          <w:lang w:val="en-US" w:eastAsia="en-GB"/>
          <w14:ligatures w14:val="none"/>
        </w:rPr>
        <w:t>e proceeding with the purchase</w:t>
      </w:r>
      <w:r w:rsidRPr="005E7420">
        <w:rPr>
          <w:rFonts w:ascii="Times New Roman" w:eastAsia="Times New Roman" w:hAnsi="Times New Roman" w:cs="Times New Roman"/>
          <w:kern w:val="0"/>
          <w:sz w:val="24"/>
          <w:szCs w:val="24"/>
          <w:lang w:val="en-US" w:eastAsia="en-GB"/>
          <w14:ligatures w14:val="none"/>
        </w:rPr>
        <w:t>.</w:t>
      </w:r>
    </w:p>
    <w:p w14:paraId="77A27055" w14:textId="1E91356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As a freehold property,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obtain absolute ownership, meaning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not have to pay ground rent or adhere to leaseholder restrictions. However, some significant restrictive covenants and easements will bind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as the new owner by s.79 of the Law of Property Act 1925. These include obligations to maintain a roadway, prohibitions on certain land uses, and restrictions related to mineral rights (Law of Property Act 1925). This report outlines these key issues, to determine their impact on </w:t>
      </w:r>
      <w:r w:rsidR="005B402F">
        <w:rPr>
          <w:rFonts w:ascii="Times New Roman" w:eastAsia="Times New Roman" w:hAnsi="Times New Roman" w:cs="Times New Roman"/>
          <w:kern w:val="0"/>
          <w:sz w:val="24"/>
          <w:szCs w:val="24"/>
          <w:lang w:val="en-US" w:eastAsia="en-GB"/>
          <w14:ligatures w14:val="none"/>
        </w:rPr>
        <w:t xml:space="preserve">your </w:t>
      </w:r>
      <w:r w:rsidRPr="005E7420">
        <w:rPr>
          <w:rFonts w:ascii="Times New Roman" w:eastAsia="Times New Roman" w:hAnsi="Times New Roman" w:cs="Times New Roman"/>
          <w:kern w:val="0"/>
          <w:sz w:val="24"/>
          <w:szCs w:val="24"/>
          <w:lang w:val="en-US" w:eastAsia="en-GB"/>
          <w14:ligatures w14:val="none"/>
        </w:rPr>
        <w:t>ownership</w:t>
      </w:r>
      <w:r w:rsidR="005B402F">
        <w:rPr>
          <w:rFonts w:ascii="Times New Roman" w:eastAsia="Times New Roman" w:hAnsi="Times New Roman" w:cs="Times New Roman"/>
          <w:kern w:val="0"/>
          <w:sz w:val="24"/>
          <w:szCs w:val="24"/>
          <w:lang w:val="en-US" w:eastAsia="en-GB"/>
          <w14:ligatures w14:val="none"/>
        </w:rPr>
        <w:t xml:space="preserve"> of the property.</w:t>
      </w:r>
    </w:p>
    <w:p w14:paraId="2DBC5FE5"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2. Ownership and Title Details</w:t>
      </w:r>
    </w:p>
    <w:p w14:paraId="2EB7A723" w14:textId="3F34281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is registered under Title Number WA1234 at the HM Land Registry. The property is owned by Mrs. Samantha </w:t>
      </w:r>
      <w:proofErr w:type="spellStart"/>
      <w:r w:rsidRPr="005E7420">
        <w:rPr>
          <w:rFonts w:ascii="Times New Roman" w:eastAsia="Times New Roman" w:hAnsi="Times New Roman" w:cs="Times New Roman"/>
          <w:kern w:val="0"/>
          <w:sz w:val="24"/>
          <w:szCs w:val="24"/>
          <w:lang w:val="en-US" w:eastAsia="en-GB"/>
          <w14:ligatures w14:val="none"/>
        </w:rPr>
        <w:t>Tigelaar</w:t>
      </w:r>
      <w:proofErr w:type="spellEnd"/>
      <w:r w:rsidRPr="005E7420">
        <w:rPr>
          <w:rFonts w:ascii="Times New Roman" w:eastAsia="Times New Roman" w:hAnsi="Times New Roman" w:cs="Times New Roman"/>
          <w:kern w:val="0"/>
          <w:sz w:val="24"/>
          <w:szCs w:val="24"/>
          <w:lang w:val="en-US" w:eastAsia="en-GB"/>
          <w14:ligatures w14:val="none"/>
        </w:rPr>
        <w:t>, who purchased it on 4 February 2004 for £312,900.</w:t>
      </w:r>
      <w:r w:rsidR="005B402F">
        <w:rPr>
          <w:rFonts w:ascii="Times New Roman" w:eastAsia="Times New Roman" w:hAnsi="Times New Roman" w:cs="Times New Roman"/>
          <w:kern w:val="0"/>
          <w:sz w:val="24"/>
          <w:szCs w:val="24"/>
          <w:lang w:val="en-US" w:eastAsia="en-GB"/>
          <w14:ligatures w14:val="none"/>
        </w:rPr>
        <w:t xml:space="preserve"> You</w:t>
      </w:r>
      <w:r w:rsidRPr="005E7420">
        <w:rPr>
          <w:rFonts w:ascii="Times New Roman" w:eastAsia="Times New Roman" w:hAnsi="Times New Roman" w:cs="Times New Roman"/>
          <w:kern w:val="0"/>
          <w:sz w:val="24"/>
          <w:szCs w:val="24"/>
          <w:lang w:val="en-US" w:eastAsia="en-GB"/>
          <w14:ligatures w14:val="none"/>
        </w:rPr>
        <w:t xml:space="preserve"> will acquire the title as absolute freehold, meaning there are no competing ownership claims, and </w:t>
      </w:r>
      <w:r w:rsidR="005B402F">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will hold full rights over the land, subject to any legal restrictions that apply (HM Land Registry, 2025).</w:t>
      </w:r>
    </w:p>
    <w:p w14:paraId="5693C67A" w14:textId="7A901ACB"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However, the Charges Register reveals an existing mortgage charge held by the Emerald Building Society (2009). The seller must discharge this mortgage before completion to ensure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receive</w:t>
      </w:r>
      <w:r w:rsidR="005B402F">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the property with a clear and marketable title (Ruoff &amp; Roper, 2020). A priority search should be conducted before the exchange of contracts to confirm that no further charges have been registered.</w:t>
      </w:r>
    </w:p>
    <w:p w14:paraId="7E320B36"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 Easements (Rights Over Land)</w:t>
      </w:r>
    </w:p>
    <w:p w14:paraId="60E50F1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3.1 Right of Way – "Yellow Brick Road"</w:t>
      </w:r>
    </w:p>
    <w:p w14:paraId="4E813548" w14:textId="3754478A"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property is subject to a legal easement granting the trustees and occupiers of Poppy Field Park an established right of way over the Yellow Brick Road, which runs through the estate. This easement is permanent and cannot be unilaterally removed by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as easements generally run with the land under s.62 of the Law of Property Act 1925.</w:t>
      </w:r>
    </w:p>
    <w:p w14:paraId="4DE5E705" w14:textId="169E918C"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 </w:t>
      </w:r>
      <w:r w:rsidR="005B402F">
        <w:rPr>
          <w:rFonts w:ascii="Times New Roman" w:eastAsia="Times New Roman" w:hAnsi="Times New Roman" w:cs="Times New Roman"/>
          <w:kern w:val="0"/>
          <w:sz w:val="24"/>
          <w:szCs w:val="24"/>
          <w:lang w:val="en-US" w:eastAsia="en-GB"/>
          <w14:ligatures w14:val="none"/>
        </w:rPr>
        <w:t>A</w:t>
      </w:r>
      <w:r w:rsidRPr="005E7420">
        <w:rPr>
          <w:rFonts w:ascii="Times New Roman" w:eastAsia="Times New Roman" w:hAnsi="Times New Roman" w:cs="Times New Roman"/>
          <w:kern w:val="0"/>
          <w:sz w:val="24"/>
          <w:szCs w:val="24"/>
          <w:lang w:val="en-US" w:eastAsia="en-GB"/>
          <w14:ligatures w14:val="none"/>
        </w:rPr>
        <w:t xml:space="preserve">n easement benefiting another property automatically transfers unless expressly excluded in the conveyance (Wheeldon v Burrows [1879]). If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were to block or interfere with access, affected parties could seek an injunction or damages under Dalton v Angus [1881], which established the enforceability of such easements (Dalton v Angus [1881]).</w:t>
      </w:r>
    </w:p>
    <w:p w14:paraId="07DC78D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3.2 Crown Ownership of Mineral Rights</w:t>
      </w:r>
    </w:p>
    <w:p w14:paraId="3013C723" w14:textId="2537E16C"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Crown retains ownership of emerald mines and minerals beneath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This means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not have rights over any underground mineral resources.</w:t>
      </w:r>
    </w:p>
    <w:p w14:paraId="01CB620F" w14:textId="7168949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Under the Mines and Minerals Act 1923, the Crown retains the ability to extract minerals, which may lead to potential access or excavation on the property (Mines and Minerals Act 1923). Although this is unlikely, it remains a theoretical risk that should be disclosed before purchase.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wish to investigate indemnity insurance to protect against any future claims by the Crown.</w:t>
      </w:r>
    </w:p>
    <w:p w14:paraId="727D92D7"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3.3 Transfer of Burdens of Easements</w:t>
      </w:r>
    </w:p>
    <w:p w14:paraId="5677478E" w14:textId="7CB619B0"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Under Section 62 of the Law of Property Act 1925, easements automatically pass with the land upon transfer unless expressly excluded. This means that any existing rights granted to third parties, such as the right of way over the Yellow Brick Road, will continue to bind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as the new owner.</w:t>
      </w:r>
    </w:p>
    <w:p w14:paraId="3900F052" w14:textId="12EE1FF3"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Legal Implications for </w:t>
      </w:r>
      <w:r w:rsidR="001554A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w:t>
      </w:r>
    </w:p>
    <w:p w14:paraId="74105C8B" w14:textId="419C1593" w:rsidR="005E7420" w:rsidRPr="005E7420" w:rsidRDefault="00695177"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You</w:t>
      </w:r>
      <w:r w:rsidR="005E7420" w:rsidRPr="005E7420">
        <w:rPr>
          <w:rFonts w:ascii="Times New Roman" w:eastAsia="Times New Roman" w:hAnsi="Times New Roman" w:cs="Times New Roman"/>
          <w:kern w:val="0"/>
          <w:sz w:val="24"/>
          <w:szCs w:val="24"/>
          <w:lang w:val="en-US" w:eastAsia="en-GB"/>
          <w14:ligatures w14:val="none"/>
        </w:rPr>
        <w:t xml:space="preserve"> cannot unilaterally remove, alter, or obstruct the Yellow Brick Road without the consent of the beneficiaries (trustees and occupiers of Poppy Field Park).</w:t>
      </w:r>
    </w:p>
    <w:p w14:paraId="32BB29C6" w14:textId="33568E6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Should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attempt to block or restrict access, the beneficiaries could take legal action, including an injunction to prevent interference or damages for loss of access</w:t>
      </w:r>
      <w:r w:rsidR="00695177">
        <w:rPr>
          <w:rFonts w:ascii="Times New Roman" w:eastAsia="Times New Roman" w:hAnsi="Times New Roman" w:cs="Times New Roman"/>
          <w:kern w:val="0"/>
          <w:sz w:val="24"/>
          <w:szCs w:val="24"/>
          <w:lang w:val="en-US" w:eastAsia="en-GB"/>
          <w14:ligatures w14:val="none"/>
        </w:rPr>
        <w:t>.</w:t>
      </w:r>
    </w:p>
    <w:p w14:paraId="513E4C59" w14:textId="38A575F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continued maintenance obligation of the Yellow Brick Road remains enforceable, potentially requiring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to bear the cost of upkeep.</w:t>
      </w:r>
    </w:p>
    <w:p w14:paraId="5E03CDB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Potential Options:</w:t>
      </w:r>
    </w:p>
    <w:p w14:paraId="52F8E2F1" w14:textId="1195D8E0"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If </w:t>
      </w:r>
      <w:r w:rsidR="00695177">
        <w:rPr>
          <w:rFonts w:ascii="Times New Roman" w:eastAsia="Times New Roman" w:hAnsi="Times New Roman" w:cs="Times New Roman"/>
          <w:kern w:val="0"/>
          <w:sz w:val="24"/>
          <w:szCs w:val="24"/>
          <w:lang w:val="en-US" w:eastAsia="en-GB"/>
          <w14:ligatures w14:val="none"/>
        </w:rPr>
        <w:t xml:space="preserve">you </w:t>
      </w:r>
      <w:r w:rsidR="001554AF" w:rsidRPr="005E7420">
        <w:rPr>
          <w:rFonts w:ascii="Times New Roman" w:eastAsia="Times New Roman" w:hAnsi="Times New Roman" w:cs="Times New Roman"/>
          <w:kern w:val="0"/>
          <w:sz w:val="24"/>
          <w:szCs w:val="24"/>
          <w:lang w:val="en-US" w:eastAsia="en-GB"/>
          <w14:ligatures w14:val="none"/>
        </w:rPr>
        <w:t>wish</w:t>
      </w:r>
      <w:r w:rsidRPr="005E7420">
        <w:rPr>
          <w:rFonts w:ascii="Times New Roman" w:eastAsia="Times New Roman" w:hAnsi="Times New Roman" w:cs="Times New Roman"/>
          <w:kern w:val="0"/>
          <w:sz w:val="24"/>
          <w:szCs w:val="24"/>
          <w:lang w:val="en-US" w:eastAsia="en-GB"/>
          <w14:ligatures w14:val="none"/>
        </w:rPr>
        <w:t xml:space="preserve"> to modify or limit the right of way,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may negotiate a deed of variation with the beneficiaries, though this is unlikely unless an alternative route is provided.</w:t>
      </w:r>
    </w:p>
    <w:p w14:paraId="31270720" w14:textId="0E47B87B" w:rsidR="005E7420" w:rsidRPr="005E7420" w:rsidRDefault="005E7420" w:rsidP="005E7420">
      <w:pPr>
        <w:spacing w:after="240" w:line="360" w:lineRule="auto"/>
        <w:rPr>
          <w:rFonts w:ascii="Times New Roman" w:eastAsia="Times New Roman" w:hAnsi="Times New Roman" w:cs="Times New Roman"/>
          <w:kern w:val="0"/>
          <w:sz w:val="24"/>
          <w:szCs w:val="24"/>
          <w:lang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Indemnity insurance could be considered </w:t>
      </w:r>
      <w:proofErr w:type="gramStart"/>
      <w:r w:rsidRPr="005E7420">
        <w:rPr>
          <w:rFonts w:ascii="Times New Roman" w:eastAsia="Times New Roman" w:hAnsi="Times New Roman" w:cs="Times New Roman"/>
          <w:kern w:val="0"/>
          <w:sz w:val="24"/>
          <w:szCs w:val="24"/>
          <w:lang w:val="en-US" w:eastAsia="en-GB"/>
          <w14:ligatures w14:val="none"/>
        </w:rPr>
        <w:t xml:space="preserve">if  </w:t>
      </w:r>
      <w:r w:rsidR="00695177">
        <w:rPr>
          <w:rFonts w:ascii="Times New Roman" w:eastAsia="Times New Roman" w:hAnsi="Times New Roman" w:cs="Times New Roman"/>
          <w:kern w:val="0"/>
          <w:sz w:val="24"/>
          <w:szCs w:val="24"/>
          <w:lang w:val="en-US" w:eastAsia="en-GB"/>
          <w14:ligatures w14:val="none"/>
        </w:rPr>
        <w:t>you</w:t>
      </w:r>
      <w:proofErr w:type="gramEnd"/>
      <w:r w:rsidR="00695177">
        <w:rPr>
          <w:rFonts w:ascii="Times New Roman" w:eastAsia="Times New Roman" w:hAnsi="Times New Roman" w:cs="Times New Roman"/>
          <w:kern w:val="0"/>
          <w:sz w:val="24"/>
          <w:szCs w:val="24"/>
          <w:lang w:val="en-US" w:eastAsia="en-GB"/>
          <w14:ligatures w14:val="none"/>
        </w:rPr>
        <w:t xml:space="preserve"> are</w:t>
      </w:r>
      <w:r w:rsidRPr="005E7420">
        <w:rPr>
          <w:rFonts w:ascii="Times New Roman" w:eastAsia="Times New Roman" w:hAnsi="Times New Roman" w:cs="Times New Roman"/>
          <w:kern w:val="0"/>
          <w:sz w:val="24"/>
          <w:szCs w:val="24"/>
          <w:lang w:val="en-US" w:eastAsia="en-GB"/>
          <w14:ligatures w14:val="none"/>
        </w:rPr>
        <w:t xml:space="preserve"> concerned about potential legal disputes arising from the easement. Thus, the right of way is a legally binding burden that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 xml:space="preserve">will inherit, and any interference with it could result in legal </w:t>
      </w:r>
      <w:r w:rsidR="001554AF">
        <w:rPr>
          <w:rFonts w:ascii="Times New Roman" w:eastAsia="Times New Roman" w:hAnsi="Times New Roman" w:cs="Times New Roman"/>
          <w:kern w:val="0"/>
          <w:sz w:val="24"/>
          <w:szCs w:val="24"/>
          <w:lang w:val="en-US" w:eastAsia="en-GB"/>
          <w14:ligatures w14:val="none"/>
        </w:rPr>
        <w:t>action against yourself.</w:t>
      </w:r>
    </w:p>
    <w:p w14:paraId="41492CB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 Restrictive Covenants (Obligations &amp; Restrictions on Use)</w:t>
      </w:r>
    </w:p>
    <w:p w14:paraId="2F455D5F"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4.1 Prohibited Uses</w:t>
      </w:r>
    </w:p>
    <w:p w14:paraId="2BA57BCA" w14:textId="0F27AD9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title includes restrictive covenants prohibiting certain activities, which are legally binding and will </w:t>
      </w:r>
      <w:proofErr w:type="gramStart"/>
      <w:r w:rsidRPr="005E7420">
        <w:rPr>
          <w:rFonts w:ascii="Times New Roman" w:eastAsia="Times New Roman" w:hAnsi="Times New Roman" w:cs="Times New Roman"/>
          <w:kern w:val="0"/>
          <w:sz w:val="24"/>
          <w:szCs w:val="24"/>
          <w:lang w:val="en-US" w:eastAsia="en-GB"/>
          <w14:ligatures w14:val="none"/>
        </w:rPr>
        <w:t>transfer</w:t>
      </w:r>
      <w:proofErr w:type="gramEnd"/>
      <w:r w:rsidRPr="005E7420">
        <w:rPr>
          <w:rFonts w:ascii="Times New Roman" w:eastAsia="Times New Roman" w:hAnsi="Times New Roman" w:cs="Times New Roman"/>
          <w:kern w:val="0"/>
          <w:sz w:val="24"/>
          <w:szCs w:val="24"/>
          <w:lang w:val="en-US" w:eastAsia="en-GB"/>
          <w14:ligatures w14:val="none"/>
        </w:rPr>
        <w:t xml:space="preserve"> to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These restrictions prevent the property from being used for </w:t>
      </w:r>
      <w:r w:rsidR="00E92EF0">
        <w:rPr>
          <w:rFonts w:ascii="Times New Roman" w:eastAsia="Times New Roman" w:hAnsi="Times New Roman" w:cs="Times New Roman"/>
          <w:kern w:val="0"/>
          <w:sz w:val="24"/>
          <w:szCs w:val="24"/>
          <w:lang w:val="en-US" w:eastAsia="en-GB"/>
          <w14:ligatures w14:val="none"/>
        </w:rPr>
        <w:t>n</w:t>
      </w:r>
      <w:r w:rsidRPr="005E7420">
        <w:rPr>
          <w:rFonts w:ascii="Times New Roman" w:eastAsia="Times New Roman" w:hAnsi="Times New Roman" w:cs="Times New Roman"/>
          <w:kern w:val="0"/>
          <w:sz w:val="24"/>
          <w:szCs w:val="24"/>
          <w:lang w:val="en-US" w:eastAsia="en-GB"/>
          <w14:ligatures w14:val="none"/>
        </w:rPr>
        <w:t xml:space="preserve">oisy, offensive, or noxious activities (e.g., industrial use, manufacturing), Keeping livestock on the premises, </w:t>
      </w:r>
      <w:r w:rsidR="00E92EF0" w:rsidRPr="005E7420">
        <w:rPr>
          <w:rFonts w:ascii="Times New Roman" w:eastAsia="Times New Roman" w:hAnsi="Times New Roman" w:cs="Times New Roman"/>
          <w:kern w:val="0"/>
          <w:sz w:val="24"/>
          <w:szCs w:val="24"/>
          <w:lang w:val="en-US" w:eastAsia="en-GB"/>
          <w14:ligatures w14:val="none"/>
        </w:rPr>
        <w:t>operating</w:t>
      </w:r>
      <w:r w:rsidRPr="005E7420">
        <w:rPr>
          <w:rFonts w:ascii="Times New Roman" w:eastAsia="Times New Roman" w:hAnsi="Times New Roman" w:cs="Times New Roman"/>
          <w:kern w:val="0"/>
          <w:sz w:val="24"/>
          <w:szCs w:val="24"/>
          <w:lang w:val="en-US" w:eastAsia="en-GB"/>
          <w14:ligatures w14:val="none"/>
        </w:rPr>
        <w:t xml:space="preserve"> a place of worship and </w:t>
      </w:r>
      <w:proofErr w:type="gramStart"/>
      <w:r w:rsidRPr="005E7420">
        <w:rPr>
          <w:rFonts w:ascii="Times New Roman" w:eastAsia="Times New Roman" w:hAnsi="Times New Roman" w:cs="Times New Roman"/>
          <w:kern w:val="0"/>
          <w:sz w:val="24"/>
          <w:szCs w:val="24"/>
          <w:lang w:val="en-US" w:eastAsia="en-GB"/>
          <w14:ligatures w14:val="none"/>
        </w:rPr>
        <w:t>Selling</w:t>
      </w:r>
      <w:proofErr w:type="gramEnd"/>
      <w:r w:rsidRPr="005E7420">
        <w:rPr>
          <w:rFonts w:ascii="Times New Roman" w:eastAsia="Times New Roman" w:hAnsi="Times New Roman" w:cs="Times New Roman"/>
          <w:kern w:val="0"/>
          <w:sz w:val="24"/>
          <w:szCs w:val="24"/>
          <w:lang w:val="en-US" w:eastAsia="en-GB"/>
          <w14:ligatures w14:val="none"/>
        </w:rPr>
        <w:t xml:space="preserve"> or producing alcohol.</w:t>
      </w:r>
    </w:p>
    <w:p w14:paraId="068AB067"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4.2 Obligation to Maintain the "Yellow Brick Road"</w:t>
      </w:r>
    </w:p>
    <w:p w14:paraId="119E25DB" w14:textId="6445850D"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 positive covenant requires </w:t>
      </w:r>
      <w:r w:rsidR="00E92EF0">
        <w:rPr>
          <w:rFonts w:ascii="Times New Roman" w:eastAsia="Times New Roman" w:hAnsi="Times New Roman" w:cs="Times New Roman"/>
          <w:kern w:val="0"/>
          <w:sz w:val="24"/>
          <w:szCs w:val="24"/>
          <w:lang w:val="en-US" w:eastAsia="en-GB"/>
          <w14:ligatures w14:val="none"/>
        </w:rPr>
        <w:t xml:space="preserve">you as </w:t>
      </w:r>
      <w:r w:rsidRPr="005E7420">
        <w:rPr>
          <w:rFonts w:ascii="Times New Roman" w:eastAsia="Times New Roman" w:hAnsi="Times New Roman" w:cs="Times New Roman"/>
          <w:kern w:val="0"/>
          <w:sz w:val="24"/>
          <w:szCs w:val="24"/>
          <w:lang w:val="en-US" w:eastAsia="en-GB"/>
          <w14:ligatures w14:val="none"/>
        </w:rPr>
        <w:t xml:space="preserve">the owner of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to maintain the Yellow Brick Road in its golden-yellow </w:t>
      </w:r>
      <w:proofErr w:type="spellStart"/>
      <w:r w:rsidR="001554AF" w:rsidRPr="005E7420">
        <w:rPr>
          <w:rFonts w:ascii="Times New Roman" w:eastAsia="Times New Roman" w:hAnsi="Times New Roman" w:cs="Times New Roman"/>
          <w:kern w:val="0"/>
          <w:sz w:val="24"/>
          <w:szCs w:val="24"/>
          <w:lang w:val="en-US" w:eastAsia="en-GB"/>
          <w14:ligatures w14:val="none"/>
        </w:rPr>
        <w:t>colo</w:t>
      </w:r>
      <w:r w:rsidR="001554AF">
        <w:rPr>
          <w:rFonts w:ascii="Times New Roman" w:eastAsia="Times New Roman" w:hAnsi="Times New Roman" w:cs="Times New Roman"/>
          <w:kern w:val="0"/>
          <w:sz w:val="24"/>
          <w:szCs w:val="24"/>
          <w:lang w:val="en-US" w:eastAsia="en-GB"/>
          <w14:ligatures w14:val="none"/>
        </w:rPr>
        <w:t>ur</w:t>
      </w:r>
      <w:proofErr w:type="spellEnd"/>
      <w:r w:rsidR="001554AF">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and ensure it remains accessible to Poppy Field Park.</w:t>
      </w:r>
    </w:p>
    <w:p w14:paraId="7B1EEC24" w14:textId="55FDEA8A"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Unlike restrictive covenants, positive covenants do not automatically run with the lan</w:t>
      </w:r>
      <w:r w:rsidR="00DE35C2">
        <w:rPr>
          <w:rFonts w:ascii="Times New Roman" w:eastAsia="Times New Roman" w:hAnsi="Times New Roman" w:cs="Times New Roman"/>
          <w:kern w:val="0"/>
          <w:sz w:val="24"/>
          <w:szCs w:val="24"/>
          <w:lang w:val="en-US" w:eastAsia="en-GB"/>
          <w14:ligatures w14:val="none"/>
        </w:rPr>
        <w:t>d</w:t>
      </w:r>
      <w:r w:rsidRPr="005E7420">
        <w:rPr>
          <w:rFonts w:ascii="Times New Roman" w:eastAsia="Times New Roman" w:hAnsi="Times New Roman" w:cs="Times New Roman"/>
          <w:kern w:val="0"/>
          <w:sz w:val="24"/>
          <w:szCs w:val="24"/>
          <w:lang w:val="en-US" w:eastAsia="en-GB"/>
          <w14:ligatures w14:val="none"/>
        </w:rPr>
        <w:t>. However, this covenant is contractually binding under the original title transfer agreement and can be enforced by beneficiaries who rely on the road for access. If</w:t>
      </w:r>
      <w:r w:rsidR="00DE35C2">
        <w:rPr>
          <w:rFonts w:ascii="Times New Roman" w:eastAsia="Times New Roman" w:hAnsi="Times New Roman" w:cs="Times New Roman"/>
          <w:kern w:val="0"/>
          <w:sz w:val="24"/>
          <w:szCs w:val="24"/>
          <w:lang w:val="en-US" w:eastAsia="en-GB"/>
          <w14:ligatures w14:val="none"/>
        </w:rPr>
        <w:t xml:space="preserve"> you </w:t>
      </w:r>
      <w:r w:rsidRPr="005E7420">
        <w:rPr>
          <w:rFonts w:ascii="Times New Roman" w:eastAsia="Times New Roman" w:hAnsi="Times New Roman" w:cs="Times New Roman"/>
          <w:kern w:val="0"/>
          <w:sz w:val="24"/>
          <w:szCs w:val="24"/>
          <w:lang w:val="en-US" w:eastAsia="en-GB"/>
          <w14:ligatures w14:val="none"/>
        </w:rPr>
        <w:t>fail</w:t>
      </w:r>
      <w:r w:rsidR="00DE35C2">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 xml:space="preserve">to comply, </w:t>
      </w:r>
      <w:proofErr w:type="gramStart"/>
      <w:r w:rsidRPr="005E7420">
        <w:rPr>
          <w:rFonts w:ascii="Times New Roman" w:eastAsia="Times New Roman" w:hAnsi="Times New Roman" w:cs="Times New Roman"/>
          <w:kern w:val="0"/>
          <w:sz w:val="24"/>
          <w:szCs w:val="24"/>
          <w:lang w:val="en-US" w:eastAsia="en-GB"/>
          <w14:ligatures w14:val="none"/>
        </w:rPr>
        <w:t>affected</w:t>
      </w:r>
      <w:proofErr w:type="gramEnd"/>
      <w:r w:rsidRPr="005E7420">
        <w:rPr>
          <w:rFonts w:ascii="Times New Roman" w:eastAsia="Times New Roman" w:hAnsi="Times New Roman" w:cs="Times New Roman"/>
          <w:kern w:val="0"/>
          <w:sz w:val="24"/>
          <w:szCs w:val="24"/>
          <w:lang w:val="en-US" w:eastAsia="en-GB"/>
          <w14:ligatures w14:val="none"/>
        </w:rPr>
        <w:t xml:space="preserve"> parties could apply for an injunction or damages, as seen in Federated Homes Ltd v Mill Lodge Properties Ltd [1980]</w:t>
      </w:r>
    </w:p>
    <w:p w14:paraId="6C561A0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lastRenderedPageBreak/>
        <w:t>4.3 Transfer of Burdens of Restrictive Covenants</w:t>
      </w:r>
    </w:p>
    <w:p w14:paraId="3E30C586" w14:textId="5C0F1E31"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Under Section 79 of the Law of Property Act 1925, restrictive covenants run with the land and remain enforceable against subsequent owners. This means that </w:t>
      </w:r>
      <w:r w:rsidR="00DE35C2">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 xml:space="preserve">must adhere to existing land use restrictions even though </w:t>
      </w:r>
      <w:r w:rsidR="00DE35C2">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did not personally agree </w:t>
      </w:r>
      <w:proofErr w:type="gramStart"/>
      <w:r w:rsidRPr="005E7420">
        <w:rPr>
          <w:rFonts w:ascii="Times New Roman" w:eastAsia="Times New Roman" w:hAnsi="Times New Roman" w:cs="Times New Roman"/>
          <w:kern w:val="0"/>
          <w:sz w:val="24"/>
          <w:szCs w:val="24"/>
          <w:lang w:val="en-US" w:eastAsia="en-GB"/>
          <w14:ligatures w14:val="none"/>
        </w:rPr>
        <w:t>to</w:t>
      </w:r>
      <w:proofErr w:type="gramEnd"/>
      <w:r w:rsidRPr="005E7420">
        <w:rPr>
          <w:rFonts w:ascii="Times New Roman" w:eastAsia="Times New Roman" w:hAnsi="Times New Roman" w:cs="Times New Roman"/>
          <w:kern w:val="0"/>
          <w:sz w:val="24"/>
          <w:szCs w:val="24"/>
          <w:lang w:val="en-US" w:eastAsia="en-GB"/>
          <w14:ligatures w14:val="none"/>
        </w:rPr>
        <w:t xml:space="preserve"> them.</w:t>
      </w:r>
    </w:p>
    <w:p w14:paraId="701676D3"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Key Restrictions on Property Use</w:t>
      </w:r>
    </w:p>
    <w:p w14:paraId="28D971FE" w14:textId="2364C752"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Prohibition on Industrial or Commercial Activity – The covenant prevents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from being used for manufacturing, trade, or other commercial enterprises. If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intended to convert any part of the property into a business, </w:t>
      </w:r>
      <w:r w:rsidR="00695177">
        <w:rPr>
          <w:rFonts w:ascii="Times New Roman" w:eastAsia="Times New Roman" w:hAnsi="Times New Roman" w:cs="Times New Roman"/>
          <w:kern w:val="0"/>
          <w:sz w:val="24"/>
          <w:szCs w:val="24"/>
          <w:lang w:val="en-US" w:eastAsia="en-GB"/>
          <w14:ligatures w14:val="none"/>
        </w:rPr>
        <w:t>this covenant would</w:t>
      </w:r>
      <w:r w:rsidRPr="005E7420">
        <w:rPr>
          <w:rFonts w:ascii="Times New Roman" w:eastAsia="Times New Roman" w:hAnsi="Times New Roman" w:cs="Times New Roman"/>
          <w:kern w:val="0"/>
          <w:sz w:val="24"/>
          <w:szCs w:val="24"/>
          <w:lang w:val="en-US" w:eastAsia="en-GB"/>
          <w14:ligatures w14:val="none"/>
        </w:rPr>
        <w:t xml:space="preserve"> </w:t>
      </w:r>
      <w:r w:rsidR="00695177">
        <w:rPr>
          <w:rFonts w:ascii="Times New Roman" w:eastAsia="Times New Roman" w:hAnsi="Times New Roman" w:cs="Times New Roman"/>
          <w:kern w:val="0"/>
          <w:sz w:val="24"/>
          <w:szCs w:val="24"/>
          <w:lang w:val="en-US" w:eastAsia="en-GB"/>
          <w14:ligatures w14:val="none"/>
        </w:rPr>
        <w:t>restrict you from doing so.</w:t>
      </w:r>
    </w:p>
    <w:p w14:paraId="38F6E22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Ban on Livestock – Keeping farm animals on the property is expressly forbidden under the title covenants.</w:t>
      </w:r>
    </w:p>
    <w:p w14:paraId="724E096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Prohibition on Alcohol Sales or a Place of Worship – The land cannot be used for selling alcohol or religious purposes, which may affect any plans to operate an event venue or community space.</w:t>
      </w:r>
    </w:p>
    <w:p w14:paraId="36CC2A4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Enforcement &amp; Legal Risks</w:t>
      </w:r>
    </w:p>
    <w:p w14:paraId="517DFE77" w14:textId="5A932E3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Restrictive covenants are enforceable by any successors in title to the original covenantor, meaning </w:t>
      </w:r>
      <w:r w:rsidR="00695177" w:rsidRPr="005E7420">
        <w:rPr>
          <w:rFonts w:ascii="Times New Roman" w:eastAsia="Times New Roman" w:hAnsi="Times New Roman" w:cs="Times New Roman"/>
          <w:kern w:val="0"/>
          <w:sz w:val="24"/>
          <w:szCs w:val="24"/>
          <w:lang w:val="en-US" w:eastAsia="en-GB"/>
          <w14:ligatures w14:val="none"/>
        </w:rPr>
        <w:t>neighbors</w:t>
      </w:r>
      <w:r w:rsidRPr="005E7420">
        <w:rPr>
          <w:rFonts w:ascii="Times New Roman" w:eastAsia="Times New Roman" w:hAnsi="Times New Roman" w:cs="Times New Roman"/>
          <w:kern w:val="0"/>
          <w:sz w:val="24"/>
          <w:szCs w:val="24"/>
          <w:lang w:val="en-US" w:eastAsia="en-GB"/>
          <w14:ligatures w14:val="none"/>
        </w:rPr>
        <w:t xml:space="preserve"> or local landowners may </w:t>
      </w:r>
      <w:proofErr w:type="gramStart"/>
      <w:r w:rsidRPr="005E7420">
        <w:rPr>
          <w:rFonts w:ascii="Times New Roman" w:eastAsia="Times New Roman" w:hAnsi="Times New Roman" w:cs="Times New Roman"/>
          <w:kern w:val="0"/>
          <w:sz w:val="24"/>
          <w:szCs w:val="24"/>
          <w:lang w:val="en-US" w:eastAsia="en-GB"/>
          <w14:ligatures w14:val="none"/>
        </w:rPr>
        <w:t>take action</w:t>
      </w:r>
      <w:proofErr w:type="gramEnd"/>
      <w:r w:rsidRPr="005E7420">
        <w:rPr>
          <w:rFonts w:ascii="Times New Roman" w:eastAsia="Times New Roman" w:hAnsi="Times New Roman" w:cs="Times New Roman"/>
          <w:kern w:val="0"/>
          <w:sz w:val="24"/>
          <w:szCs w:val="24"/>
          <w:lang w:val="en-US" w:eastAsia="en-GB"/>
          <w14:ligatures w14:val="none"/>
        </w:rPr>
        <w:t xml:space="preserve"> if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t>
      </w:r>
      <w:r w:rsidR="00695177" w:rsidRPr="005E7420">
        <w:rPr>
          <w:rFonts w:ascii="Times New Roman" w:eastAsia="Times New Roman" w:hAnsi="Times New Roman" w:cs="Times New Roman"/>
          <w:kern w:val="0"/>
          <w:sz w:val="24"/>
          <w:szCs w:val="24"/>
          <w:lang w:val="en-US" w:eastAsia="en-GB"/>
          <w14:ligatures w14:val="none"/>
        </w:rPr>
        <w:t>breach</w:t>
      </w:r>
      <w:r w:rsidR="00695177">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these restrictions.</w:t>
      </w:r>
    </w:p>
    <w:p w14:paraId="699808EC"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If breached, affected parties may apply for an injunction or seek damages, as confirmed in Tulk v </w:t>
      </w:r>
      <w:proofErr w:type="spellStart"/>
      <w:r w:rsidRPr="005E7420">
        <w:rPr>
          <w:rFonts w:ascii="Times New Roman" w:eastAsia="Times New Roman" w:hAnsi="Times New Roman" w:cs="Times New Roman"/>
          <w:kern w:val="0"/>
          <w:sz w:val="24"/>
          <w:szCs w:val="24"/>
          <w:lang w:val="en-US" w:eastAsia="en-GB"/>
          <w14:ligatures w14:val="none"/>
        </w:rPr>
        <w:t>Moxhay</w:t>
      </w:r>
      <w:proofErr w:type="spellEnd"/>
      <w:r w:rsidRPr="005E7420">
        <w:rPr>
          <w:rFonts w:ascii="Times New Roman" w:eastAsia="Times New Roman" w:hAnsi="Times New Roman" w:cs="Times New Roman"/>
          <w:kern w:val="0"/>
          <w:sz w:val="24"/>
          <w:szCs w:val="24"/>
          <w:lang w:val="en-US" w:eastAsia="en-GB"/>
          <w14:ligatures w14:val="none"/>
        </w:rPr>
        <w:t xml:space="preserve"> [1848], which established that restrictive covenants must be observed by future landowners.</w:t>
      </w:r>
    </w:p>
    <w:p w14:paraId="089B42F1" w14:textId="77777777" w:rsidR="005E7420" w:rsidRPr="00E92EF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E92EF0">
        <w:rPr>
          <w:rFonts w:ascii="Times New Roman" w:eastAsia="Times New Roman" w:hAnsi="Times New Roman" w:cs="Times New Roman"/>
          <w:b/>
          <w:bCs/>
          <w:kern w:val="0"/>
          <w:sz w:val="24"/>
          <w:szCs w:val="24"/>
          <w:lang w:val="en-US" w:eastAsia="en-GB"/>
          <w14:ligatures w14:val="none"/>
        </w:rPr>
        <w:t>Options for Modification or Removal</w:t>
      </w:r>
    </w:p>
    <w:p w14:paraId="4763DF08" w14:textId="72654D7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Apply to the Upper Tribunal (Lands Chamber): </w:t>
      </w:r>
      <w:r w:rsidR="00E92EF0">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may attempt to have covenants modified or discharged under Section 84 of the Law of Property Act 1925, but this requires demonstrating that the restriction is obsolete or impedes reasonable use of the land.</w:t>
      </w:r>
    </w:p>
    <w:p w14:paraId="5D701AAF" w14:textId="3132E5E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Negotiate a Deed of Release: If those with enforcement rights agree,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could negotiate a release or amendment of the covenants, but this is often challenging.</w:t>
      </w:r>
    </w:p>
    <w:p w14:paraId="30BC912E" w14:textId="77EC8BD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Indemnity Insurance: If the restriction is minor but enforcement is uncertain, an insurance policy could mitigate financial risk. Thus,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must carefully consider these legal restrictions before proceeding with the purchase. If any of these restrictions conflict with </w:t>
      </w:r>
      <w:r w:rsidR="00E92EF0">
        <w:rPr>
          <w:rFonts w:ascii="Times New Roman" w:eastAsia="Times New Roman" w:hAnsi="Times New Roman" w:cs="Times New Roman"/>
          <w:kern w:val="0"/>
          <w:sz w:val="24"/>
          <w:szCs w:val="24"/>
          <w:lang w:val="en-US" w:eastAsia="en-GB"/>
          <w14:ligatures w14:val="none"/>
        </w:rPr>
        <w:t>your</w:t>
      </w:r>
      <w:r w:rsidRPr="005E7420">
        <w:rPr>
          <w:rFonts w:ascii="Times New Roman" w:eastAsia="Times New Roman" w:hAnsi="Times New Roman" w:cs="Times New Roman"/>
          <w:kern w:val="0"/>
          <w:sz w:val="24"/>
          <w:szCs w:val="24"/>
          <w:lang w:val="en-US" w:eastAsia="en-GB"/>
          <w14:ligatures w14:val="none"/>
        </w:rPr>
        <w:t xml:space="preserve"> intended use of the property,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wish to explore modification options or insurance protection to mitigate risks.</w:t>
      </w:r>
    </w:p>
    <w:p w14:paraId="4D1A50E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 Additional Considerations</w:t>
      </w:r>
    </w:p>
    <w:p w14:paraId="059D7FF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5.1 Radon Risk</w:t>
      </w:r>
    </w:p>
    <w:p w14:paraId="0641D682" w14:textId="4ABBAAA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property </w:t>
      </w:r>
      <w:proofErr w:type="gramStart"/>
      <w:r w:rsidRPr="005E7420">
        <w:rPr>
          <w:rFonts w:ascii="Times New Roman" w:eastAsia="Times New Roman" w:hAnsi="Times New Roman" w:cs="Times New Roman"/>
          <w:kern w:val="0"/>
          <w:sz w:val="24"/>
          <w:szCs w:val="24"/>
          <w:lang w:val="en-US" w:eastAsia="en-GB"/>
          <w14:ligatures w14:val="none"/>
        </w:rPr>
        <w:t>is located in</w:t>
      </w:r>
      <w:proofErr w:type="gramEnd"/>
      <w:r w:rsidRPr="005E7420">
        <w:rPr>
          <w:rFonts w:ascii="Times New Roman" w:eastAsia="Times New Roman" w:hAnsi="Times New Roman" w:cs="Times New Roman"/>
          <w:kern w:val="0"/>
          <w:sz w:val="24"/>
          <w:szCs w:val="24"/>
          <w:lang w:val="en-US" w:eastAsia="en-GB"/>
          <w14:ligatures w14:val="none"/>
        </w:rPr>
        <w:t xml:space="preserve"> a Radon Affected Area, meaning there is a potential health risk from radon gas exposure. Public Health England advises that properties in radon-affected areas should undergo testing and, if necessary, mitigation measures</w:t>
      </w:r>
      <w:r w:rsidR="00E92EF0">
        <w:rPr>
          <w:rFonts w:ascii="Times New Roman" w:eastAsia="Times New Roman" w:hAnsi="Times New Roman" w:cs="Times New Roman"/>
          <w:kern w:val="0"/>
          <w:sz w:val="24"/>
          <w:szCs w:val="24"/>
          <w:lang w:val="en-US" w:eastAsia="en-GB"/>
          <w14:ligatures w14:val="none"/>
        </w:rPr>
        <w:t>.</w:t>
      </w:r>
    </w:p>
    <w:p w14:paraId="26CEF52C"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5.2 Right to Withdraw from Purchase</w:t>
      </w:r>
    </w:p>
    <w:p w14:paraId="6CA05872" w14:textId="31FC4B0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Since contracts have not yet been exchanged, </w:t>
      </w:r>
      <w:r w:rsidR="00E92EF0">
        <w:rPr>
          <w:rFonts w:ascii="Times New Roman" w:eastAsia="Times New Roman" w:hAnsi="Times New Roman" w:cs="Times New Roman"/>
          <w:kern w:val="0"/>
          <w:sz w:val="24"/>
          <w:szCs w:val="24"/>
          <w:lang w:val="en-US" w:eastAsia="en-GB"/>
          <w14:ligatures w14:val="none"/>
        </w:rPr>
        <w:t xml:space="preserve">you are </w:t>
      </w:r>
      <w:r w:rsidRPr="005E7420">
        <w:rPr>
          <w:rFonts w:ascii="Times New Roman" w:eastAsia="Times New Roman" w:hAnsi="Times New Roman" w:cs="Times New Roman"/>
          <w:kern w:val="0"/>
          <w:sz w:val="24"/>
          <w:szCs w:val="24"/>
          <w:lang w:val="en-US" w:eastAsia="en-GB"/>
          <w14:ligatures w14:val="none"/>
        </w:rPr>
        <w:t xml:space="preserve">not legally bound to proceed.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withdraw without penalty, though some costs, such as search fees, may not be refundable </w:t>
      </w:r>
    </w:p>
    <w:p w14:paraId="5E6E07D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5.3 Potential Additional Costs</w:t>
      </w:r>
    </w:p>
    <w:p w14:paraId="3E2FE22E" w14:textId="4BBA9DF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Indemnity insurance may be required if </w:t>
      </w:r>
      <w:r w:rsidR="005B402F">
        <w:rPr>
          <w:rFonts w:ascii="Times New Roman" w:eastAsia="Times New Roman" w:hAnsi="Times New Roman" w:cs="Times New Roman"/>
          <w:kern w:val="0"/>
          <w:sz w:val="24"/>
          <w:szCs w:val="24"/>
          <w:lang w:val="en-US" w:eastAsia="en-GB"/>
          <w14:ligatures w14:val="none"/>
        </w:rPr>
        <w:t>you are</w:t>
      </w:r>
      <w:r w:rsidRPr="005E7420">
        <w:rPr>
          <w:rFonts w:ascii="Times New Roman" w:eastAsia="Times New Roman" w:hAnsi="Times New Roman" w:cs="Times New Roman"/>
          <w:kern w:val="0"/>
          <w:sz w:val="24"/>
          <w:szCs w:val="24"/>
          <w:lang w:val="en-US" w:eastAsia="en-GB"/>
          <w14:ligatures w14:val="none"/>
        </w:rPr>
        <w:t xml:space="preserve"> concerned about restrictive covenants or access disputes.</w:t>
      </w:r>
    </w:p>
    <w:p w14:paraId="4E04CA17" w14:textId="77777777"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The ongoing cost of maintaining the Yellow Brick Road should be factored into ownership responsibilities.</w:t>
      </w:r>
    </w:p>
    <w:p w14:paraId="1A160086" w14:textId="6E2DD79B" w:rsidR="0025784B" w:rsidRPr="005E7420" w:rsidRDefault="0025784B"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Land Transaction Tax (LTT)</w:t>
      </w:r>
    </w:p>
    <w:p w14:paraId="28C9A3DB" w14:textId="0668E836"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 xml:space="preserve">5.4 Land Transaction Tax (LTT) </w:t>
      </w:r>
    </w:p>
    <w:p w14:paraId="5A9FD7AE" w14:textId="01E58DDB"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As the property is based in Wales, </w:t>
      </w:r>
      <w:r w:rsidR="001554A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be liable to pay Land Transaction Tax (LTT) upon completion of the purchase. Based on the purchase price of £</w:t>
      </w:r>
      <w:r w:rsidR="001554AF">
        <w:rPr>
          <w:rFonts w:ascii="Times New Roman" w:eastAsia="Times New Roman" w:hAnsi="Times New Roman" w:cs="Times New Roman"/>
          <w:kern w:val="0"/>
          <w:sz w:val="24"/>
          <w:szCs w:val="24"/>
          <w:lang w:val="en-US" w:eastAsia="en-GB"/>
          <w14:ligatures w14:val="none"/>
        </w:rPr>
        <w:t>739</w:t>
      </w:r>
      <w:r w:rsidRPr="005E7420">
        <w:rPr>
          <w:rFonts w:ascii="Times New Roman" w:eastAsia="Times New Roman" w:hAnsi="Times New Roman" w:cs="Times New Roman"/>
          <w:kern w:val="0"/>
          <w:sz w:val="24"/>
          <w:szCs w:val="24"/>
          <w:lang w:val="en-US" w:eastAsia="en-GB"/>
          <w14:ligatures w14:val="none"/>
        </w:rPr>
        <w:t>,</w:t>
      </w:r>
      <w:r w:rsidR="001554AF">
        <w:rPr>
          <w:rFonts w:ascii="Times New Roman" w:eastAsia="Times New Roman" w:hAnsi="Times New Roman" w:cs="Times New Roman"/>
          <w:kern w:val="0"/>
          <w:sz w:val="24"/>
          <w:szCs w:val="24"/>
          <w:lang w:val="en-US" w:eastAsia="en-GB"/>
          <w14:ligatures w14:val="none"/>
        </w:rPr>
        <w:t>000</w:t>
      </w:r>
      <w:r w:rsidRPr="005E7420">
        <w:rPr>
          <w:rFonts w:ascii="Times New Roman" w:eastAsia="Times New Roman" w:hAnsi="Times New Roman" w:cs="Times New Roman"/>
          <w:kern w:val="0"/>
          <w:sz w:val="24"/>
          <w:szCs w:val="24"/>
          <w:lang w:val="en-US" w:eastAsia="en-GB"/>
          <w14:ligatures w14:val="none"/>
        </w:rPr>
        <w:t xml:space="preserve"> the total LTT due is £</w:t>
      </w:r>
      <w:r w:rsidR="00E23D4C">
        <w:rPr>
          <w:rFonts w:ascii="Times New Roman" w:eastAsia="Times New Roman" w:hAnsi="Times New Roman" w:cs="Times New Roman"/>
          <w:kern w:val="0"/>
          <w:sz w:val="24"/>
          <w:szCs w:val="24"/>
          <w:lang w:val="en-US" w:eastAsia="en-GB"/>
          <w14:ligatures w14:val="none"/>
        </w:rPr>
        <w:t>35,925</w:t>
      </w:r>
      <w:r w:rsidRPr="005E7420">
        <w:rPr>
          <w:rFonts w:ascii="Times New Roman" w:eastAsia="Times New Roman" w:hAnsi="Times New Roman" w:cs="Times New Roman"/>
          <w:kern w:val="0"/>
          <w:sz w:val="24"/>
          <w:szCs w:val="24"/>
          <w:lang w:val="en-US" w:eastAsia="en-GB"/>
          <w14:ligatures w14:val="none"/>
        </w:rPr>
        <w:t xml:space="preserve">, as calculated using the Welsh Revenue Authority’s tax calculator. </w:t>
      </w:r>
      <w:r w:rsidRPr="005E7420">
        <w:rPr>
          <w:rFonts w:ascii="Times New Roman" w:eastAsia="Times New Roman" w:hAnsi="Times New Roman" w:cs="Times New Roman"/>
          <w:kern w:val="0"/>
          <w:sz w:val="24"/>
          <w:szCs w:val="24"/>
          <w:lang w:eastAsia="en-GB"/>
          <w14:ligatures w14:val="none"/>
        </w:rPr>
        <w:t xml:space="preserve">See the attached screenshot. </w:t>
      </w:r>
      <w:r w:rsidRPr="005E7420">
        <w:rPr>
          <w:rFonts w:ascii="Times New Roman" w:eastAsia="Times New Roman" w:hAnsi="Times New Roman" w:cs="Times New Roman"/>
          <w:kern w:val="0"/>
          <w:sz w:val="24"/>
          <w:szCs w:val="24"/>
          <w:lang w:val="en-US" w:eastAsia="en-GB"/>
          <w14:ligatures w14:val="none"/>
        </w:rPr>
        <w:t>The tax breakdown is as follows:</w:t>
      </w:r>
    </w:p>
    <w:p w14:paraId="4122273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0% on the first £225,000 = £0</w:t>
      </w:r>
    </w:p>
    <w:p w14:paraId="56477698" w14:textId="055F0D49"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6% on t</w:t>
      </w:r>
      <w:r w:rsidR="00E23D4C">
        <w:rPr>
          <w:rFonts w:ascii="Times New Roman" w:eastAsia="Times New Roman" w:hAnsi="Times New Roman" w:cs="Times New Roman"/>
          <w:kern w:val="0"/>
          <w:sz w:val="24"/>
          <w:szCs w:val="24"/>
          <w:lang w:val="en-US" w:eastAsia="en-GB"/>
          <w14:ligatures w14:val="none"/>
        </w:rPr>
        <w:t>he next 175,000 (225,000-400,000)</w:t>
      </w:r>
      <w:r w:rsidRPr="005E7420">
        <w:rPr>
          <w:rFonts w:ascii="Times New Roman" w:eastAsia="Times New Roman" w:hAnsi="Times New Roman" w:cs="Times New Roman"/>
          <w:kern w:val="0"/>
          <w:sz w:val="24"/>
          <w:szCs w:val="24"/>
          <w:lang w:val="en-US" w:eastAsia="en-GB"/>
          <w14:ligatures w14:val="none"/>
        </w:rPr>
        <w:t xml:space="preserve"> = </w:t>
      </w:r>
      <w:r w:rsidR="00E23D4C">
        <w:rPr>
          <w:rFonts w:ascii="Times New Roman" w:eastAsia="Times New Roman" w:hAnsi="Times New Roman" w:cs="Times New Roman"/>
          <w:kern w:val="0"/>
          <w:sz w:val="24"/>
          <w:szCs w:val="24"/>
          <w:lang w:val="en-US" w:eastAsia="en-GB"/>
          <w14:ligatures w14:val="none"/>
        </w:rPr>
        <w:t>£10,500</w:t>
      </w:r>
    </w:p>
    <w:p w14:paraId="7EEF2F32" w14:textId="466B360B" w:rsidR="00E23D4C"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lastRenderedPageBreak/>
        <w:t>The remaining 339,000 (400,001-739,000) is taxed at 7.5 % =25,425</w:t>
      </w:r>
    </w:p>
    <w:p w14:paraId="0C1B957A" w14:textId="2266C885" w:rsidR="00E23D4C" w:rsidRPr="005E7420"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Total LTT-10,500+25,425=35,925</w:t>
      </w:r>
    </w:p>
    <w:p w14:paraId="0E9D8A9A" w14:textId="52DCC502" w:rsidR="005E7420" w:rsidRPr="005E7420"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 xml:space="preserve">You </w:t>
      </w:r>
      <w:r w:rsidR="005E7420" w:rsidRPr="005E7420">
        <w:rPr>
          <w:rFonts w:ascii="Times New Roman" w:eastAsia="Times New Roman" w:hAnsi="Times New Roman" w:cs="Times New Roman"/>
          <w:kern w:val="0"/>
          <w:sz w:val="24"/>
          <w:szCs w:val="24"/>
          <w:lang w:val="en-US" w:eastAsia="en-GB"/>
          <w14:ligatures w14:val="none"/>
        </w:rPr>
        <w:t xml:space="preserve">must ensure this amount is accounted for in </w:t>
      </w:r>
      <w:r>
        <w:rPr>
          <w:rFonts w:ascii="Times New Roman" w:eastAsia="Times New Roman" w:hAnsi="Times New Roman" w:cs="Times New Roman"/>
          <w:kern w:val="0"/>
          <w:sz w:val="24"/>
          <w:szCs w:val="24"/>
          <w:lang w:val="en-US" w:eastAsia="en-GB"/>
          <w14:ligatures w14:val="none"/>
        </w:rPr>
        <w:t xml:space="preserve">your </w:t>
      </w:r>
      <w:r w:rsidR="005E7420" w:rsidRPr="005E7420">
        <w:rPr>
          <w:rFonts w:ascii="Times New Roman" w:eastAsia="Times New Roman" w:hAnsi="Times New Roman" w:cs="Times New Roman"/>
          <w:kern w:val="0"/>
          <w:sz w:val="24"/>
          <w:szCs w:val="24"/>
          <w:lang w:val="en-US" w:eastAsia="en-GB"/>
          <w14:ligatures w14:val="none"/>
        </w:rPr>
        <w:t>budget, as failure to pay could result in penalties from the Welsh Revenue Authority.</w:t>
      </w:r>
    </w:p>
    <w:p w14:paraId="4CDAE034"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5.5 Capital Gains Tax Considerations</w:t>
      </w:r>
    </w:p>
    <w:p w14:paraId="11B73880" w14:textId="5447B421" w:rsidR="005E7420" w:rsidRPr="005E7420" w:rsidRDefault="005E7420" w:rsidP="00D434B2">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Capital Gains Tax, or CGT, is a tax practice that charges tax on the increase in the value of a property as opposed to the amount paid for it. However, CGT only applies where the property is not the seller’s own home. </w:t>
      </w:r>
      <w:r w:rsidR="00E92EF0">
        <w:rPr>
          <w:rFonts w:ascii="Times New Roman" w:eastAsia="Times New Roman" w:hAnsi="Times New Roman" w:cs="Times New Roman"/>
          <w:kern w:val="0"/>
          <w:sz w:val="24"/>
          <w:szCs w:val="24"/>
          <w:lang w:val="en-US" w:eastAsia="en-GB"/>
          <w14:ligatures w14:val="none"/>
        </w:rPr>
        <w:t>In your case</w:t>
      </w:r>
      <w:r w:rsidRPr="005E7420">
        <w:rPr>
          <w:rFonts w:ascii="Times New Roman" w:eastAsia="Times New Roman" w:hAnsi="Times New Roman" w:cs="Times New Roman"/>
          <w:kern w:val="0"/>
          <w:sz w:val="24"/>
          <w:szCs w:val="24"/>
          <w:lang w:val="en-US" w:eastAsia="en-GB"/>
          <w14:ligatures w14:val="none"/>
        </w:rPr>
        <w:t xml:space="preserve">, it will be a freehold property; CGT will only apply if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choose</w:t>
      </w:r>
      <w:r w:rsidR="00E92EF0">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 xml:space="preserve">to sell the property in future. </w:t>
      </w:r>
    </w:p>
    <w:p w14:paraId="3CFF40C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6. Conclusion and Recommendations</w:t>
      </w:r>
    </w:p>
    <w:p w14:paraId="276591BA" w14:textId="7A552713"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 conclusion,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obtain full freehold ownership of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but certain easements and restrictive covenants will be transferred to the property. </w:t>
      </w:r>
      <w:r w:rsidR="00D434B2">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must comply with land-use restrictions and maintain the Yellow Brick Road, which remains an enforceable obligation. Additionally, the Crown retains mineral rights, limiting potential claims over underground resources. Due to the radon risk, environmental testing is advised. Before proceeding, </w:t>
      </w:r>
      <w:r w:rsidR="00E23D4C">
        <w:rPr>
          <w:rFonts w:ascii="Times New Roman" w:eastAsia="Times New Roman" w:hAnsi="Times New Roman" w:cs="Times New Roman"/>
          <w:kern w:val="0"/>
          <w:sz w:val="24"/>
          <w:szCs w:val="24"/>
          <w:lang w:val="en-US" w:eastAsia="en-GB"/>
          <w14:ligatures w14:val="none"/>
        </w:rPr>
        <w:t>we</w:t>
      </w:r>
      <w:r w:rsidRPr="005E7420">
        <w:rPr>
          <w:rFonts w:ascii="Times New Roman" w:eastAsia="Times New Roman" w:hAnsi="Times New Roman" w:cs="Times New Roman"/>
          <w:kern w:val="0"/>
          <w:sz w:val="24"/>
          <w:szCs w:val="24"/>
          <w:lang w:val="en-US" w:eastAsia="en-GB"/>
          <w14:ligatures w14:val="none"/>
        </w:rPr>
        <w:t xml:space="preserve"> should clarify past covenant enforcement, consider indemnity insurance, and confirm mortgage discharge by the seller.</w:t>
      </w:r>
    </w:p>
    <w:p w14:paraId="7E944836" w14:textId="791D5A9D"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If </w:t>
      </w:r>
      <w:r w:rsidR="00E23D4C">
        <w:rPr>
          <w:rFonts w:ascii="Times New Roman" w:eastAsia="Times New Roman" w:hAnsi="Times New Roman" w:cs="Times New Roman"/>
          <w:kern w:val="0"/>
          <w:sz w:val="24"/>
          <w:szCs w:val="24"/>
          <w:lang w:val="en-US" w:eastAsia="en-GB"/>
          <w14:ligatures w14:val="none"/>
        </w:rPr>
        <w:t>you</w:t>
      </w:r>
      <w:r w:rsidR="00D434B2">
        <w:rPr>
          <w:rFonts w:ascii="Times New Roman" w:eastAsia="Times New Roman" w:hAnsi="Times New Roman" w:cs="Times New Roman"/>
          <w:kern w:val="0"/>
          <w:sz w:val="24"/>
          <w:szCs w:val="24"/>
          <w:lang w:val="en-US" w:eastAsia="en-GB"/>
          <w14:ligatures w14:val="none"/>
        </w:rPr>
        <w:t xml:space="preserve"> are</w:t>
      </w:r>
      <w:r w:rsidRPr="005E7420">
        <w:rPr>
          <w:rFonts w:ascii="Times New Roman" w:eastAsia="Times New Roman" w:hAnsi="Times New Roman" w:cs="Times New Roman"/>
          <w:kern w:val="0"/>
          <w:sz w:val="24"/>
          <w:szCs w:val="24"/>
          <w:lang w:val="en-US" w:eastAsia="en-GB"/>
          <w14:ligatures w14:val="none"/>
        </w:rPr>
        <w:t xml:space="preserve"> satisfied with these terms, </w:t>
      </w:r>
      <w:r w:rsidR="00D434B2">
        <w:rPr>
          <w:rFonts w:ascii="Times New Roman" w:eastAsia="Times New Roman" w:hAnsi="Times New Roman" w:cs="Times New Roman"/>
          <w:kern w:val="0"/>
          <w:sz w:val="24"/>
          <w:szCs w:val="24"/>
          <w:lang w:val="en-US" w:eastAsia="en-GB"/>
          <w14:ligatures w14:val="none"/>
        </w:rPr>
        <w:t xml:space="preserve">we </w:t>
      </w:r>
      <w:r w:rsidRPr="005E7420">
        <w:rPr>
          <w:rFonts w:ascii="Times New Roman" w:eastAsia="Times New Roman" w:hAnsi="Times New Roman" w:cs="Times New Roman"/>
          <w:kern w:val="0"/>
          <w:sz w:val="24"/>
          <w:szCs w:val="24"/>
          <w:lang w:val="en-US" w:eastAsia="en-GB"/>
          <w14:ligatures w14:val="none"/>
        </w:rPr>
        <w:t>may confidently exchange contracts.</w:t>
      </w:r>
      <w:r w:rsidR="00FE032E" w:rsidRPr="00FE032E">
        <w:rPr>
          <w:noProof/>
        </w:rPr>
        <w:t xml:space="preserve"> </w:t>
      </w:r>
      <w:r w:rsidR="00FE032E">
        <w:rPr>
          <w:noProof/>
        </w:rPr>
        <w:drawing>
          <wp:inline distT="0" distB="0" distL="0" distR="0" wp14:anchorId="37FCBDF8" wp14:editId="64F8F6E6">
            <wp:extent cx="5731510" cy="5643245"/>
            <wp:effectExtent l="0" t="0" r="0" b="0"/>
            <wp:docPr id="535968963" name="Picture 1" descr="A screenshot of a tax calc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68963" name="Picture 1" descr="A screenshot of a tax calculation&#10;&#10;AI-generated content may be incorrect."/>
                    <pic:cNvPicPr>
                      <a:picLocks noChangeAspect="1"/>
                    </pic:cNvPicPr>
                  </pic:nvPicPr>
                  <pic:blipFill>
                    <a:blip r:embed="rId5"/>
                    <a:stretch>
                      <a:fillRect/>
                    </a:stretch>
                  </pic:blipFill>
                  <pic:spPr>
                    <a:xfrm>
                      <a:off x="0" y="0"/>
                      <a:ext cx="5731510" cy="5643245"/>
                    </a:xfrm>
                    <a:prstGeom prst="rect">
                      <a:avLst/>
                    </a:prstGeom>
                  </pic:spPr>
                </pic:pic>
              </a:graphicData>
            </a:graphic>
          </wp:inline>
        </w:drawing>
      </w:r>
    </w:p>
    <w:p w14:paraId="19A32FF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Best regards,</w:t>
      </w:r>
    </w:p>
    <w:p w14:paraId="2472C874" w14:textId="196F33D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Mihaela Gavrila</w:t>
      </w:r>
    </w:p>
    <w:p w14:paraId="6280E1C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p>
    <w:p w14:paraId="0563899C" w14:textId="77777777"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Blue Light Law LLP</w:t>
      </w:r>
    </w:p>
    <w:p w14:paraId="072BE046" w14:textId="77777777" w:rsidR="006328CD" w:rsidRDefault="006328CD" w:rsidP="005E7420">
      <w:pPr>
        <w:spacing w:after="240" w:line="360" w:lineRule="auto"/>
        <w:rPr>
          <w:rFonts w:ascii="Times New Roman" w:eastAsia="Times New Roman" w:hAnsi="Times New Roman" w:cs="Times New Roman"/>
          <w:kern w:val="0"/>
          <w:sz w:val="24"/>
          <w:szCs w:val="24"/>
          <w:lang w:val="en-US" w:eastAsia="en-GB"/>
          <w14:ligatures w14:val="none"/>
        </w:rPr>
      </w:pPr>
    </w:p>
    <w:p w14:paraId="493D55C8"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075E70D9"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44721BF0"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629B555B"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2FBA0D81" w14:textId="40F76983"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Task 4</w:t>
      </w:r>
    </w:p>
    <w:p w14:paraId="0FA4D486"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Reflection Log – Communication in Conveyancing Work</w:t>
      </w:r>
    </w:p>
    <w:p w14:paraId="4179D72C"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What?</w:t>
      </w:r>
    </w:p>
    <w:p w14:paraId="7A407930" w14:textId="77777777"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 xml:space="preserve">During the conveyancing process for </w:t>
      </w:r>
      <w:proofErr w:type="spellStart"/>
      <w:r w:rsidRPr="006328CD">
        <w:rPr>
          <w:rFonts w:ascii="Times New Roman" w:eastAsia="Times New Roman" w:hAnsi="Times New Roman" w:cs="Times New Roman"/>
          <w:kern w:val="0"/>
          <w:sz w:val="24"/>
          <w:szCs w:val="24"/>
          <w:lang w:val="en-US" w:eastAsia="en-GB"/>
          <w14:ligatures w14:val="none"/>
        </w:rPr>
        <w:t>Kiamo</w:t>
      </w:r>
      <w:proofErr w:type="spellEnd"/>
      <w:r w:rsidRPr="006328CD">
        <w:rPr>
          <w:rFonts w:ascii="Times New Roman" w:eastAsia="Times New Roman" w:hAnsi="Times New Roman" w:cs="Times New Roman"/>
          <w:kern w:val="0"/>
          <w:sz w:val="24"/>
          <w:szCs w:val="24"/>
          <w:lang w:val="en-US" w:eastAsia="en-GB"/>
          <w14:ligatures w14:val="none"/>
        </w:rPr>
        <w:t xml:space="preserve"> Ko Castle, I had to adapt my communication style when corresponding with both my supervising solicitor, Vanessa T. Heart, and the client, Ms. Elisa Thropp. When writing to Ms. Thropp, I focused on using clear, accessible language, avoiding excessive legal jargon to ensure she could understand the key issues, such as easements, covenants, and legal costs. In contrast, my communication with Ms. Heart was more formal and technical, ensuring accuracy in legal analysis and citing relevant case law and statutes.</w:t>
      </w:r>
    </w:p>
    <w:p w14:paraId="16762E36"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So What?</w:t>
      </w:r>
    </w:p>
    <w:p w14:paraId="4ED78630" w14:textId="77777777"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 xml:space="preserve">This experience reinforced the importance of audience-specific communication in legal practice. Clients require concise, plain-language explanations to make informed decisions, while supervising solicitors and legal professionals require precise, well-researched legal analysis. I also learned how to structure information </w:t>
      </w:r>
      <w:proofErr w:type="gramStart"/>
      <w:r w:rsidRPr="006328CD">
        <w:rPr>
          <w:rFonts w:ascii="Times New Roman" w:eastAsia="Times New Roman" w:hAnsi="Times New Roman" w:cs="Times New Roman"/>
          <w:kern w:val="0"/>
          <w:sz w:val="24"/>
          <w:szCs w:val="24"/>
          <w:lang w:val="en-US" w:eastAsia="en-GB"/>
          <w14:ligatures w14:val="none"/>
        </w:rPr>
        <w:t>effectively—summarizing</w:t>
      </w:r>
      <w:proofErr w:type="gramEnd"/>
      <w:r w:rsidRPr="006328CD">
        <w:rPr>
          <w:rFonts w:ascii="Times New Roman" w:eastAsia="Times New Roman" w:hAnsi="Times New Roman" w:cs="Times New Roman"/>
          <w:kern w:val="0"/>
          <w:sz w:val="24"/>
          <w:szCs w:val="24"/>
          <w:lang w:val="en-US" w:eastAsia="en-GB"/>
          <w14:ligatures w14:val="none"/>
        </w:rPr>
        <w:t xml:space="preserve"> complex legal principles for clients while providing in-depth reasoning for legal professionals. This skill is essential for building trust with clients and demonstrating competency to senior colleagues.</w:t>
      </w:r>
    </w:p>
    <w:p w14:paraId="3D43BE99"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Now What?</w:t>
      </w:r>
    </w:p>
    <w:p w14:paraId="653501DC" w14:textId="6AF3C148" w:rsid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Moving forward, I will further refine my ability to tailor communication by practicing client-friendly explanations of legal concepts and improving my legal drafting skills for professional reports. I will utilize resources such as Law Society guidance on client care and seek feedback from senior colleagues to enhance my communication adaptability. These skills will be crucial as I progress in my legal career, ensuring I can convey legal issues effectively to both clients and legal professionals.</w:t>
      </w:r>
    </w:p>
    <w:p w14:paraId="034519AD" w14:textId="77777777" w:rsidR="006328CD" w:rsidRDefault="006328CD" w:rsidP="005E7420">
      <w:pPr>
        <w:spacing w:after="240" w:line="360" w:lineRule="auto"/>
        <w:rPr>
          <w:rFonts w:ascii="Times New Roman" w:eastAsia="Times New Roman" w:hAnsi="Times New Roman" w:cs="Times New Roman"/>
          <w:kern w:val="0"/>
          <w:sz w:val="24"/>
          <w:szCs w:val="24"/>
          <w:lang w:val="en-US" w:eastAsia="en-GB"/>
          <w14:ligatures w14:val="none"/>
        </w:rPr>
      </w:pPr>
    </w:p>
    <w:p w14:paraId="3E69B572" w14:textId="17AA01A5" w:rsidR="0025784B" w:rsidRDefault="0025784B" w:rsidP="0025784B"/>
    <w:p w14:paraId="1CB6DA18" w14:textId="77777777" w:rsidR="0025784B" w:rsidRPr="0025784B" w:rsidRDefault="0025784B" w:rsidP="0025784B">
      <w:pPr>
        <w:keepNext/>
        <w:keepLines/>
        <w:spacing w:before="240" w:after="0" w:line="360" w:lineRule="auto"/>
        <w:jc w:val="center"/>
        <w:outlineLvl w:val="0"/>
        <w:rPr>
          <w:rFonts w:ascii="Times New Roman" w:eastAsia="Times New Roman" w:hAnsi="Times New Roman" w:cs="Times New Roman"/>
          <w:b/>
          <w:kern w:val="0"/>
          <w:sz w:val="24"/>
          <w:szCs w:val="32"/>
          <w:lang w:val="en-US"/>
          <w14:ligatures w14:val="none"/>
        </w:rPr>
      </w:pPr>
      <w:r w:rsidRPr="0025784B">
        <w:rPr>
          <w:rFonts w:ascii="Times New Roman" w:eastAsia="Times New Roman" w:hAnsi="Times New Roman" w:cs="Times New Roman"/>
          <w:b/>
          <w:kern w:val="0"/>
          <w:sz w:val="24"/>
          <w:szCs w:val="32"/>
          <w:lang w:val="en-US"/>
          <w14:ligatures w14:val="none"/>
        </w:rPr>
        <w:t xml:space="preserve">References  </w:t>
      </w:r>
    </w:p>
    <w:p w14:paraId="2DD99520"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ASB (2023) </w:t>
      </w:r>
      <w:r w:rsidRPr="0025784B">
        <w:rPr>
          <w:rFonts w:ascii="Times New Roman" w:eastAsia="Times New Roman" w:hAnsi="Times New Roman" w:cs="Times New Roman"/>
          <w:i/>
          <w:iCs/>
          <w:kern w:val="0"/>
          <w:sz w:val="24"/>
          <w:szCs w:val="24"/>
          <w:lang w:val="en-US"/>
          <w14:ligatures w14:val="none"/>
        </w:rPr>
        <w:t>Conveyancing Documentation: All You Need to Know</w:t>
      </w:r>
      <w:r w:rsidRPr="0025784B">
        <w:rPr>
          <w:rFonts w:ascii="Times New Roman" w:eastAsia="Times New Roman" w:hAnsi="Times New Roman" w:cs="Times New Roman"/>
          <w:kern w:val="0"/>
          <w:sz w:val="24"/>
          <w:szCs w:val="24"/>
          <w:lang w:val="en-US"/>
          <w14:ligatures w14:val="none"/>
        </w:rPr>
        <w:t xml:space="preserve">. Available at: </w:t>
      </w:r>
      <w:hyperlink r:id="rId6" w:tgtFrame="_blank" w:history="1">
        <w:r w:rsidRPr="0025784B">
          <w:rPr>
            <w:rFonts w:ascii="Calibri" w:eastAsia="Calibri" w:hAnsi="Calibri" w:cs="Times New Roman"/>
            <w:color w:val="0563C1"/>
            <w:kern w:val="0"/>
            <w:szCs w:val="24"/>
            <w:u w:val="single"/>
            <w:lang w:val="en-US"/>
            <w14:ligatures w14:val="none"/>
          </w:rPr>
          <w:t>https://asb.org.uk/property/05/2023/conveyancing-documentation-all-you-need-to-know/7660/</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0F3AAE44"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ASB, 2023. </w:t>
      </w:r>
      <w:r w:rsidRPr="0025784B">
        <w:rPr>
          <w:rFonts w:ascii="Times New Roman" w:eastAsia="Times New Roman" w:hAnsi="Times New Roman" w:cs="Times New Roman"/>
          <w:i/>
          <w:iCs/>
          <w:kern w:val="0"/>
          <w:sz w:val="24"/>
          <w:szCs w:val="24"/>
          <w:lang w:val="en-US"/>
          <w14:ligatures w14:val="none"/>
        </w:rPr>
        <w:t>Restrictive Covenants Affecting Land</w:t>
      </w:r>
      <w:r w:rsidRPr="0025784B">
        <w:rPr>
          <w:rFonts w:ascii="Times New Roman" w:eastAsia="Times New Roman" w:hAnsi="Times New Roman" w:cs="Times New Roman"/>
          <w:kern w:val="0"/>
          <w:sz w:val="24"/>
          <w:szCs w:val="24"/>
          <w:lang w:val="en-US"/>
          <w14:ligatures w14:val="none"/>
        </w:rPr>
        <w:t xml:space="preserve">. [online] Ashtons Legal. Available at: </w:t>
      </w:r>
      <w:hyperlink r:id="rId7" w:tgtFrame="_blank" w:history="1">
        <w:r w:rsidRPr="0025784B">
          <w:rPr>
            <w:rFonts w:ascii="Calibri" w:eastAsia="Calibri" w:hAnsi="Calibri" w:cs="Times New Roman"/>
            <w:color w:val="0563C1"/>
            <w:kern w:val="0"/>
            <w:szCs w:val="24"/>
            <w:u w:val="single"/>
            <w:lang w:val="en-US"/>
            <w14:ligatures w14:val="none"/>
          </w:rPr>
          <w:t>https://www.ashtonslegal.co.uk/insights/legal-news/restrictive-covenants-affecting-land/</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593C1EAC"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Blue Light Law LLP (2025) </w:t>
      </w:r>
      <w:r w:rsidRPr="0025784B">
        <w:rPr>
          <w:rFonts w:ascii="Times New Roman" w:eastAsia="Times New Roman" w:hAnsi="Times New Roman" w:cs="Times New Roman"/>
          <w:i/>
          <w:iCs/>
          <w:kern w:val="0"/>
          <w:sz w:val="24"/>
          <w:szCs w:val="24"/>
          <w:lang w:val="en-US"/>
          <w14:ligatures w14:val="none"/>
        </w:rPr>
        <w:t>Conveyancing Fee Structure</w:t>
      </w:r>
      <w:r w:rsidRPr="0025784B">
        <w:rPr>
          <w:rFonts w:ascii="Times New Roman" w:eastAsia="Times New Roman" w:hAnsi="Times New Roman" w:cs="Times New Roman"/>
          <w:kern w:val="0"/>
          <w:sz w:val="24"/>
          <w:szCs w:val="24"/>
          <w:lang w:val="en-US"/>
          <w14:ligatures w14:val="none"/>
        </w:rPr>
        <w:t>. [Case folder provided].</w:t>
      </w:r>
    </w:p>
    <w:p w14:paraId="7271A09F"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Dixon, M., 2021. English land law. In </w:t>
      </w:r>
      <w:r w:rsidRPr="0025784B">
        <w:rPr>
          <w:rFonts w:ascii="Times New Roman" w:eastAsia="Calibri" w:hAnsi="Times New Roman" w:cs="Times New Roman"/>
          <w:i/>
          <w:iCs/>
          <w:kern w:val="0"/>
          <w:sz w:val="24"/>
          <w:szCs w:val="24"/>
          <w:shd w:val="clear" w:color="auto" w:fill="FFFFFF"/>
          <w:lang w:val="en-US"/>
          <w14:ligatures w14:val="none"/>
        </w:rPr>
        <w:t>Architect's Legal Handbook</w:t>
      </w:r>
      <w:r w:rsidRPr="0025784B">
        <w:rPr>
          <w:rFonts w:ascii="Times New Roman" w:eastAsia="Calibri" w:hAnsi="Times New Roman" w:cs="Times New Roman"/>
          <w:kern w:val="0"/>
          <w:sz w:val="24"/>
          <w:szCs w:val="24"/>
          <w:shd w:val="clear" w:color="auto" w:fill="FFFFFF"/>
          <w:lang w:val="en-US"/>
          <w14:ligatures w14:val="none"/>
        </w:rPr>
        <w:t> (pp. 33-44). Routledge.</w:t>
      </w:r>
    </w:p>
    <w:p w14:paraId="0C2BE26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EM Law, no date. </w:t>
      </w:r>
      <w:r w:rsidRPr="0025784B">
        <w:rPr>
          <w:rFonts w:ascii="Times New Roman" w:eastAsia="Times New Roman" w:hAnsi="Times New Roman" w:cs="Times New Roman"/>
          <w:i/>
          <w:iCs/>
          <w:kern w:val="0"/>
          <w:sz w:val="24"/>
          <w:szCs w:val="24"/>
          <w:lang w:val="en-US"/>
          <w14:ligatures w14:val="none"/>
        </w:rPr>
        <w:t>Positive Covenants Solicitors</w:t>
      </w:r>
      <w:r w:rsidRPr="0025784B">
        <w:rPr>
          <w:rFonts w:ascii="Times New Roman" w:eastAsia="Times New Roman" w:hAnsi="Times New Roman" w:cs="Times New Roman"/>
          <w:kern w:val="0"/>
          <w:sz w:val="24"/>
          <w:szCs w:val="24"/>
          <w:lang w:val="en-US"/>
          <w14:ligatures w14:val="none"/>
        </w:rPr>
        <w:t xml:space="preserve">. [online] EM Law. Available at: </w:t>
      </w:r>
      <w:hyperlink r:id="rId8" w:tgtFrame="_blank" w:history="1">
        <w:r w:rsidRPr="0025784B">
          <w:rPr>
            <w:rFonts w:ascii="Calibri" w:eastAsia="Calibri" w:hAnsi="Calibri" w:cs="Times New Roman"/>
            <w:color w:val="0563C1"/>
            <w:kern w:val="0"/>
            <w:szCs w:val="24"/>
            <w:u w:val="single"/>
            <w:lang w:val="en-US"/>
            <w14:ligatures w14:val="none"/>
          </w:rPr>
          <w:t>https://emlaw.co.uk/commercial-property-law/positive-covenants-solicitors/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A9A7ABE"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Halsall v </w:t>
      </w:r>
      <w:proofErr w:type="spellStart"/>
      <w:r w:rsidRPr="0025784B">
        <w:rPr>
          <w:rFonts w:ascii="Times New Roman" w:eastAsia="Times New Roman" w:hAnsi="Times New Roman" w:cs="Times New Roman"/>
          <w:kern w:val="0"/>
          <w:sz w:val="24"/>
          <w:szCs w:val="24"/>
          <w:lang w:val="en-US"/>
          <w14:ligatures w14:val="none"/>
        </w:rPr>
        <w:t>Brizell</w:t>
      </w:r>
      <w:proofErr w:type="spellEnd"/>
      <w:r w:rsidRPr="0025784B">
        <w:rPr>
          <w:rFonts w:ascii="Times New Roman" w:eastAsia="Times New Roman" w:hAnsi="Times New Roman" w:cs="Times New Roman"/>
          <w:kern w:val="0"/>
          <w:sz w:val="24"/>
          <w:szCs w:val="24"/>
          <w:lang w:val="en-US"/>
          <w14:ligatures w14:val="none"/>
        </w:rPr>
        <w:t xml:space="preserve"> [1957] Ch 169. [online] BAILII. Available at: </w:t>
      </w:r>
      <w:hyperlink r:id="rId9" w:tgtFrame="_blank" w:history="1">
        <w:r w:rsidRPr="0025784B">
          <w:rPr>
            <w:rFonts w:ascii="Calibri" w:eastAsia="Calibri" w:hAnsi="Calibri" w:cs="Times New Roman"/>
            <w:color w:val="0563C1"/>
            <w:kern w:val="0"/>
            <w:szCs w:val="24"/>
            <w:u w:val="single"/>
            <w:lang w:val="en-US"/>
            <w14:ligatures w14:val="none"/>
          </w:rPr>
          <w:t>https://www.bailii.org/ew/cases/EWCA/Civ/1957/6.html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3638A43"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Haywood v Brunswick Permanent Benefit Building Society [1881] 8 QBD 403. [online] BAILII. Available at: </w:t>
      </w:r>
      <w:hyperlink r:id="rId10" w:tgtFrame="_blank" w:history="1">
        <w:r w:rsidRPr="0025784B">
          <w:rPr>
            <w:rFonts w:ascii="Calibri" w:eastAsia="Calibri" w:hAnsi="Calibri" w:cs="Times New Roman"/>
            <w:color w:val="0563C1"/>
            <w:kern w:val="0"/>
            <w:szCs w:val="24"/>
            <w:u w:val="single"/>
            <w:lang w:val="en-US"/>
            <w14:ligatures w14:val="none"/>
          </w:rPr>
          <w:t>https://www.bailii.org/ew/cases/EWHC/QB/1881/1.html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CBC11DD"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HM Land Registry (2025) </w:t>
      </w:r>
      <w:r w:rsidRPr="0025784B">
        <w:rPr>
          <w:rFonts w:ascii="Times New Roman" w:eastAsia="Times New Roman" w:hAnsi="Times New Roman" w:cs="Times New Roman"/>
          <w:i/>
          <w:iCs/>
          <w:kern w:val="0"/>
          <w:sz w:val="24"/>
          <w:szCs w:val="24"/>
          <w:lang w:val="en-US"/>
          <w14:ligatures w14:val="none"/>
        </w:rPr>
        <w:t>HM Land Registry: Registration Services Fees</w:t>
      </w:r>
      <w:r w:rsidRPr="0025784B">
        <w:rPr>
          <w:rFonts w:ascii="Times New Roman" w:eastAsia="Times New Roman" w:hAnsi="Times New Roman" w:cs="Times New Roman"/>
          <w:kern w:val="0"/>
          <w:sz w:val="24"/>
          <w:szCs w:val="24"/>
          <w:lang w:val="en-US"/>
          <w14:ligatures w14:val="none"/>
        </w:rPr>
        <w:t xml:space="preserve">. Available at: </w:t>
      </w:r>
      <w:hyperlink r:id="rId11" w:tgtFrame="_blank" w:history="1">
        <w:r w:rsidRPr="0025784B">
          <w:rPr>
            <w:rFonts w:ascii="Calibri" w:eastAsia="Calibri" w:hAnsi="Calibri" w:cs="Times New Roman"/>
            <w:color w:val="0563C1"/>
            <w:kern w:val="0"/>
            <w:szCs w:val="24"/>
            <w:u w:val="single"/>
            <w:lang w:val="en-US"/>
            <w14:ligatures w14:val="none"/>
          </w:rPr>
          <w:t>https://www.gov.uk/guidance/hm-land-registry-registration-services-fees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56065035"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HM Revenue &amp; Customs (2025) </w:t>
      </w:r>
      <w:r w:rsidRPr="0025784B">
        <w:rPr>
          <w:rFonts w:ascii="Times New Roman" w:eastAsia="Times New Roman" w:hAnsi="Times New Roman" w:cs="Times New Roman"/>
          <w:i/>
          <w:iCs/>
          <w:kern w:val="0"/>
          <w:sz w:val="24"/>
          <w:szCs w:val="24"/>
          <w:lang w:val="en-US"/>
          <w14:ligatures w14:val="none"/>
        </w:rPr>
        <w:t>VAT Rates</w:t>
      </w:r>
      <w:r w:rsidRPr="0025784B">
        <w:rPr>
          <w:rFonts w:ascii="Times New Roman" w:eastAsia="Times New Roman" w:hAnsi="Times New Roman" w:cs="Times New Roman"/>
          <w:kern w:val="0"/>
          <w:sz w:val="24"/>
          <w:szCs w:val="24"/>
          <w:lang w:val="en-US"/>
          <w14:ligatures w14:val="none"/>
        </w:rPr>
        <w:t xml:space="preserve">. Available at: </w:t>
      </w:r>
      <w:hyperlink r:id="rId12" w:tgtFrame="_blank" w:history="1">
        <w:r w:rsidRPr="0025784B">
          <w:rPr>
            <w:rFonts w:ascii="Calibri" w:eastAsia="Calibri" w:hAnsi="Calibri" w:cs="Times New Roman"/>
            <w:color w:val="0563C1"/>
            <w:kern w:val="0"/>
            <w:szCs w:val="24"/>
            <w:u w:val="single"/>
            <w:lang w:val="en-US"/>
            <w14:ligatures w14:val="none"/>
          </w:rPr>
          <w:t>https://www.gov.uk/vat-rates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B3FE415"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HomeOwners</w:t>
      </w:r>
      <w:proofErr w:type="spellEnd"/>
      <w:r w:rsidRPr="0025784B">
        <w:rPr>
          <w:rFonts w:ascii="Times New Roman" w:eastAsia="Times New Roman" w:hAnsi="Times New Roman" w:cs="Times New Roman"/>
          <w:kern w:val="0"/>
          <w:sz w:val="24"/>
          <w:szCs w:val="24"/>
          <w:lang w:val="en-US"/>
          <w14:ligatures w14:val="none"/>
        </w:rPr>
        <w:t xml:space="preserve"> Alliance (2025) </w:t>
      </w:r>
      <w:r w:rsidRPr="0025784B">
        <w:rPr>
          <w:rFonts w:ascii="Times New Roman" w:eastAsia="Times New Roman" w:hAnsi="Times New Roman" w:cs="Times New Roman"/>
          <w:i/>
          <w:iCs/>
          <w:kern w:val="0"/>
          <w:sz w:val="24"/>
          <w:szCs w:val="24"/>
          <w:lang w:val="en-US"/>
          <w14:ligatures w14:val="none"/>
        </w:rPr>
        <w:t>What Is Indemnity Insurance?</w:t>
      </w:r>
      <w:r w:rsidRPr="0025784B">
        <w:rPr>
          <w:rFonts w:ascii="Times New Roman" w:eastAsia="Times New Roman" w:hAnsi="Times New Roman" w:cs="Times New Roman"/>
          <w:kern w:val="0"/>
          <w:sz w:val="24"/>
          <w:szCs w:val="24"/>
          <w:lang w:val="en-US"/>
          <w14:ligatures w14:val="none"/>
        </w:rPr>
        <w:t xml:space="preserve"> Available at: </w:t>
      </w:r>
      <w:hyperlink r:id="rId13" w:tgtFrame="_blank" w:history="1">
        <w:r w:rsidRPr="0025784B">
          <w:rPr>
            <w:rFonts w:ascii="Calibri" w:eastAsia="Calibri" w:hAnsi="Calibri" w:cs="Times New Roman"/>
            <w:color w:val="0563C1"/>
            <w:kern w:val="0"/>
            <w:szCs w:val="24"/>
            <w:u w:val="single"/>
            <w:lang w:val="en-US"/>
            <w14:ligatures w14:val="none"/>
          </w:rPr>
          <w:t>https://hoa.org.uk/advice/guides-for-homeowners/i-am-buying/what-is-indemnity-insurance/</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6D1DE9DE"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 xml:space="preserve">Korngold, G., 2024. Repealing Single-Family Zoning Is Not Enough: A Proposal </w:t>
      </w:r>
      <w:proofErr w:type="gramStart"/>
      <w:r w:rsidRPr="0025784B">
        <w:rPr>
          <w:rFonts w:ascii="Times New Roman" w:eastAsia="Calibri" w:hAnsi="Times New Roman" w:cs="Times New Roman"/>
          <w:kern w:val="0"/>
          <w:sz w:val="24"/>
          <w:szCs w:val="24"/>
          <w:shd w:val="clear" w:color="auto" w:fill="FFFFFF"/>
          <w:lang w:val="en-US"/>
          <w14:ligatures w14:val="none"/>
        </w:rPr>
        <w:t>For</w:t>
      </w:r>
      <w:proofErr w:type="gramEnd"/>
      <w:r w:rsidRPr="0025784B">
        <w:rPr>
          <w:rFonts w:ascii="Times New Roman" w:eastAsia="Calibri" w:hAnsi="Times New Roman" w:cs="Times New Roman"/>
          <w:kern w:val="0"/>
          <w:sz w:val="24"/>
          <w:szCs w:val="24"/>
          <w:shd w:val="clear" w:color="auto" w:fill="FFFFFF"/>
          <w:lang w:val="en-US"/>
          <w14:ligatures w14:val="none"/>
        </w:rPr>
        <w:t xml:space="preserve"> Removing Existing Parallel Private Covenants For Violating Public Policy. </w:t>
      </w:r>
      <w:r w:rsidRPr="0025784B">
        <w:rPr>
          <w:rFonts w:ascii="Times New Roman" w:eastAsia="Calibri" w:hAnsi="Times New Roman" w:cs="Times New Roman"/>
          <w:i/>
          <w:iCs/>
          <w:kern w:val="0"/>
          <w:sz w:val="24"/>
          <w:szCs w:val="24"/>
          <w:shd w:val="clear" w:color="auto" w:fill="FFFFFF"/>
          <w:lang w:val="en-US"/>
          <w14:ligatures w14:val="none"/>
        </w:rPr>
        <w:t>Mo. L. Rev.</w:t>
      </w:r>
      <w:r w:rsidRPr="0025784B">
        <w:rPr>
          <w:rFonts w:ascii="Times New Roman" w:eastAsia="Calibri" w:hAnsi="Times New Roman" w:cs="Times New Roman"/>
          <w:kern w:val="0"/>
          <w:sz w:val="24"/>
          <w:szCs w:val="24"/>
          <w:shd w:val="clear" w:color="auto" w:fill="FFFFFF"/>
          <w:lang w:val="en-US"/>
          <w14:ligatures w14:val="none"/>
        </w:rPr>
        <w:t>, </w:t>
      </w:r>
      <w:r w:rsidRPr="0025784B">
        <w:rPr>
          <w:rFonts w:ascii="Times New Roman" w:eastAsia="Calibri" w:hAnsi="Times New Roman" w:cs="Times New Roman"/>
          <w:i/>
          <w:iCs/>
          <w:kern w:val="0"/>
          <w:sz w:val="24"/>
          <w:szCs w:val="24"/>
          <w:shd w:val="clear" w:color="auto" w:fill="FFFFFF"/>
          <w:lang w:val="en-US"/>
          <w14:ligatures w14:val="none"/>
        </w:rPr>
        <w:t>89</w:t>
      </w:r>
      <w:r w:rsidRPr="0025784B">
        <w:rPr>
          <w:rFonts w:ascii="Times New Roman" w:eastAsia="Calibri" w:hAnsi="Times New Roman" w:cs="Times New Roman"/>
          <w:kern w:val="0"/>
          <w:sz w:val="24"/>
          <w:szCs w:val="24"/>
          <w:shd w:val="clear" w:color="auto" w:fill="FFFFFF"/>
          <w:lang w:val="en-US"/>
          <w14:ligatures w14:val="none"/>
        </w:rPr>
        <w:t>, p.1.</w:t>
      </w:r>
    </w:p>
    <w:p w14:paraId="2FA1ED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KS Law, no date. </w:t>
      </w:r>
      <w:r w:rsidRPr="0025784B">
        <w:rPr>
          <w:rFonts w:ascii="Times New Roman" w:eastAsia="Times New Roman" w:hAnsi="Times New Roman" w:cs="Times New Roman"/>
          <w:i/>
          <w:iCs/>
          <w:kern w:val="0"/>
          <w:sz w:val="24"/>
          <w:szCs w:val="24"/>
          <w:lang w:val="en-US"/>
          <w14:ligatures w14:val="none"/>
        </w:rPr>
        <w:t>Covenants on Title</w:t>
      </w:r>
      <w:r w:rsidRPr="0025784B">
        <w:rPr>
          <w:rFonts w:ascii="Times New Roman" w:eastAsia="Times New Roman" w:hAnsi="Times New Roman" w:cs="Times New Roman"/>
          <w:kern w:val="0"/>
          <w:sz w:val="24"/>
          <w:szCs w:val="24"/>
          <w:lang w:val="en-US"/>
          <w14:ligatures w14:val="none"/>
        </w:rPr>
        <w:t xml:space="preserve">. [online] KS Law. Available at: </w:t>
      </w:r>
      <w:hyperlink r:id="rId14" w:tgtFrame="_blank" w:history="1">
        <w:r w:rsidRPr="0025784B">
          <w:rPr>
            <w:rFonts w:ascii="Calibri" w:eastAsia="Calibri" w:hAnsi="Calibri" w:cs="Times New Roman"/>
            <w:color w:val="0563C1"/>
            <w:kern w:val="0"/>
            <w:szCs w:val="24"/>
            <w:u w:val="single"/>
            <w:lang w:val="en-US"/>
            <w14:ligatures w14:val="none"/>
          </w:rPr>
          <w:t>https://www.kslaw.co.uk/site/planning-law/your-planning-project/covenants-on-title/</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224DB79"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(2019) </w:t>
      </w:r>
      <w:r w:rsidRPr="0025784B">
        <w:rPr>
          <w:rFonts w:ascii="Times New Roman" w:eastAsia="Times New Roman" w:hAnsi="Times New Roman" w:cs="Times New Roman"/>
          <w:i/>
          <w:iCs/>
          <w:kern w:val="0"/>
          <w:sz w:val="24"/>
          <w:szCs w:val="24"/>
          <w:lang w:val="en-US"/>
          <w14:ligatures w14:val="none"/>
        </w:rPr>
        <w:t>Practice Guide 62: Easements</w:t>
      </w:r>
      <w:r w:rsidRPr="0025784B">
        <w:rPr>
          <w:rFonts w:ascii="Times New Roman" w:eastAsia="Times New Roman" w:hAnsi="Times New Roman" w:cs="Times New Roman"/>
          <w:kern w:val="0"/>
          <w:sz w:val="24"/>
          <w:szCs w:val="24"/>
          <w:lang w:val="en-US"/>
          <w14:ligatures w14:val="none"/>
        </w:rPr>
        <w:t xml:space="preserve">. Available at: </w:t>
      </w:r>
      <w:hyperlink r:id="rId15" w:tgtFrame="_blank" w:history="1">
        <w:r w:rsidRPr="0025784B">
          <w:rPr>
            <w:rFonts w:ascii="Calibri" w:eastAsia="Calibri" w:hAnsi="Calibri" w:cs="Times New Roman"/>
            <w:color w:val="0563C1"/>
            <w:kern w:val="0"/>
            <w:szCs w:val="24"/>
            <w:u w:val="single"/>
            <w:lang w:val="en-US"/>
            <w14:ligatures w14:val="none"/>
          </w:rPr>
          <w:t>https://www.gov.uk/government/publications/easements/practice-guide-62-easements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0B04A972"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Documents (2023) </w:t>
      </w:r>
      <w:r w:rsidRPr="0025784B">
        <w:rPr>
          <w:rFonts w:ascii="Times New Roman" w:eastAsia="Times New Roman" w:hAnsi="Times New Roman" w:cs="Times New Roman"/>
          <w:i/>
          <w:iCs/>
          <w:kern w:val="0"/>
          <w:sz w:val="24"/>
          <w:szCs w:val="24"/>
          <w:lang w:val="en-US"/>
          <w14:ligatures w14:val="none"/>
        </w:rPr>
        <w:t>All You Need to Know About Covenants</w:t>
      </w:r>
      <w:r w:rsidRPr="0025784B">
        <w:rPr>
          <w:rFonts w:ascii="Times New Roman" w:eastAsia="Times New Roman" w:hAnsi="Times New Roman" w:cs="Times New Roman"/>
          <w:kern w:val="0"/>
          <w:sz w:val="24"/>
          <w:szCs w:val="24"/>
          <w:lang w:val="en-US"/>
          <w14:ligatures w14:val="none"/>
        </w:rPr>
        <w:t xml:space="preserve">. Available at: </w:t>
      </w:r>
      <w:hyperlink r:id="rId16" w:tgtFrame="_blank" w:history="1">
        <w:r w:rsidRPr="0025784B">
          <w:rPr>
            <w:rFonts w:ascii="Calibri" w:eastAsia="Calibri" w:hAnsi="Calibri" w:cs="Times New Roman"/>
            <w:color w:val="0563C1"/>
            <w:kern w:val="0"/>
            <w:szCs w:val="24"/>
            <w:u w:val="single"/>
            <w:lang w:val="en-US"/>
            <w14:ligatures w14:val="none"/>
          </w:rPr>
          <w:t>https://www.land-registry-documents.co.uk/news-blog/covenantswhat-you-need-to-know-about/</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CE530E3"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Documents, 2023. </w:t>
      </w:r>
      <w:r w:rsidRPr="0025784B">
        <w:rPr>
          <w:rFonts w:ascii="Times New Roman" w:eastAsia="Times New Roman" w:hAnsi="Times New Roman" w:cs="Times New Roman"/>
          <w:i/>
          <w:iCs/>
          <w:kern w:val="0"/>
          <w:sz w:val="24"/>
          <w:szCs w:val="24"/>
          <w:lang w:val="en-US"/>
          <w14:ligatures w14:val="none"/>
        </w:rPr>
        <w:t>Covenants: What You Need to Know About</w:t>
      </w:r>
      <w:r w:rsidRPr="0025784B">
        <w:rPr>
          <w:rFonts w:ascii="Times New Roman" w:eastAsia="Times New Roman" w:hAnsi="Times New Roman" w:cs="Times New Roman"/>
          <w:kern w:val="0"/>
          <w:sz w:val="24"/>
          <w:szCs w:val="24"/>
          <w:lang w:val="en-US"/>
          <w14:ligatures w14:val="none"/>
        </w:rPr>
        <w:t xml:space="preserve">. [online] Land Registry Documents. Available at: </w:t>
      </w:r>
      <w:hyperlink r:id="rId17" w:tgtFrame="_blank" w:history="1">
        <w:r w:rsidRPr="0025784B">
          <w:rPr>
            <w:rFonts w:ascii="Calibri" w:eastAsia="Calibri" w:hAnsi="Calibri" w:cs="Times New Roman"/>
            <w:color w:val="0563C1"/>
            <w:kern w:val="0"/>
            <w:szCs w:val="24"/>
            <w:u w:val="single"/>
            <w:lang w:val="en-US"/>
            <w14:ligatures w14:val="none"/>
          </w:rPr>
          <w:t>https://www.land-registry-documents.co.uk/news-blog/covenantswhat-you-need-to-know-about/</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915055"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2019. </w:t>
      </w:r>
      <w:r w:rsidRPr="0025784B">
        <w:rPr>
          <w:rFonts w:ascii="Times New Roman" w:eastAsia="Times New Roman" w:hAnsi="Times New Roman" w:cs="Times New Roman"/>
          <w:i/>
          <w:iCs/>
          <w:kern w:val="0"/>
          <w:sz w:val="24"/>
          <w:szCs w:val="24"/>
          <w:lang w:val="en-US"/>
          <w14:ligatures w14:val="none"/>
        </w:rPr>
        <w:t>Practice Guide 62: Easements</w:t>
      </w:r>
      <w:r w:rsidRPr="0025784B">
        <w:rPr>
          <w:rFonts w:ascii="Times New Roman" w:eastAsia="Times New Roman" w:hAnsi="Times New Roman" w:cs="Times New Roman"/>
          <w:kern w:val="0"/>
          <w:sz w:val="24"/>
          <w:szCs w:val="24"/>
          <w:lang w:val="en-US"/>
          <w14:ligatures w14:val="none"/>
        </w:rPr>
        <w:t xml:space="preserve">. [online] GOV.UK. Available at: </w:t>
      </w:r>
      <w:hyperlink r:id="rId18" w:tgtFrame="_blank" w:history="1">
        <w:r w:rsidRPr="0025784B">
          <w:rPr>
            <w:rFonts w:ascii="Calibri" w:eastAsia="Calibri" w:hAnsi="Calibri" w:cs="Times New Roman"/>
            <w:color w:val="0563C1"/>
            <w:kern w:val="0"/>
            <w:szCs w:val="24"/>
            <w:u w:val="single"/>
            <w:lang w:val="en-US"/>
            <w14:ligatures w14:val="none"/>
          </w:rPr>
          <w:t>https://www.gov.uk/government/publications/easements/practice-guide-62-easements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54C37484"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LexisNexis, no date. </w:t>
      </w:r>
      <w:r w:rsidRPr="0025784B">
        <w:rPr>
          <w:rFonts w:ascii="Times New Roman" w:eastAsia="Times New Roman" w:hAnsi="Times New Roman" w:cs="Times New Roman"/>
          <w:i/>
          <w:iCs/>
          <w:kern w:val="0"/>
          <w:sz w:val="24"/>
          <w:szCs w:val="24"/>
          <w:lang w:val="en-US"/>
          <w14:ligatures w14:val="none"/>
        </w:rPr>
        <w:t>Positive Covenants</w:t>
      </w:r>
      <w:r w:rsidRPr="0025784B">
        <w:rPr>
          <w:rFonts w:ascii="Times New Roman" w:eastAsia="Times New Roman" w:hAnsi="Times New Roman" w:cs="Times New Roman"/>
          <w:kern w:val="0"/>
          <w:sz w:val="24"/>
          <w:szCs w:val="24"/>
          <w:lang w:val="en-US"/>
          <w14:ligatures w14:val="none"/>
        </w:rPr>
        <w:t xml:space="preserve">. [online] LexisNexis. Available at: </w:t>
      </w:r>
      <w:hyperlink r:id="rId19" w:tgtFrame="_blank" w:history="1">
        <w:r w:rsidRPr="0025784B">
          <w:rPr>
            <w:rFonts w:ascii="Calibri" w:eastAsia="Calibri" w:hAnsi="Calibri" w:cs="Times New Roman"/>
            <w:color w:val="0563C1"/>
            <w:kern w:val="0"/>
            <w:szCs w:val="24"/>
            <w:u w:val="single"/>
            <w:lang w:val="en-US"/>
            <w14:ligatures w14:val="none"/>
          </w:rPr>
          <w:t>https://www.lexisnexis.co.uk/legal/property-law/easements-rights-covenants/positive-covenants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959C92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LexisNexis, no date. </w:t>
      </w:r>
      <w:r w:rsidRPr="0025784B">
        <w:rPr>
          <w:rFonts w:ascii="Times New Roman" w:eastAsia="Times New Roman" w:hAnsi="Times New Roman" w:cs="Times New Roman"/>
          <w:i/>
          <w:iCs/>
          <w:kern w:val="0"/>
          <w:sz w:val="24"/>
          <w:szCs w:val="24"/>
          <w:lang w:val="en-US"/>
          <w14:ligatures w14:val="none"/>
        </w:rPr>
        <w:t xml:space="preserve">Where a Positive Covenant is Not Expressed to Benefit Any Land, Is It a Personal Covenant with the Other </w:t>
      </w:r>
      <w:proofErr w:type="gramStart"/>
      <w:r w:rsidRPr="0025784B">
        <w:rPr>
          <w:rFonts w:ascii="Times New Roman" w:eastAsia="Times New Roman" w:hAnsi="Times New Roman" w:cs="Times New Roman"/>
          <w:i/>
          <w:iCs/>
          <w:kern w:val="0"/>
          <w:sz w:val="24"/>
          <w:szCs w:val="24"/>
          <w:lang w:val="en-US"/>
          <w14:ligatures w14:val="none"/>
        </w:rPr>
        <w:t>Party?</w:t>
      </w:r>
      <w:r w:rsidRPr="0025784B">
        <w:rPr>
          <w:rFonts w:ascii="Times New Roman" w:eastAsia="Times New Roman" w:hAnsi="Times New Roman" w:cs="Times New Roman"/>
          <w:kern w:val="0"/>
          <w:sz w:val="24"/>
          <w:szCs w:val="24"/>
          <w:lang w:val="en-US"/>
          <w14:ligatures w14:val="none"/>
        </w:rPr>
        <w:t>.</w:t>
      </w:r>
      <w:proofErr w:type="gramEnd"/>
      <w:r w:rsidRPr="0025784B">
        <w:rPr>
          <w:rFonts w:ascii="Times New Roman" w:eastAsia="Times New Roman" w:hAnsi="Times New Roman" w:cs="Times New Roman"/>
          <w:kern w:val="0"/>
          <w:sz w:val="24"/>
          <w:szCs w:val="24"/>
          <w:lang w:val="en-US"/>
          <w14:ligatures w14:val="none"/>
        </w:rPr>
        <w:t xml:space="preserve"> [online] LexisNexis. Available at: </w:t>
      </w:r>
      <w:hyperlink r:id="rId20" w:tgtFrame="_blank" w:history="1">
        <w:r w:rsidRPr="0025784B">
          <w:rPr>
            <w:rFonts w:ascii="Calibri" w:eastAsia="Calibri" w:hAnsi="Calibri" w:cs="Times New Roman"/>
            <w:color w:val="0563C1"/>
            <w:kern w:val="0"/>
            <w:szCs w:val="24"/>
            <w:u w:val="single"/>
            <w:lang w:val="en-US"/>
            <w14:ligatures w14:val="none"/>
          </w:rPr>
          <w:t>https://www.lexisnexis.co.uk/legal/guidance/where-a-positive-covenant-is-not-expressed-to-benefit-any-land-is-it-a-personal-covenant-with-the-other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48728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Lindsay Taylor Lawyers, no date. </w:t>
      </w:r>
      <w:r w:rsidRPr="0025784B">
        <w:rPr>
          <w:rFonts w:ascii="Times New Roman" w:eastAsia="Times New Roman" w:hAnsi="Times New Roman" w:cs="Times New Roman"/>
          <w:i/>
          <w:iCs/>
          <w:kern w:val="0"/>
          <w:sz w:val="24"/>
          <w:szCs w:val="24"/>
          <w:lang w:val="en-US"/>
          <w14:ligatures w14:val="none"/>
        </w:rPr>
        <w:t xml:space="preserve">Do Positive Covenants Run with the </w:t>
      </w:r>
      <w:proofErr w:type="gramStart"/>
      <w:r w:rsidRPr="0025784B">
        <w:rPr>
          <w:rFonts w:ascii="Times New Roman" w:eastAsia="Times New Roman" w:hAnsi="Times New Roman" w:cs="Times New Roman"/>
          <w:i/>
          <w:iCs/>
          <w:kern w:val="0"/>
          <w:sz w:val="24"/>
          <w:szCs w:val="24"/>
          <w:lang w:val="en-US"/>
          <w14:ligatures w14:val="none"/>
        </w:rPr>
        <w:t>Land?</w:t>
      </w:r>
      <w:r w:rsidRPr="0025784B">
        <w:rPr>
          <w:rFonts w:ascii="Times New Roman" w:eastAsia="Times New Roman" w:hAnsi="Times New Roman" w:cs="Times New Roman"/>
          <w:kern w:val="0"/>
          <w:sz w:val="24"/>
          <w:szCs w:val="24"/>
          <w:lang w:val="en-US"/>
          <w14:ligatures w14:val="none"/>
        </w:rPr>
        <w:t>.</w:t>
      </w:r>
      <w:proofErr w:type="gramEnd"/>
      <w:r w:rsidRPr="0025784B">
        <w:rPr>
          <w:rFonts w:ascii="Times New Roman" w:eastAsia="Times New Roman" w:hAnsi="Times New Roman" w:cs="Times New Roman"/>
          <w:kern w:val="0"/>
          <w:sz w:val="24"/>
          <w:szCs w:val="24"/>
          <w:lang w:val="en-US"/>
          <w14:ligatures w14:val="none"/>
        </w:rPr>
        <w:t xml:space="preserve"> [online] Lindsay Taylor Lawyers. Available at: </w:t>
      </w:r>
      <w:hyperlink r:id="rId21" w:tgtFrame="_blank" w:history="1">
        <w:r w:rsidRPr="0025784B">
          <w:rPr>
            <w:rFonts w:ascii="Calibri" w:eastAsia="Calibri" w:hAnsi="Calibri" w:cs="Times New Roman"/>
            <w:color w:val="0563C1"/>
            <w:kern w:val="0"/>
            <w:szCs w:val="24"/>
            <w:u w:val="single"/>
            <w:lang w:val="en-US"/>
            <w14:ligatures w14:val="none"/>
          </w:rPr>
          <w:t>https://www.lindsaytaylorlawyers.com.au/in_focus/do-positive-covenants-run-with-the-land/</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402D5557"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Lovett, J.A., 2022. Easements and Change. </w:t>
      </w:r>
      <w:r w:rsidRPr="0025784B">
        <w:rPr>
          <w:rFonts w:ascii="Times New Roman" w:eastAsia="Calibri" w:hAnsi="Times New Roman" w:cs="Times New Roman"/>
          <w:i/>
          <w:iCs/>
          <w:kern w:val="0"/>
          <w:sz w:val="24"/>
          <w:szCs w:val="24"/>
          <w:shd w:val="clear" w:color="auto" w:fill="FFFFFF"/>
          <w:lang w:val="en-US"/>
          <w14:ligatures w14:val="none"/>
        </w:rPr>
        <w:t>Baylor L. Rev.</w:t>
      </w:r>
      <w:r w:rsidRPr="0025784B">
        <w:rPr>
          <w:rFonts w:ascii="Times New Roman" w:eastAsia="Calibri" w:hAnsi="Times New Roman" w:cs="Times New Roman"/>
          <w:kern w:val="0"/>
          <w:sz w:val="24"/>
          <w:szCs w:val="24"/>
          <w:shd w:val="clear" w:color="auto" w:fill="FFFFFF"/>
          <w:lang w:val="en-US"/>
          <w14:ligatures w14:val="none"/>
        </w:rPr>
        <w:t>, </w:t>
      </w:r>
      <w:r w:rsidRPr="0025784B">
        <w:rPr>
          <w:rFonts w:ascii="Times New Roman" w:eastAsia="Calibri" w:hAnsi="Times New Roman" w:cs="Times New Roman"/>
          <w:i/>
          <w:iCs/>
          <w:kern w:val="0"/>
          <w:sz w:val="24"/>
          <w:szCs w:val="24"/>
          <w:shd w:val="clear" w:color="auto" w:fill="FFFFFF"/>
          <w:lang w:val="en-US"/>
          <w14:ligatures w14:val="none"/>
        </w:rPr>
        <w:t>74</w:t>
      </w:r>
      <w:r w:rsidRPr="0025784B">
        <w:rPr>
          <w:rFonts w:ascii="Times New Roman" w:eastAsia="Calibri" w:hAnsi="Times New Roman" w:cs="Times New Roman"/>
          <w:kern w:val="0"/>
          <w:sz w:val="24"/>
          <w:szCs w:val="24"/>
          <w:shd w:val="clear" w:color="auto" w:fill="FFFFFF"/>
          <w:lang w:val="en-US"/>
          <w14:ligatures w14:val="none"/>
        </w:rPr>
        <w:t>, p.1.</w:t>
      </w:r>
    </w:p>
    <w:p w14:paraId="262FC9B1"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Michelmores</w:t>
      </w:r>
      <w:proofErr w:type="spellEnd"/>
      <w:r w:rsidRPr="0025784B">
        <w:rPr>
          <w:rFonts w:ascii="Times New Roman" w:eastAsia="Times New Roman" w:hAnsi="Times New Roman" w:cs="Times New Roman"/>
          <w:kern w:val="0"/>
          <w:sz w:val="24"/>
          <w:szCs w:val="24"/>
          <w:lang w:val="en-US"/>
          <w14:ligatures w14:val="none"/>
        </w:rPr>
        <w:t xml:space="preserve">, 2023. </w:t>
      </w:r>
      <w:r w:rsidRPr="0025784B">
        <w:rPr>
          <w:rFonts w:ascii="Times New Roman" w:eastAsia="Times New Roman" w:hAnsi="Times New Roman" w:cs="Times New Roman"/>
          <w:i/>
          <w:iCs/>
          <w:kern w:val="0"/>
          <w:sz w:val="24"/>
          <w:szCs w:val="24"/>
          <w:lang w:val="en-US"/>
          <w14:ligatures w14:val="none"/>
        </w:rPr>
        <w:t>Easements</w:t>
      </w:r>
      <w:r w:rsidRPr="0025784B">
        <w:rPr>
          <w:rFonts w:ascii="Times New Roman" w:eastAsia="Times New Roman" w:hAnsi="Times New Roman" w:cs="Times New Roman"/>
          <w:kern w:val="0"/>
          <w:sz w:val="24"/>
          <w:szCs w:val="24"/>
          <w:lang w:val="en-US"/>
          <w14:ligatures w14:val="none"/>
        </w:rPr>
        <w:t xml:space="preserve">. [online] </w:t>
      </w:r>
      <w:proofErr w:type="spellStart"/>
      <w:r w:rsidRPr="0025784B">
        <w:rPr>
          <w:rFonts w:ascii="Times New Roman" w:eastAsia="Times New Roman" w:hAnsi="Times New Roman" w:cs="Times New Roman"/>
          <w:kern w:val="0"/>
          <w:sz w:val="24"/>
          <w:szCs w:val="24"/>
          <w:lang w:val="en-US"/>
          <w14:ligatures w14:val="none"/>
        </w:rPr>
        <w:t>Michelmores</w:t>
      </w:r>
      <w:proofErr w:type="spellEnd"/>
      <w:r w:rsidRPr="0025784B">
        <w:rPr>
          <w:rFonts w:ascii="Times New Roman" w:eastAsia="Times New Roman" w:hAnsi="Times New Roman" w:cs="Times New Roman"/>
          <w:kern w:val="0"/>
          <w:sz w:val="24"/>
          <w:szCs w:val="24"/>
          <w:lang w:val="en-US"/>
          <w14:ligatures w14:val="none"/>
        </w:rPr>
        <w:t xml:space="preserve"> LLP. Available at: </w:t>
      </w:r>
      <w:hyperlink r:id="rId22" w:tgtFrame="_blank" w:history="1">
        <w:r w:rsidRPr="0025784B">
          <w:rPr>
            <w:rFonts w:ascii="Calibri" w:eastAsia="Calibri" w:hAnsi="Calibri" w:cs="Times New Roman"/>
            <w:color w:val="0563C1"/>
            <w:kern w:val="0"/>
            <w:szCs w:val="24"/>
            <w:u w:val="single"/>
            <w:lang w:val="en-US"/>
            <w14:ligatures w14:val="none"/>
          </w:rPr>
          <w:t>https://www.michelmores.com/services/property/easements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1259520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Netlawman</w:t>
      </w:r>
      <w:proofErr w:type="spellEnd"/>
      <w:r w:rsidRPr="0025784B">
        <w:rPr>
          <w:rFonts w:ascii="Times New Roman" w:eastAsia="Times New Roman" w:hAnsi="Times New Roman" w:cs="Times New Roman"/>
          <w:kern w:val="0"/>
          <w:sz w:val="24"/>
          <w:szCs w:val="24"/>
          <w:lang w:val="en-US"/>
          <w14:ligatures w14:val="none"/>
        </w:rPr>
        <w:t xml:space="preserve">, no date. </w:t>
      </w:r>
      <w:r w:rsidRPr="0025784B">
        <w:rPr>
          <w:rFonts w:ascii="Times New Roman" w:eastAsia="Times New Roman" w:hAnsi="Times New Roman" w:cs="Times New Roman"/>
          <w:i/>
          <w:iCs/>
          <w:kern w:val="0"/>
          <w:sz w:val="24"/>
          <w:szCs w:val="24"/>
          <w:lang w:val="en-US"/>
          <w14:ligatures w14:val="none"/>
        </w:rPr>
        <w:t>Covenants on Property</w:t>
      </w:r>
      <w:r w:rsidRPr="0025784B">
        <w:rPr>
          <w:rFonts w:ascii="Times New Roman" w:eastAsia="Times New Roman" w:hAnsi="Times New Roman" w:cs="Times New Roman"/>
          <w:kern w:val="0"/>
          <w:sz w:val="24"/>
          <w:szCs w:val="24"/>
          <w:lang w:val="en-US"/>
          <w14:ligatures w14:val="none"/>
        </w:rPr>
        <w:t xml:space="preserve">. [online] </w:t>
      </w:r>
      <w:proofErr w:type="spellStart"/>
      <w:r w:rsidRPr="0025784B">
        <w:rPr>
          <w:rFonts w:ascii="Times New Roman" w:eastAsia="Times New Roman" w:hAnsi="Times New Roman" w:cs="Times New Roman"/>
          <w:kern w:val="0"/>
          <w:sz w:val="24"/>
          <w:szCs w:val="24"/>
          <w:lang w:val="en-US"/>
          <w14:ligatures w14:val="none"/>
        </w:rPr>
        <w:t>Netlawman</w:t>
      </w:r>
      <w:proofErr w:type="spellEnd"/>
      <w:r w:rsidRPr="0025784B">
        <w:rPr>
          <w:rFonts w:ascii="Times New Roman" w:eastAsia="Times New Roman" w:hAnsi="Times New Roman" w:cs="Times New Roman"/>
          <w:kern w:val="0"/>
          <w:sz w:val="24"/>
          <w:szCs w:val="24"/>
          <w:lang w:val="en-US"/>
          <w14:ligatures w14:val="none"/>
        </w:rPr>
        <w:t xml:space="preserve">. Available at: </w:t>
      </w:r>
      <w:hyperlink r:id="rId23" w:tgtFrame="_blank" w:history="1">
        <w:r w:rsidRPr="0025784B">
          <w:rPr>
            <w:rFonts w:ascii="Calibri" w:eastAsia="Calibri" w:hAnsi="Calibri" w:cs="Times New Roman"/>
            <w:color w:val="0563C1"/>
            <w:kern w:val="0"/>
            <w:szCs w:val="24"/>
            <w:u w:val="single"/>
            <w:lang w:val="en-US"/>
            <w14:ligatures w14:val="none"/>
          </w:rPr>
          <w:t>https://www.netlawman.co.uk/ia/covenants-property</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7ACE8BB"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Osbornes Law, no date. </w:t>
      </w:r>
      <w:r w:rsidRPr="0025784B">
        <w:rPr>
          <w:rFonts w:ascii="Times New Roman" w:eastAsia="Times New Roman" w:hAnsi="Times New Roman" w:cs="Times New Roman"/>
          <w:i/>
          <w:iCs/>
          <w:kern w:val="0"/>
          <w:sz w:val="24"/>
          <w:szCs w:val="24"/>
          <w:lang w:val="en-US"/>
          <w14:ligatures w14:val="none"/>
        </w:rPr>
        <w:t>Positive Covenants and Successors in Title</w:t>
      </w:r>
      <w:r w:rsidRPr="0025784B">
        <w:rPr>
          <w:rFonts w:ascii="Times New Roman" w:eastAsia="Times New Roman" w:hAnsi="Times New Roman" w:cs="Times New Roman"/>
          <w:kern w:val="0"/>
          <w:sz w:val="24"/>
          <w:szCs w:val="24"/>
          <w:lang w:val="en-US"/>
          <w14:ligatures w14:val="none"/>
        </w:rPr>
        <w:t xml:space="preserve">. [online] Osbornes Law. Available at: </w:t>
      </w:r>
      <w:hyperlink r:id="rId24" w:tgtFrame="_blank" w:history="1">
        <w:r w:rsidRPr="0025784B">
          <w:rPr>
            <w:rFonts w:ascii="Calibri" w:eastAsia="Calibri" w:hAnsi="Calibri" w:cs="Times New Roman"/>
            <w:color w:val="0563C1"/>
            <w:kern w:val="0"/>
            <w:szCs w:val="24"/>
            <w:u w:val="single"/>
            <w:lang w:val="en-US"/>
            <w14:ligatures w14:val="none"/>
          </w:rPr>
          <w:t>https://osborneslaw.com/blog/positive-covenants-and-successors-in-title/</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691006"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Paris Smith (2022) </w:t>
      </w:r>
      <w:r w:rsidRPr="0025784B">
        <w:rPr>
          <w:rFonts w:ascii="Times New Roman" w:eastAsia="Times New Roman" w:hAnsi="Times New Roman" w:cs="Times New Roman"/>
          <w:i/>
          <w:iCs/>
          <w:kern w:val="0"/>
          <w:sz w:val="24"/>
          <w:szCs w:val="24"/>
          <w:lang w:val="en-US"/>
          <w14:ligatures w14:val="none"/>
        </w:rPr>
        <w:t>Enforcement of Positive Covenants</w:t>
      </w:r>
      <w:r w:rsidRPr="0025784B">
        <w:rPr>
          <w:rFonts w:ascii="Times New Roman" w:eastAsia="Times New Roman" w:hAnsi="Times New Roman" w:cs="Times New Roman"/>
          <w:kern w:val="0"/>
          <w:sz w:val="24"/>
          <w:szCs w:val="24"/>
          <w:lang w:val="en-US"/>
          <w14:ligatures w14:val="none"/>
        </w:rPr>
        <w:t xml:space="preserve">. Available at: </w:t>
      </w:r>
      <w:hyperlink r:id="rId25" w:tgtFrame="_blank" w:history="1">
        <w:r w:rsidRPr="0025784B">
          <w:rPr>
            <w:rFonts w:ascii="Calibri" w:eastAsia="Calibri" w:hAnsi="Calibri" w:cs="Times New Roman"/>
            <w:color w:val="0563C1"/>
            <w:kern w:val="0"/>
            <w:szCs w:val="24"/>
            <w:u w:val="single"/>
            <w:lang w:val="en-US"/>
            <w14:ligatures w14:val="none"/>
          </w:rPr>
          <w:t>https://parissmith.co.uk/blog/enforcement-of-positive-covenants/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C9871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Paris Smith LLP. Available at: </w:t>
      </w:r>
      <w:hyperlink r:id="rId26" w:tgtFrame="_blank" w:history="1">
        <w:r w:rsidRPr="0025784B">
          <w:rPr>
            <w:rFonts w:ascii="Calibri" w:eastAsia="Calibri" w:hAnsi="Calibri" w:cs="Times New Roman"/>
            <w:color w:val="0563C1"/>
            <w:kern w:val="0"/>
            <w:szCs w:val="24"/>
            <w:u w:val="single"/>
            <w:lang w:val="en-US"/>
            <w14:ligatures w14:val="none"/>
          </w:rPr>
          <w:t>https://parissmith.co.uk/blog/enforcement-of-positive-covenants/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4AD5F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Rightmove (2025) </w:t>
      </w:r>
      <w:r w:rsidRPr="0025784B">
        <w:rPr>
          <w:rFonts w:ascii="Times New Roman" w:eastAsia="Times New Roman" w:hAnsi="Times New Roman" w:cs="Times New Roman"/>
          <w:i/>
          <w:iCs/>
          <w:kern w:val="0"/>
          <w:sz w:val="24"/>
          <w:szCs w:val="24"/>
          <w:lang w:val="en-US"/>
          <w14:ligatures w14:val="none"/>
        </w:rPr>
        <w:t>House Prices in Swansea</w:t>
      </w:r>
      <w:r w:rsidRPr="0025784B">
        <w:rPr>
          <w:rFonts w:ascii="Times New Roman" w:eastAsia="Times New Roman" w:hAnsi="Times New Roman" w:cs="Times New Roman"/>
          <w:kern w:val="0"/>
          <w:sz w:val="24"/>
          <w:szCs w:val="24"/>
          <w:lang w:val="en-US"/>
          <w14:ligatures w14:val="none"/>
        </w:rPr>
        <w:t xml:space="preserve">. Available at: </w:t>
      </w:r>
      <w:hyperlink r:id="rId27" w:tgtFrame="_blank" w:history="1">
        <w:r w:rsidRPr="0025784B">
          <w:rPr>
            <w:rFonts w:ascii="Calibri" w:eastAsia="Calibri" w:hAnsi="Calibri" w:cs="Times New Roman"/>
            <w:color w:val="0563C1"/>
            <w:kern w:val="0"/>
            <w:szCs w:val="24"/>
            <w:u w:val="single"/>
            <w:lang w:val="en-US"/>
            <w14:ligatures w14:val="none"/>
          </w:rPr>
          <w:t>https://www.rightmove.co.uk/house-prices/swansea.html</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5006231"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SRA (n.d.) </w:t>
      </w:r>
      <w:r w:rsidRPr="0025784B">
        <w:rPr>
          <w:rFonts w:ascii="Times New Roman" w:eastAsia="Times New Roman" w:hAnsi="Times New Roman" w:cs="Times New Roman"/>
          <w:i/>
          <w:iCs/>
          <w:kern w:val="0"/>
          <w:sz w:val="24"/>
          <w:szCs w:val="24"/>
          <w:lang w:val="en-US"/>
          <w14:ligatures w14:val="none"/>
        </w:rPr>
        <w:t>Professional Skills Course Information</w:t>
      </w:r>
      <w:r w:rsidRPr="0025784B">
        <w:rPr>
          <w:rFonts w:ascii="Times New Roman" w:eastAsia="Times New Roman" w:hAnsi="Times New Roman" w:cs="Times New Roman"/>
          <w:kern w:val="0"/>
          <w:sz w:val="24"/>
          <w:szCs w:val="24"/>
          <w:lang w:val="en-US"/>
          <w14:ligatures w14:val="none"/>
        </w:rPr>
        <w:t xml:space="preserve">. Available at: </w:t>
      </w:r>
      <w:hyperlink r:id="rId28" w:tgtFrame="_blank" w:history="1">
        <w:r w:rsidRPr="0025784B">
          <w:rPr>
            <w:rFonts w:ascii="Calibri" w:eastAsia="Calibri" w:hAnsi="Calibri" w:cs="Times New Roman"/>
            <w:color w:val="0563C1"/>
            <w:kern w:val="0"/>
            <w:szCs w:val="24"/>
            <w:u w:val="single"/>
            <w:lang w:val="en-US"/>
            <w14:ligatures w14:val="none"/>
          </w:rPr>
          <w:t>https://www.sra.org.uk/become-solicitor/legal-practice-course-route/professional-skills-course/professional-skills-course-information-pack/</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AC3C160"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Targetjobs</w:t>
      </w:r>
      <w:proofErr w:type="spellEnd"/>
      <w:r w:rsidRPr="0025784B">
        <w:rPr>
          <w:rFonts w:ascii="Times New Roman" w:eastAsia="Times New Roman" w:hAnsi="Times New Roman" w:cs="Times New Roman"/>
          <w:kern w:val="0"/>
          <w:sz w:val="24"/>
          <w:szCs w:val="24"/>
          <w:lang w:val="en-US"/>
          <w14:ligatures w14:val="none"/>
        </w:rPr>
        <w:t xml:space="preserve"> (n.d.) </w:t>
      </w:r>
      <w:r w:rsidRPr="0025784B">
        <w:rPr>
          <w:rFonts w:ascii="Times New Roman" w:eastAsia="Times New Roman" w:hAnsi="Times New Roman" w:cs="Times New Roman"/>
          <w:i/>
          <w:iCs/>
          <w:kern w:val="0"/>
          <w:sz w:val="24"/>
          <w:szCs w:val="24"/>
          <w:lang w:val="en-US"/>
          <w14:ligatures w14:val="none"/>
        </w:rPr>
        <w:t>Top Skills You Need to Be a Solicitor</w:t>
      </w:r>
      <w:r w:rsidRPr="0025784B">
        <w:rPr>
          <w:rFonts w:ascii="Times New Roman" w:eastAsia="Times New Roman" w:hAnsi="Times New Roman" w:cs="Times New Roman"/>
          <w:kern w:val="0"/>
          <w:sz w:val="24"/>
          <w:szCs w:val="24"/>
          <w:lang w:val="en-US"/>
          <w14:ligatures w14:val="none"/>
        </w:rPr>
        <w:t xml:space="preserve">. Available at: </w:t>
      </w:r>
      <w:hyperlink r:id="rId29" w:tgtFrame="_blank" w:history="1">
        <w:r w:rsidRPr="0025784B">
          <w:rPr>
            <w:rFonts w:ascii="Calibri" w:eastAsia="Calibri" w:hAnsi="Calibri" w:cs="Times New Roman"/>
            <w:color w:val="0563C1"/>
            <w:kern w:val="0"/>
            <w:szCs w:val="24"/>
            <w:u w:val="single"/>
            <w:lang w:val="en-US"/>
            <w14:ligatures w14:val="none"/>
          </w:rPr>
          <w:t>https://targetjobs.co.uk/careers-advice/law/top-skills-you-need-be-solicitor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2DE55F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Trainee Solicitor Surgery (n.d.) </w:t>
      </w:r>
      <w:r w:rsidRPr="0025784B">
        <w:rPr>
          <w:rFonts w:ascii="Times New Roman" w:eastAsia="Times New Roman" w:hAnsi="Times New Roman" w:cs="Times New Roman"/>
          <w:i/>
          <w:iCs/>
          <w:kern w:val="0"/>
          <w:sz w:val="24"/>
          <w:szCs w:val="24"/>
          <w:lang w:val="en-US"/>
          <w14:ligatures w14:val="none"/>
        </w:rPr>
        <w:t>Key Skills &amp; Attributes Needed as a Trainee Solicitor</w:t>
      </w:r>
      <w:r w:rsidRPr="0025784B">
        <w:rPr>
          <w:rFonts w:ascii="Times New Roman" w:eastAsia="Times New Roman" w:hAnsi="Times New Roman" w:cs="Times New Roman"/>
          <w:kern w:val="0"/>
          <w:sz w:val="24"/>
          <w:szCs w:val="24"/>
          <w:lang w:val="en-US"/>
          <w14:ligatures w14:val="none"/>
        </w:rPr>
        <w:t xml:space="preserve">. Available at: </w:t>
      </w:r>
      <w:hyperlink r:id="rId30" w:tgtFrame="_blank" w:history="1">
        <w:r w:rsidRPr="0025784B">
          <w:rPr>
            <w:rFonts w:ascii="Calibri" w:eastAsia="Calibri" w:hAnsi="Calibri" w:cs="Times New Roman"/>
            <w:color w:val="0563C1"/>
            <w:kern w:val="0"/>
            <w:szCs w:val="24"/>
            <w:u w:val="single"/>
            <w:lang w:val="en-US"/>
            <w14:ligatures w14:val="none"/>
          </w:rPr>
          <w:t>https://traineesolicitorsurgery.co.uk/key-skills-attributes-needed-trainee-solicitor/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2694D99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Tulk v </w:t>
      </w:r>
      <w:proofErr w:type="spellStart"/>
      <w:r w:rsidRPr="0025784B">
        <w:rPr>
          <w:rFonts w:ascii="Times New Roman" w:eastAsia="Times New Roman" w:hAnsi="Times New Roman" w:cs="Times New Roman"/>
          <w:kern w:val="0"/>
          <w:sz w:val="24"/>
          <w:szCs w:val="24"/>
          <w:lang w:val="en-US"/>
          <w14:ligatures w14:val="none"/>
        </w:rPr>
        <w:t>Moxhay</w:t>
      </w:r>
      <w:proofErr w:type="spellEnd"/>
      <w:r w:rsidRPr="0025784B">
        <w:rPr>
          <w:rFonts w:ascii="Times New Roman" w:eastAsia="Times New Roman" w:hAnsi="Times New Roman" w:cs="Times New Roman"/>
          <w:kern w:val="0"/>
          <w:sz w:val="24"/>
          <w:szCs w:val="24"/>
          <w:lang w:val="en-US"/>
          <w14:ligatures w14:val="none"/>
        </w:rPr>
        <w:t xml:space="preserve"> [1848] 41 ER 1143. [online] BAILII. Available at: </w:t>
      </w:r>
      <w:hyperlink r:id="rId31" w:tgtFrame="_blank" w:history="1">
        <w:r w:rsidRPr="0025784B">
          <w:rPr>
            <w:rFonts w:ascii="Calibri" w:eastAsia="Calibri" w:hAnsi="Calibri" w:cs="Times New Roman"/>
            <w:color w:val="0563C1"/>
            <w:kern w:val="0"/>
            <w:szCs w:val="24"/>
            <w:u w:val="single"/>
            <w:lang w:val="en-US"/>
            <w14:ligatures w14:val="none"/>
          </w:rPr>
          <w:t>https://www.bailii.org/ew/cases/EWHC/Ch/1848/J90.html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76D6A07"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UK Parliament, 1925. </w:t>
      </w:r>
      <w:r w:rsidRPr="0025784B">
        <w:rPr>
          <w:rFonts w:ascii="Times New Roman" w:eastAsia="Times New Roman" w:hAnsi="Times New Roman" w:cs="Times New Roman"/>
          <w:i/>
          <w:iCs/>
          <w:kern w:val="0"/>
          <w:sz w:val="24"/>
          <w:szCs w:val="24"/>
          <w:lang w:val="en-US"/>
          <w14:ligatures w14:val="none"/>
        </w:rPr>
        <w:t>Law of Property Act 1925</w:t>
      </w:r>
      <w:r w:rsidRPr="0025784B">
        <w:rPr>
          <w:rFonts w:ascii="Times New Roman" w:eastAsia="Times New Roman" w:hAnsi="Times New Roman" w:cs="Times New Roman"/>
          <w:kern w:val="0"/>
          <w:sz w:val="24"/>
          <w:szCs w:val="24"/>
          <w:lang w:val="en-US"/>
          <w14:ligatures w14:val="none"/>
        </w:rPr>
        <w:t xml:space="preserve">. [online] Legislation.gov.uk. Available at: </w:t>
      </w:r>
      <w:hyperlink r:id="rId32" w:tgtFrame="_blank" w:history="1">
        <w:r w:rsidRPr="0025784B">
          <w:rPr>
            <w:rFonts w:ascii="Calibri" w:eastAsia="Calibri" w:hAnsi="Calibri" w:cs="Times New Roman"/>
            <w:color w:val="0563C1"/>
            <w:kern w:val="0"/>
            <w:szCs w:val="24"/>
            <w:u w:val="single"/>
            <w:lang w:val="en-US"/>
            <w14:ligatures w14:val="none"/>
          </w:rPr>
          <w:t>https://www.legislation.gov.uk/ukpga/Geo5/15-16/20/contents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B89610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UK Parliament, 2002. </w:t>
      </w:r>
      <w:r w:rsidRPr="0025784B">
        <w:rPr>
          <w:rFonts w:ascii="Times New Roman" w:eastAsia="Times New Roman" w:hAnsi="Times New Roman" w:cs="Times New Roman"/>
          <w:i/>
          <w:iCs/>
          <w:kern w:val="0"/>
          <w:sz w:val="24"/>
          <w:szCs w:val="24"/>
          <w:lang w:val="en-US"/>
          <w14:ligatures w14:val="none"/>
        </w:rPr>
        <w:t>Land Registration Act 2002</w:t>
      </w:r>
      <w:r w:rsidRPr="0025784B">
        <w:rPr>
          <w:rFonts w:ascii="Times New Roman" w:eastAsia="Times New Roman" w:hAnsi="Times New Roman" w:cs="Times New Roman"/>
          <w:kern w:val="0"/>
          <w:sz w:val="24"/>
          <w:szCs w:val="24"/>
          <w:lang w:val="en-US"/>
          <w14:ligatures w14:val="none"/>
        </w:rPr>
        <w:t xml:space="preserve">. [online] Legislation.gov.uk. Available at: </w:t>
      </w:r>
      <w:hyperlink r:id="rId33" w:tgtFrame="_blank" w:history="1">
        <w:r w:rsidRPr="0025784B">
          <w:rPr>
            <w:rFonts w:ascii="Calibri" w:eastAsia="Calibri" w:hAnsi="Calibri" w:cs="Times New Roman"/>
            <w:color w:val="0563C1"/>
            <w:kern w:val="0"/>
            <w:szCs w:val="24"/>
            <w:u w:val="single"/>
            <w:lang w:val="en-US"/>
            <w14:ligatures w14:val="none"/>
          </w:rPr>
          <w:t>https://www.legislation.gov.uk/ukpga/2002/9/contents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05C95F2"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Unbiased (2025) </w:t>
      </w:r>
      <w:r w:rsidRPr="0025784B">
        <w:rPr>
          <w:rFonts w:ascii="Times New Roman" w:eastAsia="Times New Roman" w:hAnsi="Times New Roman" w:cs="Times New Roman"/>
          <w:i/>
          <w:iCs/>
          <w:kern w:val="0"/>
          <w:sz w:val="24"/>
          <w:szCs w:val="24"/>
          <w:lang w:val="en-US"/>
          <w14:ligatures w14:val="none"/>
        </w:rPr>
        <w:t>Indemnity Insurance When Buying or Selling Property</w:t>
      </w:r>
      <w:r w:rsidRPr="0025784B">
        <w:rPr>
          <w:rFonts w:ascii="Times New Roman" w:eastAsia="Times New Roman" w:hAnsi="Times New Roman" w:cs="Times New Roman"/>
          <w:kern w:val="0"/>
          <w:sz w:val="24"/>
          <w:szCs w:val="24"/>
          <w:lang w:val="en-US"/>
          <w14:ligatures w14:val="none"/>
        </w:rPr>
        <w:t xml:space="preserve">. Available at: </w:t>
      </w:r>
      <w:hyperlink r:id="rId34" w:tgtFrame="_blank" w:history="1">
        <w:r w:rsidRPr="0025784B">
          <w:rPr>
            <w:rFonts w:ascii="Calibri" w:eastAsia="Calibri" w:hAnsi="Calibri" w:cs="Times New Roman"/>
            <w:color w:val="0563C1"/>
            <w:kern w:val="0"/>
            <w:szCs w:val="24"/>
            <w:u w:val="single"/>
            <w:lang w:val="en-US"/>
            <w14:ligatures w14:val="none"/>
          </w:rPr>
          <w:t>https://www.unbiased.co.uk/discover/mortgages-property/ownership-improvements/indemnity-insurance-when-buying-or-selling-property</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5AF15288"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Wild, M., 2022. Covenants-good or bad? The use of covenants in residential housing development and the potential impacts for future land use: A dissertation submitted in partial fulfilment of the requirements for the Degree of Master at Lincoln University.</w:t>
      </w:r>
    </w:p>
    <w:p w14:paraId="7F95C9ED" w14:textId="77777777" w:rsidR="0025784B" w:rsidRPr="005E7420" w:rsidRDefault="0025784B" w:rsidP="005E7420">
      <w:pPr>
        <w:spacing w:after="240" w:line="360" w:lineRule="auto"/>
        <w:rPr>
          <w:rFonts w:ascii="Times New Roman" w:eastAsia="Times New Roman" w:hAnsi="Times New Roman" w:cs="Times New Roman"/>
          <w:kern w:val="0"/>
          <w:sz w:val="24"/>
          <w:szCs w:val="24"/>
          <w:lang w:val="en-US" w:eastAsia="en-GB"/>
          <w14:ligatures w14:val="none"/>
        </w:rPr>
      </w:pPr>
    </w:p>
    <w:sectPr w:rsidR="0025784B" w:rsidRPr="005E74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62175"/>
    <w:multiLevelType w:val="multilevel"/>
    <w:tmpl w:val="79E49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2271C"/>
    <w:multiLevelType w:val="multilevel"/>
    <w:tmpl w:val="3A08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22495"/>
    <w:multiLevelType w:val="multilevel"/>
    <w:tmpl w:val="21A87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6839869">
    <w:abstractNumId w:val="0"/>
  </w:num>
  <w:num w:numId="2" w16cid:durableId="1556769601">
    <w:abstractNumId w:val="2"/>
  </w:num>
  <w:num w:numId="3" w16cid:durableId="1545016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11AC"/>
    <w:rsid w:val="001554AF"/>
    <w:rsid w:val="0025784B"/>
    <w:rsid w:val="00346198"/>
    <w:rsid w:val="00361289"/>
    <w:rsid w:val="004A5F24"/>
    <w:rsid w:val="005B402F"/>
    <w:rsid w:val="005C0812"/>
    <w:rsid w:val="005E7420"/>
    <w:rsid w:val="0062397A"/>
    <w:rsid w:val="006328CD"/>
    <w:rsid w:val="00695177"/>
    <w:rsid w:val="007E5A80"/>
    <w:rsid w:val="00806A52"/>
    <w:rsid w:val="00845E68"/>
    <w:rsid w:val="009072B5"/>
    <w:rsid w:val="009B3BC8"/>
    <w:rsid w:val="00A711AC"/>
    <w:rsid w:val="00C03EC8"/>
    <w:rsid w:val="00CB39EF"/>
    <w:rsid w:val="00CF6B14"/>
    <w:rsid w:val="00D434B2"/>
    <w:rsid w:val="00DE35C2"/>
    <w:rsid w:val="00E23D4C"/>
    <w:rsid w:val="00E92EF0"/>
    <w:rsid w:val="00EF3862"/>
    <w:rsid w:val="00F00CFB"/>
    <w:rsid w:val="00F01407"/>
    <w:rsid w:val="00FE0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80570"/>
  <w15:chartTrackingRefBased/>
  <w15:docId w15:val="{4438A3C6-5031-4282-87ED-FA1158E5E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1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1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1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1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1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1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1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1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1AC"/>
    <w:rPr>
      <w:rFonts w:eastAsiaTheme="majorEastAsia" w:cstheme="majorBidi"/>
      <w:color w:val="272727" w:themeColor="text1" w:themeTint="D8"/>
    </w:rPr>
  </w:style>
  <w:style w:type="paragraph" w:styleId="Title">
    <w:name w:val="Title"/>
    <w:basedOn w:val="Normal"/>
    <w:next w:val="Normal"/>
    <w:link w:val="TitleChar"/>
    <w:uiPriority w:val="10"/>
    <w:qFormat/>
    <w:rsid w:val="00A71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1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1AC"/>
    <w:pPr>
      <w:spacing w:before="160"/>
      <w:jc w:val="center"/>
    </w:pPr>
    <w:rPr>
      <w:i/>
      <w:iCs/>
      <w:color w:val="404040" w:themeColor="text1" w:themeTint="BF"/>
    </w:rPr>
  </w:style>
  <w:style w:type="character" w:customStyle="1" w:styleId="QuoteChar">
    <w:name w:val="Quote Char"/>
    <w:basedOn w:val="DefaultParagraphFont"/>
    <w:link w:val="Quote"/>
    <w:uiPriority w:val="29"/>
    <w:rsid w:val="00A711AC"/>
    <w:rPr>
      <w:i/>
      <w:iCs/>
      <w:color w:val="404040" w:themeColor="text1" w:themeTint="BF"/>
    </w:rPr>
  </w:style>
  <w:style w:type="paragraph" w:styleId="ListParagraph">
    <w:name w:val="List Paragraph"/>
    <w:basedOn w:val="Normal"/>
    <w:uiPriority w:val="34"/>
    <w:qFormat/>
    <w:rsid w:val="00A711AC"/>
    <w:pPr>
      <w:ind w:left="720"/>
      <w:contextualSpacing/>
    </w:pPr>
  </w:style>
  <w:style w:type="character" w:styleId="IntenseEmphasis">
    <w:name w:val="Intense Emphasis"/>
    <w:basedOn w:val="DefaultParagraphFont"/>
    <w:uiPriority w:val="21"/>
    <w:qFormat/>
    <w:rsid w:val="00A711AC"/>
    <w:rPr>
      <w:i/>
      <w:iCs/>
      <w:color w:val="0F4761" w:themeColor="accent1" w:themeShade="BF"/>
    </w:rPr>
  </w:style>
  <w:style w:type="paragraph" w:styleId="IntenseQuote">
    <w:name w:val="Intense Quote"/>
    <w:basedOn w:val="Normal"/>
    <w:next w:val="Normal"/>
    <w:link w:val="IntenseQuoteChar"/>
    <w:uiPriority w:val="30"/>
    <w:qFormat/>
    <w:rsid w:val="00A71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1AC"/>
    <w:rPr>
      <w:i/>
      <w:iCs/>
      <w:color w:val="0F4761" w:themeColor="accent1" w:themeShade="BF"/>
    </w:rPr>
  </w:style>
  <w:style w:type="character" w:styleId="IntenseReference">
    <w:name w:val="Intense Reference"/>
    <w:basedOn w:val="DefaultParagraphFont"/>
    <w:uiPriority w:val="32"/>
    <w:qFormat/>
    <w:rsid w:val="00A711AC"/>
    <w:rPr>
      <w:b/>
      <w:bCs/>
      <w:smallCaps/>
      <w:color w:val="0F4761" w:themeColor="accent1" w:themeShade="BF"/>
      <w:spacing w:val="5"/>
    </w:rPr>
  </w:style>
  <w:style w:type="table" w:styleId="TableGrid">
    <w:name w:val="Table Grid"/>
    <w:basedOn w:val="TableNormal"/>
    <w:uiPriority w:val="39"/>
    <w:rsid w:val="005E7420"/>
    <w:pPr>
      <w:spacing w:after="0" w:line="240" w:lineRule="auto"/>
    </w:pPr>
    <w:rPr>
      <w:rFonts w:ascii="Times New Roman" w:eastAsia="Times New Roman"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987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a.org.uk/advice/guides-for-homeowners/i-am-buying/what-is-indemnity-insurance/" TargetMode="External"/><Relationship Id="rId18" Type="http://schemas.openxmlformats.org/officeDocument/2006/relationships/hyperlink" Target="https://www.gov.uk/government/publications/easements/practice-guide-62-easements" TargetMode="External"/><Relationship Id="rId26" Type="http://schemas.openxmlformats.org/officeDocument/2006/relationships/hyperlink" Target="https://parissmith.co.uk/blog/enforcement-of-positive-covenants/" TargetMode="External"/><Relationship Id="rId3" Type="http://schemas.openxmlformats.org/officeDocument/2006/relationships/settings" Target="settings.xml"/><Relationship Id="rId21" Type="http://schemas.openxmlformats.org/officeDocument/2006/relationships/hyperlink" Target="https://www.lindsaytaylorlawyers.com.au/in_focus/do-positive-covenants-run-with-the-land/" TargetMode="External"/><Relationship Id="rId34" Type="http://schemas.openxmlformats.org/officeDocument/2006/relationships/hyperlink" Target="https://www.unbiased.co.uk/discover/mortgages-property/ownership-improvements/indemnity-insurance-when-buying-or-selling-property" TargetMode="External"/><Relationship Id="rId7" Type="http://schemas.openxmlformats.org/officeDocument/2006/relationships/hyperlink" Target="https://www.ashtonslegal.co.uk/insights/legal-news/restrictive-covenants-affecting-land/" TargetMode="External"/><Relationship Id="rId12" Type="http://schemas.openxmlformats.org/officeDocument/2006/relationships/hyperlink" Target="https://www.gov.uk/vat-rates" TargetMode="External"/><Relationship Id="rId17" Type="http://schemas.openxmlformats.org/officeDocument/2006/relationships/hyperlink" Target="https://www.land-registry-documents.co.uk/news-blog/covenantswhat-you-need-to-know-about/" TargetMode="External"/><Relationship Id="rId25" Type="http://schemas.openxmlformats.org/officeDocument/2006/relationships/hyperlink" Target="https://parissmith.co.uk/blog/enforcement-of-positive-covenants/" TargetMode="External"/><Relationship Id="rId33" Type="http://schemas.openxmlformats.org/officeDocument/2006/relationships/hyperlink" Target="https://www.legislation.gov.uk/ukpga/2002/9/contents" TargetMode="External"/><Relationship Id="rId2" Type="http://schemas.openxmlformats.org/officeDocument/2006/relationships/styles" Target="styles.xml"/><Relationship Id="rId16" Type="http://schemas.openxmlformats.org/officeDocument/2006/relationships/hyperlink" Target="https://www.land-registry-documents.co.uk/news-blog/covenantswhat-you-need-to-know-about/" TargetMode="External"/><Relationship Id="rId20" Type="http://schemas.openxmlformats.org/officeDocument/2006/relationships/hyperlink" Target="https://www.lexisnexis.co.uk/legal/guidance/where-a-positive-covenant-is-not-expressed-to-benefit-any-land-is-it-a-personal-covenant-with-the-other" TargetMode="External"/><Relationship Id="rId29" Type="http://schemas.openxmlformats.org/officeDocument/2006/relationships/hyperlink" Target="https://targetjobs.co.uk/careers-advice/law/top-skills-you-need-be-solicitor" TargetMode="External"/><Relationship Id="rId1" Type="http://schemas.openxmlformats.org/officeDocument/2006/relationships/numbering" Target="numbering.xml"/><Relationship Id="rId6" Type="http://schemas.openxmlformats.org/officeDocument/2006/relationships/hyperlink" Target="https://asb.org.uk/property/05/2023/conveyancing-documentation-all-you-need-to-know/7660/" TargetMode="External"/><Relationship Id="rId11" Type="http://schemas.openxmlformats.org/officeDocument/2006/relationships/hyperlink" Target="https://www.gov.uk/guidance/hm-land-registry-registration-services-fees" TargetMode="External"/><Relationship Id="rId24" Type="http://schemas.openxmlformats.org/officeDocument/2006/relationships/hyperlink" Target="https://osborneslaw.com/blog/positive-covenants-and-successors-in-title/" TargetMode="External"/><Relationship Id="rId32" Type="http://schemas.openxmlformats.org/officeDocument/2006/relationships/hyperlink" Target="https://www.legislation.gov.uk/ukpga/Geo5/15-16/20/contents" TargetMode="External"/><Relationship Id="rId5" Type="http://schemas.openxmlformats.org/officeDocument/2006/relationships/image" Target="media/image1.png"/><Relationship Id="rId15" Type="http://schemas.openxmlformats.org/officeDocument/2006/relationships/hyperlink" Target="https://www.gov.uk/government/publications/easements/practice-guide-62-easements" TargetMode="External"/><Relationship Id="rId23" Type="http://schemas.openxmlformats.org/officeDocument/2006/relationships/hyperlink" Target="https://www.netlawman.co.uk/ia/covenants-property" TargetMode="External"/><Relationship Id="rId28" Type="http://schemas.openxmlformats.org/officeDocument/2006/relationships/hyperlink" Target="https://www.sra.org.uk/become-solicitor/legal-practice-course-route/professional-skills-course/professional-skills-course-information-pack/" TargetMode="External"/><Relationship Id="rId36" Type="http://schemas.openxmlformats.org/officeDocument/2006/relationships/theme" Target="theme/theme1.xml"/><Relationship Id="rId10" Type="http://schemas.openxmlformats.org/officeDocument/2006/relationships/hyperlink" Target="https://www.bailii.org/ew/cases/EWHC/QB/1881/1.html" TargetMode="External"/><Relationship Id="rId19" Type="http://schemas.openxmlformats.org/officeDocument/2006/relationships/hyperlink" Target="https://www.lexisnexis.co.uk/legal/property-law/easements-rights-covenants/positive-covenants" TargetMode="External"/><Relationship Id="rId31" Type="http://schemas.openxmlformats.org/officeDocument/2006/relationships/hyperlink" Target="https://www.bailii.org/ew/cases/EWHC/Ch/1848/J90.html" TargetMode="External"/><Relationship Id="rId4" Type="http://schemas.openxmlformats.org/officeDocument/2006/relationships/webSettings" Target="webSettings.xml"/><Relationship Id="rId9" Type="http://schemas.openxmlformats.org/officeDocument/2006/relationships/hyperlink" Target="https://www.bailii.org/ew/cases/EWCA/Civ/1957/6.html" TargetMode="External"/><Relationship Id="rId14" Type="http://schemas.openxmlformats.org/officeDocument/2006/relationships/hyperlink" Target="https://www.kslaw.co.uk/site/planning-law/your-planning-project/covenants-on-title/" TargetMode="External"/><Relationship Id="rId22" Type="http://schemas.openxmlformats.org/officeDocument/2006/relationships/hyperlink" Target="https://www.michelmores.com/services/property/easements" TargetMode="External"/><Relationship Id="rId27" Type="http://schemas.openxmlformats.org/officeDocument/2006/relationships/hyperlink" Target="https://www.rightmove.co.uk/house-prices/swansea.html" TargetMode="External"/><Relationship Id="rId30" Type="http://schemas.openxmlformats.org/officeDocument/2006/relationships/hyperlink" Target="https://traineesolicitorsurgery.co.uk/key-skills-attributes-needed-trainee-solicitor/" TargetMode="External"/><Relationship Id="rId35" Type="http://schemas.openxmlformats.org/officeDocument/2006/relationships/fontTable" Target="fontTable.xml"/><Relationship Id="rId8" Type="http://schemas.openxmlformats.org/officeDocument/2006/relationships/hyperlink" Target="https://emlaw.co.uk/commercial-property-law/positive-covenants-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17</Pages>
  <Words>3890</Words>
  <Characters>22177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 (2024671)</dc:creator>
  <cp:keywords/>
  <dc:description/>
  <cp:lastModifiedBy>Mihaela Gavrila (2024671)</cp:lastModifiedBy>
  <cp:revision>4</cp:revision>
  <dcterms:created xsi:type="dcterms:W3CDTF">2025-03-07T11:17:00Z</dcterms:created>
  <dcterms:modified xsi:type="dcterms:W3CDTF">2025-03-07T19:02:00Z</dcterms:modified>
</cp:coreProperties>
</file>