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D1198" w:rsidRDefault="00CD1198">
      <w:pPr>
        <w:pStyle w:val="Header"/>
        <w:jc w:val="center"/>
        <w:rPr>
          <w:b/>
          <w:sz w:val="44"/>
          <w:szCs w:val="44"/>
        </w:rPr>
      </w:pPr>
      <w:bookmarkStart w:id="0" w:name="_GoBack"/>
      <w:bookmarkEnd w:id="0"/>
      <w:r>
        <w:rPr>
          <w:b/>
          <w:sz w:val="44"/>
          <w:szCs w:val="44"/>
        </w:rPr>
        <w:t>Stakeholder Analysis</w:t>
      </w:r>
    </w:p>
    <w:p w:rsidR="002215CE" w:rsidRDefault="002215CE">
      <w:pPr>
        <w:pStyle w:val="Header"/>
        <w:jc w:val="center"/>
        <w:rPr>
          <w:b/>
          <w:sz w:val="44"/>
          <w:szCs w:val="44"/>
        </w:rPr>
      </w:pPr>
    </w:p>
    <w:p w:rsidR="002215CE" w:rsidRDefault="002215CE">
      <w:pPr>
        <w:pStyle w:val="Header"/>
        <w:jc w:val="center"/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828"/>
        <w:gridCol w:w="1831"/>
        <w:gridCol w:w="1101"/>
        <w:gridCol w:w="2514"/>
        <w:gridCol w:w="2514"/>
        <w:gridCol w:w="2550"/>
        <w:gridCol w:w="1836"/>
      </w:tblGrid>
      <w:tr w:rsidR="00CD1198">
        <w:trPr>
          <w:trHeight w:val="874"/>
        </w:trPr>
        <w:tc>
          <w:tcPr>
            <w:tcW w:w="1828" w:type="dxa"/>
            <w:shd w:val="clear" w:color="auto" w:fill="808080"/>
          </w:tcPr>
          <w:p w:rsidR="00CD1198" w:rsidRDefault="00CD1198">
            <w:pPr>
              <w:spacing w:before="120" w:after="100" w:afterAutospacing="1"/>
              <w:jc w:val="center"/>
              <w:rPr>
                <w:b/>
                <w:bCs/>
                <w:color w:val="FFFFFF"/>
              </w:rPr>
            </w:pPr>
            <w:r>
              <w:rPr>
                <w:b/>
                <w:bCs/>
                <w:color w:val="FFFFFF"/>
              </w:rPr>
              <w:t>Stakeholder</w:t>
            </w:r>
          </w:p>
        </w:tc>
        <w:tc>
          <w:tcPr>
            <w:tcW w:w="1831" w:type="dxa"/>
            <w:shd w:val="clear" w:color="auto" w:fill="808080"/>
          </w:tcPr>
          <w:p w:rsidR="00CD1198" w:rsidRDefault="00CD1198">
            <w:pPr>
              <w:spacing w:before="120" w:after="100" w:afterAutospacing="1"/>
              <w:jc w:val="center"/>
              <w:rPr>
                <w:b/>
                <w:bCs/>
                <w:color w:val="FFFFFF"/>
              </w:rPr>
            </w:pPr>
            <w:r>
              <w:rPr>
                <w:b/>
                <w:bCs/>
                <w:color w:val="FFFFFF"/>
              </w:rPr>
              <w:t>Stake in the project</w:t>
            </w:r>
          </w:p>
        </w:tc>
        <w:tc>
          <w:tcPr>
            <w:tcW w:w="1101" w:type="dxa"/>
            <w:shd w:val="clear" w:color="auto" w:fill="808080"/>
          </w:tcPr>
          <w:p w:rsidR="00CD1198" w:rsidRDefault="00CD1198">
            <w:pPr>
              <w:spacing w:before="120" w:after="100" w:afterAutospacing="1"/>
              <w:jc w:val="center"/>
              <w:rPr>
                <w:b/>
                <w:bCs/>
                <w:color w:val="FFFFFF"/>
              </w:rPr>
            </w:pPr>
            <w:r>
              <w:rPr>
                <w:b/>
                <w:bCs/>
                <w:color w:val="FFFFFF"/>
              </w:rPr>
              <w:t>Potential impact on Project</w:t>
            </w:r>
          </w:p>
        </w:tc>
        <w:tc>
          <w:tcPr>
            <w:tcW w:w="2514" w:type="dxa"/>
            <w:shd w:val="clear" w:color="auto" w:fill="808080"/>
          </w:tcPr>
          <w:p w:rsidR="00CD1198" w:rsidRDefault="00D315F5">
            <w:pPr>
              <w:spacing w:before="120" w:after="100" w:afterAutospacing="1"/>
              <w:jc w:val="center"/>
              <w:rPr>
                <w:b/>
                <w:bCs/>
                <w:color w:val="FFFFFF"/>
              </w:rPr>
            </w:pPr>
            <w:r>
              <w:rPr>
                <w:b/>
                <w:color w:val="FFFFFF"/>
              </w:rPr>
              <w:t>Expectations of the stakeholder</w:t>
            </w:r>
          </w:p>
        </w:tc>
        <w:tc>
          <w:tcPr>
            <w:tcW w:w="2514" w:type="dxa"/>
            <w:shd w:val="clear" w:color="auto" w:fill="808080"/>
          </w:tcPr>
          <w:p w:rsidR="00CD1198" w:rsidRDefault="00CD1198">
            <w:pPr>
              <w:spacing w:before="120" w:after="100" w:afterAutospacing="1"/>
              <w:jc w:val="center"/>
              <w:rPr>
                <w:b/>
                <w:bCs/>
                <w:color w:val="FFFFFF"/>
              </w:rPr>
            </w:pPr>
            <w:r>
              <w:rPr>
                <w:b/>
                <w:color w:val="FFFFFF"/>
              </w:rPr>
              <w:t>Perceived attitudes and/or risks</w:t>
            </w:r>
          </w:p>
        </w:tc>
        <w:tc>
          <w:tcPr>
            <w:tcW w:w="2550" w:type="dxa"/>
            <w:shd w:val="clear" w:color="auto" w:fill="808080"/>
          </w:tcPr>
          <w:p w:rsidR="00CD1198" w:rsidRDefault="00CD1198">
            <w:pPr>
              <w:spacing w:before="120" w:after="100" w:afterAutospacing="1"/>
              <w:jc w:val="center"/>
              <w:rPr>
                <w:b/>
                <w:bCs/>
                <w:color w:val="FFFFFF"/>
              </w:rPr>
            </w:pPr>
            <w:r>
              <w:rPr>
                <w:b/>
                <w:bCs/>
                <w:color w:val="FFFFFF"/>
              </w:rPr>
              <w:t>Stakeholder Management Strategy</w:t>
            </w:r>
          </w:p>
        </w:tc>
        <w:tc>
          <w:tcPr>
            <w:tcW w:w="1836" w:type="dxa"/>
            <w:shd w:val="clear" w:color="auto" w:fill="808080"/>
          </w:tcPr>
          <w:p w:rsidR="00CD1198" w:rsidRDefault="00CD1198">
            <w:pPr>
              <w:spacing w:before="120" w:after="100" w:afterAutospacing="1"/>
              <w:jc w:val="center"/>
              <w:rPr>
                <w:b/>
                <w:bCs/>
                <w:color w:val="FFFFFF"/>
              </w:rPr>
            </w:pPr>
            <w:r>
              <w:rPr>
                <w:b/>
                <w:bCs/>
                <w:color w:val="FFFFFF"/>
              </w:rPr>
              <w:t>Responsibility</w:t>
            </w:r>
          </w:p>
        </w:tc>
      </w:tr>
      <w:tr w:rsidR="00CD1198">
        <w:tc>
          <w:tcPr>
            <w:tcW w:w="1828" w:type="dxa"/>
          </w:tcPr>
          <w:p w:rsidR="00CD1198" w:rsidRDefault="00CD1198">
            <w:pPr>
              <w:spacing w:before="120" w:after="120"/>
              <w:rPr>
                <w:color w:val="3366FF"/>
              </w:rPr>
            </w:pPr>
          </w:p>
          <w:p w:rsidR="002215CE" w:rsidRDefault="002215CE">
            <w:pPr>
              <w:spacing w:before="120" w:after="120"/>
              <w:rPr>
                <w:color w:val="3366FF"/>
              </w:rPr>
            </w:pPr>
          </w:p>
          <w:p w:rsidR="002215CE" w:rsidRDefault="002215CE">
            <w:pPr>
              <w:spacing w:before="120" w:after="120"/>
              <w:rPr>
                <w:color w:val="3366FF"/>
              </w:rPr>
            </w:pPr>
          </w:p>
          <w:p w:rsidR="002215CE" w:rsidRDefault="002215CE">
            <w:pPr>
              <w:spacing w:before="120" w:after="120"/>
              <w:rPr>
                <w:color w:val="3366FF"/>
              </w:rPr>
            </w:pPr>
          </w:p>
        </w:tc>
        <w:tc>
          <w:tcPr>
            <w:tcW w:w="1831" w:type="dxa"/>
          </w:tcPr>
          <w:p w:rsidR="00CD1198" w:rsidRDefault="00CD1198">
            <w:pPr>
              <w:pStyle w:val="EndnoteText"/>
              <w:spacing w:before="120" w:after="120"/>
              <w:rPr>
                <w:color w:val="3366FF"/>
              </w:rPr>
            </w:pPr>
          </w:p>
        </w:tc>
        <w:tc>
          <w:tcPr>
            <w:tcW w:w="1101" w:type="dxa"/>
          </w:tcPr>
          <w:p w:rsidR="00CD1198" w:rsidRDefault="00CD1198">
            <w:pPr>
              <w:spacing w:before="120" w:after="120"/>
              <w:rPr>
                <w:color w:val="3366FF"/>
              </w:rPr>
            </w:pPr>
          </w:p>
        </w:tc>
        <w:tc>
          <w:tcPr>
            <w:tcW w:w="2514" w:type="dxa"/>
          </w:tcPr>
          <w:p w:rsidR="00CD1198" w:rsidRDefault="00CD1198">
            <w:pPr>
              <w:spacing w:before="120" w:after="120"/>
              <w:rPr>
                <w:color w:val="3366FF"/>
              </w:rPr>
            </w:pPr>
          </w:p>
        </w:tc>
        <w:tc>
          <w:tcPr>
            <w:tcW w:w="2514" w:type="dxa"/>
          </w:tcPr>
          <w:p w:rsidR="00CD1198" w:rsidRDefault="00CD1198">
            <w:pPr>
              <w:spacing w:before="120" w:after="120"/>
              <w:rPr>
                <w:color w:val="3366FF"/>
              </w:rPr>
            </w:pPr>
          </w:p>
        </w:tc>
        <w:tc>
          <w:tcPr>
            <w:tcW w:w="2550" w:type="dxa"/>
          </w:tcPr>
          <w:p w:rsidR="00CD1198" w:rsidRDefault="00CD1198">
            <w:pPr>
              <w:spacing w:before="120" w:after="120"/>
              <w:rPr>
                <w:color w:val="3366FF"/>
              </w:rPr>
            </w:pPr>
          </w:p>
        </w:tc>
        <w:tc>
          <w:tcPr>
            <w:tcW w:w="1836" w:type="dxa"/>
          </w:tcPr>
          <w:p w:rsidR="00CD1198" w:rsidRDefault="00CD1198">
            <w:pPr>
              <w:spacing w:before="120" w:after="120"/>
              <w:rPr>
                <w:color w:val="3366FF"/>
              </w:rPr>
            </w:pPr>
          </w:p>
        </w:tc>
      </w:tr>
      <w:tr w:rsidR="00CD1198">
        <w:tc>
          <w:tcPr>
            <w:tcW w:w="1828" w:type="dxa"/>
          </w:tcPr>
          <w:p w:rsidR="00CD1198" w:rsidRDefault="00CD1198">
            <w:pPr>
              <w:spacing w:before="120" w:after="120"/>
              <w:rPr>
                <w:color w:val="3366FF"/>
              </w:rPr>
            </w:pPr>
          </w:p>
          <w:p w:rsidR="002215CE" w:rsidRDefault="002215CE">
            <w:pPr>
              <w:spacing w:before="120" w:after="120"/>
              <w:rPr>
                <w:color w:val="3366FF"/>
              </w:rPr>
            </w:pPr>
          </w:p>
          <w:p w:rsidR="002215CE" w:rsidRDefault="002215CE">
            <w:pPr>
              <w:spacing w:before="120" w:after="120"/>
              <w:rPr>
                <w:color w:val="3366FF"/>
              </w:rPr>
            </w:pPr>
          </w:p>
          <w:p w:rsidR="002215CE" w:rsidRDefault="002215CE">
            <w:pPr>
              <w:spacing w:before="120" w:after="120"/>
              <w:rPr>
                <w:color w:val="3366FF"/>
              </w:rPr>
            </w:pPr>
          </w:p>
        </w:tc>
        <w:tc>
          <w:tcPr>
            <w:tcW w:w="1831" w:type="dxa"/>
          </w:tcPr>
          <w:p w:rsidR="00CD1198" w:rsidRDefault="00CD1198">
            <w:pPr>
              <w:spacing w:before="120" w:after="120"/>
              <w:rPr>
                <w:color w:val="3366FF"/>
              </w:rPr>
            </w:pPr>
          </w:p>
        </w:tc>
        <w:tc>
          <w:tcPr>
            <w:tcW w:w="1101" w:type="dxa"/>
          </w:tcPr>
          <w:p w:rsidR="00CD1198" w:rsidRDefault="00CD1198">
            <w:pPr>
              <w:spacing w:before="120" w:after="120"/>
              <w:rPr>
                <w:color w:val="3366FF"/>
              </w:rPr>
            </w:pPr>
          </w:p>
        </w:tc>
        <w:tc>
          <w:tcPr>
            <w:tcW w:w="2514" w:type="dxa"/>
          </w:tcPr>
          <w:p w:rsidR="00CD1198" w:rsidRDefault="00CD1198">
            <w:pPr>
              <w:spacing w:before="120" w:after="120"/>
              <w:rPr>
                <w:color w:val="3366FF"/>
              </w:rPr>
            </w:pPr>
            <w:r>
              <w:rPr>
                <w:color w:val="3366FF"/>
              </w:rPr>
              <w:t>.</w:t>
            </w:r>
          </w:p>
        </w:tc>
        <w:tc>
          <w:tcPr>
            <w:tcW w:w="2514" w:type="dxa"/>
          </w:tcPr>
          <w:p w:rsidR="00CD1198" w:rsidRDefault="00CD1198">
            <w:pPr>
              <w:spacing w:before="120" w:after="120"/>
              <w:rPr>
                <w:color w:val="3366FF"/>
              </w:rPr>
            </w:pPr>
            <w:r>
              <w:rPr>
                <w:color w:val="3366FF"/>
              </w:rPr>
              <w:t>.</w:t>
            </w:r>
          </w:p>
        </w:tc>
        <w:tc>
          <w:tcPr>
            <w:tcW w:w="2550" w:type="dxa"/>
          </w:tcPr>
          <w:p w:rsidR="00CD1198" w:rsidRDefault="00CD1198">
            <w:pPr>
              <w:spacing w:before="120" w:after="120"/>
              <w:rPr>
                <w:color w:val="3366FF"/>
              </w:rPr>
            </w:pPr>
          </w:p>
        </w:tc>
        <w:tc>
          <w:tcPr>
            <w:tcW w:w="1836" w:type="dxa"/>
          </w:tcPr>
          <w:p w:rsidR="00CD1198" w:rsidRDefault="00CD1198">
            <w:pPr>
              <w:pStyle w:val="EndnoteText"/>
              <w:spacing w:before="120" w:after="120"/>
              <w:rPr>
                <w:color w:val="3366FF"/>
              </w:rPr>
            </w:pPr>
          </w:p>
        </w:tc>
      </w:tr>
      <w:tr w:rsidR="00CD1198">
        <w:tc>
          <w:tcPr>
            <w:tcW w:w="1828" w:type="dxa"/>
          </w:tcPr>
          <w:p w:rsidR="00CD1198" w:rsidRDefault="00CD1198">
            <w:pPr>
              <w:spacing w:before="120" w:after="120"/>
              <w:rPr>
                <w:color w:val="3366FF"/>
              </w:rPr>
            </w:pPr>
          </w:p>
          <w:p w:rsidR="002215CE" w:rsidRDefault="002215CE">
            <w:pPr>
              <w:spacing w:before="120" w:after="120"/>
              <w:rPr>
                <w:color w:val="3366FF"/>
              </w:rPr>
            </w:pPr>
          </w:p>
          <w:p w:rsidR="002215CE" w:rsidRDefault="002215CE">
            <w:pPr>
              <w:spacing w:before="120" w:after="120"/>
              <w:rPr>
                <w:color w:val="3366FF"/>
              </w:rPr>
            </w:pPr>
          </w:p>
          <w:p w:rsidR="002215CE" w:rsidRDefault="002215CE">
            <w:pPr>
              <w:spacing w:before="120" w:after="120"/>
              <w:rPr>
                <w:color w:val="3366FF"/>
              </w:rPr>
            </w:pPr>
          </w:p>
        </w:tc>
        <w:tc>
          <w:tcPr>
            <w:tcW w:w="1831" w:type="dxa"/>
          </w:tcPr>
          <w:p w:rsidR="00CD1198" w:rsidRDefault="00CD1198">
            <w:pPr>
              <w:spacing w:before="120" w:after="120"/>
              <w:rPr>
                <w:color w:val="3366FF"/>
              </w:rPr>
            </w:pPr>
          </w:p>
        </w:tc>
        <w:tc>
          <w:tcPr>
            <w:tcW w:w="1101" w:type="dxa"/>
          </w:tcPr>
          <w:p w:rsidR="00CD1198" w:rsidRDefault="00CD1198">
            <w:pPr>
              <w:spacing w:before="120" w:after="120"/>
              <w:rPr>
                <w:color w:val="3366FF"/>
              </w:rPr>
            </w:pPr>
          </w:p>
        </w:tc>
        <w:tc>
          <w:tcPr>
            <w:tcW w:w="2514" w:type="dxa"/>
          </w:tcPr>
          <w:p w:rsidR="00CD1198" w:rsidRDefault="00CD1198">
            <w:pPr>
              <w:spacing w:before="120" w:after="120"/>
              <w:rPr>
                <w:color w:val="3366FF"/>
              </w:rPr>
            </w:pPr>
          </w:p>
        </w:tc>
        <w:tc>
          <w:tcPr>
            <w:tcW w:w="2514" w:type="dxa"/>
          </w:tcPr>
          <w:p w:rsidR="00CD1198" w:rsidRDefault="00CD1198">
            <w:pPr>
              <w:spacing w:before="120" w:after="120"/>
              <w:rPr>
                <w:color w:val="3366FF"/>
              </w:rPr>
            </w:pPr>
          </w:p>
        </w:tc>
        <w:tc>
          <w:tcPr>
            <w:tcW w:w="2550" w:type="dxa"/>
          </w:tcPr>
          <w:p w:rsidR="00CD1198" w:rsidRDefault="00CD1198" w:rsidP="002215CE">
            <w:pPr>
              <w:spacing w:before="120" w:after="120"/>
              <w:rPr>
                <w:color w:val="3366FF"/>
              </w:rPr>
            </w:pPr>
          </w:p>
        </w:tc>
        <w:tc>
          <w:tcPr>
            <w:tcW w:w="1836" w:type="dxa"/>
          </w:tcPr>
          <w:p w:rsidR="00CD1198" w:rsidRDefault="00CD1198">
            <w:pPr>
              <w:pStyle w:val="EndnoteText"/>
              <w:spacing w:before="120" w:after="120"/>
              <w:rPr>
                <w:color w:val="3366FF"/>
              </w:rPr>
            </w:pPr>
          </w:p>
        </w:tc>
      </w:tr>
      <w:tr w:rsidR="002215CE">
        <w:tc>
          <w:tcPr>
            <w:tcW w:w="1828" w:type="dxa"/>
          </w:tcPr>
          <w:p w:rsidR="002215CE" w:rsidRDefault="002215CE">
            <w:pPr>
              <w:spacing w:before="120" w:after="120"/>
              <w:rPr>
                <w:color w:val="3366FF"/>
              </w:rPr>
            </w:pPr>
          </w:p>
          <w:p w:rsidR="002215CE" w:rsidRDefault="002215CE">
            <w:pPr>
              <w:spacing w:before="120" w:after="120"/>
              <w:rPr>
                <w:color w:val="3366FF"/>
              </w:rPr>
            </w:pPr>
          </w:p>
          <w:p w:rsidR="002215CE" w:rsidRDefault="002215CE">
            <w:pPr>
              <w:spacing w:before="120" w:after="120"/>
              <w:rPr>
                <w:color w:val="3366FF"/>
              </w:rPr>
            </w:pPr>
          </w:p>
        </w:tc>
        <w:tc>
          <w:tcPr>
            <w:tcW w:w="1831" w:type="dxa"/>
          </w:tcPr>
          <w:p w:rsidR="002215CE" w:rsidRDefault="002215CE">
            <w:pPr>
              <w:spacing w:before="120" w:after="120"/>
              <w:rPr>
                <w:color w:val="3366FF"/>
              </w:rPr>
            </w:pPr>
          </w:p>
        </w:tc>
        <w:tc>
          <w:tcPr>
            <w:tcW w:w="1101" w:type="dxa"/>
          </w:tcPr>
          <w:p w:rsidR="002215CE" w:rsidRDefault="002215CE">
            <w:pPr>
              <w:spacing w:before="120" w:after="120"/>
              <w:rPr>
                <w:color w:val="3366FF"/>
              </w:rPr>
            </w:pPr>
          </w:p>
        </w:tc>
        <w:tc>
          <w:tcPr>
            <w:tcW w:w="2514" w:type="dxa"/>
          </w:tcPr>
          <w:p w:rsidR="002215CE" w:rsidRDefault="002215CE">
            <w:pPr>
              <w:spacing w:before="120" w:after="120"/>
              <w:rPr>
                <w:color w:val="3366FF"/>
              </w:rPr>
            </w:pPr>
          </w:p>
        </w:tc>
        <w:tc>
          <w:tcPr>
            <w:tcW w:w="2514" w:type="dxa"/>
          </w:tcPr>
          <w:p w:rsidR="002215CE" w:rsidRDefault="002215CE">
            <w:pPr>
              <w:spacing w:before="120" w:after="120"/>
              <w:rPr>
                <w:color w:val="3366FF"/>
              </w:rPr>
            </w:pPr>
          </w:p>
        </w:tc>
        <w:tc>
          <w:tcPr>
            <w:tcW w:w="2550" w:type="dxa"/>
          </w:tcPr>
          <w:p w:rsidR="002215CE" w:rsidRDefault="002215CE" w:rsidP="002215CE">
            <w:pPr>
              <w:spacing w:before="120" w:after="120"/>
              <w:rPr>
                <w:color w:val="3366FF"/>
              </w:rPr>
            </w:pPr>
          </w:p>
        </w:tc>
        <w:tc>
          <w:tcPr>
            <w:tcW w:w="1836" w:type="dxa"/>
          </w:tcPr>
          <w:p w:rsidR="002215CE" w:rsidRDefault="002215CE">
            <w:pPr>
              <w:pStyle w:val="EndnoteText"/>
              <w:spacing w:before="120" w:after="120"/>
              <w:rPr>
                <w:color w:val="3366FF"/>
              </w:rPr>
            </w:pPr>
          </w:p>
        </w:tc>
      </w:tr>
    </w:tbl>
    <w:p w:rsidR="00CD1198" w:rsidRDefault="00CD1198">
      <w:pPr>
        <w:spacing w:before="60" w:after="60"/>
        <w:rPr>
          <w:color w:val="3366FF"/>
        </w:rPr>
      </w:pPr>
    </w:p>
    <w:sectPr w:rsidR="00CD1198">
      <w:headerReference w:type="default" r:id="rId6"/>
      <w:pgSz w:w="16838" w:h="11906" w:orient="landscape"/>
      <w:pgMar w:top="1797" w:right="1440" w:bottom="179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9572C" w:rsidRDefault="00F9572C">
      <w:r>
        <w:separator/>
      </w:r>
    </w:p>
  </w:endnote>
  <w:endnote w:type="continuationSeparator" w:id="0">
    <w:p w:rsidR="00F9572C" w:rsidRDefault="00F957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9572C" w:rsidRDefault="00F9572C">
      <w:r>
        <w:separator/>
      </w:r>
    </w:p>
  </w:footnote>
  <w:footnote w:type="continuationSeparator" w:id="0">
    <w:p w:rsidR="00F9572C" w:rsidRDefault="00F9572C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D1198" w:rsidRDefault="00CD1198">
    <w:pPr>
      <w:pStyle w:val="Header"/>
      <w:jc w:val="center"/>
      <w:rPr>
        <w:b/>
        <w:sz w:val="44"/>
        <w:szCs w:val="44"/>
      </w:rPr>
    </w:pPr>
  </w:p>
  <w:p w:rsidR="00CD1198" w:rsidRDefault="00CD119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1198"/>
    <w:rsid w:val="002215CE"/>
    <w:rsid w:val="00786D20"/>
    <w:rsid w:val="009E297F"/>
    <w:rsid w:val="00CD1198"/>
    <w:rsid w:val="00D315F5"/>
    <w:rsid w:val="00F957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054BD27C-D2D8-49BC-B58D-E34F17B4FF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rFonts w:ascii="Arial" w:hAnsi="Ari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EndnoteText">
    <w:name w:val="endnote text"/>
    <w:basedOn w:val="Normal"/>
    <w:semiHidden/>
    <w:pPr>
      <w:widowControl w:val="0"/>
    </w:pPr>
    <w:rPr>
      <w:rFonts w:cs="Arial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36</Words>
  <Characters>207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Stakeholders Analysis template</vt:lpstr>
    </vt:vector>
  </TitlesOfParts>
  <Company>Northumbria University</Company>
  <LinksUpToDate>false</LinksUpToDate>
  <CharactersWithSpaces>242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Stakeholders Analysis template</dc:title>
  <dc:subject>Project Management infoKit</dc:subject>
  <dc:creator>JISC infoNet</dc:creator>
  <cp:lastModifiedBy>Julie Crossman</cp:lastModifiedBy>
  <cp:revision>2</cp:revision>
  <cp:lastPrinted>2003-06-20T11:11:00Z</cp:lastPrinted>
  <dcterms:created xsi:type="dcterms:W3CDTF">2018-02-12T11:55:00Z</dcterms:created>
  <dcterms:modified xsi:type="dcterms:W3CDTF">2018-02-12T11:55:00Z</dcterms:modified>
</cp:coreProperties>
</file>