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341C88" w:rsidRDefault="00341C88">
      <w:pPr>
        <w:pStyle w:val="NormalWeb"/>
        <w:jc w:val="center"/>
        <w:spacing w:before="0" w:beforeAutospacing="0" w:after="0" w:afterAutospacing="0"/>
      </w:pPr>
      <w:r>
        <w:rPr>
          <w:u w:val="single"/>
          <w:color w:val="000000"/>
          <w:rFonts w:ascii="Arial" w:cs="Arial" w:hAnsi="Arial"/>
        </w:rPr>
        <w:t>Education reflexive journal</w:t>
      </w:r>
    </w:p>
    <w:p w:rsidR="00341C88" w:rsidRDefault="00341C88" w:rsidP="00DC5050">
      <w:pPr>
        <w:spacing w:line="360" w:lineRule="auto"/>
        <w:rPr>
          <w:rFonts w:eastAsia="Times New Roman"/>
        </w:rPr>
      </w:pPr>
    </w:p>
    <w:p w:rsidR="00341C88" w:rsidRDefault="00341C88" w:rsidP="00DC5050">
      <w:pPr>
        <w:pStyle w:val="NormalWeb"/>
        <w:spacing w:before="0" w:beforeAutospacing="0" w:after="0" w:afterAutospacing="0" w:line="360" w:lineRule="auto"/>
      </w:pPr>
      <w:r>
        <w:rPr>
          <w:color w:val="000000"/>
          <w:rFonts w:ascii="Arial" w:cs="Arial" w:hAnsi="Arial"/>
          <w:sz w:val="22"/>
          <w:szCs w:val="22"/>
        </w:rPr>
        <w:t>In this module we have been working on a mock children’s rights court case. In order to “make my experiences, opinions, thoughts and feelings visible and an acknowledged part” (Ortlipp, 2008, P.695) of the process during the case I am going to write a reflexive journal. Reflexive journals allow professionals to be more aware of the “baggage” (opinions, emotions, prestige) that they bring with them in their work. For this project it means that we can be aware of our learning processes and any biases we might have, which might help us to avoid this “baggage” having an effect on our work. In one of the key texts that we worked with for this module, “The Children Act” by Ian McEwan, the main character makes decisions that overstep her professional boundaries because she tries to ignore her emotions by just “going about her business” (2015, P.31) instead of reflecting on them. This seems to me like evidence that being reflexive in our work can make us better professionals.  </w:t>
      </w:r>
    </w:p>
    <w:p w:rsidR="00341C88" w:rsidRDefault="00341C88">
      <w:pPr>
        <w:rPr>
          <w:rFonts w:eastAsia="Times New Roman"/>
        </w:rPr>
      </w:pPr>
    </w:p>
    <w:p w:rsidR="00341C88" w:rsidRDefault="00341C88" w:rsidP="00DC5050">
      <w:pPr>
        <w:pStyle w:val="NormalWeb"/>
        <w:spacing w:before="0" w:beforeAutospacing="0" w:after="0" w:afterAutospacing="0" w:line="360" w:lineRule="auto"/>
      </w:pPr>
      <w:r>
        <w:rPr>
          <w:bCs/>
          <w:b/>
          <w:color w:val="000000"/>
          <w:rFonts w:ascii="Arial" w:cs="Arial" w:hAnsi="Arial"/>
          <w:sz w:val="22"/>
          <w:szCs w:val="22"/>
        </w:rPr>
        <w:t>What is in a child’s best interests?</w:t>
      </w:r>
    </w:p>
    <w:p w:rsidR="00341C88" w:rsidRDefault="00341C88" w:rsidP="00DC5050">
      <w:pPr>
        <w:pStyle w:val="NormalWeb"/>
        <w:spacing w:before="0" w:beforeAutospacing="0" w:after="0" w:afterAutospacing="0" w:line="360" w:lineRule="auto"/>
      </w:pPr>
      <w:r>
        <w:rPr>
          <w:color w:val="000000"/>
          <w:rFonts w:ascii="Arial" w:cs="Arial" w:hAnsi="Arial"/>
          <w:sz w:val="22"/>
          <w:szCs w:val="22"/>
        </w:rPr>
        <w:t>Before starting our mock trial work, we looked at “The convention of the rights of the child” (Unicef, 1992)  and “The Children Act”. The Children Act is a story about a judge who has to make a decision about the life of a teenage boy and how that process affects them both. The book made me think about some aspects of work with children that I hadn’t thought about before, such as the difficulties that adults face when making decisions in the best interests of children (Unicef, 1992, Article 3). In the book, the judge does not realise the full effect that her decision will have on the the teenage boy. By deciding that “</w:t>
      </w:r>
      <w:r>
        <w:rPr>
          <w:color w:val="121212"/>
          <w:rFonts w:ascii="Arial" w:cs="Arial" w:hAnsi="Arial"/>
          <w:sz w:val="22"/>
          <w:szCs w:val="22"/>
          <w:shd w:fill="FFFFFF" w:color="auto" w:val="clear"/>
        </w:rPr>
        <w:t xml:space="preserve"> no child's welfare is served by being martyred for his religion” (McEwan, 2014), the judge denied the boy’s “truth” which made him question his identity and worldview so he came to “find her, wanting what everyone wanted, and what only freethinking people, not the supernatural could give. Meaning” (McEwan, 2015, P.220)</w:t>
      </w:r>
    </w:p>
    <w:p w:rsidR="00341C88" w:rsidRDefault="00341C88">
      <w:pPr>
        <w:rPr>
          <w:rFonts w:eastAsia="Times New Roman"/>
        </w:rPr>
      </w:pPr>
    </w:p>
    <w:p w:rsidR="00341C88" w:rsidRDefault="00341C88" w:rsidP="00801838">
      <w:pPr>
        <w:pStyle w:val="NormalWeb"/>
        <w:spacing w:before="0" w:beforeAutospacing="0" w:after="0" w:afterAutospacing="0" w:line="360" w:lineRule="auto"/>
      </w:pPr>
      <w:r>
        <w:rPr>
          <w:color w:val="000000"/>
          <w:rFonts w:ascii="Arial" w:cs="Arial" w:hAnsi="Arial"/>
          <w:sz w:val="22"/>
          <w:szCs w:val="22"/>
        </w:rPr>
        <w:t xml:space="preserve">This made me think of a case we heard about at a conference run by Lleisiau Bach (Little Voices) about research they do with children. In this case, a group of care leavers had organised research into what information children in care had access to and it came to light that children going into care placements wanted to know more about the families they would be living with, things such as: their jobs, pets and garden sizes (Rowe, 2018). The adults in charge </w:t>
      </w:r>
      <w:r>
        <w:rPr>
          <w:color w:val="000000"/>
          <w:rFonts w:ascii="Arial" w:cs="Arial" w:hAnsi="Arial"/>
          <w:sz w:val="22"/>
          <w:szCs w:val="22"/>
        </w:rPr>
        <w:t>of informing the children were unaware of the way that the children put their information together and therefore what information was needed to make them more comfortable.</w:t>
        <w:lastRenderedPageBreak/>
      </w:r>
    </w:p>
    <w:p w:rsidR="00341C88" w:rsidRDefault="00341C88">
      <w:pPr>
        <w:rPr>
          <w:rFonts w:eastAsia="Times New Roman"/>
        </w:rPr>
      </w:pPr>
    </w:p>
    <w:p w:rsidR="00341C88" w:rsidRDefault="00341C88" w:rsidP="00801838">
      <w:pPr>
        <w:pStyle w:val="NormalWeb"/>
        <w:spacing w:before="0" w:beforeAutospacing="0" w:after="0" w:afterAutospacing="0" w:line="360" w:lineRule="auto"/>
      </w:pPr>
      <w:r>
        <w:rPr>
          <w:color w:val="000000"/>
          <w:rFonts w:ascii="Arial" w:cs="Arial" w:hAnsi="Arial"/>
          <w:sz w:val="22"/>
          <w:szCs w:val="22"/>
        </w:rPr>
        <w:t xml:space="preserve">Although these cases are quite different, they are both about adults who need to decide what’s in a child’s best interests and how these decisions are important to the ways that the children as </w:t>
      </w:r>
      <w:r>
        <w:rPr>
          <w:color w:val="121212"/>
          <w:rFonts w:ascii="Arial" w:cs="Arial" w:hAnsi="Arial"/>
          <w:sz w:val="22"/>
          <w:szCs w:val="22"/>
          <w:shd w:fill="FFFFFF" w:color="auto" w:val="clear"/>
        </w:rPr>
        <w:t>individuals “create meaning from the events in their lives” which have “important implications for identity and well-being” (Booker, Fivush and Graci, 2017, P.127)</w:t>
      </w:r>
      <w:r>
        <w:rPr>
          <w:color w:val="000000"/>
          <w:rFonts w:ascii="Arial" w:cs="Arial" w:hAnsi="Arial"/>
          <w:sz w:val="22"/>
          <w:szCs w:val="22"/>
        </w:rPr>
        <w:t>.  This quality of meaning making  is protected by human rights such as our right to freedom of belief and to access information (UN, 1948, Articles 18 and 27) and so it must also be protected, to the best of their ability, by the people whose duty it is to ensure access to these rights.</w:t>
      </w:r>
    </w:p>
    <w:p w:rsidR="00341C88" w:rsidRDefault="00341C88">
      <w:pPr>
        <w:spacing w:after="240"/>
        <w:rPr>
          <w:rFonts w:eastAsia="Times New Roman"/>
        </w:rPr>
      </w:pPr>
    </w:p>
    <w:p w:rsidR="00341C88" w:rsidRDefault="00341C88" w:rsidP="00801838">
      <w:pPr>
        <w:pStyle w:val="NormalWeb"/>
        <w:spacing w:before="0" w:beforeAutospacing="0" w:after="0" w:afterAutospacing="0" w:line="360" w:lineRule="auto"/>
      </w:pPr>
      <w:r>
        <w:rPr>
          <w:bCs/>
          <w:b/>
          <w:color w:val="000000"/>
          <w:rFonts w:ascii="Arial" w:cs="Arial" w:hAnsi="Arial"/>
          <w:sz w:val="22"/>
          <w:szCs w:val="22"/>
        </w:rPr>
        <w:t>Shamima Begum</w:t>
      </w:r>
    </w:p>
    <w:p w:rsidR="00341C88" w:rsidRDefault="00341C88" w:rsidP="00801838">
      <w:pPr>
        <w:pStyle w:val="NormalWeb"/>
        <w:spacing w:before="0" w:beforeAutospacing="0" w:after="0" w:afterAutospacing="0" w:line="360" w:lineRule="auto"/>
      </w:pPr>
      <w:r>
        <w:rPr>
          <w:color w:val="000000"/>
          <w:rFonts w:ascii="Arial" w:cs="Arial" w:hAnsi="Arial"/>
          <w:sz w:val="22"/>
          <w:szCs w:val="22"/>
        </w:rPr>
        <w:t xml:space="preserve">To prepare for the mock trial we were given an assignment in which we had to choose a children’s rights case study and write a letter to a judge about it. I chose the case of Shamima Begum, a teenage girl who joined a terrorist group four years ago and is now trying to return to Britain (Busby, 2019). The home secretary originally wanted to strip her of her citizenship and exile her but that would be against the 15th Article of the human rights act which says that all humans have a right to a nationality. I felt drawn to this case because it is about the inalienability of the human rights, the idea that no matter who you are or what you’ve done you are still a person and deserve fair treatment. In a discourse with Samuel Moyn the sociologist, Hans Joas explains that Human rights have caused “profound cultural transformation” (2015, P.13) because they are inalienable.They have caused people to see personhood as “sacred” and I think this is particularly interesting in cases where people have done things that we don’t agree with because it is now normal to accept that they are still people when it once wouldn’t have been. </w:t>
      </w:r>
    </w:p>
    <w:p w:rsidR="00341C88" w:rsidRDefault="00341C88">
      <w:pPr>
        <w:spacing w:after="240"/>
        <w:rPr>
          <w:rFonts w:eastAsia="Times New Roman"/>
        </w:rPr>
      </w:pPr>
    </w:p>
    <w:p w:rsidR="00341C88" w:rsidRDefault="00341C88">
      <w:pPr>
        <w:pStyle w:val="NormalWeb"/>
        <w:spacing w:before="0" w:beforeAutospacing="0" w:after="0" w:afterAutospacing="0"/>
      </w:pPr>
      <w:r>
        <w:rPr>
          <w:bCs/>
          <w:b/>
          <w:color w:val="000000"/>
          <w:rFonts w:ascii="Arial" w:cs="Arial" w:hAnsi="Arial"/>
          <w:sz w:val="22"/>
          <w:szCs w:val="22"/>
        </w:rPr>
        <w:t>Our Case</w:t>
      </w:r>
    </w:p>
    <w:p w:rsidR="00341C88" w:rsidRDefault="00341C88" w:rsidP="00846814">
      <w:pPr>
        <w:pStyle w:val="NormalWeb"/>
        <w:spacing w:before="0" w:beforeAutospacing="0" w:after="0" w:afterAutospacing="0" w:line="360" w:lineRule="auto"/>
      </w:pPr>
      <w:r>
        <w:rPr>
          <w:color w:val="000000"/>
          <w:rFonts w:ascii="Arial" w:cs="Arial" w:hAnsi="Arial"/>
          <w:sz w:val="22"/>
          <w:szCs w:val="22"/>
        </w:rPr>
        <w:t>For the mock trial we chose to take on the case of Michael Cox and Taylor Anderton, a couple with Down syndrome whose parents “</w:t>
      </w:r>
      <w:r>
        <w:rPr>
          <w:color w:val="111111"/>
          <w:rFonts w:ascii="Arial" w:cs="Arial" w:hAnsi="Arial"/>
          <w:sz w:val="22"/>
          <w:szCs w:val="22"/>
          <w:shd w:fill="F9F9F9" w:color="auto" w:val="clear"/>
        </w:rPr>
        <w:t>cannot support their dream of starting a family” (ABC, 2016)</w:t>
      </w:r>
      <w:r>
        <w:rPr>
          <w:color w:val="000000"/>
          <w:rFonts w:ascii="Arial" w:cs="Arial" w:hAnsi="Arial"/>
          <w:sz w:val="22"/>
          <w:szCs w:val="22"/>
        </w:rPr>
        <w:t xml:space="preserve"> . The case hadn’t ended up in court and so that left us space to understand the law around it ourselves and for our judge to make a decision unbiased by what had actually happened. </w:t>
      </w:r>
    </w:p>
    <w:p w:rsidR="00341C88" w:rsidRDefault="00341C88">
      <w:pPr>
        <w:rPr>
          <w:rFonts w:eastAsia="Times New Roman"/>
        </w:rPr>
      </w:pPr>
    </w:p>
    <w:p w:rsidR="00341C88" w:rsidRDefault="00341C88" w:rsidP="00846814">
      <w:pPr>
        <w:pStyle w:val="NormalWeb"/>
        <w:spacing w:before="0" w:beforeAutospacing="0" w:after="0" w:afterAutospacing="0" w:line="360" w:lineRule="auto"/>
      </w:pPr>
      <w:r>
        <w:rPr>
          <w:color w:val="000000"/>
          <w:rFonts w:ascii="Arial" w:cs="Arial" w:hAnsi="Arial"/>
          <w:sz w:val="22"/>
          <w:szCs w:val="22"/>
        </w:rPr>
        <w:t xml:space="preserve">Originally, I hadn’t been that interested in this particular case study, I had been quite fixed on the others because they seemed so harsh and dramatic. Only when we started to work did I realise how complex and emotionally fraught it actually was. The parents and the children’s wishes are in conflict and  there are questions about discrimination, body integrity and the welfare of an unborn child. </w:t>
        <w:lastRenderedPageBreak/>
      </w:r>
      <w:r>
        <w:rPr>
          <w:color w:val="212B32"/>
          <w:rFonts w:ascii="Arial" w:cs="Arial" w:hAnsi="Arial"/>
          <w:sz w:val="22"/>
          <w:szCs w:val="22"/>
        </w:rPr>
        <w:t xml:space="preserve">If the couple did conceive a child, </w:t>
      </w:r>
      <w:r>
        <w:rPr>
          <w:color w:val="000000"/>
          <w:rFonts w:ascii="Arial" w:cs="Arial" w:hAnsi="Arial"/>
          <w:sz w:val="22"/>
          <w:szCs w:val="22"/>
        </w:rPr>
        <w:t xml:space="preserve">what would their child’s life be like? Is it fair to bring a child into the world knowing its parents might be unable to care for it? And, if the child itself is born healthy, is it fair that it could likely end up a young carer? In the UK, (we decided to run the case as if it were in the UK) “unborn children are not given legal recognition. However, child protection procedures can apply to parents-to-be if there is a reasonable belief that the baby will be at risk of significant harm when it is born” (Birthrights, 2017). That is one of the main questions in this case, would this imagined child be at risk of harm?  The other question is about the rights of the couple to found a family (UN, 1948, Article 16). </w:t>
      </w:r>
    </w:p>
    <w:p w:rsidR="00341C88" w:rsidRDefault="00341C88" w:rsidP="00846814">
      <w:pPr>
        <w:spacing w:after="240" w:line="360" w:lineRule="auto"/>
        <w:rPr>
          <w:rFonts w:eastAsia="Times New Roman"/>
        </w:rPr>
      </w:pPr>
    </w:p>
    <w:p w:rsidR="00341C88" w:rsidRDefault="00341C88" w:rsidP="00846814">
      <w:pPr>
        <w:pStyle w:val="NormalWeb"/>
        <w:spacing w:before="0" w:beforeAutospacing="0" w:after="0" w:afterAutospacing="0" w:line="360" w:lineRule="auto"/>
      </w:pPr>
      <w:r>
        <w:rPr>
          <w:bCs/>
          <w:b/>
          <w:color w:val="000000"/>
          <w:rFonts w:ascii="Arial" w:cs="Arial" w:hAnsi="Arial"/>
          <w:sz w:val="22"/>
          <w:szCs w:val="22"/>
        </w:rPr>
        <w:t>Group work and paper people</w:t>
      </w:r>
    </w:p>
    <w:p w:rsidR="00341C88" w:rsidRDefault="00341C88" w:rsidP="00846814" w:rsidRPr="00846814">
      <w:pPr>
        <w:pStyle w:val="NormalWeb"/>
        <w:spacing w:before="0" w:beforeAutospacing="0" w:after="0" w:afterAutospacing="0" w:line="360" w:lineRule="auto"/>
      </w:pPr>
      <w:r>
        <w:rPr>
          <w:color w:val="000000"/>
          <w:rFonts w:ascii="Arial" w:cs="Arial" w:hAnsi="Arial"/>
          <w:sz w:val="22"/>
          <w:szCs w:val="22"/>
        </w:rPr>
        <w:t>When we were told about this task I was quite worried about the group work. Everyone seemed a bit unsure about acting out a scenario and I was worried that some people would end up putting more work in than others and it wouldn’t be a good group dynamic. However, once we started, the decisions came quite easily and we found consensus quite quickly.</w:t>
      </w:r>
    </w:p>
    <w:p w:rsidR="00341C88" w:rsidRDefault="00341C88" w:rsidP="00846814">
      <w:pPr>
        <w:pStyle w:val="NormalWeb"/>
        <w:spacing w:before="0" w:beforeAutospacing="0" w:after="0" w:afterAutospacing="0" w:line="360" w:lineRule="auto"/>
      </w:pPr>
      <w:r>
        <w:rPr>
          <w:color w:val="000000"/>
          <w:rFonts w:ascii="Arial" w:cs="Arial" w:hAnsi="Arial"/>
          <w:sz w:val="22"/>
          <w:szCs w:val="22"/>
        </w:rPr>
        <w:t xml:space="preserve">When we decided that I would take the role of the Lawyer for the couple I was relieved. I thought it was going to be easier to work with the law than to try and deal with a characters emotions, I saw the law as a sort of “impersonal, ideal whole” (Dorf, 1995, P.655). </w:t>
      </w:r>
    </w:p>
    <w:p w:rsidR="00341C88" w:rsidRDefault="00341C88" w:rsidP="00846814">
      <w:pPr>
        <w:pStyle w:val="NormalWeb"/>
        <w:spacing w:before="0" w:beforeAutospacing="0" w:after="0" w:afterAutospacing="0" w:line="360" w:lineRule="auto"/>
      </w:pPr>
      <w:r>
        <w:rPr>
          <w:color w:val="000000"/>
          <w:rFonts w:ascii="Arial" w:cs="Arial" w:hAnsi="Arial"/>
          <w:sz w:val="22"/>
          <w:szCs w:val="22"/>
        </w:rPr>
        <w:t>We started discussing the potential arguments and counter arguments but behind all that I couldn’t help thinking, “these are people” and I found that quite unsettling.</w:t>
      </w:r>
      <w:r>
        <w:rPr>
          <w:color w:val="FF0000"/>
          <w:rFonts w:ascii="Arial" w:cs="Arial" w:hAnsi="Arial"/>
          <w:sz w:val="22"/>
          <w:szCs w:val="22"/>
        </w:rPr>
        <w:t xml:space="preserve"> </w:t>
      </w:r>
      <w:r>
        <w:rPr>
          <w:color w:val="000000"/>
          <w:rFonts w:ascii="Arial" w:cs="Arial" w:hAnsi="Arial"/>
          <w:sz w:val="22"/>
          <w:szCs w:val="22"/>
        </w:rPr>
        <w:t xml:space="preserve">A “person's identity” becomes  “largely irrelevant when she is the object of law” (Dorf, 1995, P.681). This made me think about the impersonal aspect of the law, how it sort of turns people into paper, into “objects of the law”, momentarily to make decisions about them when they can not make these decisions themselves for whatever reason and then turns them back into people once the decision is made. I think this is a similar feeling to the one the judge experienced in the Children Act book, when she so desperately wanted her clerk to “give him [the boy] a name” (McEwan, 2015, P.52). I suppose that this is the only way that the law can deal with the difficult decisions it makes but the process of turning Michael and Taylor’s real life situation into acts, articles and case studies so it could be judged felt a bit like dehumanising them. </w:t>
      </w:r>
    </w:p>
    <w:p w:rsidR="00341C88" w:rsidRDefault="00341C88">
      <w:pPr>
        <w:spacing w:after="240"/>
        <w:rPr>
          <w:rFonts w:eastAsia="Times New Roman"/>
        </w:rPr>
      </w:pPr>
    </w:p>
    <w:p w:rsidR="00341C88" w:rsidRDefault="00341C88" w:rsidP="005D00A3">
      <w:pPr>
        <w:pStyle w:val="NormalWeb"/>
        <w:spacing w:before="0" w:beforeAutospacing="0" w:after="0" w:afterAutospacing="0" w:line="360" w:lineRule="auto"/>
      </w:pPr>
      <w:r>
        <w:rPr>
          <w:bCs/>
          <w:b/>
          <w:color w:val="000000"/>
          <w:rFonts w:ascii="Arial" w:cs="Arial" w:hAnsi="Arial"/>
          <w:sz w:val="22"/>
          <w:szCs w:val="22"/>
        </w:rPr>
        <w:t>Risk taking and crises</w:t>
      </w:r>
    </w:p>
    <w:p w:rsidR="00341C88" w:rsidRDefault="00341C88" w:rsidP="005D00A3">
      <w:pPr>
        <w:pStyle w:val="NormalWeb"/>
        <w:spacing w:before="0" w:beforeAutospacing="0" w:after="0" w:afterAutospacing="0" w:line="360" w:lineRule="auto"/>
      </w:pPr>
      <w:r>
        <w:rPr>
          <w:color w:val="000000"/>
          <w:rFonts w:ascii="Arial" w:cs="Arial" w:hAnsi="Arial"/>
          <w:sz w:val="22"/>
          <w:szCs w:val="22"/>
        </w:rPr>
        <w:t>I started reading Wendy Greengross’ book “Entitled to love” and it made me think more about disability and family. It was interesting to think about whether the way we care for disabled people is different and to what extent it should be. The vulnerability of a disabled person is a lot more visible than that of an able child and as such they are treated even more carefully. Often parents try to shield their children from “making their own decisions and experiencing crisis” ( 1976, P.25). “</w:t>
      </w:r>
      <w:r>
        <w:rPr>
          <w:color w:val="333333"/>
          <w:rFonts w:ascii="Arial" w:cs="Arial" w:hAnsi="Arial"/>
          <w:sz w:val="22"/>
          <w:szCs w:val="22"/>
        </w:rPr>
        <w:t xml:space="preserve">Being able to make informed decisions based on previous experience and through learning to manage challenges that are obvious or foreseeable is an important learning experience” (Mitchell, Cavanagh and Eager, 2006) is what has been claimed in numerous studies of children and adolescents and it seems to me that the fear of vulnerability of disabled young people makes us feel less comfortable with them taking the risks that able bodied young people do. I noticed that I also felt a bit wary of the idea of Michael and Taylor parenting and how difficult they might find it, almost as if I thought they were too young. The tendency to infantilize disabled people seems a common theme in discussions of disability, and I was a bit disappointed in myself when I noticed that even I had this attitude to some extent and was glad that my role forced me to look differently at the situation and challenge this. </w:t>
      </w:r>
    </w:p>
    <w:p w:rsidR="00341C88" w:rsidRDefault="00341C88">
      <w:pPr>
        <w:rPr>
          <w:rFonts w:eastAsia="Times New Roman"/>
        </w:rPr>
      </w:pPr>
    </w:p>
    <w:p w:rsidR="00341C88" w:rsidRDefault="00341C88" w:rsidP="005D00A3">
      <w:pPr>
        <w:pStyle w:val="NormalWeb"/>
        <w:spacing w:before="0" w:beforeAutospacing="0" w:after="0" w:afterAutospacing="0" w:line="360" w:lineRule="auto"/>
      </w:pPr>
      <w:r>
        <w:rPr>
          <w:bCs/>
          <w:b/>
          <w:color w:val="000000"/>
          <w:rFonts w:ascii="Arial" w:cs="Arial" w:hAnsi="Arial"/>
          <w:sz w:val="22"/>
          <w:szCs w:val="22"/>
        </w:rPr>
        <w:t>Competition</w:t>
      </w:r>
    </w:p>
    <w:p w:rsidR="00341C88" w:rsidRDefault="00341C88" w:rsidP="005D00A3">
      <w:pPr>
        <w:pStyle w:val="NormalWeb"/>
        <w:spacing w:before="0" w:beforeAutospacing="0" w:after="0" w:afterAutospacing="0" w:line="360" w:lineRule="auto"/>
      </w:pPr>
      <w:r>
        <w:rPr>
          <w:color w:val="000000"/>
          <w:rFonts w:ascii="Arial" w:cs="Arial" w:hAnsi="Arial"/>
          <w:sz w:val="22"/>
          <w:szCs w:val="22"/>
        </w:rPr>
        <w:t xml:space="preserve">When planning and working on our case, we mostly worked in pairs for the defense and the prosecution. At one point my partner asked if we should go over our case with the other side and my initial reaction was “Then they’ll know what we’re going to argue and be prepared for it!” I realised that I had stopped seeing the others as part of our team working on the case and as the “opposition”, I had somehow started to compete with them. </w:t>
      </w:r>
      <w:r>
        <w:rPr>
          <w:color w:val="FF0000"/>
          <w:rFonts w:ascii="Arial" w:cs="Arial" w:hAnsi="Arial"/>
          <w:sz w:val="22"/>
          <w:szCs w:val="22"/>
        </w:rPr>
        <w:t> </w:t>
      </w:r>
      <w:r>
        <w:rPr>
          <w:color w:val="000000"/>
          <w:rFonts w:ascii="Arial" w:cs="Arial" w:hAnsi="Arial"/>
          <w:sz w:val="22"/>
          <w:szCs w:val="22"/>
        </w:rPr>
        <w:t xml:space="preserve">I realised that this couldn’t be a helpful </w:t>
      </w:r>
      <w:r w:rsidR="005D00A3">
        <w:rPr>
          <w:color w:val="000000"/>
          <w:rFonts w:ascii="Arial" w:cs="Arial" w:hAnsi="Arial"/>
          <w:sz w:val="22"/>
          <w:szCs w:val="22"/>
        </w:rPr>
        <w:t>mind-set</w:t>
      </w:r>
      <w:r>
        <w:rPr>
          <w:color w:val="000000"/>
          <w:rFonts w:ascii="Arial" w:cs="Arial" w:hAnsi="Arial"/>
          <w:sz w:val="22"/>
          <w:szCs w:val="22"/>
        </w:rPr>
        <w:t>. If a lawyer in a family court becomes competitive this might stop them accepting, whatever the outcome, that the case is about the “best interests of the child” (Unicef, 1992, Article 3). I hoped that by recognising this I would be able to go into the case less biased and be able to remain professional.</w:t>
      </w:r>
    </w:p>
    <w:p w:rsidR="00341C88" w:rsidRDefault="00341C88">
      <w:pPr>
        <w:spacing w:after="240"/>
        <w:rPr>
          <w:rFonts w:eastAsia="Times New Roman"/>
        </w:rPr>
      </w:pPr>
    </w:p>
    <w:p w:rsidR="00341C88" w:rsidRDefault="00341C88" w:rsidP="003C5A41">
      <w:pPr>
        <w:pStyle w:val="NormalWeb"/>
        <w:spacing w:before="0" w:beforeAutospacing="0" w:after="0" w:afterAutospacing="0"/>
      </w:pPr>
      <w:r>
        <w:rPr>
          <w:color w:val="000000"/>
          <w:rFonts w:ascii="Arial" w:cs="Arial" w:hAnsi="Arial"/>
          <w:sz w:val="22"/>
          <w:szCs w:val="22"/>
        </w:rPr>
        <w:t>References:</w:t>
      </w:r>
    </w:p>
    <w:p w:rsidR="00341C88" w:rsidRDefault="00341C88" w:rsidP="003C5A41">
      <w:pPr>
        <w:pStyle w:val="NormalWeb"/>
        <w:spacing w:before="0" w:beforeAutospacing="0" w:after="0" w:afterAutospacing="0"/>
      </w:pPr>
      <w:r>
        <w:rPr>
          <w:color w:val="000000"/>
          <w:rFonts w:ascii="Arial" w:cs="Arial" w:hAnsi="Arial"/>
          <w:sz w:val="22"/>
          <w:szCs w:val="22"/>
        </w:rPr>
        <w:t xml:space="preserve">            ABC news, </w:t>
      </w:r>
      <w:r>
        <w:rPr>
          <w:iCs/>
          <w:i/>
          <w:color w:val="111111"/>
          <w:rFonts w:ascii="Arial" w:cs="Arial" w:hAnsi="Arial"/>
          <w:sz w:val="22"/>
          <w:szCs w:val="22"/>
        </w:rPr>
        <w:t xml:space="preserve">Couple with Down syndrome fights for parenting dream, </w:t>
      </w:r>
      <w:r>
        <w:rPr>
          <w:color w:val="111111"/>
          <w:rFonts w:ascii="Arial" w:cs="Arial" w:hAnsi="Arial"/>
          <w:sz w:val="22"/>
          <w:szCs w:val="22"/>
        </w:rPr>
        <w:t>[online], Available</w:t>
      </w:r>
      <w:r w:rsidR="005D00A3">
        <w:rPr>
          <w:color w:val="111111"/>
          <w:rFonts w:ascii="Arial" w:cs="Arial" w:hAnsi="Arial"/>
          <w:sz w:val="22"/>
          <w:szCs w:val="22"/>
        </w:rPr>
        <w:t xml:space="preserve"> </w:t>
      </w:r>
      <w:r>
        <w:rPr>
          <w:color w:val="111111"/>
          <w:rFonts w:ascii="Arial" w:cs="Arial" w:hAnsi="Arial"/>
          <w:sz w:val="22"/>
          <w:szCs w:val="22"/>
        </w:rPr>
        <w:t xml:space="preserve">at: </w:t>
      </w:r>
      <w:hyperlink w:history="1" r:id="rId4">
        <w:r>
          <w:rPr>
            <w:rStyle w:val="Hyperlink"/>
            <w:color w:val="1155CC"/>
            <w:rFonts w:ascii="Arial" w:cs="Arial" w:hAnsi="Arial"/>
            <w:sz w:val="22"/>
            <w:szCs w:val="22"/>
          </w:rPr>
          <w:t>https://www.abc.net.au/news/2016-10-03/down-syndrome-couple-fights-for-right-to-have-children/7843590</w:t>
        </w:r>
      </w:hyperlink>
      <w:r>
        <w:rPr>
          <w:color w:val="111111"/>
          <w:rFonts w:ascii="Arial" w:cs="Arial" w:hAnsi="Arial"/>
          <w:sz w:val="22"/>
          <w:szCs w:val="22"/>
        </w:rPr>
        <w:t xml:space="preserve"> [Accessed: 03/06/2019]</w:t>
      </w:r>
    </w:p>
    <w:p w:rsidR="00341C88" w:rsidRDefault="00341C88" w:rsidP="003C5A41">
      <w:pPr>
        <w:rPr>
          <w:rFonts w:eastAsia="Times New Roman"/>
        </w:rPr>
      </w:pPr>
    </w:p>
    <w:p w:rsidR="00341C88" w:rsidRDefault="00341C88" w:rsidP="003C5A41">
      <w:pPr>
        <w:pStyle w:val="NormalWeb"/>
        <w:spacing w:before="0" w:beforeAutospacing="0" w:after="0" w:afterAutospacing="0"/>
      </w:pPr>
      <w:r>
        <w:rPr>
          <w:color w:val="111111"/>
          <w:rFonts w:ascii="Arial" w:cs="Arial" w:hAnsi="Arial"/>
          <w:sz w:val="22"/>
          <w:szCs w:val="22"/>
        </w:rPr>
        <w:t xml:space="preserve">Birthrights, (2017), </w:t>
        <w:lastRenderedPageBreak/>
      </w:r>
      <w:r>
        <w:rPr>
          <w:iCs/>
          <w:i/>
          <w:color w:val="111111"/>
          <w:rFonts w:ascii="Arial" w:cs="Arial" w:hAnsi="Arial"/>
          <w:sz w:val="22"/>
          <w:szCs w:val="22"/>
        </w:rPr>
        <w:t xml:space="preserve">Social services and maternity care </w:t>
      </w:r>
      <w:r>
        <w:rPr>
          <w:color w:val="111111"/>
          <w:rFonts w:ascii="Arial" w:cs="Arial" w:hAnsi="Arial"/>
          <w:sz w:val="22"/>
          <w:szCs w:val="22"/>
        </w:rPr>
        <w:t xml:space="preserve">[online], Available at: </w:t>
      </w:r>
      <w:hyperlink w:history="1" r:id="rId5">
        <w:r>
          <w:rPr>
            <w:rStyle w:val="Hyperlink"/>
            <w:color w:val="1155CC"/>
            <w:rFonts w:ascii="Arial" w:cs="Arial" w:hAnsi="Arial"/>
            <w:sz w:val="22"/>
            <w:szCs w:val="22"/>
          </w:rPr>
          <w:t>http://www.birthrights.org.uk/library/factsheets/Social-Services-and-Maternity-Care.pdf</w:t>
        </w:r>
      </w:hyperlink>
      <w:r>
        <w:rPr>
          <w:color w:val="111111"/>
          <w:rFonts w:ascii="Arial" w:cs="Arial" w:hAnsi="Arial"/>
          <w:sz w:val="22"/>
          <w:szCs w:val="22"/>
        </w:rPr>
        <w:t xml:space="preserve"> [Accessed: 06/06/2019]</w:t>
      </w:r>
    </w:p>
    <w:p w:rsidR="003C5A41" w:rsidRDefault="003C5A41" w:rsidP="003C5A41">
      <w:pPr>
        <w:pStyle w:val="NormalWeb"/>
        <w:spacing w:before="0" w:beforeAutospacing="0" w:after="0" w:afterAutospacing="0"/>
        <w:rPr>
          <w:color w:val="000000"/>
          <w:rFonts w:ascii="Arial" w:cs="Arial" w:hAnsi="Arial"/>
          <w:sz w:val="22"/>
          <w:szCs w:val="22"/>
        </w:rPr>
      </w:pPr>
    </w:p>
    <w:p w:rsidR="00341C88" w:rsidRDefault="00341C88" w:rsidP="003C5A41">
      <w:pPr>
        <w:pStyle w:val="NormalWeb"/>
        <w:spacing w:before="0" w:beforeAutospacing="0" w:after="0" w:afterAutospacing="0"/>
      </w:pPr>
      <w:r>
        <w:rPr>
          <w:color w:val="000000"/>
          <w:rFonts w:ascii="Arial" w:cs="Arial" w:hAnsi="Arial"/>
          <w:sz w:val="22"/>
          <w:szCs w:val="22"/>
        </w:rPr>
        <w:t xml:space="preserve">Busby, M. (2019), ‘Shamima Begum would face death penalty in Bangladesh, says minister’ , </w:t>
      </w:r>
      <w:r>
        <w:rPr>
          <w:iCs/>
          <w:i/>
          <w:color w:val="000000"/>
          <w:rFonts w:ascii="Arial" w:cs="Arial" w:hAnsi="Arial"/>
          <w:sz w:val="22"/>
          <w:szCs w:val="22"/>
        </w:rPr>
        <w:t xml:space="preserve"> The Guardian </w:t>
      </w:r>
      <w:r>
        <w:rPr>
          <w:color w:val="000000"/>
          <w:rFonts w:ascii="Arial" w:cs="Arial" w:hAnsi="Arial"/>
          <w:sz w:val="22"/>
          <w:szCs w:val="22"/>
        </w:rPr>
        <w:t xml:space="preserve">[online], Available at: </w:t>
      </w:r>
      <w:hyperlink w:history="1" r:id="rId6">
        <w:r>
          <w:rPr>
            <w:rStyle w:val="Hyperlink"/>
            <w:color w:val="1155CC"/>
            <w:rFonts w:ascii="Arial" w:cs="Arial" w:hAnsi="Arial"/>
            <w:sz w:val="22"/>
            <w:szCs w:val="22"/>
          </w:rPr>
          <w:t>https://www.theguardian.com/uk-news/2019/may/04/shamima-begum-would-face-death-penalty-in-bangladesh-says-minister</w:t>
        </w:r>
      </w:hyperlink>
      <w:r>
        <w:rPr>
          <w:color w:val="000000"/>
          <w:rFonts w:ascii="Arial" w:cs="Arial" w:hAnsi="Arial"/>
          <w:sz w:val="22"/>
          <w:szCs w:val="22"/>
        </w:rPr>
        <w:t xml:space="preserve"> [Accessed: 18/05/2019]</w:t>
      </w:r>
    </w:p>
    <w:p w:rsidR="003C5A41" w:rsidRDefault="003C5A41" w:rsidP="003C5A41">
      <w:pPr>
        <w:pStyle w:val="NormalWeb"/>
        <w:spacing w:before="0" w:beforeAutospacing="0" w:after="0" w:afterAutospacing="0"/>
        <w:rPr>
          <w:color w:val="000000"/>
          <w:rFonts w:ascii="Arial" w:cs="Arial" w:hAnsi="Arial"/>
          <w:sz w:val="22"/>
          <w:szCs w:val="22"/>
        </w:rPr>
      </w:pPr>
    </w:p>
    <w:p w:rsidR="00341C88" w:rsidRDefault="00341C88" w:rsidP="003C5A41">
      <w:pPr>
        <w:pStyle w:val="NormalWeb"/>
        <w:spacing w:before="0" w:beforeAutospacing="0" w:after="0" w:afterAutospacing="0"/>
      </w:pPr>
      <w:r>
        <w:rPr>
          <w:color w:val="000000"/>
          <w:rFonts w:ascii="Arial" w:cs="Arial" w:hAnsi="Arial"/>
          <w:sz w:val="22"/>
          <w:szCs w:val="22"/>
        </w:rPr>
        <w:t>Dorf, M. (1995), ‘Prediction and the rule of law’,</w:t>
      </w:r>
      <w:r>
        <w:rPr>
          <w:iCs/>
          <w:i/>
          <w:color w:val="000000"/>
          <w:rFonts w:ascii="Arial" w:cs="Arial" w:hAnsi="Arial"/>
          <w:sz w:val="22"/>
          <w:szCs w:val="22"/>
        </w:rPr>
        <w:t xml:space="preserve"> Cornell Law Faculty Publications. </w:t>
      </w:r>
      <w:r>
        <w:rPr>
          <w:color w:val="000000"/>
          <w:rFonts w:ascii="Arial" w:cs="Arial" w:hAnsi="Arial"/>
          <w:sz w:val="22"/>
          <w:szCs w:val="22"/>
        </w:rPr>
        <w:t>Paper 108, pp.652-715</w:t>
      </w:r>
    </w:p>
    <w:p w:rsidR="003C5A41" w:rsidRDefault="003C5A41" w:rsidP="003C5A41">
      <w:pPr>
        <w:pStyle w:val="NormalWeb"/>
        <w:spacing w:before="0" w:beforeAutospacing="0" w:after="0" w:afterAutospacing="0"/>
        <w:rPr>
          <w:color w:val="000000"/>
          <w:rFonts w:ascii="Arial" w:cs="Arial" w:hAnsi="Arial"/>
          <w:sz w:val="22"/>
          <w:szCs w:val="22"/>
        </w:rPr>
      </w:pPr>
    </w:p>
    <w:p w:rsidR="00341C88" w:rsidRDefault="00341C88" w:rsidP="003C5A41">
      <w:pPr>
        <w:pStyle w:val="NormalWeb"/>
        <w:spacing w:before="0" w:beforeAutospacing="0" w:after="0" w:afterAutospacing="0"/>
      </w:pPr>
      <w:r>
        <w:rPr>
          <w:color w:val="000000"/>
          <w:rFonts w:ascii="Arial" w:cs="Arial" w:hAnsi="Arial"/>
          <w:sz w:val="22"/>
          <w:szCs w:val="22"/>
        </w:rPr>
        <w:t>Fivush, R. , Booker, J. and Graci, M. (2017), ‘Ongoing narrative meaning-making within events and across the lifespan’,  </w:t>
      </w:r>
      <w:r>
        <w:rPr>
          <w:iCs/>
          <w:i/>
          <w:color w:val="000000"/>
          <w:rFonts w:ascii="Arial" w:cs="Arial" w:hAnsi="Arial"/>
          <w:sz w:val="22"/>
          <w:szCs w:val="22"/>
        </w:rPr>
        <w:t xml:space="preserve">Imagination, cognition and personality: consciousness in theory, research, and clinical practice, </w:t>
      </w:r>
      <w:r>
        <w:rPr>
          <w:color w:val="000000"/>
          <w:rFonts w:ascii="Arial" w:cs="Arial" w:hAnsi="Arial"/>
          <w:sz w:val="22"/>
          <w:szCs w:val="22"/>
        </w:rPr>
        <w:t>vol.37, no.2, pp.127-152</w:t>
      </w:r>
    </w:p>
    <w:p w:rsidR="003C5A41" w:rsidRDefault="003C5A41" w:rsidP="003C5A41">
      <w:pPr>
        <w:pStyle w:val="NormalWeb"/>
        <w:spacing w:before="0" w:beforeAutospacing="0" w:after="0" w:afterAutospacing="0"/>
        <w:rPr>
          <w:color w:val="000000"/>
          <w:rFonts w:ascii="Arial" w:cs="Arial" w:hAnsi="Arial"/>
          <w:sz w:val="22"/>
          <w:szCs w:val="22"/>
        </w:rPr>
      </w:pPr>
    </w:p>
    <w:p w:rsidR="00341C88" w:rsidRDefault="00341C88" w:rsidP="003C5A41">
      <w:pPr>
        <w:pStyle w:val="NormalWeb"/>
        <w:spacing w:before="0" w:beforeAutospacing="0" w:after="0" w:afterAutospacing="0"/>
      </w:pPr>
      <w:r>
        <w:rPr>
          <w:color w:val="000000"/>
          <w:rFonts w:ascii="Arial" w:cs="Arial" w:hAnsi="Arial"/>
          <w:sz w:val="22"/>
          <w:szCs w:val="22"/>
        </w:rPr>
        <w:t xml:space="preserve">Greengross, W. (1976), </w:t>
      </w:r>
      <w:r>
        <w:rPr>
          <w:iCs/>
          <w:i/>
          <w:color w:val="000000"/>
          <w:rFonts w:ascii="Arial" w:cs="Arial" w:hAnsi="Arial"/>
          <w:sz w:val="22"/>
          <w:szCs w:val="22"/>
        </w:rPr>
        <w:t xml:space="preserve">Entitled to love: the sexual and emotional needs of the handicapped, </w:t>
      </w:r>
      <w:r>
        <w:rPr>
          <w:color w:val="000000"/>
          <w:rFonts w:ascii="Arial" w:cs="Arial" w:hAnsi="Arial"/>
          <w:sz w:val="22"/>
          <w:szCs w:val="22"/>
        </w:rPr>
        <w:t xml:space="preserve">National marriage and guidance council, London </w:t>
      </w:r>
    </w:p>
    <w:p w:rsidR="00BC24F5" w:rsidRDefault="00BC24F5" w:rsidP="00BC24F5">
      <w:pPr>
        <w:pStyle w:val="NormalWeb"/>
        <w:spacing w:before="0" w:beforeAutospacing="0" w:after="0" w:afterAutospacing="0"/>
        <w:rPr>
          <w:color w:val="000000"/>
          <w:rFonts w:ascii="Arial" w:cs="Arial" w:hAnsi="Arial"/>
          <w:sz w:val="22"/>
          <w:szCs w:val="22"/>
        </w:rPr>
      </w:pPr>
    </w:p>
    <w:p w:rsidR="00341C88" w:rsidRDefault="00341C88" w:rsidP="00BC24F5">
      <w:pPr>
        <w:pStyle w:val="NormalWeb"/>
        <w:spacing w:before="0" w:beforeAutospacing="0" w:after="0" w:afterAutospacing="0"/>
      </w:pPr>
      <w:r>
        <w:rPr>
          <w:color w:val="000000"/>
          <w:rFonts w:ascii="Arial" w:cs="Arial" w:hAnsi="Arial"/>
          <w:sz w:val="22"/>
          <w:szCs w:val="22"/>
        </w:rPr>
        <w:t xml:space="preserve">Joas, H. and Moyn, S. (2015), ‘The sacredness of the person or the last utopia: a conversation about the history of human rights’ In Kaul, S. and Kim, D. eds. </w:t>
      </w:r>
      <w:r>
        <w:rPr>
          <w:iCs/>
          <w:i/>
          <w:color w:val="000000"/>
          <w:rFonts w:ascii="Arial" w:cs="Arial" w:hAnsi="Arial"/>
          <w:sz w:val="22"/>
          <w:szCs w:val="22"/>
        </w:rPr>
        <w:t xml:space="preserve">Imagining human rights, </w:t>
      </w:r>
      <w:r>
        <w:rPr>
          <w:color w:val="000000"/>
          <w:rFonts w:ascii="Arial" w:cs="Arial" w:hAnsi="Arial"/>
          <w:sz w:val="22"/>
          <w:szCs w:val="22"/>
        </w:rPr>
        <w:t>De Gruyter, Berlin</w:t>
      </w:r>
    </w:p>
    <w:p w:rsidR="00BC24F5" w:rsidRDefault="00BC24F5" w:rsidP="00BC24F5">
      <w:pPr>
        <w:pStyle w:val="NormalWeb"/>
        <w:spacing w:before="0" w:beforeAutospacing="0" w:after="0" w:afterAutospacing="0"/>
        <w:rPr>
          <w:color w:val="000000"/>
          <w:rFonts w:ascii="Arial" w:cs="Arial" w:hAnsi="Arial"/>
          <w:sz w:val="22"/>
          <w:szCs w:val="22"/>
        </w:rPr>
      </w:pPr>
    </w:p>
    <w:p w:rsidR="00341C88" w:rsidRDefault="00341C88" w:rsidP="00BC24F5">
      <w:pPr>
        <w:pStyle w:val="NormalWeb"/>
        <w:spacing w:before="0" w:beforeAutospacing="0" w:after="0" w:afterAutospacing="0"/>
      </w:pPr>
      <w:r>
        <w:rPr>
          <w:color w:val="000000"/>
          <w:rFonts w:ascii="Arial" w:cs="Arial" w:hAnsi="Arial"/>
          <w:sz w:val="22"/>
          <w:szCs w:val="22"/>
        </w:rPr>
        <w:t xml:space="preserve">McEwan, I. (2014), ‘Ian McEwan:the law versus religious belief’, </w:t>
      </w:r>
      <w:r>
        <w:rPr>
          <w:iCs/>
          <w:i/>
          <w:color w:val="000000"/>
          <w:rFonts w:ascii="Arial" w:cs="Arial" w:hAnsi="Arial"/>
          <w:sz w:val="22"/>
          <w:szCs w:val="22"/>
        </w:rPr>
        <w:t xml:space="preserve">The Guardian </w:t>
      </w:r>
      <w:r>
        <w:rPr>
          <w:color w:val="000000"/>
          <w:rFonts w:ascii="Arial" w:cs="Arial" w:hAnsi="Arial"/>
          <w:sz w:val="22"/>
          <w:szCs w:val="22"/>
        </w:rPr>
        <w:t xml:space="preserve">[online], Available at: </w:t>
      </w:r>
      <w:hyperlink w:history="1" r:id="rId7">
        <w:r>
          <w:rPr>
            <w:rStyle w:val="Hyperlink"/>
            <w:color w:val="1155CC"/>
            <w:rFonts w:ascii="Arial" w:cs="Arial" w:hAnsi="Arial"/>
            <w:sz w:val="22"/>
            <w:szCs w:val="22"/>
          </w:rPr>
          <w:t>https://www.theguardian.com/books/2014/sep/05/ian-mcewan-law-versus-religious-belief</w:t>
        </w:r>
      </w:hyperlink>
      <w:r>
        <w:rPr>
          <w:color w:val="000000"/>
          <w:rFonts w:ascii="Arial" w:cs="Arial" w:hAnsi="Arial"/>
          <w:sz w:val="22"/>
          <w:szCs w:val="22"/>
        </w:rPr>
        <w:t xml:space="preserve"> [Accessed: 06/06/2019]</w:t>
      </w:r>
    </w:p>
    <w:p w:rsidR="00BC24F5" w:rsidRDefault="00BC24F5" w:rsidP="00BC24F5">
      <w:pPr>
        <w:pStyle w:val="NormalWeb"/>
        <w:spacing w:before="0" w:beforeAutospacing="0" w:after="0" w:afterAutospacing="0"/>
        <w:rPr>
          <w:color w:val="000000"/>
          <w:rFonts w:ascii="Arial" w:cs="Arial" w:hAnsi="Arial"/>
          <w:sz w:val="22"/>
          <w:szCs w:val="22"/>
        </w:rPr>
      </w:pPr>
    </w:p>
    <w:p w:rsidR="00341C88" w:rsidRDefault="00341C88" w:rsidP="00BC24F5">
      <w:pPr>
        <w:pStyle w:val="NormalWeb"/>
        <w:spacing w:before="0" w:beforeAutospacing="0" w:after="0" w:afterAutospacing="0"/>
      </w:pPr>
      <w:r>
        <w:rPr>
          <w:color w:val="000000"/>
          <w:rFonts w:ascii="Arial" w:cs="Arial" w:hAnsi="Arial"/>
          <w:sz w:val="22"/>
          <w:szCs w:val="22"/>
        </w:rPr>
        <w:t xml:space="preserve">McEwan, I. (2015), </w:t>
      </w:r>
      <w:r>
        <w:rPr>
          <w:iCs/>
          <w:i/>
          <w:color w:val="000000"/>
          <w:rFonts w:ascii="Arial" w:cs="Arial" w:hAnsi="Arial"/>
          <w:sz w:val="22"/>
          <w:szCs w:val="22"/>
        </w:rPr>
        <w:t>The Children Act,</w:t>
      </w:r>
      <w:r>
        <w:rPr>
          <w:color w:val="000000"/>
          <w:rFonts w:ascii="Arial" w:cs="Arial" w:hAnsi="Arial"/>
          <w:sz w:val="22"/>
          <w:szCs w:val="22"/>
        </w:rPr>
        <w:t xml:space="preserve"> Penguin, London</w:t>
      </w:r>
    </w:p>
    <w:p w:rsidR="00BC24F5" w:rsidRDefault="00BC24F5" w:rsidP="00BC24F5">
      <w:pPr>
        <w:pStyle w:val="NormalWeb"/>
        <w:spacing w:before="0" w:beforeAutospacing="0" w:after="0" w:afterAutospacing="0"/>
        <w:rPr>
          <w:color w:val="000000"/>
          <w:rFonts w:ascii="Arial" w:cs="Arial" w:hAnsi="Arial"/>
          <w:sz w:val="22"/>
          <w:szCs w:val="22"/>
        </w:rPr>
      </w:pPr>
    </w:p>
    <w:p w:rsidR="00341C88" w:rsidRDefault="00341C88" w:rsidP="00BC24F5">
      <w:pPr>
        <w:pStyle w:val="NormalWeb"/>
        <w:spacing w:before="0" w:beforeAutospacing="0" w:after="0" w:afterAutospacing="0"/>
      </w:pPr>
      <w:r>
        <w:rPr>
          <w:color w:val="000000"/>
          <w:rFonts w:ascii="Arial" w:cs="Arial" w:hAnsi="Arial"/>
          <w:sz w:val="22"/>
          <w:szCs w:val="22"/>
        </w:rPr>
        <w:t>Mitchell, R., Cavanagh, M. and Eager, D. (2006), ‘</w:t>
      </w:r>
      <w:r>
        <w:rPr>
          <w:color w:val="333333"/>
          <w:rFonts w:ascii="Arial" w:cs="Arial" w:hAnsi="Arial"/>
          <w:sz w:val="22"/>
          <w:szCs w:val="22"/>
        </w:rPr>
        <w:t>Not all risk is bad, playgrounds as a learning e</w:t>
      </w:r>
      <w:r>
        <w:rPr>
          <w:color w:val="000000"/>
          <w:rFonts w:ascii="Arial" w:cs="Arial" w:hAnsi="Arial"/>
          <w:sz w:val="22"/>
          <w:szCs w:val="22"/>
        </w:rPr>
        <w:t xml:space="preserve">nvironment for children’, </w:t>
      </w:r>
      <w:r>
        <w:rPr>
          <w:iCs/>
          <w:i/>
          <w:color w:val="000000"/>
          <w:rFonts w:ascii="Arial" w:cs="Arial" w:hAnsi="Arial"/>
          <w:sz w:val="22"/>
          <w:szCs w:val="22"/>
        </w:rPr>
        <w:t xml:space="preserve">International journal of injury control and safety promotion, </w:t>
      </w:r>
      <w:r>
        <w:rPr>
          <w:color w:val="000000"/>
          <w:rFonts w:ascii="Arial" w:cs="Arial" w:hAnsi="Arial"/>
          <w:sz w:val="22"/>
          <w:szCs w:val="22"/>
        </w:rPr>
        <w:t>vol.13, no.2, pp.122-124</w:t>
      </w:r>
    </w:p>
    <w:p w:rsidR="00B563E5" w:rsidRDefault="00B563E5" w:rsidP="00B563E5">
      <w:pPr>
        <w:pStyle w:val="NormalWeb"/>
        <w:spacing w:before="0" w:beforeAutospacing="0" w:after="0" w:afterAutospacing="0"/>
        <w:rPr>
          <w:color w:val="000000"/>
          <w:rFonts w:ascii="Arial" w:cs="Arial" w:hAnsi="Arial"/>
          <w:sz w:val="22"/>
          <w:szCs w:val="22"/>
        </w:rPr>
      </w:pPr>
    </w:p>
    <w:p w:rsidR="00341C88" w:rsidRDefault="00341C88" w:rsidP="00B563E5">
      <w:pPr>
        <w:pStyle w:val="NormalWeb"/>
        <w:spacing w:before="0" w:beforeAutospacing="0" w:after="0" w:afterAutospacing="0"/>
      </w:pPr>
      <w:r>
        <w:rPr>
          <w:color w:val="000000"/>
          <w:rFonts w:ascii="Arial" w:cs="Arial" w:hAnsi="Arial"/>
          <w:sz w:val="22"/>
          <w:szCs w:val="22"/>
        </w:rPr>
        <w:t xml:space="preserve">Ortlipp, M. (2008), ‘Keeping and using reflective journals in the qualitative research process’, </w:t>
      </w:r>
      <w:r>
        <w:rPr>
          <w:iCs/>
          <w:i/>
          <w:color w:val="000000"/>
          <w:rFonts w:ascii="Arial" w:cs="Arial" w:hAnsi="Arial"/>
          <w:sz w:val="22"/>
          <w:szCs w:val="22"/>
        </w:rPr>
        <w:t xml:space="preserve">The qualitative report, </w:t>
      </w:r>
      <w:r>
        <w:rPr>
          <w:color w:val="000000"/>
          <w:rFonts w:ascii="Arial" w:cs="Arial" w:hAnsi="Arial"/>
          <w:sz w:val="22"/>
          <w:szCs w:val="22"/>
        </w:rPr>
        <w:t>vol.13, no.4, pp.695-705</w:t>
      </w:r>
    </w:p>
    <w:p w:rsidR="00B563E5" w:rsidRDefault="00B563E5" w:rsidP="00B563E5">
      <w:pPr>
        <w:pStyle w:val="NormalWeb"/>
        <w:spacing w:before="0" w:beforeAutospacing="0" w:after="0" w:afterAutospacing="0"/>
        <w:rPr>
          <w:color w:val="000000"/>
          <w:rFonts w:ascii="Arial" w:cs="Arial" w:hAnsi="Arial"/>
          <w:sz w:val="22"/>
          <w:szCs w:val="22"/>
        </w:rPr>
      </w:pPr>
    </w:p>
    <w:p w:rsidR="00341C88" w:rsidRDefault="00341C88" w:rsidP="00B563E5">
      <w:pPr>
        <w:pStyle w:val="NormalWeb"/>
        <w:spacing w:before="0" w:beforeAutospacing="0" w:after="0" w:afterAutospacing="0"/>
      </w:pPr>
      <w:r>
        <w:rPr>
          <w:color w:val="000000"/>
          <w:rFonts w:ascii="Arial" w:cs="Arial" w:hAnsi="Arial"/>
          <w:sz w:val="22"/>
          <w:szCs w:val="22"/>
        </w:rPr>
        <w:t xml:space="preserve">Rowe, K. (2018), ‘Children in care work on university project to improve future care placements’, </w:t>
      </w:r>
      <w:r>
        <w:rPr>
          <w:iCs/>
          <w:i/>
          <w:color w:val="000000"/>
          <w:rFonts w:ascii="Arial" w:cs="Arial" w:hAnsi="Arial"/>
          <w:sz w:val="22"/>
          <w:szCs w:val="22"/>
        </w:rPr>
        <w:t xml:space="preserve">The West Wales chronicle </w:t>
      </w:r>
      <w:r>
        <w:rPr>
          <w:color w:val="000000"/>
          <w:rFonts w:ascii="Arial" w:cs="Arial" w:hAnsi="Arial"/>
          <w:sz w:val="22"/>
          <w:szCs w:val="22"/>
        </w:rPr>
        <w:t xml:space="preserve">[online], Available at: </w:t>
      </w:r>
      <w:hyperlink w:history="1" r:id="rId8">
        <w:r>
          <w:rPr>
            <w:rStyle w:val="Hyperlink"/>
            <w:color w:val="1155CC"/>
            <w:rFonts w:ascii="Arial" w:cs="Arial" w:hAnsi="Arial"/>
            <w:sz w:val="22"/>
            <w:szCs w:val="22"/>
          </w:rPr>
          <w:t>https://www.westwaleschronicle.co.uk/blog/2018/03/15/children-in-care-work-on-university-project-to-improve-future-care-placements-plant-mewn-gofal-yn-gweithio-ar-brosiect-prifysgol-i-wella-lleoliadau-gofal-yn-y-dyfodol/</w:t>
        </w:r>
      </w:hyperlink>
      <w:r>
        <w:rPr>
          <w:color w:val="000000"/>
          <w:rFonts w:ascii="Arial" w:cs="Arial" w:hAnsi="Arial"/>
          <w:sz w:val="22"/>
          <w:szCs w:val="22"/>
        </w:rPr>
        <w:t xml:space="preserve"> [Accessed: 06/06/2019]</w:t>
      </w:r>
    </w:p>
    <w:p w:rsidR="00B563E5" w:rsidRDefault="00B563E5" w:rsidP="00B563E5">
      <w:pPr>
        <w:pStyle w:val="NormalWeb"/>
        <w:spacing w:before="0" w:beforeAutospacing="0" w:after="0" w:afterAutospacing="0"/>
        <w:rPr>
          <w:color w:val="000000"/>
          <w:rFonts w:ascii="Arial" w:cs="Arial" w:hAnsi="Arial"/>
          <w:sz w:val="22"/>
          <w:szCs w:val="22"/>
        </w:rPr>
      </w:pPr>
    </w:p>
    <w:p w:rsidR="00341C88" w:rsidRDefault="00341C88" w:rsidP="00B563E5">
      <w:pPr>
        <w:pStyle w:val="NormalWeb"/>
        <w:spacing w:before="0" w:beforeAutospacing="0" w:after="0" w:afterAutospacing="0"/>
      </w:pPr>
      <w:bookmarkStart w:id="0" w:name="_GoBack"/>
      <w:bookmarkEnd w:id="0"/>
      <w:r>
        <w:rPr>
          <w:color w:val="000000"/>
          <w:rFonts w:ascii="Arial" w:cs="Arial" w:hAnsi="Arial"/>
          <w:sz w:val="22"/>
          <w:szCs w:val="22"/>
        </w:rPr>
        <w:t xml:space="preserve">The United nations, (1948), </w:t>
      </w:r>
      <w:r>
        <w:rPr>
          <w:iCs/>
          <w:i/>
          <w:color w:val="000000"/>
          <w:rFonts w:ascii="Arial" w:cs="Arial" w:hAnsi="Arial"/>
          <w:sz w:val="22"/>
          <w:szCs w:val="22"/>
        </w:rPr>
        <w:t xml:space="preserve">The Universal declaration of human rights, </w:t>
      </w:r>
      <w:r>
        <w:rPr>
          <w:color w:val="000000"/>
          <w:rFonts w:ascii="Arial" w:cs="Arial" w:hAnsi="Arial"/>
          <w:sz w:val="22"/>
          <w:szCs w:val="22"/>
        </w:rPr>
        <w:t xml:space="preserve">[online], Available at: </w:t>
      </w:r>
      <w:hyperlink w:history="1" r:id="rId9">
        <w:r>
          <w:rPr>
            <w:rStyle w:val="Hyperlink"/>
            <w:color w:val="1155CC"/>
            <w:rFonts w:ascii="Arial" w:cs="Arial" w:hAnsi="Arial"/>
            <w:sz w:val="22"/>
            <w:szCs w:val="22"/>
          </w:rPr>
          <w:t>https://www.un.org/en/universal-declaration-human-rights/</w:t>
        </w:r>
      </w:hyperlink>
      <w:r>
        <w:rPr>
          <w:color w:val="000000"/>
          <w:rFonts w:ascii="Arial" w:cs="Arial" w:hAnsi="Arial"/>
          <w:sz w:val="22"/>
          <w:szCs w:val="22"/>
        </w:rPr>
        <w:t xml:space="preserve"> [Accessed: 15.05.2019]</w:t>
      </w:r>
    </w:p>
    <w:p w:rsidR="00341C88" w:rsidRDefault="00341C88">
      <w:r>
        <w:rPr>
          <w:rFonts w:eastAsia="Times New Roman"/>
        </w:rPr>
        <w:br/>
      </w:r>
      <w:r>
        <w:rPr>
          <w:color w:val="000000"/>
          <w:rFonts w:ascii="Arial" w:cs="Arial" w:eastAsia="Times New Roman" w:hAnsi="Arial"/>
        </w:rPr>
        <w:t xml:space="preserve">Unicef, (1992), </w:t>
      </w:r>
      <w:r>
        <w:rPr>
          <w:iCs/>
          <w:i/>
          <w:color w:val="000000"/>
          <w:rFonts w:ascii="Arial" w:cs="Arial" w:eastAsia="Times New Roman" w:hAnsi="Arial"/>
        </w:rPr>
        <w:t xml:space="preserve">UN Convention for the rights of the child, </w:t>
      </w:r>
      <w:r>
        <w:rPr>
          <w:color w:val="000000"/>
          <w:rFonts w:ascii="Arial" w:cs="Arial" w:eastAsia="Times New Roman" w:hAnsi="Arial"/>
        </w:rPr>
        <w:t xml:space="preserve">[online], Available at: </w:t>
      </w:r>
      <w:hyperlink w:history="1" r:id="rId10">
        <w:r>
          <w:rPr>
            <w:rStyle w:val="Hyperlink"/>
            <w:color w:val="1155CC"/>
            <w:rFonts w:ascii="Arial" w:cs="Arial" w:eastAsia="Times New Roman" w:hAnsi="Arial"/>
          </w:rPr>
          <w:t>https://downloads.unicef.org.uk/wp-content/uploads/2010/05/UNCRC_summary-1.pdf?_ga=2.130496076.295606004.1557994016-2028061679.1557765879</w:t>
        </w:r>
      </w:hyperlink>
      <w:r>
        <w:rPr>
          <w:color w:val="000000"/>
          <w:rFonts w:ascii="Arial" w:cs="Arial" w:eastAsia="Times New Roman" w:hAnsi="Arial"/>
        </w:rPr>
        <w:t xml:space="preserve"> [Accessed: 17/05/2019]</w:t>
      </w:r>
    </w:p>
    <w:sectPr w:rsidR="00341C88">
      <w:docGrid w:linePitch="360"/>
      <w:pgSz w:w="12240" w:h="15840"/>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7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776B5B"/>
  <w15:chartTrackingRefBased/>
  <w15:docId w15:val="{32A74A0D-CF21-394D-90B9-2CD444C36A2F}"/>
  <w:rsids>
    <w:rsidRoot val="00341C88"/>
    <w:rsid val="00341C88"/>
    <w:rsid val="003C5A41"/>
    <w:rsid val="005D00A3"/>
    <w:rsid val="00801838"/>
    <w:rsid val="00846814"/>
    <w:rsid val="00B563E5"/>
    <w:rsid val="00BC24F5"/>
    <w:rsid val="00DC505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en-GB" w:eastAsia="en-US" w:bidi="ar-SA"/>
        <w:rFonts w:ascii="Calibri" w:eastAsiaTheme="minorEastAsia"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NormalWeb">
    <w:name w:val="Normal (Web)"/>
    <w:basedOn w:val="Normal"/>
    <w:uiPriority w:val="99"/>
    <w:unhideWhenUsed/>
    <w:rsid w:val="00341C88"/>
    <w:pPr>
      <w:spacing w:before="100" w:beforeAutospacing="1" w:after="100" w:afterAutospacing="1" w:line="240" w:lineRule="auto"/>
    </w:pPr>
    <w:rPr>
      <w:rFonts w:ascii="Times New Roman" w:cs="Times New Roman" w:hAnsi="Times New Roman"/>
      <w:sz w:val="24"/>
      <w:szCs w:val="24"/>
    </w:rPr>
  </w:style>
  <w:style w:type="character" w:styleId="Hyperlink">
    <w:name w:val="Hyperlink"/>
    <w:basedOn w:val="DefaultParagraphFont"/>
    <w:uiPriority w:val="99"/>
    <w:semiHidden/>
    <w:unhideWhenUsed/>
    <w:rsid w:val="00341C88"/>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twaleschronicle.co.uk/blog/2018/03/15/children-in-care-work-on-university-project-to-improve-future-care-placements-plant-mewn-gofal-yn-gweithio-ar-brosiect-prifysgol-i-wella-lleoliadau-gofal-yn-y-dyfodol/" TargetMode="External"/><Relationship Id="rId3" Type="http://schemas.openxmlformats.org/officeDocument/2006/relationships/webSettings" Target="webSettings.xml"/><Relationship Id="rId7" Type="http://schemas.openxmlformats.org/officeDocument/2006/relationships/hyperlink" Target="https://www.theguardian.com/books/2014/sep/05/ian-mcewan-law-versus-religious-belie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uk-news/2019/may/04/shamima-begum-would-face-death-penalty-in-bangladesh-says-minister" TargetMode="External"/><Relationship Id="rId11" Type="http://schemas.openxmlformats.org/officeDocument/2006/relationships/fontTable" Target="fontTable.xml"/><Relationship Id="rId5" Type="http://schemas.openxmlformats.org/officeDocument/2006/relationships/hyperlink" Target="http://www.birthrights.org.uk/library/factsheets/Social-Services-and-Maternity-Care.pdf" TargetMode="External"/><Relationship Id="rId10" Type="http://schemas.openxmlformats.org/officeDocument/2006/relationships/hyperlink" Target="https://downloads.unicef.org.uk/wp-content/uploads/2010/05/UNCRC_summary-1.pdf?_ga=2.130496076.295606004.1557994016-2028061679.1557765879" TargetMode="External"/><Relationship Id="rId4" Type="http://schemas.openxmlformats.org/officeDocument/2006/relationships/hyperlink" Target="https://www.abc.net.au/news/2016-10-03/down-syndrome-couple-fights-for-right-to-have-children/7843590" TargetMode="External"/><Relationship Id="rId9" Type="http://schemas.openxmlformats.org/officeDocument/2006/relationships/hyperlink" Target="https://www.un.org/en/universal-declaration-human-rights/" TargetMode="External"/><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2032</Words>
  <Characters>11589</Characters>
  <Application>Microsoft Office Word</Application>
  <DocSecurity>0</DocSecurity>
  <Lines>96</Lines>
  <Paragraphs>27</Paragraphs>
  <ScaleCrop>false</ScaleCrop>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 Grady</dc:creator>
  <cp:keywords/>
  <dc:description/>
  <cp:lastModifiedBy>Jaya Grady</cp:lastModifiedBy>
  <cp:revision>2</cp:revision>
  <dcterms:created xsi:type="dcterms:W3CDTF">2019-06-06T11:55:00Z</dcterms:created>
  <dcterms:modified xsi:type="dcterms:W3CDTF">2019-06-06T11:55:00Z</dcterms:modified>
</cp:coreProperties>
</file>