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E5880" w14:textId="77777777" w:rsidR="00956134" w:rsidRDefault="00956134" w:rsidP="00956134">
      <w:pPr>
        <w:rPr>
          <w:rFonts w:ascii="Times New Roman" w:hAnsi="Times New Roman" w:cs="Times New Roman"/>
          <w:b/>
          <w:bCs/>
          <w:sz w:val="24"/>
          <w:szCs w:val="24"/>
        </w:rPr>
      </w:pPr>
    </w:p>
    <w:p w14:paraId="6BB5F027" w14:textId="77777777" w:rsidR="00956134" w:rsidRDefault="00956134" w:rsidP="00956134">
      <w:pPr>
        <w:rPr>
          <w:rFonts w:ascii="Times New Roman" w:hAnsi="Times New Roman" w:cs="Times New Roman"/>
          <w:b/>
          <w:bCs/>
          <w:sz w:val="24"/>
          <w:szCs w:val="24"/>
        </w:rPr>
      </w:pPr>
    </w:p>
    <w:p w14:paraId="3DCAF736" w14:textId="77777777" w:rsidR="00956134" w:rsidRDefault="00956134" w:rsidP="00956134">
      <w:pPr>
        <w:jc w:val="both"/>
        <w:rPr>
          <w:rFonts w:ascii="Times New Roman" w:hAnsi="Times New Roman" w:cs="Times New Roman"/>
          <w:sz w:val="24"/>
          <w:szCs w:val="24"/>
        </w:rPr>
      </w:pPr>
      <w:r>
        <w:rPr>
          <w:noProof/>
          <w:sz w:val="20"/>
          <w:lang w:eastAsia="en-GB"/>
        </w:rPr>
        <w:drawing>
          <wp:inline distT="0" distB="0" distL="0" distR="0" wp14:anchorId="52BA4798" wp14:editId="4F5974D3">
            <wp:extent cx="3228370" cy="1114044"/>
            <wp:effectExtent l="0" t="0" r="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3228370" cy="1114044"/>
                    </a:xfrm>
                    <a:prstGeom prst="rect">
                      <a:avLst/>
                    </a:prstGeom>
                  </pic:spPr>
                </pic:pic>
              </a:graphicData>
            </a:graphic>
          </wp:inline>
        </w:drawing>
      </w:r>
    </w:p>
    <w:p w14:paraId="2E7AB3F3" w14:textId="77777777" w:rsidR="00956134" w:rsidRDefault="00956134" w:rsidP="00956134">
      <w:pPr>
        <w:jc w:val="both"/>
        <w:rPr>
          <w:rFonts w:ascii="Times New Roman" w:hAnsi="Times New Roman" w:cs="Times New Roman"/>
          <w:sz w:val="24"/>
          <w:szCs w:val="24"/>
        </w:rPr>
      </w:pPr>
    </w:p>
    <w:p w14:paraId="3456493F" w14:textId="77777777" w:rsidR="00956134" w:rsidRDefault="00956134" w:rsidP="00956134">
      <w:pPr>
        <w:jc w:val="both"/>
        <w:rPr>
          <w:rFonts w:ascii="Times New Roman" w:hAnsi="Times New Roman" w:cs="Times New Roman"/>
          <w:sz w:val="24"/>
          <w:szCs w:val="24"/>
        </w:rPr>
      </w:pPr>
    </w:p>
    <w:p w14:paraId="6D44B2CD" w14:textId="77777777" w:rsidR="00956134" w:rsidRDefault="00956134" w:rsidP="00956134">
      <w:pPr>
        <w:jc w:val="both"/>
        <w:rPr>
          <w:rFonts w:ascii="Times New Roman" w:hAnsi="Times New Roman" w:cs="Times New Roman"/>
          <w:sz w:val="24"/>
          <w:szCs w:val="24"/>
        </w:rPr>
      </w:pPr>
    </w:p>
    <w:p w14:paraId="7F8C5629" w14:textId="77777777" w:rsidR="00956134" w:rsidRDefault="00956134" w:rsidP="00956134">
      <w:pPr>
        <w:jc w:val="both"/>
        <w:rPr>
          <w:rFonts w:ascii="Times New Roman" w:hAnsi="Times New Roman" w:cs="Times New Roman"/>
          <w:sz w:val="24"/>
          <w:szCs w:val="24"/>
        </w:rPr>
      </w:pPr>
    </w:p>
    <w:p w14:paraId="45D24E1E" w14:textId="5F7793B0" w:rsidR="00956134" w:rsidRDefault="00956134" w:rsidP="00956134">
      <w:pPr>
        <w:spacing w:before="1"/>
        <w:rPr>
          <w:b/>
          <w:sz w:val="28"/>
        </w:rPr>
      </w:pPr>
      <w:r>
        <w:rPr>
          <w:b/>
          <w:sz w:val="28"/>
        </w:rPr>
        <w:t>CR</w:t>
      </w:r>
      <w:r w:rsidR="0085345E">
        <w:rPr>
          <w:b/>
          <w:sz w:val="28"/>
        </w:rPr>
        <w:t>I</w:t>
      </w:r>
      <w:bookmarkStart w:id="0" w:name="_GoBack"/>
      <w:bookmarkEnd w:id="0"/>
      <w:r>
        <w:rPr>
          <w:b/>
          <w:sz w:val="28"/>
        </w:rPr>
        <w:t xml:space="preserve">STIAN SOCACIU </w:t>
      </w:r>
    </w:p>
    <w:p w14:paraId="300BAC0B" w14:textId="77777777" w:rsidR="00956134" w:rsidRDefault="00956134" w:rsidP="00956134">
      <w:pPr>
        <w:spacing w:before="1"/>
        <w:rPr>
          <w:b/>
          <w:sz w:val="28"/>
        </w:rPr>
      </w:pPr>
      <w:r>
        <w:rPr>
          <w:b/>
          <w:sz w:val="28"/>
        </w:rPr>
        <w:t>STUDENT NUMBER: 1815972</w:t>
      </w:r>
    </w:p>
    <w:p w14:paraId="4AD3DEFD" w14:textId="77777777" w:rsidR="00956134" w:rsidRDefault="00956134" w:rsidP="00956134">
      <w:pPr>
        <w:spacing w:before="1"/>
        <w:rPr>
          <w:b/>
          <w:sz w:val="28"/>
        </w:rPr>
      </w:pPr>
    </w:p>
    <w:p w14:paraId="3D1E6434" w14:textId="77777777" w:rsidR="00956134" w:rsidRDefault="00956134" w:rsidP="00956134">
      <w:pPr>
        <w:spacing w:line="480" w:lineRule="auto"/>
        <w:ind w:left="2997" w:right="2457" w:hanging="589"/>
        <w:jc w:val="center"/>
        <w:rPr>
          <w:b/>
          <w:sz w:val="28"/>
        </w:rPr>
      </w:pPr>
    </w:p>
    <w:p w14:paraId="51F705FE" w14:textId="77777777" w:rsidR="00956134" w:rsidRDefault="00956134" w:rsidP="00956134">
      <w:pPr>
        <w:spacing w:line="480" w:lineRule="auto"/>
        <w:ind w:left="2997" w:right="2457" w:hanging="589"/>
        <w:jc w:val="center"/>
        <w:rPr>
          <w:b/>
          <w:sz w:val="28"/>
        </w:rPr>
      </w:pPr>
    </w:p>
    <w:p w14:paraId="0CADB8B8" w14:textId="77777777" w:rsidR="00956134" w:rsidRPr="00F8055F" w:rsidRDefault="00956134" w:rsidP="00956134">
      <w:pPr>
        <w:spacing w:line="480" w:lineRule="auto"/>
        <w:ind w:left="2997" w:right="2457" w:hanging="589"/>
        <w:jc w:val="center"/>
        <w:rPr>
          <w:b/>
          <w:sz w:val="28"/>
        </w:rPr>
      </w:pPr>
      <w:r w:rsidRPr="00F8055F">
        <w:rPr>
          <w:b/>
          <w:sz w:val="28"/>
        </w:rPr>
        <w:t>Banking Financial Management and</w:t>
      </w:r>
    </w:p>
    <w:p w14:paraId="7F941D58" w14:textId="77777777" w:rsidR="00956134" w:rsidRPr="00F8055F" w:rsidRDefault="00956134" w:rsidP="00956134">
      <w:pPr>
        <w:spacing w:line="480" w:lineRule="auto"/>
        <w:ind w:left="2997" w:right="2457" w:hanging="589"/>
        <w:jc w:val="center"/>
        <w:rPr>
          <w:b/>
          <w:sz w:val="28"/>
        </w:rPr>
      </w:pPr>
      <w:r w:rsidRPr="00F8055F">
        <w:rPr>
          <w:b/>
          <w:sz w:val="28"/>
        </w:rPr>
        <w:t>Financial Markets</w:t>
      </w:r>
    </w:p>
    <w:p w14:paraId="7036A324" w14:textId="77777777" w:rsidR="00956134" w:rsidRDefault="00956134" w:rsidP="00956134">
      <w:pPr>
        <w:spacing w:line="480" w:lineRule="auto"/>
        <w:ind w:left="2997" w:right="2457" w:hanging="589"/>
        <w:jc w:val="center"/>
        <w:rPr>
          <w:b/>
          <w:sz w:val="28"/>
        </w:rPr>
      </w:pPr>
      <w:r w:rsidRPr="00F8055F">
        <w:rPr>
          <w:b/>
          <w:sz w:val="28"/>
        </w:rPr>
        <w:t>LCMB7012</w:t>
      </w:r>
    </w:p>
    <w:p w14:paraId="7B1D84C0" w14:textId="77777777" w:rsidR="00956134" w:rsidRDefault="00956134" w:rsidP="00956134">
      <w:pPr>
        <w:spacing w:line="480" w:lineRule="auto"/>
        <w:ind w:left="2997" w:right="2457" w:hanging="589"/>
        <w:jc w:val="center"/>
        <w:rPr>
          <w:b/>
          <w:sz w:val="28"/>
        </w:rPr>
      </w:pPr>
      <w:r>
        <w:rPr>
          <w:b/>
          <w:sz w:val="28"/>
        </w:rPr>
        <w:t>ASSESMENT 1</w:t>
      </w:r>
    </w:p>
    <w:p w14:paraId="367AB083" w14:textId="77777777" w:rsidR="00956134" w:rsidRDefault="00956134" w:rsidP="00956134">
      <w:pPr>
        <w:spacing w:line="480" w:lineRule="auto"/>
        <w:ind w:left="2997" w:right="2457" w:hanging="589"/>
        <w:jc w:val="center"/>
        <w:rPr>
          <w:b/>
          <w:sz w:val="28"/>
        </w:rPr>
      </w:pPr>
    </w:p>
    <w:p w14:paraId="1BD267AF" w14:textId="77777777" w:rsidR="00956134" w:rsidRPr="00F8055F" w:rsidRDefault="00956134" w:rsidP="00956134">
      <w:pPr>
        <w:spacing w:line="480" w:lineRule="auto"/>
        <w:ind w:left="2997" w:right="2457" w:hanging="589"/>
        <w:jc w:val="center"/>
        <w:rPr>
          <w:b/>
          <w:sz w:val="28"/>
        </w:rPr>
      </w:pPr>
      <w:r>
        <w:rPr>
          <w:b/>
          <w:sz w:val="28"/>
        </w:rPr>
        <w:t>ISAIAH OINO</w:t>
      </w:r>
    </w:p>
    <w:p w14:paraId="71E07319" w14:textId="77777777" w:rsidR="00956134" w:rsidRDefault="00956134" w:rsidP="00956134">
      <w:pPr>
        <w:rPr>
          <w:rFonts w:ascii="Times New Roman" w:hAnsi="Times New Roman" w:cs="Times New Roman"/>
          <w:b/>
          <w:bCs/>
          <w:sz w:val="24"/>
          <w:szCs w:val="24"/>
        </w:rPr>
      </w:pPr>
    </w:p>
    <w:p w14:paraId="4AAC6DB5" w14:textId="77777777" w:rsidR="00956134" w:rsidRPr="00ED39EA" w:rsidRDefault="00956134" w:rsidP="00956134">
      <w:pPr>
        <w:rPr>
          <w:rFonts w:ascii="Times New Roman" w:hAnsi="Times New Roman" w:cs="Times New Roman"/>
          <w:b/>
          <w:bCs/>
          <w:sz w:val="24"/>
          <w:szCs w:val="24"/>
        </w:rPr>
      </w:pPr>
      <w:r w:rsidRPr="00ED39EA">
        <w:rPr>
          <w:rFonts w:ascii="Times New Roman" w:hAnsi="Times New Roman" w:cs="Times New Roman"/>
          <w:b/>
          <w:bCs/>
          <w:sz w:val="24"/>
          <w:szCs w:val="24"/>
        </w:rPr>
        <w:t>Introduction:</w:t>
      </w:r>
    </w:p>
    <w:p w14:paraId="53F99AAF" w14:textId="77777777" w:rsidR="00956134" w:rsidRPr="00593C09" w:rsidRDefault="00956134" w:rsidP="00956134">
      <w:pPr>
        <w:rPr>
          <w:rFonts w:ascii="Times New Roman" w:hAnsi="Times New Roman" w:cs="Times New Roman"/>
          <w:sz w:val="24"/>
          <w:szCs w:val="24"/>
        </w:rPr>
      </w:pPr>
    </w:p>
    <w:p w14:paraId="29B014ED" w14:textId="77777777" w:rsidR="00956134" w:rsidRDefault="00956134" w:rsidP="00956134">
      <w:pPr>
        <w:spacing w:before="240"/>
        <w:rPr>
          <w:rFonts w:ascii="Times New Roman" w:hAnsi="Times New Roman" w:cs="Times New Roman"/>
          <w:sz w:val="24"/>
          <w:szCs w:val="24"/>
        </w:rPr>
      </w:pPr>
      <w:r w:rsidRPr="00593C09">
        <w:rPr>
          <w:rFonts w:ascii="Times New Roman" w:hAnsi="Times New Roman" w:cs="Times New Roman"/>
          <w:sz w:val="24"/>
          <w:szCs w:val="24"/>
        </w:rPr>
        <w:t xml:space="preserve"> </w:t>
      </w:r>
      <w:r>
        <w:rPr>
          <w:rFonts w:ascii="Times New Roman" w:hAnsi="Times New Roman" w:cs="Times New Roman"/>
          <w:sz w:val="24"/>
          <w:szCs w:val="24"/>
        </w:rPr>
        <w:t xml:space="preserve">The financial sector plays a central role in every economy, in its absence or partial failure the stability of the of the entire economy can be severely damaged (A. P. Faure 2016). </w:t>
      </w:r>
    </w:p>
    <w:p w14:paraId="631F8A68"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w:t>
      </w:r>
      <w:r w:rsidRPr="00593C09">
        <w:rPr>
          <w:rFonts w:ascii="Times New Roman" w:hAnsi="Times New Roman" w:cs="Times New Roman"/>
          <w:sz w:val="24"/>
          <w:szCs w:val="24"/>
        </w:rPr>
        <w:t>As stated on the Bank of England</w:t>
      </w:r>
      <w:r>
        <w:rPr>
          <w:rFonts w:ascii="Times New Roman" w:hAnsi="Times New Roman" w:cs="Times New Roman"/>
          <w:sz w:val="24"/>
          <w:szCs w:val="24"/>
        </w:rPr>
        <w:t>’s</w:t>
      </w:r>
      <w:r w:rsidRPr="00593C09">
        <w:rPr>
          <w:rFonts w:ascii="Times New Roman" w:hAnsi="Times New Roman" w:cs="Times New Roman"/>
          <w:sz w:val="24"/>
          <w:szCs w:val="24"/>
        </w:rPr>
        <w:t xml:space="preserve"> website</w:t>
      </w:r>
      <w:r>
        <w:rPr>
          <w:rFonts w:ascii="Times New Roman" w:hAnsi="Times New Roman" w:cs="Times New Roman"/>
          <w:sz w:val="24"/>
          <w:szCs w:val="24"/>
        </w:rPr>
        <w:t xml:space="preserve"> (</w:t>
      </w:r>
      <w:hyperlink r:id="rId6" w:history="1">
        <w:r w:rsidRPr="00CC3023">
          <w:rPr>
            <w:rStyle w:val="Hyperlink"/>
            <w:rFonts w:ascii="Times New Roman" w:hAnsi="Times New Roman" w:cs="Times New Roman"/>
            <w:sz w:val="24"/>
            <w:szCs w:val="24"/>
          </w:rPr>
          <w:t>www.bankofengland.co.uk</w:t>
        </w:r>
      </w:hyperlink>
      <w:r>
        <w:rPr>
          <w:rFonts w:ascii="Times New Roman" w:hAnsi="Times New Roman" w:cs="Times New Roman"/>
          <w:sz w:val="24"/>
          <w:szCs w:val="24"/>
        </w:rPr>
        <w:t>) when banks fail not only the depositors loose by not being able to redraw their money, it can cause serious problems for the whole economy which can generate other social and political problems, people can lose their confidence in the bank and create a bank run scenario in which customers with money deposited in a certain bank’s account rush to take it out quicker than the bank can manage, an example of this is Northern Rock Bank in 2007, this doesn’t create problems only for that particular bank but for the whole banking system as well due to interbank linkages and information spillover where the confidence in the whole banking system is affected by the difficulties of a single bank (</w:t>
      </w:r>
      <w:r w:rsidRPr="0065329A">
        <w:rPr>
          <w:rFonts w:ascii="Times New Roman" w:hAnsi="Times New Roman" w:cs="Times New Roman"/>
          <w:sz w:val="24"/>
          <w:szCs w:val="24"/>
        </w:rPr>
        <w:t>Goldsmith-Pinkham, P. and Yorulmazer</w:t>
      </w:r>
      <w:r>
        <w:rPr>
          <w:rFonts w:ascii="Times New Roman" w:hAnsi="Times New Roman" w:cs="Times New Roman"/>
          <w:sz w:val="24"/>
          <w:szCs w:val="24"/>
        </w:rPr>
        <w:t xml:space="preserve"> 2010). In the case of Northern Rock the crisis was resolved with the intervention of U.K.’s government guaranteeing all the deposits, but this is an unwanted scenario snice the Bank of England is the lender of last resort and it should not intervene in aiding a bank unless there is no other possibility for that bank to get hold of the necessary liquidity. </w:t>
      </w:r>
    </w:p>
    <w:p w14:paraId="4C0DAE78"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In general, banks have the role of financial intermediaries between all sectors of the economy and it provides payment and clearing systems for the whole economy, so the stability of the financial sector is very important. </w:t>
      </w:r>
    </w:p>
    <w:p w14:paraId="43EB00A5"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Banks should protect their customer’s money the depositors should be able to redraw their money whenever they need it, but the banks make use of that money by investing it further, in search for the biggest profit banks can make risky investment decisions which can affect the depositor’s money that’s why the governments have implemented regulations like Senior management regime where the senior management is held responsible for their decisions (</w:t>
      </w:r>
      <w:hyperlink r:id="rId7" w:history="1">
        <w:r w:rsidRPr="00CC3023">
          <w:rPr>
            <w:rStyle w:val="Hyperlink"/>
            <w:rFonts w:ascii="Times New Roman" w:hAnsi="Times New Roman" w:cs="Times New Roman"/>
            <w:sz w:val="24"/>
            <w:szCs w:val="24"/>
          </w:rPr>
          <w:t>www.bankofengland.co.uk</w:t>
        </w:r>
      </w:hyperlink>
      <w:r>
        <w:rPr>
          <w:rFonts w:ascii="Times New Roman" w:hAnsi="Times New Roman" w:cs="Times New Roman"/>
          <w:sz w:val="24"/>
          <w:szCs w:val="24"/>
        </w:rPr>
        <w:t>) and Ring-fencing where the banks have to separate the risky assets from the firm so if an investment proves to be wrong and generate substantial losses, just a part of the company will be heavily affected but not the whole firm by doing so the depositor’s money have more protection (</w:t>
      </w:r>
      <w:r w:rsidRPr="0093528C">
        <w:rPr>
          <w:rFonts w:ascii="Times New Roman" w:hAnsi="Times New Roman" w:cs="Times New Roman"/>
          <w:sz w:val="24"/>
          <w:szCs w:val="24"/>
        </w:rPr>
        <w:t>D'Hulster, K. and Ötker-Robe, I., 2015</w:t>
      </w:r>
      <w:r>
        <w:rPr>
          <w:rFonts w:ascii="Times New Roman" w:hAnsi="Times New Roman" w:cs="Times New Roman"/>
          <w:sz w:val="24"/>
          <w:szCs w:val="24"/>
        </w:rPr>
        <w:t xml:space="preserve">), furthermore there is a deposit guarantee scheme where all the deposits under £85000 are protected and banks also have to keep cash or liquid assets to cover unexpected withdraws. Bank of England appraises bangs by running yearly stress tests by creating hypothetical unfavourable scenarios and see if banks hold enough capital to meet unexpected losses.      </w:t>
      </w:r>
    </w:p>
    <w:p w14:paraId="2984859F"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According to A. P. Faure (2016) financial regulations can be defined by having tree main goals: promotion of financial stability, promotion of fair healthy competition and promotion of consumer protection.</w:t>
      </w:r>
    </w:p>
    <w:p w14:paraId="5C06E9C5"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 As regulations have increased in number and in impact in the recent years, they have ben the subject of intense critique and the argument has been made to stress the importance of self-regulation and private regulatory bodies (Pacces, Heremans, 2012), furthermore the Basel 3 regulatory actions were heavily criticised for its inhibitory nature of risk taking ability by banks and argued that it will reduce the banks capability to grow and subsequently will slow down the economic growth of every country that adopts it (Allen B., et. al 2012).</w:t>
      </w:r>
    </w:p>
    <w:p w14:paraId="10430F93"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J.R. Bath, et. al (2012) argues that the activity restrictions imposed by regulation may lead to the formation of banks conglomerates activating in certain areas of the economic sector that will be too big and too dificult to supervise and regulate and the “</w:t>
      </w:r>
      <w:r w:rsidRPr="00525ECD">
        <w:rPr>
          <w:rFonts w:ascii="Times New Roman" w:hAnsi="Times New Roman" w:cs="Times New Roman"/>
          <w:sz w:val="24"/>
          <w:szCs w:val="24"/>
        </w:rPr>
        <w:t>more stringent capital</w:t>
      </w:r>
      <w:r>
        <w:rPr>
          <w:rFonts w:ascii="Times New Roman" w:hAnsi="Times New Roman" w:cs="Times New Roman"/>
          <w:sz w:val="24"/>
          <w:szCs w:val="24"/>
        </w:rPr>
        <w:t xml:space="preserve"> </w:t>
      </w:r>
      <w:r w:rsidRPr="00525ECD">
        <w:rPr>
          <w:rFonts w:ascii="Times New Roman" w:hAnsi="Times New Roman" w:cs="Times New Roman"/>
          <w:sz w:val="24"/>
          <w:szCs w:val="24"/>
        </w:rPr>
        <w:t>regulations lead to an efficiency loss in banking</w:t>
      </w:r>
      <w:r>
        <w:rPr>
          <w:rFonts w:ascii="Times New Roman" w:hAnsi="Times New Roman" w:cs="Times New Roman"/>
          <w:sz w:val="24"/>
          <w:szCs w:val="24"/>
        </w:rPr>
        <w:t xml:space="preserve"> “(J. R. Bath, et. al 2012, pp.6).</w:t>
      </w:r>
    </w:p>
    <w:p w14:paraId="77B9282E" w14:textId="77777777" w:rsidR="00956134" w:rsidRPr="00ED39EA" w:rsidRDefault="00956134" w:rsidP="00956134">
      <w:pPr>
        <w:spacing w:before="240"/>
        <w:rPr>
          <w:rFonts w:ascii="Times New Roman" w:hAnsi="Times New Roman" w:cs="Times New Roman"/>
          <w:b/>
          <w:bCs/>
          <w:sz w:val="24"/>
          <w:szCs w:val="24"/>
        </w:rPr>
      </w:pPr>
      <w:r w:rsidRPr="00ED39EA">
        <w:rPr>
          <w:rFonts w:ascii="Times New Roman" w:hAnsi="Times New Roman" w:cs="Times New Roman"/>
          <w:b/>
          <w:bCs/>
          <w:sz w:val="24"/>
          <w:szCs w:val="24"/>
        </w:rPr>
        <w:t xml:space="preserve"> </w:t>
      </w:r>
    </w:p>
    <w:p w14:paraId="15476C3E" w14:textId="77777777" w:rsidR="00956134" w:rsidRPr="00ED39EA" w:rsidRDefault="00956134" w:rsidP="00956134">
      <w:pPr>
        <w:spacing w:before="240"/>
        <w:rPr>
          <w:rFonts w:ascii="Times New Roman" w:hAnsi="Times New Roman" w:cs="Times New Roman"/>
          <w:b/>
          <w:bCs/>
          <w:sz w:val="24"/>
          <w:szCs w:val="24"/>
        </w:rPr>
      </w:pPr>
      <w:r w:rsidRPr="00ED39EA">
        <w:rPr>
          <w:rFonts w:ascii="Times New Roman" w:hAnsi="Times New Roman" w:cs="Times New Roman"/>
          <w:b/>
          <w:bCs/>
          <w:sz w:val="24"/>
          <w:szCs w:val="24"/>
        </w:rPr>
        <w:t>RISK</w:t>
      </w:r>
    </w:p>
    <w:p w14:paraId="70103FFE"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According to the Oxford dictionary (1966) the concept of risk is defined as the possibility of a situation to become dangerous or have a bad result, risk mitigation being the reduction of how serious something is, or it can become.</w:t>
      </w:r>
    </w:p>
    <w:p w14:paraId="3A73D954"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Banks are amongst the riskiest and risk-taking institutions in the whole economic field (A. P. Faure, 2016), risk cannot be separated and is proportionated to return (</w:t>
      </w:r>
      <w:r w:rsidRPr="0021088C">
        <w:rPr>
          <w:rFonts w:ascii="Times New Roman" w:hAnsi="Times New Roman" w:cs="Times New Roman"/>
          <w:sz w:val="24"/>
          <w:szCs w:val="24"/>
        </w:rPr>
        <w:t>McInish, T.H., 1982</w:t>
      </w:r>
      <w:r>
        <w:rPr>
          <w:rFonts w:ascii="Times New Roman" w:hAnsi="Times New Roman" w:cs="Times New Roman"/>
          <w:sz w:val="24"/>
          <w:szCs w:val="24"/>
        </w:rPr>
        <w:t>), banks like any other business makes use of risk to maximise its returns and shareholder values.</w:t>
      </w:r>
    </w:p>
    <w:p w14:paraId="09652E48"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A. P. Faure (2016) explains that the main types of risks banks are usually exposed for are:</w:t>
      </w:r>
    </w:p>
    <w:p w14:paraId="09AD2D91" w14:textId="77777777" w:rsidR="00956134" w:rsidRDefault="00956134" w:rsidP="00956134">
      <w:pPr>
        <w:pStyle w:val="Listparagraf"/>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Market risk</w:t>
      </w:r>
    </w:p>
    <w:p w14:paraId="53B9C9FF" w14:textId="77777777" w:rsidR="00956134" w:rsidRDefault="00956134" w:rsidP="00956134">
      <w:pPr>
        <w:pStyle w:val="Listparagraf"/>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 xml:space="preserve">Interest rate risk </w:t>
      </w:r>
    </w:p>
    <w:p w14:paraId="19872FEE" w14:textId="77777777" w:rsidR="00956134" w:rsidRDefault="00956134" w:rsidP="00956134">
      <w:pPr>
        <w:pStyle w:val="Listparagraf"/>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Liquidity risk</w:t>
      </w:r>
    </w:p>
    <w:p w14:paraId="72466D56" w14:textId="77777777" w:rsidR="00956134" w:rsidRDefault="00956134" w:rsidP="00956134">
      <w:pPr>
        <w:pStyle w:val="Listparagraf"/>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Credit risk</w:t>
      </w:r>
    </w:p>
    <w:p w14:paraId="12DD7F12" w14:textId="77777777" w:rsidR="00956134" w:rsidRDefault="00956134" w:rsidP="00956134">
      <w:pPr>
        <w:pStyle w:val="Listparagraf"/>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Currency risk</w:t>
      </w:r>
    </w:p>
    <w:p w14:paraId="56608EB5" w14:textId="77777777" w:rsidR="00956134" w:rsidRDefault="00956134" w:rsidP="00956134">
      <w:pPr>
        <w:pStyle w:val="Listparagraf"/>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 xml:space="preserve">Operational Risk </w:t>
      </w:r>
    </w:p>
    <w:p w14:paraId="514FA64C" w14:textId="77777777" w:rsidR="00956134" w:rsidRDefault="00956134" w:rsidP="00956134">
      <w:pPr>
        <w:pStyle w:val="Listparagraf"/>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Counterparty risk</w:t>
      </w:r>
    </w:p>
    <w:p w14:paraId="77AB84B4"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w:t>
      </w:r>
      <w:r w:rsidRPr="0058707B">
        <w:rPr>
          <w:rFonts w:ascii="Times New Roman" w:hAnsi="Times New Roman" w:cs="Times New Roman"/>
          <w:b/>
          <w:bCs/>
          <w:sz w:val="24"/>
          <w:szCs w:val="24"/>
        </w:rPr>
        <w:t>Market risk</w:t>
      </w:r>
      <w:r>
        <w:rPr>
          <w:rFonts w:ascii="Times New Roman" w:hAnsi="Times New Roman" w:cs="Times New Roman"/>
          <w:sz w:val="24"/>
          <w:szCs w:val="24"/>
        </w:rPr>
        <w:t xml:space="preserve"> is the risk associated with the decline in market value of financial securities that can be caused by unexpected changes in market prices and interest rates and changes in credit spreads. Over many years’ banks have responded by increasing their trading activities which has led some banks holding large positions in financial securities, which has increased exposure to market risk and as is known by history has led to the collapse of high profile banks.</w:t>
      </w:r>
    </w:p>
    <w:p w14:paraId="0A0ED818"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Banks commonly use the value at risk approach, imposing risk limits, stress testing and loss triggers alongside with traditional risk management measures to mitigate risk.</w:t>
      </w:r>
    </w:p>
    <w:p w14:paraId="7684B701"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8707B">
        <w:rPr>
          <w:rFonts w:ascii="Times New Roman" w:hAnsi="Times New Roman" w:cs="Times New Roman"/>
          <w:b/>
          <w:bCs/>
          <w:sz w:val="24"/>
          <w:szCs w:val="24"/>
        </w:rPr>
        <w:t>Liquidity risk</w:t>
      </w:r>
      <w:r>
        <w:rPr>
          <w:rFonts w:ascii="Times New Roman" w:hAnsi="Times New Roman" w:cs="Times New Roman"/>
          <w:sz w:val="24"/>
          <w:szCs w:val="24"/>
        </w:rPr>
        <w:t xml:space="preserve"> occurs within the role of financial intermediation that banks have and is defined by the possibility of a bank of not being able to meet the demand of short-term liquid funds generated by customers. Banks rely on the law of large numbers which states that only a small proportion of their customers will want their funds back at the same time, and it regulates its liquid assed holdings accordingly. As a mitigation strategy most countries have adopted a liquidity coverage ratio of 100% in accordance with Basel 3 standards as response to the financial crisis of 2008 in order to make sure that the banks hold enough liquid capital for a very high demand. This scenario can happen in the case of a bank run when clients loose trust in a certain bank or in the financial system as a whole and will demand their deposits back, in this case if the bank doesn’t hold enough current assets their only option is to seek costly loans from the other bank and in case this solution is not available it could ask the help of the central bank which is in the position of the lender of the last resort which may decide to help the bank with a loan or to let it fail. In general the central bank, if it decides that the bank is small and it would not have a big impact on the economy it would let it fail but if the bank is big and it’s failure would represent a crucial distress for the economy it would in most cases support the bank, a situation which gave birth to the term ‘’too big to fail’’, a concept which is highly controversial and is often debated by experts.(G.H. Stern, et. al 2004) </w:t>
      </w:r>
    </w:p>
    <w:p w14:paraId="5C6D9A99"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w:t>
      </w:r>
      <w:r w:rsidRPr="0058707B">
        <w:rPr>
          <w:rFonts w:ascii="Times New Roman" w:hAnsi="Times New Roman" w:cs="Times New Roman"/>
          <w:b/>
          <w:bCs/>
          <w:sz w:val="24"/>
          <w:szCs w:val="24"/>
        </w:rPr>
        <w:t>Credit risk</w:t>
      </w:r>
      <w:r>
        <w:rPr>
          <w:rFonts w:ascii="Times New Roman" w:hAnsi="Times New Roman" w:cs="Times New Roman"/>
          <w:sz w:val="24"/>
          <w:szCs w:val="24"/>
        </w:rPr>
        <w:t xml:space="preserve"> is the possibility that the borrower from a bank will default on the loan and/ or interest payable, this is damaging to the bank not only through the initial loss that the bank has suffered but also through the creation of an activity of attempting to recover the loss.</w:t>
      </w:r>
    </w:p>
    <w:p w14:paraId="73D0B586"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The credit risk may appear through the existence of asymmetric information, in which the bank does not have all the information required for making sure that the borrower is capable of repaying the loan or through moral hazard in which the borrower will engage in activities that are not reflected in the information provided to the bank which may make it suffer substantial financial losses and so will not be able to repay the loan (</w:t>
      </w:r>
      <w:r w:rsidRPr="007A6862">
        <w:rPr>
          <w:rFonts w:ascii="Times New Roman" w:hAnsi="Times New Roman" w:cs="Times New Roman"/>
          <w:sz w:val="24"/>
          <w:szCs w:val="24"/>
        </w:rPr>
        <w:t>Rasmusen, E., 1987</w:t>
      </w:r>
      <w:r>
        <w:rPr>
          <w:rFonts w:ascii="Times New Roman" w:hAnsi="Times New Roman" w:cs="Times New Roman"/>
          <w:sz w:val="24"/>
          <w:szCs w:val="24"/>
        </w:rPr>
        <w:t>).</w:t>
      </w:r>
    </w:p>
    <w:p w14:paraId="28D0BCA2" w14:textId="77777777" w:rsidR="00956134" w:rsidRDefault="00956134" w:rsidP="00956134">
      <w:pPr>
        <w:spacing w:before="240"/>
        <w:rPr>
          <w:rFonts w:ascii="Times New Roman" w:hAnsi="Times New Roman" w:cs="Times New Roman"/>
          <w:b/>
          <w:bCs/>
          <w:sz w:val="24"/>
          <w:szCs w:val="24"/>
        </w:rPr>
      </w:pPr>
      <w:r>
        <w:rPr>
          <w:rFonts w:ascii="Times New Roman" w:hAnsi="Times New Roman" w:cs="Times New Roman"/>
          <w:sz w:val="24"/>
          <w:szCs w:val="24"/>
        </w:rPr>
        <w:t xml:space="preserve"> </w:t>
      </w:r>
      <w:r w:rsidRPr="00ED39EA">
        <w:rPr>
          <w:rFonts w:ascii="Times New Roman" w:hAnsi="Times New Roman" w:cs="Times New Roman"/>
          <w:b/>
          <w:bCs/>
          <w:sz w:val="24"/>
          <w:szCs w:val="24"/>
        </w:rPr>
        <w:t>Regulation criticism:</w:t>
      </w:r>
    </w:p>
    <w:p w14:paraId="6AE15C81"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Banking legislation has historically been focus on the protection of the depositor, especially to the majority of individuals whom usually don’t poses the knowledge or skills to protect themselves from big financial institutions, but according to (</w:t>
      </w:r>
      <w:r w:rsidRPr="003639A8">
        <w:rPr>
          <w:rFonts w:ascii="Times New Roman" w:hAnsi="Times New Roman" w:cs="Times New Roman"/>
          <w:sz w:val="24"/>
          <w:szCs w:val="24"/>
        </w:rPr>
        <w:t>Faure, A.P.,</w:t>
      </w:r>
      <w:r>
        <w:rPr>
          <w:rFonts w:ascii="Times New Roman" w:hAnsi="Times New Roman" w:cs="Times New Roman"/>
          <w:sz w:val="24"/>
          <w:szCs w:val="24"/>
        </w:rPr>
        <w:t xml:space="preserve"> 2016) in the present days the aim of the bank legislation has change focusing increasingly on the integrity of the financial system and protecting it against the unwanted events such as the financial crisis of 2017-2018 which put at risk not only the banking system of the USA but also the financial stability of the most countries worldwide, fact that shows how interdependent the whole world financial system is and how crucial it is to protect it.</w:t>
      </w:r>
    </w:p>
    <w:p w14:paraId="62A6AFE8"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In order to protect the stability of the financial system most countries agreed to implement a set of regulations called Basel Accords which refers to the regulation and supervision Accords of the Basel Committee on Banking Supervision or BCBS, being situated in Basel, Switzerland at the Bank of International Settlements which is formed by representatives from most of the world’s largest economies (</w:t>
      </w:r>
      <w:r w:rsidRPr="003639A8">
        <w:rPr>
          <w:rFonts w:ascii="Times New Roman" w:hAnsi="Times New Roman" w:cs="Times New Roman"/>
          <w:sz w:val="24"/>
          <w:szCs w:val="24"/>
        </w:rPr>
        <w:t>Faure, A.P.,</w:t>
      </w:r>
      <w:r>
        <w:rPr>
          <w:rFonts w:ascii="Times New Roman" w:hAnsi="Times New Roman" w:cs="Times New Roman"/>
          <w:sz w:val="24"/>
          <w:szCs w:val="24"/>
        </w:rPr>
        <w:t xml:space="preserve"> 2016).</w:t>
      </w:r>
    </w:p>
    <w:p w14:paraId="2FB7389D"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lastRenderedPageBreak/>
        <w:t xml:space="preserve"> The Basel committee has so far proposed tree sets of rules known as Basel I, II and III. Basel I was published in 1988 and enforced in 1992, it recommended a set of minimum capital requirements focused on credit risk and placed the assets in five categories according to their credit risk. As the financial markets and its products as evolved, risks have diversified and the Basel I requirements were outdated, as response the BCBS has developed a new set of regulations called Basel II. Endorsed in 2004 Basel II introduces three main areas of supervision called the three pillars formed by:  minimum capital requirement (pillar 1), Supervisory response (pillar 2) and Market discipline which promotes stability in the financial system, and greater transparency (pillar 3)(</w:t>
      </w:r>
      <w:r w:rsidRPr="00E216E0">
        <w:rPr>
          <w:rFonts w:ascii="Times New Roman" w:hAnsi="Times New Roman" w:cs="Times New Roman"/>
          <w:sz w:val="24"/>
          <w:szCs w:val="24"/>
        </w:rPr>
        <w:t xml:space="preserve"> Balin, B.J., 2008</w:t>
      </w:r>
      <w:r>
        <w:rPr>
          <w:rFonts w:ascii="Times New Roman" w:hAnsi="Times New Roman" w:cs="Times New Roman"/>
          <w:sz w:val="24"/>
          <w:szCs w:val="24"/>
        </w:rPr>
        <w:t>).</w:t>
      </w:r>
    </w:p>
    <w:p w14:paraId="2303B701"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The Basel III accord builds on the Basel II accords, it comes as a response to the 2007-2008 financial crisis and introduces tighter and more rigorous regulations in order to straighten the supervision, transparency and risk management of the financial sector and its ability to sustain normal activity in case of financial and economic distress (</w:t>
      </w:r>
      <w:r w:rsidRPr="002B431C">
        <w:rPr>
          <w:rFonts w:ascii="Times New Roman" w:hAnsi="Times New Roman" w:cs="Times New Roman"/>
          <w:sz w:val="24"/>
          <w:szCs w:val="24"/>
        </w:rPr>
        <w:t>Atkinson P.,</w:t>
      </w:r>
      <w:r>
        <w:rPr>
          <w:rFonts w:ascii="Times New Roman" w:hAnsi="Times New Roman" w:cs="Times New Roman"/>
          <w:sz w:val="24"/>
          <w:szCs w:val="24"/>
        </w:rPr>
        <w:t xml:space="preserve"> et al.,</w:t>
      </w:r>
      <w:r w:rsidRPr="002B431C">
        <w:rPr>
          <w:rFonts w:ascii="Times New Roman" w:hAnsi="Times New Roman" w:cs="Times New Roman"/>
          <w:sz w:val="24"/>
          <w:szCs w:val="24"/>
        </w:rPr>
        <w:t xml:space="preserve"> 2010</w:t>
      </w:r>
      <w:r>
        <w:rPr>
          <w:rFonts w:ascii="Times New Roman" w:hAnsi="Times New Roman" w:cs="Times New Roman"/>
          <w:sz w:val="24"/>
          <w:szCs w:val="24"/>
        </w:rPr>
        <w:t>)</w:t>
      </w:r>
    </w:p>
    <w:p w14:paraId="60905E47"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Under Basel III Accords banks are required to hold at least 6% of Tier 1 capital which is composed of a bank’s core capital (common stock and disclosure reserves), the common stock ratio is calculated by dividing the Tier 1 capital to total risk waited assets. Another regulation imposed by the Basel III accords is the Liquidity Coverage Ratio where banks are required to hold enough amount of high-quality liquid assets and cash to cover the banks activity for 30 days. The liquidity coverage ratio along with the other Basel III regulation is heavily criticised mainly because it reduces a bank’s ability to finance short term debt, increases the cost of debt for bank borrowers and deteriorate the bank’s profitability which will affect the money creation process and will slow down the growth of the economy some analysts explain (Allen, B. et. al.,2012), but the empirical evidence shows mixed results depending on the country’s state of economy, the geographical region and the size of the bank.</w:t>
      </w:r>
    </w:p>
    <w:p w14:paraId="1D7DBD7C"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A study published in 2017 by Fimru, J. and Lind, A. which analyses a dataset of 42 primary studies has shown that on average the capital and liquidity requirements imposed by Basel III have a relatively low impact on the overall economic growth, according to their study on average the GDP level is expected to decrease by approximately -0.2% in relation to 1% increase in the capital ratio requirement. Furthermore a study that analyses 1190 banks from the world five major emerging economies Brazil, Russia, India, China and South Africa also known by the acronym BRICS in the period 2007-2015 shows that banks cost efficiency has a significant negative impact on the cost of financial intermediation and a significant positive impact on the bank’s capital which suggests that the impact of the Basel III regulation may differ greatly from a bank to another depending on the bank’s performance in the market(Rahman, M.M., 2017), in support of this results comes a study made on the Bangladeshi banking sector on 32 commercial banks between 2000 and 2015 that shows that a high capital ratio, will reduce the reduce the cost of financial intermediation and will increase the bank’s profitability(Rahman, M.M, 2017).</w:t>
      </w:r>
    </w:p>
    <w:p w14:paraId="7BDB02E7"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On the other hand evidence from the United Kingdom shows that tighter liquidity regulations does not have any major effects on quantity or price of lending when it comes to lending to </w:t>
      </w:r>
      <w:r>
        <w:rPr>
          <w:rFonts w:ascii="Times New Roman" w:hAnsi="Times New Roman" w:cs="Times New Roman"/>
          <w:sz w:val="24"/>
          <w:szCs w:val="24"/>
        </w:rPr>
        <w:lastRenderedPageBreak/>
        <w:t>the non-financial sector but it has an major effect by reducing the interbank lending  which can be considered a negative effect because of the high interconnectivity of the financial sector and its ability to reduce shock by transmitting it from a bank to another(Onali, E., et. al., 2018).</w:t>
      </w:r>
    </w:p>
    <w:p w14:paraId="1C0B555A" w14:textId="77777777" w:rsidR="00956134" w:rsidRPr="00ED39EA" w:rsidRDefault="00956134" w:rsidP="00956134">
      <w:pPr>
        <w:spacing w:before="240"/>
        <w:rPr>
          <w:rFonts w:ascii="Times New Roman" w:hAnsi="Times New Roman" w:cs="Times New Roman"/>
          <w:b/>
          <w:bCs/>
          <w:sz w:val="24"/>
          <w:szCs w:val="24"/>
        </w:rPr>
      </w:pPr>
    </w:p>
    <w:p w14:paraId="79D613DE" w14:textId="77777777" w:rsidR="00956134" w:rsidRPr="00ED39EA" w:rsidRDefault="00956134" w:rsidP="00956134">
      <w:pPr>
        <w:spacing w:before="240"/>
        <w:rPr>
          <w:rFonts w:ascii="Times New Roman" w:hAnsi="Times New Roman" w:cs="Times New Roman"/>
          <w:b/>
          <w:bCs/>
          <w:sz w:val="24"/>
          <w:szCs w:val="24"/>
        </w:rPr>
      </w:pPr>
      <w:r w:rsidRPr="00ED39EA">
        <w:rPr>
          <w:rFonts w:ascii="Times New Roman" w:hAnsi="Times New Roman" w:cs="Times New Roman"/>
          <w:b/>
          <w:bCs/>
          <w:sz w:val="24"/>
          <w:szCs w:val="24"/>
        </w:rPr>
        <w:t xml:space="preserve"> Banks:</w:t>
      </w:r>
    </w:p>
    <w:p w14:paraId="24C51201"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For the purpose of this report the following banks have been chosen: </w:t>
      </w:r>
    </w:p>
    <w:p w14:paraId="375068A3"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HSBC Holdings is Europe biggest bank with total assets of $2,558 trillion it has its origins in Hong Kong but since 1993 it has relocated in London U.K.; it activates in 67 countries over 6 continents.</w:t>
      </w:r>
    </w:p>
    <w:p w14:paraId="22CAF881"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Lloyds bank activates in England and Wales, was founded in 1765 in Birmingham, is one of the biggest four banks in the U.K. with £797.6 billion in assets.</w:t>
      </w:r>
    </w:p>
    <w:p w14:paraId="5FAC24AF"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Standard Chartered is a British multinational bank which operates in 70 countries, it was formed in 1969 by the merger of Chartered bank of India, Australia and China, and Standard Bank of British South Africa, its total assets are of $688 billion.</w:t>
      </w:r>
    </w:p>
    <w:p w14:paraId="6A0833C6" w14:textId="77777777" w:rsidR="00956134" w:rsidRDefault="00956134" w:rsidP="00956134">
      <w:pPr>
        <w:spacing w:before="240"/>
        <w:rPr>
          <w:rFonts w:ascii="Times New Roman" w:hAnsi="Times New Roman" w:cs="Times New Roman"/>
          <w:sz w:val="24"/>
          <w:szCs w:val="24"/>
        </w:rPr>
      </w:pPr>
    </w:p>
    <w:p w14:paraId="57B729D7" w14:textId="77777777" w:rsidR="00956134" w:rsidRDefault="00956134" w:rsidP="00956134">
      <w:pPr>
        <w:spacing w:before="240"/>
        <w:rPr>
          <w:rFonts w:ascii="Times New Roman" w:hAnsi="Times New Roman" w:cs="Times New Roman"/>
          <w:sz w:val="24"/>
          <w:szCs w:val="24"/>
        </w:rPr>
      </w:pPr>
    </w:p>
    <w:p w14:paraId="28CD0110" w14:textId="77777777" w:rsidR="00956134" w:rsidRDefault="00956134" w:rsidP="00956134">
      <w:pPr>
        <w:spacing w:before="240"/>
        <w:rPr>
          <w:rFonts w:ascii="Times New Roman" w:hAnsi="Times New Roman" w:cs="Times New Roman"/>
          <w:sz w:val="24"/>
          <w:szCs w:val="24"/>
        </w:rPr>
      </w:pPr>
    </w:p>
    <w:p w14:paraId="5BAE8220"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The bank liquidity risk has long been recognised as a major threat to the financial institutions stability and has become one of the main focus of financial regulatory reforms since it’s dangers of illiquidity has become apparent in the light of the 2008 financial crisis.</w:t>
      </w:r>
    </w:p>
    <w:p w14:paraId="50C2F21F"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This paper will analyse the relationship between the level of liquidity of the selected banks and its impact to their financial intermediary roles more exactly on lending.</w:t>
      </w:r>
    </w:p>
    <w:p w14:paraId="61CF69B3" w14:textId="77777777" w:rsidR="00956134" w:rsidRPr="00ED39EA" w:rsidRDefault="00956134" w:rsidP="00956134">
      <w:pPr>
        <w:spacing w:before="240"/>
        <w:rPr>
          <w:rFonts w:ascii="Times New Roman" w:hAnsi="Times New Roman" w:cs="Times New Roman"/>
          <w:b/>
          <w:bCs/>
          <w:sz w:val="24"/>
          <w:szCs w:val="24"/>
        </w:rPr>
      </w:pPr>
      <w:r w:rsidRPr="00ED39EA">
        <w:rPr>
          <w:rFonts w:ascii="Times New Roman" w:hAnsi="Times New Roman" w:cs="Times New Roman"/>
          <w:b/>
          <w:bCs/>
          <w:sz w:val="24"/>
          <w:szCs w:val="24"/>
        </w:rPr>
        <w:t xml:space="preserve"> Banks analysis:</w:t>
      </w:r>
    </w:p>
    <w:p w14:paraId="6D16DB15"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For the purpose of this assessment three international banks with the headquarters in the United Kingdom were chosen and analysed: HSBC Bank, Lloyds Bank and Standard Charted (STC). All the three banks are commercial banks with activities also in investment banking and in insurance activities, this paper will analyse the relation between the regulatory capital requirements respectively Tier 1 capital and the bank performance respectively the impact of the regulatory capital and banks liquidity and profitability. For measuring the liquidity will be used the Liquidity Coverage Ratio (LCR) and to measure profitability this paper will make use of the Cost to Income Ratio (C/I) and Return on Equity (ROE), in order to measure more accurately the impact of the Basel III regulation on the role of the financial intermediary of </w:t>
      </w:r>
      <w:r>
        <w:rPr>
          <w:rFonts w:ascii="Times New Roman" w:hAnsi="Times New Roman" w:cs="Times New Roman"/>
          <w:sz w:val="24"/>
          <w:szCs w:val="24"/>
        </w:rPr>
        <w:lastRenderedPageBreak/>
        <w:t>the banks this paper will analyse the Lending to Deposit Ratio (L/D) and the change in annual lending in relation with the bank’s Tier 1 capital and the Liquidity Coverage Ratio.</w:t>
      </w:r>
    </w:p>
    <w:p w14:paraId="20DF936A"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The Liquidity Loverage Ratio data is available for only four years instead of five because the Liquidity Cover Ratio was implemented in 2015 and the data for 2014 could not be find.</w:t>
      </w:r>
    </w:p>
    <w:p w14:paraId="3C271ACE" w14:textId="77777777" w:rsidR="00956134" w:rsidRDefault="00956134" w:rsidP="00956134">
      <w:pPr>
        <w:pStyle w:val="Legend"/>
        <w:keepNext/>
      </w:pPr>
      <w:r>
        <w:t xml:space="preserve">Table </w:t>
      </w:r>
      <w:fldSimple w:instr=" SEQ Table \* ARABIC ">
        <w:r>
          <w:rPr>
            <w:noProof/>
          </w:rPr>
          <w:t>1</w:t>
        </w:r>
      </w:fldSimple>
      <w:r>
        <w:t>:</w:t>
      </w:r>
    </w:p>
    <w:tbl>
      <w:tblPr>
        <w:tblW w:w="9066" w:type="dxa"/>
        <w:tblInd w:w="113" w:type="dxa"/>
        <w:tblLook w:val="04A0" w:firstRow="1" w:lastRow="0" w:firstColumn="1" w:lastColumn="0" w:noHBand="0" w:noVBand="1"/>
      </w:tblPr>
      <w:tblGrid>
        <w:gridCol w:w="1299"/>
        <w:gridCol w:w="1299"/>
        <w:gridCol w:w="1299"/>
        <w:gridCol w:w="1191"/>
        <w:gridCol w:w="1353"/>
        <w:gridCol w:w="1326"/>
        <w:gridCol w:w="1299"/>
      </w:tblGrid>
      <w:tr w:rsidR="00956134" w:rsidRPr="00780AF3" w14:paraId="7EE22B46" w14:textId="77777777" w:rsidTr="009B0D10">
        <w:trPr>
          <w:trHeight w:val="347"/>
        </w:trPr>
        <w:tc>
          <w:tcPr>
            <w:tcW w:w="129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33C2DBF"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YEAR</w:t>
            </w:r>
          </w:p>
        </w:tc>
        <w:tc>
          <w:tcPr>
            <w:tcW w:w="1299" w:type="dxa"/>
            <w:tcBorders>
              <w:top w:val="single" w:sz="4" w:space="0" w:color="auto"/>
              <w:left w:val="nil"/>
              <w:bottom w:val="single" w:sz="4" w:space="0" w:color="auto"/>
              <w:right w:val="single" w:sz="4" w:space="0" w:color="auto"/>
            </w:tcBorders>
            <w:shd w:val="clear" w:color="000000" w:fill="FFFF00"/>
            <w:noWrap/>
            <w:vAlign w:val="bottom"/>
            <w:hideMark/>
          </w:tcPr>
          <w:p w14:paraId="76B3DB37"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BANK</w:t>
            </w:r>
          </w:p>
        </w:tc>
        <w:tc>
          <w:tcPr>
            <w:tcW w:w="1299" w:type="dxa"/>
            <w:tcBorders>
              <w:top w:val="single" w:sz="4" w:space="0" w:color="auto"/>
              <w:left w:val="nil"/>
              <w:bottom w:val="single" w:sz="4" w:space="0" w:color="auto"/>
              <w:right w:val="single" w:sz="4" w:space="0" w:color="auto"/>
            </w:tcBorders>
            <w:shd w:val="clear" w:color="000000" w:fill="FFFF00"/>
            <w:noWrap/>
            <w:vAlign w:val="bottom"/>
            <w:hideMark/>
          </w:tcPr>
          <w:p w14:paraId="6CEDBD38"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TIER1</w:t>
            </w:r>
          </w:p>
        </w:tc>
        <w:tc>
          <w:tcPr>
            <w:tcW w:w="1191" w:type="dxa"/>
            <w:tcBorders>
              <w:top w:val="single" w:sz="4" w:space="0" w:color="auto"/>
              <w:left w:val="nil"/>
              <w:bottom w:val="single" w:sz="4" w:space="0" w:color="auto"/>
              <w:right w:val="single" w:sz="4" w:space="0" w:color="auto"/>
            </w:tcBorders>
            <w:shd w:val="clear" w:color="000000" w:fill="FFFF00"/>
            <w:noWrap/>
            <w:vAlign w:val="bottom"/>
            <w:hideMark/>
          </w:tcPr>
          <w:p w14:paraId="77811170"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L/D Ratio</w:t>
            </w:r>
          </w:p>
        </w:tc>
        <w:tc>
          <w:tcPr>
            <w:tcW w:w="1353" w:type="dxa"/>
            <w:tcBorders>
              <w:top w:val="single" w:sz="4" w:space="0" w:color="auto"/>
              <w:left w:val="nil"/>
              <w:bottom w:val="single" w:sz="4" w:space="0" w:color="auto"/>
              <w:right w:val="single" w:sz="4" w:space="0" w:color="auto"/>
            </w:tcBorders>
            <w:shd w:val="clear" w:color="000000" w:fill="FFFF00"/>
            <w:noWrap/>
            <w:vAlign w:val="bottom"/>
            <w:hideMark/>
          </w:tcPr>
          <w:p w14:paraId="2D86FEE2"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LCR</w:t>
            </w:r>
          </w:p>
        </w:tc>
        <w:tc>
          <w:tcPr>
            <w:tcW w:w="1326" w:type="dxa"/>
            <w:tcBorders>
              <w:top w:val="single" w:sz="4" w:space="0" w:color="auto"/>
              <w:left w:val="nil"/>
              <w:bottom w:val="single" w:sz="4" w:space="0" w:color="auto"/>
              <w:right w:val="single" w:sz="4" w:space="0" w:color="auto"/>
            </w:tcBorders>
            <w:shd w:val="clear" w:color="000000" w:fill="FFFF00"/>
            <w:noWrap/>
            <w:vAlign w:val="bottom"/>
            <w:hideMark/>
          </w:tcPr>
          <w:p w14:paraId="2EECEE0F"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C</w:t>
            </w:r>
            <w:r>
              <w:rPr>
                <w:rFonts w:ascii="Calibri" w:eastAsia="Times New Roman" w:hAnsi="Calibri" w:cs="Times New Roman"/>
                <w:color w:val="000000"/>
                <w:lang w:eastAsia="en-GB"/>
              </w:rPr>
              <w:t>/</w:t>
            </w:r>
            <w:r w:rsidRPr="00780AF3">
              <w:rPr>
                <w:rFonts w:ascii="Calibri" w:eastAsia="Times New Roman" w:hAnsi="Calibri" w:cs="Times New Roman"/>
                <w:color w:val="000000"/>
                <w:lang w:eastAsia="en-GB"/>
              </w:rPr>
              <w:t>I RATIO</w:t>
            </w:r>
          </w:p>
        </w:tc>
        <w:tc>
          <w:tcPr>
            <w:tcW w:w="1299" w:type="dxa"/>
            <w:tcBorders>
              <w:top w:val="single" w:sz="4" w:space="0" w:color="auto"/>
              <w:left w:val="nil"/>
              <w:bottom w:val="single" w:sz="4" w:space="0" w:color="auto"/>
              <w:right w:val="single" w:sz="4" w:space="0" w:color="auto"/>
            </w:tcBorders>
            <w:shd w:val="clear" w:color="000000" w:fill="FFFF00"/>
            <w:noWrap/>
            <w:vAlign w:val="bottom"/>
            <w:hideMark/>
          </w:tcPr>
          <w:p w14:paraId="527573A4"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ROE</w:t>
            </w:r>
          </w:p>
        </w:tc>
      </w:tr>
      <w:tr w:rsidR="00956134" w:rsidRPr="00780AF3" w14:paraId="28758062"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FD7B7B"/>
            <w:noWrap/>
            <w:vAlign w:val="bottom"/>
            <w:hideMark/>
          </w:tcPr>
          <w:p w14:paraId="45A30E52"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2014</w:t>
            </w:r>
          </w:p>
        </w:tc>
        <w:tc>
          <w:tcPr>
            <w:tcW w:w="1299" w:type="dxa"/>
            <w:tcBorders>
              <w:top w:val="nil"/>
              <w:left w:val="nil"/>
              <w:bottom w:val="single" w:sz="4" w:space="0" w:color="auto"/>
              <w:right w:val="single" w:sz="4" w:space="0" w:color="auto"/>
            </w:tcBorders>
            <w:shd w:val="clear" w:color="000000" w:fill="FD7B7B"/>
            <w:noWrap/>
            <w:vAlign w:val="bottom"/>
            <w:hideMark/>
          </w:tcPr>
          <w:p w14:paraId="1B693D3A"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HSBC</w:t>
            </w:r>
          </w:p>
        </w:tc>
        <w:tc>
          <w:tcPr>
            <w:tcW w:w="1299" w:type="dxa"/>
            <w:tcBorders>
              <w:top w:val="nil"/>
              <w:left w:val="nil"/>
              <w:bottom w:val="single" w:sz="4" w:space="0" w:color="auto"/>
              <w:right w:val="single" w:sz="4" w:space="0" w:color="auto"/>
            </w:tcBorders>
            <w:shd w:val="clear" w:color="000000" w:fill="FD7B7B"/>
            <w:noWrap/>
            <w:vAlign w:val="bottom"/>
            <w:hideMark/>
          </w:tcPr>
          <w:p w14:paraId="2F5EA0F4"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10.9</w:t>
            </w:r>
          </w:p>
        </w:tc>
        <w:tc>
          <w:tcPr>
            <w:tcW w:w="1191" w:type="dxa"/>
            <w:tcBorders>
              <w:top w:val="nil"/>
              <w:left w:val="nil"/>
              <w:bottom w:val="single" w:sz="4" w:space="0" w:color="auto"/>
              <w:right w:val="single" w:sz="4" w:space="0" w:color="auto"/>
            </w:tcBorders>
            <w:shd w:val="clear" w:color="000000" w:fill="FD7B7B"/>
            <w:noWrap/>
            <w:vAlign w:val="bottom"/>
            <w:hideMark/>
          </w:tcPr>
          <w:p w14:paraId="5C518409"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73.8</w:t>
            </w:r>
          </w:p>
        </w:tc>
        <w:tc>
          <w:tcPr>
            <w:tcW w:w="1353" w:type="dxa"/>
            <w:tcBorders>
              <w:top w:val="nil"/>
              <w:left w:val="nil"/>
              <w:bottom w:val="single" w:sz="4" w:space="0" w:color="auto"/>
              <w:right w:val="single" w:sz="4" w:space="0" w:color="auto"/>
            </w:tcBorders>
            <w:shd w:val="clear" w:color="000000" w:fill="FD7B7B"/>
            <w:noWrap/>
            <w:vAlign w:val="center"/>
            <w:hideMark/>
          </w:tcPr>
          <w:p w14:paraId="3E432D7A" w14:textId="77777777" w:rsidR="00956134" w:rsidRPr="00780AF3" w:rsidRDefault="00956134" w:rsidP="009B0D10">
            <w:pPr>
              <w:spacing w:after="0" w:line="240" w:lineRule="auto"/>
              <w:jc w:val="center"/>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w:t>
            </w:r>
          </w:p>
        </w:tc>
        <w:tc>
          <w:tcPr>
            <w:tcW w:w="1326" w:type="dxa"/>
            <w:tcBorders>
              <w:top w:val="nil"/>
              <w:left w:val="nil"/>
              <w:bottom w:val="single" w:sz="4" w:space="0" w:color="auto"/>
              <w:right w:val="single" w:sz="4" w:space="0" w:color="auto"/>
            </w:tcBorders>
            <w:shd w:val="clear" w:color="000000" w:fill="FD7B7B"/>
            <w:noWrap/>
            <w:vAlign w:val="bottom"/>
            <w:hideMark/>
          </w:tcPr>
          <w:p w14:paraId="323483DA"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55.3</w:t>
            </w:r>
          </w:p>
        </w:tc>
        <w:tc>
          <w:tcPr>
            <w:tcW w:w="1299" w:type="dxa"/>
            <w:tcBorders>
              <w:top w:val="nil"/>
              <w:left w:val="nil"/>
              <w:bottom w:val="single" w:sz="4" w:space="0" w:color="auto"/>
              <w:right w:val="single" w:sz="4" w:space="0" w:color="auto"/>
            </w:tcBorders>
            <w:shd w:val="clear" w:color="000000" w:fill="FD7B7B"/>
            <w:noWrap/>
            <w:vAlign w:val="bottom"/>
            <w:hideMark/>
          </w:tcPr>
          <w:p w14:paraId="23B31691"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7.3</w:t>
            </w:r>
          </w:p>
        </w:tc>
      </w:tr>
      <w:tr w:rsidR="00956134" w:rsidRPr="00780AF3" w14:paraId="77AE0E5D"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FD7B7B"/>
            <w:noWrap/>
            <w:vAlign w:val="bottom"/>
            <w:hideMark/>
          </w:tcPr>
          <w:p w14:paraId="3ECB02EC"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2015</w:t>
            </w:r>
          </w:p>
        </w:tc>
        <w:tc>
          <w:tcPr>
            <w:tcW w:w="1299" w:type="dxa"/>
            <w:tcBorders>
              <w:top w:val="nil"/>
              <w:left w:val="nil"/>
              <w:bottom w:val="single" w:sz="4" w:space="0" w:color="auto"/>
              <w:right w:val="single" w:sz="4" w:space="0" w:color="auto"/>
            </w:tcBorders>
            <w:shd w:val="clear" w:color="000000" w:fill="FD7B7B"/>
            <w:noWrap/>
            <w:vAlign w:val="bottom"/>
            <w:hideMark/>
          </w:tcPr>
          <w:p w14:paraId="0D3BF0FA"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HSBC</w:t>
            </w:r>
          </w:p>
        </w:tc>
        <w:tc>
          <w:tcPr>
            <w:tcW w:w="1299" w:type="dxa"/>
            <w:tcBorders>
              <w:top w:val="nil"/>
              <w:left w:val="nil"/>
              <w:bottom w:val="single" w:sz="4" w:space="0" w:color="auto"/>
              <w:right w:val="single" w:sz="4" w:space="0" w:color="auto"/>
            </w:tcBorders>
            <w:shd w:val="clear" w:color="000000" w:fill="FD7B7B"/>
            <w:noWrap/>
            <w:vAlign w:val="bottom"/>
            <w:hideMark/>
          </w:tcPr>
          <w:p w14:paraId="4F98671C"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11.9</w:t>
            </w:r>
          </w:p>
        </w:tc>
        <w:tc>
          <w:tcPr>
            <w:tcW w:w="1191" w:type="dxa"/>
            <w:tcBorders>
              <w:top w:val="nil"/>
              <w:left w:val="nil"/>
              <w:bottom w:val="single" w:sz="4" w:space="0" w:color="auto"/>
              <w:right w:val="single" w:sz="4" w:space="0" w:color="auto"/>
            </w:tcBorders>
            <w:shd w:val="clear" w:color="000000" w:fill="FD7B7B"/>
            <w:noWrap/>
            <w:vAlign w:val="bottom"/>
            <w:hideMark/>
          </w:tcPr>
          <w:p w14:paraId="24B8712B"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73.4</w:t>
            </w:r>
          </w:p>
        </w:tc>
        <w:tc>
          <w:tcPr>
            <w:tcW w:w="1353" w:type="dxa"/>
            <w:tcBorders>
              <w:top w:val="nil"/>
              <w:left w:val="nil"/>
              <w:bottom w:val="single" w:sz="4" w:space="0" w:color="auto"/>
              <w:right w:val="single" w:sz="4" w:space="0" w:color="auto"/>
            </w:tcBorders>
            <w:shd w:val="clear" w:color="000000" w:fill="FD7B7B"/>
            <w:noWrap/>
            <w:vAlign w:val="bottom"/>
            <w:hideMark/>
          </w:tcPr>
          <w:p w14:paraId="52DA49D9"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107</w:t>
            </w:r>
          </w:p>
        </w:tc>
        <w:tc>
          <w:tcPr>
            <w:tcW w:w="1326" w:type="dxa"/>
            <w:tcBorders>
              <w:top w:val="nil"/>
              <w:left w:val="nil"/>
              <w:bottom w:val="single" w:sz="4" w:space="0" w:color="auto"/>
              <w:right w:val="single" w:sz="4" w:space="0" w:color="auto"/>
            </w:tcBorders>
            <w:shd w:val="clear" w:color="000000" w:fill="FD7B7B"/>
            <w:noWrap/>
            <w:vAlign w:val="bottom"/>
            <w:hideMark/>
          </w:tcPr>
          <w:p w14:paraId="1B4FF1C3"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55.9</w:t>
            </w:r>
          </w:p>
        </w:tc>
        <w:tc>
          <w:tcPr>
            <w:tcW w:w="1299" w:type="dxa"/>
            <w:tcBorders>
              <w:top w:val="nil"/>
              <w:left w:val="nil"/>
              <w:bottom w:val="single" w:sz="4" w:space="0" w:color="auto"/>
              <w:right w:val="single" w:sz="4" w:space="0" w:color="auto"/>
            </w:tcBorders>
            <w:shd w:val="clear" w:color="000000" w:fill="FD7B7B"/>
            <w:noWrap/>
            <w:vAlign w:val="bottom"/>
            <w:hideMark/>
          </w:tcPr>
          <w:p w14:paraId="64FA76D7"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7.2</w:t>
            </w:r>
          </w:p>
        </w:tc>
      </w:tr>
      <w:tr w:rsidR="00956134" w:rsidRPr="00780AF3" w14:paraId="0805FA57"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FD7B7B"/>
            <w:noWrap/>
            <w:vAlign w:val="bottom"/>
            <w:hideMark/>
          </w:tcPr>
          <w:p w14:paraId="6B69F414"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2016</w:t>
            </w:r>
          </w:p>
        </w:tc>
        <w:tc>
          <w:tcPr>
            <w:tcW w:w="1299" w:type="dxa"/>
            <w:tcBorders>
              <w:top w:val="nil"/>
              <w:left w:val="nil"/>
              <w:bottom w:val="single" w:sz="4" w:space="0" w:color="auto"/>
              <w:right w:val="single" w:sz="4" w:space="0" w:color="auto"/>
            </w:tcBorders>
            <w:shd w:val="clear" w:color="000000" w:fill="FD7B7B"/>
            <w:noWrap/>
            <w:vAlign w:val="bottom"/>
            <w:hideMark/>
          </w:tcPr>
          <w:p w14:paraId="5AC58B7D"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HSBC</w:t>
            </w:r>
          </w:p>
        </w:tc>
        <w:tc>
          <w:tcPr>
            <w:tcW w:w="1299" w:type="dxa"/>
            <w:tcBorders>
              <w:top w:val="nil"/>
              <w:left w:val="nil"/>
              <w:bottom w:val="single" w:sz="4" w:space="0" w:color="auto"/>
              <w:right w:val="single" w:sz="4" w:space="0" w:color="auto"/>
            </w:tcBorders>
            <w:shd w:val="clear" w:color="000000" w:fill="FD7B7B"/>
            <w:noWrap/>
            <w:vAlign w:val="bottom"/>
            <w:hideMark/>
          </w:tcPr>
          <w:p w14:paraId="67852DB9"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13.6</w:t>
            </w:r>
          </w:p>
        </w:tc>
        <w:tc>
          <w:tcPr>
            <w:tcW w:w="1191" w:type="dxa"/>
            <w:tcBorders>
              <w:top w:val="nil"/>
              <w:left w:val="nil"/>
              <w:bottom w:val="single" w:sz="4" w:space="0" w:color="auto"/>
              <w:right w:val="single" w:sz="4" w:space="0" w:color="auto"/>
            </w:tcBorders>
            <w:shd w:val="clear" w:color="000000" w:fill="FD7B7B"/>
            <w:noWrap/>
            <w:vAlign w:val="bottom"/>
            <w:hideMark/>
          </w:tcPr>
          <w:p w14:paraId="7B3800F3"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71.3</w:t>
            </w:r>
          </w:p>
        </w:tc>
        <w:tc>
          <w:tcPr>
            <w:tcW w:w="1353" w:type="dxa"/>
            <w:tcBorders>
              <w:top w:val="nil"/>
              <w:left w:val="nil"/>
              <w:bottom w:val="single" w:sz="4" w:space="0" w:color="auto"/>
              <w:right w:val="single" w:sz="4" w:space="0" w:color="auto"/>
            </w:tcBorders>
            <w:shd w:val="clear" w:color="000000" w:fill="FD7B7B"/>
            <w:noWrap/>
            <w:vAlign w:val="bottom"/>
            <w:hideMark/>
          </w:tcPr>
          <w:p w14:paraId="2E8955F3"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123</w:t>
            </w:r>
          </w:p>
        </w:tc>
        <w:tc>
          <w:tcPr>
            <w:tcW w:w="1326" w:type="dxa"/>
            <w:tcBorders>
              <w:top w:val="nil"/>
              <w:left w:val="nil"/>
              <w:bottom w:val="single" w:sz="4" w:space="0" w:color="auto"/>
              <w:right w:val="single" w:sz="4" w:space="0" w:color="auto"/>
            </w:tcBorders>
            <w:shd w:val="clear" w:color="000000" w:fill="FD7B7B"/>
            <w:noWrap/>
            <w:vAlign w:val="bottom"/>
            <w:hideMark/>
          </w:tcPr>
          <w:p w14:paraId="65B325DD"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66.5</w:t>
            </w:r>
          </w:p>
        </w:tc>
        <w:tc>
          <w:tcPr>
            <w:tcW w:w="1299" w:type="dxa"/>
            <w:tcBorders>
              <w:top w:val="nil"/>
              <w:left w:val="nil"/>
              <w:bottom w:val="single" w:sz="4" w:space="0" w:color="auto"/>
              <w:right w:val="single" w:sz="4" w:space="0" w:color="auto"/>
            </w:tcBorders>
            <w:shd w:val="clear" w:color="000000" w:fill="FD7B7B"/>
            <w:noWrap/>
            <w:vAlign w:val="bottom"/>
            <w:hideMark/>
          </w:tcPr>
          <w:p w14:paraId="24C08047"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2.6</w:t>
            </w:r>
          </w:p>
        </w:tc>
      </w:tr>
      <w:tr w:rsidR="00956134" w:rsidRPr="00780AF3" w14:paraId="1BC6673A"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FD7B7B"/>
            <w:noWrap/>
            <w:vAlign w:val="bottom"/>
            <w:hideMark/>
          </w:tcPr>
          <w:p w14:paraId="68618736"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2017</w:t>
            </w:r>
          </w:p>
        </w:tc>
        <w:tc>
          <w:tcPr>
            <w:tcW w:w="1299" w:type="dxa"/>
            <w:tcBorders>
              <w:top w:val="nil"/>
              <w:left w:val="nil"/>
              <w:bottom w:val="single" w:sz="4" w:space="0" w:color="auto"/>
              <w:right w:val="single" w:sz="4" w:space="0" w:color="auto"/>
            </w:tcBorders>
            <w:shd w:val="clear" w:color="000000" w:fill="FD7B7B"/>
            <w:noWrap/>
            <w:vAlign w:val="bottom"/>
            <w:hideMark/>
          </w:tcPr>
          <w:p w14:paraId="008D17E2"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HSBC</w:t>
            </w:r>
          </w:p>
        </w:tc>
        <w:tc>
          <w:tcPr>
            <w:tcW w:w="1299" w:type="dxa"/>
            <w:tcBorders>
              <w:top w:val="nil"/>
              <w:left w:val="nil"/>
              <w:bottom w:val="single" w:sz="4" w:space="0" w:color="auto"/>
              <w:right w:val="single" w:sz="4" w:space="0" w:color="auto"/>
            </w:tcBorders>
            <w:shd w:val="clear" w:color="000000" w:fill="FD7B7B"/>
            <w:noWrap/>
            <w:vAlign w:val="bottom"/>
            <w:hideMark/>
          </w:tcPr>
          <w:p w14:paraId="3FD9F6D8"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14.5</w:t>
            </w:r>
          </w:p>
        </w:tc>
        <w:tc>
          <w:tcPr>
            <w:tcW w:w="1191" w:type="dxa"/>
            <w:tcBorders>
              <w:top w:val="nil"/>
              <w:left w:val="nil"/>
              <w:bottom w:val="single" w:sz="4" w:space="0" w:color="auto"/>
              <w:right w:val="single" w:sz="4" w:space="0" w:color="auto"/>
            </w:tcBorders>
            <w:shd w:val="clear" w:color="000000" w:fill="FD7B7B"/>
            <w:noWrap/>
            <w:vAlign w:val="bottom"/>
            <w:hideMark/>
          </w:tcPr>
          <w:p w14:paraId="27DF89B9"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75.5</w:t>
            </w:r>
          </w:p>
        </w:tc>
        <w:tc>
          <w:tcPr>
            <w:tcW w:w="1353" w:type="dxa"/>
            <w:tcBorders>
              <w:top w:val="nil"/>
              <w:left w:val="nil"/>
              <w:bottom w:val="single" w:sz="4" w:space="0" w:color="auto"/>
              <w:right w:val="single" w:sz="4" w:space="0" w:color="auto"/>
            </w:tcBorders>
            <w:shd w:val="clear" w:color="000000" w:fill="FD7B7B"/>
            <w:noWrap/>
            <w:vAlign w:val="bottom"/>
            <w:hideMark/>
          </w:tcPr>
          <w:p w14:paraId="45B34790"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142</w:t>
            </w:r>
          </w:p>
        </w:tc>
        <w:tc>
          <w:tcPr>
            <w:tcW w:w="1326" w:type="dxa"/>
            <w:tcBorders>
              <w:top w:val="nil"/>
              <w:left w:val="nil"/>
              <w:bottom w:val="single" w:sz="4" w:space="0" w:color="auto"/>
              <w:right w:val="single" w:sz="4" w:space="0" w:color="auto"/>
            </w:tcBorders>
            <w:shd w:val="clear" w:color="000000" w:fill="FD7B7B"/>
            <w:noWrap/>
            <w:vAlign w:val="bottom"/>
            <w:hideMark/>
          </w:tcPr>
          <w:p w14:paraId="09CD327D"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54.7</w:t>
            </w:r>
          </w:p>
        </w:tc>
        <w:tc>
          <w:tcPr>
            <w:tcW w:w="1299" w:type="dxa"/>
            <w:tcBorders>
              <w:top w:val="nil"/>
              <w:left w:val="nil"/>
              <w:bottom w:val="single" w:sz="4" w:space="0" w:color="auto"/>
              <w:right w:val="single" w:sz="4" w:space="0" w:color="auto"/>
            </w:tcBorders>
            <w:shd w:val="clear" w:color="000000" w:fill="FD7B7B"/>
            <w:noWrap/>
            <w:vAlign w:val="bottom"/>
            <w:hideMark/>
          </w:tcPr>
          <w:p w14:paraId="20168A5A"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6.8</w:t>
            </w:r>
          </w:p>
        </w:tc>
      </w:tr>
      <w:tr w:rsidR="00956134" w:rsidRPr="00780AF3" w14:paraId="5E5DCF49"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FD7B7B"/>
            <w:noWrap/>
            <w:vAlign w:val="bottom"/>
            <w:hideMark/>
          </w:tcPr>
          <w:p w14:paraId="2572EF51"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2018</w:t>
            </w:r>
          </w:p>
        </w:tc>
        <w:tc>
          <w:tcPr>
            <w:tcW w:w="1299" w:type="dxa"/>
            <w:tcBorders>
              <w:top w:val="nil"/>
              <w:left w:val="nil"/>
              <w:bottom w:val="single" w:sz="4" w:space="0" w:color="auto"/>
              <w:right w:val="single" w:sz="4" w:space="0" w:color="auto"/>
            </w:tcBorders>
            <w:shd w:val="clear" w:color="000000" w:fill="FD7B7B"/>
            <w:noWrap/>
            <w:vAlign w:val="bottom"/>
            <w:hideMark/>
          </w:tcPr>
          <w:p w14:paraId="4553C8B2"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HSBC</w:t>
            </w:r>
          </w:p>
        </w:tc>
        <w:tc>
          <w:tcPr>
            <w:tcW w:w="1299" w:type="dxa"/>
            <w:tcBorders>
              <w:top w:val="nil"/>
              <w:left w:val="nil"/>
              <w:bottom w:val="single" w:sz="4" w:space="0" w:color="auto"/>
              <w:right w:val="single" w:sz="4" w:space="0" w:color="auto"/>
            </w:tcBorders>
            <w:shd w:val="clear" w:color="000000" w:fill="FD7B7B"/>
            <w:noWrap/>
            <w:vAlign w:val="bottom"/>
            <w:hideMark/>
          </w:tcPr>
          <w:p w14:paraId="3A473F70"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14</w:t>
            </w:r>
          </w:p>
        </w:tc>
        <w:tc>
          <w:tcPr>
            <w:tcW w:w="1191" w:type="dxa"/>
            <w:tcBorders>
              <w:top w:val="nil"/>
              <w:left w:val="nil"/>
              <w:bottom w:val="single" w:sz="4" w:space="0" w:color="auto"/>
              <w:right w:val="single" w:sz="4" w:space="0" w:color="auto"/>
            </w:tcBorders>
            <w:shd w:val="clear" w:color="000000" w:fill="FD7B7B"/>
            <w:noWrap/>
            <w:vAlign w:val="bottom"/>
            <w:hideMark/>
          </w:tcPr>
          <w:p w14:paraId="5A597F4E"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76.1</w:t>
            </w:r>
          </w:p>
        </w:tc>
        <w:tc>
          <w:tcPr>
            <w:tcW w:w="1353" w:type="dxa"/>
            <w:tcBorders>
              <w:top w:val="nil"/>
              <w:left w:val="nil"/>
              <w:bottom w:val="single" w:sz="4" w:space="0" w:color="auto"/>
              <w:right w:val="single" w:sz="4" w:space="0" w:color="auto"/>
            </w:tcBorders>
            <w:shd w:val="clear" w:color="000000" w:fill="FD7B7B"/>
            <w:noWrap/>
            <w:vAlign w:val="bottom"/>
            <w:hideMark/>
          </w:tcPr>
          <w:p w14:paraId="3675C873"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154</w:t>
            </w:r>
          </w:p>
        </w:tc>
        <w:tc>
          <w:tcPr>
            <w:tcW w:w="1326" w:type="dxa"/>
            <w:tcBorders>
              <w:top w:val="nil"/>
              <w:left w:val="nil"/>
              <w:bottom w:val="single" w:sz="4" w:space="0" w:color="auto"/>
              <w:right w:val="single" w:sz="4" w:space="0" w:color="auto"/>
            </w:tcBorders>
            <w:shd w:val="clear" w:color="000000" w:fill="FD7B7B"/>
            <w:noWrap/>
            <w:vAlign w:val="bottom"/>
            <w:hideMark/>
          </w:tcPr>
          <w:p w14:paraId="5F97B9F1"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60.0</w:t>
            </w:r>
          </w:p>
        </w:tc>
        <w:tc>
          <w:tcPr>
            <w:tcW w:w="1299" w:type="dxa"/>
            <w:tcBorders>
              <w:top w:val="nil"/>
              <w:left w:val="nil"/>
              <w:bottom w:val="single" w:sz="4" w:space="0" w:color="auto"/>
              <w:right w:val="single" w:sz="4" w:space="0" w:color="auto"/>
            </w:tcBorders>
            <w:shd w:val="clear" w:color="000000" w:fill="FD7B7B"/>
            <w:noWrap/>
            <w:vAlign w:val="bottom"/>
            <w:hideMark/>
          </w:tcPr>
          <w:p w14:paraId="5AC54E68"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8.6</w:t>
            </w:r>
          </w:p>
        </w:tc>
      </w:tr>
      <w:tr w:rsidR="00956134" w:rsidRPr="00780AF3" w14:paraId="21D9016B"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9BC2E6"/>
            <w:noWrap/>
            <w:vAlign w:val="bottom"/>
            <w:hideMark/>
          </w:tcPr>
          <w:p w14:paraId="4FE605C0"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2014</w:t>
            </w:r>
          </w:p>
        </w:tc>
        <w:tc>
          <w:tcPr>
            <w:tcW w:w="1299" w:type="dxa"/>
            <w:tcBorders>
              <w:top w:val="nil"/>
              <w:left w:val="nil"/>
              <w:bottom w:val="single" w:sz="4" w:space="0" w:color="auto"/>
              <w:right w:val="single" w:sz="4" w:space="0" w:color="auto"/>
            </w:tcBorders>
            <w:shd w:val="clear" w:color="000000" w:fill="9BC2E6"/>
            <w:noWrap/>
            <w:vAlign w:val="bottom"/>
            <w:hideMark/>
          </w:tcPr>
          <w:p w14:paraId="4677759C"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LLOYDS</w:t>
            </w:r>
          </w:p>
        </w:tc>
        <w:tc>
          <w:tcPr>
            <w:tcW w:w="1299" w:type="dxa"/>
            <w:tcBorders>
              <w:top w:val="nil"/>
              <w:left w:val="nil"/>
              <w:bottom w:val="single" w:sz="4" w:space="0" w:color="auto"/>
              <w:right w:val="single" w:sz="4" w:space="0" w:color="auto"/>
            </w:tcBorders>
            <w:shd w:val="clear" w:color="000000" w:fill="9BC2E6"/>
            <w:noWrap/>
            <w:vAlign w:val="bottom"/>
            <w:hideMark/>
          </w:tcPr>
          <w:p w14:paraId="6FE7B9DC"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16.5</w:t>
            </w:r>
          </w:p>
        </w:tc>
        <w:tc>
          <w:tcPr>
            <w:tcW w:w="1191" w:type="dxa"/>
            <w:tcBorders>
              <w:top w:val="nil"/>
              <w:left w:val="nil"/>
              <w:bottom w:val="single" w:sz="4" w:space="0" w:color="auto"/>
              <w:right w:val="single" w:sz="4" w:space="0" w:color="auto"/>
            </w:tcBorders>
            <w:shd w:val="clear" w:color="000000" w:fill="9BC2E6"/>
            <w:noWrap/>
            <w:vAlign w:val="bottom"/>
            <w:hideMark/>
          </w:tcPr>
          <w:p w14:paraId="27D2251C"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107</w:t>
            </w:r>
          </w:p>
        </w:tc>
        <w:tc>
          <w:tcPr>
            <w:tcW w:w="1353" w:type="dxa"/>
            <w:tcBorders>
              <w:top w:val="nil"/>
              <w:left w:val="nil"/>
              <w:bottom w:val="single" w:sz="4" w:space="0" w:color="auto"/>
              <w:right w:val="single" w:sz="4" w:space="0" w:color="auto"/>
            </w:tcBorders>
            <w:shd w:val="clear" w:color="000000" w:fill="9BC2E6"/>
            <w:noWrap/>
            <w:vAlign w:val="center"/>
            <w:hideMark/>
          </w:tcPr>
          <w:p w14:paraId="43E66423" w14:textId="77777777" w:rsidR="00956134" w:rsidRPr="00780AF3" w:rsidRDefault="00956134" w:rsidP="009B0D10">
            <w:pPr>
              <w:spacing w:after="0" w:line="240" w:lineRule="auto"/>
              <w:jc w:val="center"/>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w:t>
            </w:r>
          </w:p>
        </w:tc>
        <w:tc>
          <w:tcPr>
            <w:tcW w:w="1326" w:type="dxa"/>
            <w:tcBorders>
              <w:top w:val="nil"/>
              <w:left w:val="nil"/>
              <w:bottom w:val="single" w:sz="4" w:space="0" w:color="auto"/>
              <w:right w:val="single" w:sz="4" w:space="0" w:color="auto"/>
            </w:tcBorders>
            <w:shd w:val="clear" w:color="000000" w:fill="9BC2E6"/>
            <w:noWrap/>
            <w:vAlign w:val="bottom"/>
            <w:hideMark/>
          </w:tcPr>
          <w:p w14:paraId="789C58B2"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55.3</w:t>
            </w:r>
          </w:p>
        </w:tc>
        <w:tc>
          <w:tcPr>
            <w:tcW w:w="1299" w:type="dxa"/>
            <w:tcBorders>
              <w:top w:val="nil"/>
              <w:left w:val="nil"/>
              <w:bottom w:val="single" w:sz="4" w:space="0" w:color="auto"/>
              <w:right w:val="single" w:sz="4" w:space="0" w:color="auto"/>
            </w:tcBorders>
            <w:shd w:val="clear" w:color="000000" w:fill="9BC2E6"/>
            <w:noWrap/>
            <w:vAlign w:val="bottom"/>
            <w:hideMark/>
          </w:tcPr>
          <w:p w14:paraId="21039788"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3</w:t>
            </w:r>
          </w:p>
        </w:tc>
      </w:tr>
      <w:tr w:rsidR="00956134" w:rsidRPr="00780AF3" w14:paraId="4A5C5E66"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9BC2E6"/>
            <w:noWrap/>
            <w:vAlign w:val="bottom"/>
            <w:hideMark/>
          </w:tcPr>
          <w:p w14:paraId="1D182483"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2015</w:t>
            </w:r>
          </w:p>
        </w:tc>
        <w:tc>
          <w:tcPr>
            <w:tcW w:w="1299" w:type="dxa"/>
            <w:tcBorders>
              <w:top w:val="nil"/>
              <w:left w:val="nil"/>
              <w:bottom w:val="single" w:sz="4" w:space="0" w:color="auto"/>
              <w:right w:val="single" w:sz="4" w:space="0" w:color="auto"/>
            </w:tcBorders>
            <w:shd w:val="clear" w:color="000000" w:fill="9BC2E6"/>
            <w:noWrap/>
            <w:vAlign w:val="bottom"/>
            <w:hideMark/>
          </w:tcPr>
          <w:p w14:paraId="423D89BC"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LLOYDS</w:t>
            </w:r>
          </w:p>
        </w:tc>
        <w:tc>
          <w:tcPr>
            <w:tcW w:w="1299" w:type="dxa"/>
            <w:tcBorders>
              <w:top w:val="nil"/>
              <w:left w:val="nil"/>
              <w:bottom w:val="single" w:sz="4" w:space="0" w:color="auto"/>
              <w:right w:val="single" w:sz="4" w:space="0" w:color="auto"/>
            </w:tcBorders>
            <w:shd w:val="clear" w:color="000000" w:fill="9BC2E6"/>
            <w:noWrap/>
            <w:vAlign w:val="bottom"/>
            <w:hideMark/>
          </w:tcPr>
          <w:p w14:paraId="4DD9CA76"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16.4</w:t>
            </w:r>
          </w:p>
        </w:tc>
        <w:tc>
          <w:tcPr>
            <w:tcW w:w="1191" w:type="dxa"/>
            <w:tcBorders>
              <w:top w:val="nil"/>
              <w:left w:val="nil"/>
              <w:bottom w:val="single" w:sz="4" w:space="0" w:color="auto"/>
              <w:right w:val="single" w:sz="4" w:space="0" w:color="auto"/>
            </w:tcBorders>
            <w:shd w:val="clear" w:color="000000" w:fill="9BC2E6"/>
            <w:noWrap/>
            <w:vAlign w:val="bottom"/>
            <w:hideMark/>
          </w:tcPr>
          <w:p w14:paraId="3738F08D"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107</w:t>
            </w:r>
          </w:p>
        </w:tc>
        <w:tc>
          <w:tcPr>
            <w:tcW w:w="1353" w:type="dxa"/>
            <w:tcBorders>
              <w:top w:val="nil"/>
              <w:left w:val="nil"/>
              <w:bottom w:val="single" w:sz="4" w:space="0" w:color="auto"/>
              <w:right w:val="single" w:sz="4" w:space="0" w:color="auto"/>
            </w:tcBorders>
            <w:shd w:val="clear" w:color="000000" w:fill="9BC2E6"/>
            <w:noWrap/>
            <w:vAlign w:val="bottom"/>
            <w:hideMark/>
          </w:tcPr>
          <w:p w14:paraId="1E712957"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123</w:t>
            </w:r>
          </w:p>
        </w:tc>
        <w:tc>
          <w:tcPr>
            <w:tcW w:w="1326" w:type="dxa"/>
            <w:tcBorders>
              <w:top w:val="nil"/>
              <w:left w:val="nil"/>
              <w:bottom w:val="single" w:sz="4" w:space="0" w:color="auto"/>
              <w:right w:val="single" w:sz="4" w:space="0" w:color="auto"/>
            </w:tcBorders>
            <w:shd w:val="clear" w:color="000000" w:fill="9BC2E6"/>
            <w:noWrap/>
            <w:vAlign w:val="bottom"/>
            <w:hideMark/>
          </w:tcPr>
          <w:p w14:paraId="764BB975"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54.2</w:t>
            </w:r>
          </w:p>
        </w:tc>
        <w:tc>
          <w:tcPr>
            <w:tcW w:w="1299" w:type="dxa"/>
            <w:tcBorders>
              <w:top w:val="nil"/>
              <w:left w:val="nil"/>
              <w:bottom w:val="single" w:sz="4" w:space="0" w:color="auto"/>
              <w:right w:val="single" w:sz="4" w:space="0" w:color="auto"/>
            </w:tcBorders>
            <w:shd w:val="clear" w:color="000000" w:fill="9BC2E6"/>
            <w:noWrap/>
            <w:vAlign w:val="bottom"/>
            <w:hideMark/>
          </w:tcPr>
          <w:p w14:paraId="5216A8F3"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2.03</w:t>
            </w:r>
          </w:p>
        </w:tc>
      </w:tr>
      <w:tr w:rsidR="00956134" w:rsidRPr="00780AF3" w14:paraId="6348F9F6"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9BC2E6"/>
            <w:noWrap/>
            <w:vAlign w:val="bottom"/>
            <w:hideMark/>
          </w:tcPr>
          <w:p w14:paraId="549E4D04"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2016</w:t>
            </w:r>
          </w:p>
        </w:tc>
        <w:tc>
          <w:tcPr>
            <w:tcW w:w="1299" w:type="dxa"/>
            <w:tcBorders>
              <w:top w:val="nil"/>
              <w:left w:val="nil"/>
              <w:bottom w:val="single" w:sz="4" w:space="0" w:color="auto"/>
              <w:right w:val="single" w:sz="4" w:space="0" w:color="auto"/>
            </w:tcBorders>
            <w:shd w:val="clear" w:color="000000" w:fill="9BC2E6"/>
            <w:noWrap/>
            <w:vAlign w:val="bottom"/>
            <w:hideMark/>
          </w:tcPr>
          <w:p w14:paraId="57FD63C0"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LLOYDS</w:t>
            </w:r>
          </w:p>
        </w:tc>
        <w:tc>
          <w:tcPr>
            <w:tcW w:w="1299" w:type="dxa"/>
            <w:tcBorders>
              <w:top w:val="nil"/>
              <w:left w:val="nil"/>
              <w:bottom w:val="single" w:sz="4" w:space="0" w:color="auto"/>
              <w:right w:val="single" w:sz="4" w:space="0" w:color="auto"/>
            </w:tcBorders>
            <w:shd w:val="clear" w:color="000000" w:fill="9BC2E6"/>
            <w:noWrap/>
            <w:vAlign w:val="bottom"/>
            <w:hideMark/>
          </w:tcPr>
          <w:p w14:paraId="2EE899AA"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17</w:t>
            </w:r>
          </w:p>
        </w:tc>
        <w:tc>
          <w:tcPr>
            <w:tcW w:w="1191" w:type="dxa"/>
            <w:tcBorders>
              <w:top w:val="nil"/>
              <w:left w:val="nil"/>
              <w:bottom w:val="single" w:sz="4" w:space="0" w:color="auto"/>
              <w:right w:val="single" w:sz="4" w:space="0" w:color="auto"/>
            </w:tcBorders>
            <w:shd w:val="clear" w:color="000000" w:fill="9BC2E6"/>
            <w:noWrap/>
            <w:vAlign w:val="bottom"/>
            <w:hideMark/>
          </w:tcPr>
          <w:p w14:paraId="2C5BCB3A"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109</w:t>
            </w:r>
          </w:p>
        </w:tc>
        <w:tc>
          <w:tcPr>
            <w:tcW w:w="1353" w:type="dxa"/>
            <w:tcBorders>
              <w:top w:val="nil"/>
              <w:left w:val="nil"/>
              <w:bottom w:val="single" w:sz="4" w:space="0" w:color="auto"/>
              <w:right w:val="single" w:sz="4" w:space="0" w:color="auto"/>
            </w:tcBorders>
            <w:shd w:val="clear" w:color="000000" w:fill="9BC2E6"/>
            <w:noWrap/>
            <w:vAlign w:val="bottom"/>
            <w:hideMark/>
          </w:tcPr>
          <w:p w14:paraId="589039F3"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121</w:t>
            </w:r>
          </w:p>
        </w:tc>
        <w:tc>
          <w:tcPr>
            <w:tcW w:w="1326" w:type="dxa"/>
            <w:tcBorders>
              <w:top w:val="nil"/>
              <w:left w:val="nil"/>
              <w:bottom w:val="single" w:sz="4" w:space="0" w:color="auto"/>
              <w:right w:val="single" w:sz="4" w:space="0" w:color="auto"/>
            </w:tcBorders>
            <w:shd w:val="clear" w:color="000000" w:fill="9BC2E6"/>
            <w:noWrap/>
            <w:vAlign w:val="bottom"/>
            <w:hideMark/>
          </w:tcPr>
          <w:p w14:paraId="300BFCDD"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55.3</w:t>
            </w:r>
          </w:p>
        </w:tc>
        <w:tc>
          <w:tcPr>
            <w:tcW w:w="1299" w:type="dxa"/>
            <w:tcBorders>
              <w:top w:val="nil"/>
              <w:left w:val="nil"/>
              <w:bottom w:val="single" w:sz="4" w:space="0" w:color="auto"/>
              <w:right w:val="single" w:sz="4" w:space="0" w:color="auto"/>
            </w:tcBorders>
            <w:shd w:val="clear" w:color="000000" w:fill="9BC2E6"/>
            <w:noWrap/>
            <w:vAlign w:val="bottom"/>
            <w:hideMark/>
          </w:tcPr>
          <w:p w14:paraId="56F07F1A"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4.47</w:t>
            </w:r>
          </w:p>
        </w:tc>
      </w:tr>
      <w:tr w:rsidR="00956134" w:rsidRPr="00780AF3" w14:paraId="6F9CE345"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9BC2E6"/>
            <w:noWrap/>
            <w:vAlign w:val="bottom"/>
            <w:hideMark/>
          </w:tcPr>
          <w:p w14:paraId="01AA3354"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2017</w:t>
            </w:r>
          </w:p>
        </w:tc>
        <w:tc>
          <w:tcPr>
            <w:tcW w:w="1299" w:type="dxa"/>
            <w:tcBorders>
              <w:top w:val="nil"/>
              <w:left w:val="nil"/>
              <w:bottom w:val="single" w:sz="4" w:space="0" w:color="auto"/>
              <w:right w:val="single" w:sz="4" w:space="0" w:color="auto"/>
            </w:tcBorders>
            <w:shd w:val="clear" w:color="000000" w:fill="9BC2E6"/>
            <w:noWrap/>
            <w:vAlign w:val="bottom"/>
            <w:hideMark/>
          </w:tcPr>
          <w:p w14:paraId="797FD2A3"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LLOYDS</w:t>
            </w:r>
          </w:p>
        </w:tc>
        <w:tc>
          <w:tcPr>
            <w:tcW w:w="1299" w:type="dxa"/>
            <w:tcBorders>
              <w:top w:val="nil"/>
              <w:left w:val="nil"/>
              <w:bottom w:val="single" w:sz="4" w:space="0" w:color="auto"/>
              <w:right w:val="single" w:sz="4" w:space="0" w:color="auto"/>
            </w:tcBorders>
            <w:shd w:val="clear" w:color="000000" w:fill="9BC2E6"/>
            <w:noWrap/>
            <w:vAlign w:val="bottom"/>
            <w:hideMark/>
          </w:tcPr>
          <w:p w14:paraId="37C0AF1A"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17.2</w:t>
            </w:r>
          </w:p>
        </w:tc>
        <w:tc>
          <w:tcPr>
            <w:tcW w:w="1191" w:type="dxa"/>
            <w:tcBorders>
              <w:top w:val="nil"/>
              <w:left w:val="nil"/>
              <w:bottom w:val="single" w:sz="4" w:space="0" w:color="auto"/>
              <w:right w:val="single" w:sz="4" w:space="0" w:color="auto"/>
            </w:tcBorders>
            <w:shd w:val="clear" w:color="000000" w:fill="9BC2E6"/>
            <w:noWrap/>
            <w:vAlign w:val="bottom"/>
            <w:hideMark/>
          </w:tcPr>
          <w:p w14:paraId="760A4F6F"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109</w:t>
            </w:r>
          </w:p>
        </w:tc>
        <w:tc>
          <w:tcPr>
            <w:tcW w:w="1353" w:type="dxa"/>
            <w:tcBorders>
              <w:top w:val="nil"/>
              <w:left w:val="nil"/>
              <w:bottom w:val="single" w:sz="4" w:space="0" w:color="auto"/>
              <w:right w:val="single" w:sz="4" w:space="0" w:color="auto"/>
            </w:tcBorders>
            <w:shd w:val="clear" w:color="000000" w:fill="9BC2E6"/>
            <w:noWrap/>
            <w:vAlign w:val="bottom"/>
            <w:hideMark/>
          </w:tcPr>
          <w:p w14:paraId="0496511C"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127</w:t>
            </w:r>
          </w:p>
        </w:tc>
        <w:tc>
          <w:tcPr>
            <w:tcW w:w="1326" w:type="dxa"/>
            <w:tcBorders>
              <w:top w:val="nil"/>
              <w:left w:val="nil"/>
              <w:bottom w:val="single" w:sz="4" w:space="0" w:color="auto"/>
              <w:right w:val="single" w:sz="4" w:space="0" w:color="auto"/>
            </w:tcBorders>
            <w:shd w:val="clear" w:color="000000" w:fill="9BC2E6"/>
            <w:noWrap/>
            <w:vAlign w:val="bottom"/>
            <w:hideMark/>
          </w:tcPr>
          <w:p w14:paraId="15B25559"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51.8</w:t>
            </w:r>
          </w:p>
        </w:tc>
        <w:tc>
          <w:tcPr>
            <w:tcW w:w="1299" w:type="dxa"/>
            <w:tcBorders>
              <w:top w:val="nil"/>
              <w:left w:val="nil"/>
              <w:bottom w:val="single" w:sz="4" w:space="0" w:color="auto"/>
              <w:right w:val="single" w:sz="4" w:space="0" w:color="auto"/>
            </w:tcBorders>
            <w:shd w:val="clear" w:color="000000" w:fill="9BC2E6"/>
            <w:noWrap/>
            <w:vAlign w:val="bottom"/>
            <w:hideMark/>
          </w:tcPr>
          <w:p w14:paraId="7580F751"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7.93</w:t>
            </w:r>
          </w:p>
        </w:tc>
      </w:tr>
      <w:tr w:rsidR="00956134" w:rsidRPr="00780AF3" w14:paraId="558DF720"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9BC2E6"/>
            <w:noWrap/>
            <w:vAlign w:val="bottom"/>
            <w:hideMark/>
          </w:tcPr>
          <w:p w14:paraId="70C7D037"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2018</w:t>
            </w:r>
          </w:p>
        </w:tc>
        <w:tc>
          <w:tcPr>
            <w:tcW w:w="1299" w:type="dxa"/>
            <w:tcBorders>
              <w:top w:val="nil"/>
              <w:left w:val="nil"/>
              <w:bottom w:val="single" w:sz="4" w:space="0" w:color="auto"/>
              <w:right w:val="single" w:sz="4" w:space="0" w:color="auto"/>
            </w:tcBorders>
            <w:shd w:val="clear" w:color="000000" w:fill="9BC2E6"/>
            <w:noWrap/>
            <w:vAlign w:val="bottom"/>
            <w:hideMark/>
          </w:tcPr>
          <w:p w14:paraId="3C8BBB74"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LLOYDS</w:t>
            </w:r>
          </w:p>
        </w:tc>
        <w:tc>
          <w:tcPr>
            <w:tcW w:w="1299" w:type="dxa"/>
            <w:tcBorders>
              <w:top w:val="nil"/>
              <w:left w:val="nil"/>
              <w:bottom w:val="single" w:sz="4" w:space="0" w:color="auto"/>
              <w:right w:val="single" w:sz="4" w:space="0" w:color="auto"/>
            </w:tcBorders>
            <w:shd w:val="clear" w:color="000000" w:fill="9BC2E6"/>
            <w:noWrap/>
            <w:vAlign w:val="bottom"/>
            <w:hideMark/>
          </w:tcPr>
          <w:p w14:paraId="57A31327"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18.2</w:t>
            </w:r>
          </w:p>
        </w:tc>
        <w:tc>
          <w:tcPr>
            <w:tcW w:w="1191" w:type="dxa"/>
            <w:tcBorders>
              <w:top w:val="nil"/>
              <w:left w:val="nil"/>
              <w:bottom w:val="single" w:sz="4" w:space="0" w:color="auto"/>
              <w:right w:val="single" w:sz="4" w:space="0" w:color="auto"/>
            </w:tcBorders>
            <w:shd w:val="clear" w:color="000000" w:fill="9BC2E6"/>
            <w:noWrap/>
            <w:vAlign w:val="bottom"/>
            <w:hideMark/>
          </w:tcPr>
          <w:p w14:paraId="262299FC"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107</w:t>
            </w:r>
          </w:p>
        </w:tc>
        <w:tc>
          <w:tcPr>
            <w:tcW w:w="1353" w:type="dxa"/>
            <w:tcBorders>
              <w:top w:val="nil"/>
              <w:left w:val="nil"/>
              <w:bottom w:val="single" w:sz="4" w:space="0" w:color="auto"/>
              <w:right w:val="single" w:sz="4" w:space="0" w:color="auto"/>
            </w:tcBorders>
            <w:shd w:val="clear" w:color="000000" w:fill="9BC2E6"/>
            <w:noWrap/>
            <w:vAlign w:val="bottom"/>
            <w:hideMark/>
          </w:tcPr>
          <w:p w14:paraId="187A11B8"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130</w:t>
            </w:r>
          </w:p>
        </w:tc>
        <w:tc>
          <w:tcPr>
            <w:tcW w:w="1326" w:type="dxa"/>
            <w:tcBorders>
              <w:top w:val="nil"/>
              <w:left w:val="nil"/>
              <w:bottom w:val="single" w:sz="4" w:space="0" w:color="auto"/>
              <w:right w:val="single" w:sz="4" w:space="0" w:color="auto"/>
            </w:tcBorders>
            <w:shd w:val="clear" w:color="000000" w:fill="9BC2E6"/>
            <w:noWrap/>
            <w:vAlign w:val="bottom"/>
            <w:hideMark/>
          </w:tcPr>
          <w:p w14:paraId="1E068A06"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49.3</w:t>
            </w:r>
          </w:p>
        </w:tc>
        <w:tc>
          <w:tcPr>
            <w:tcW w:w="1299" w:type="dxa"/>
            <w:tcBorders>
              <w:top w:val="nil"/>
              <w:left w:val="nil"/>
              <w:bottom w:val="single" w:sz="4" w:space="0" w:color="auto"/>
              <w:right w:val="single" w:sz="4" w:space="0" w:color="auto"/>
            </w:tcBorders>
            <w:shd w:val="clear" w:color="000000" w:fill="9BC2E6"/>
            <w:noWrap/>
            <w:vAlign w:val="bottom"/>
            <w:hideMark/>
          </w:tcPr>
          <w:p w14:paraId="7BE9DB46"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8.77</w:t>
            </w:r>
          </w:p>
        </w:tc>
      </w:tr>
      <w:tr w:rsidR="00956134" w:rsidRPr="00780AF3" w14:paraId="493B8612"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A9D08E"/>
            <w:noWrap/>
            <w:vAlign w:val="bottom"/>
            <w:hideMark/>
          </w:tcPr>
          <w:p w14:paraId="424E79A4"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2014</w:t>
            </w:r>
          </w:p>
        </w:tc>
        <w:tc>
          <w:tcPr>
            <w:tcW w:w="1299" w:type="dxa"/>
            <w:tcBorders>
              <w:top w:val="nil"/>
              <w:left w:val="nil"/>
              <w:bottom w:val="single" w:sz="4" w:space="0" w:color="auto"/>
              <w:right w:val="single" w:sz="4" w:space="0" w:color="auto"/>
            </w:tcBorders>
            <w:shd w:val="clear" w:color="000000" w:fill="A9D08E"/>
            <w:noWrap/>
            <w:vAlign w:val="bottom"/>
            <w:hideMark/>
          </w:tcPr>
          <w:p w14:paraId="579D5B73"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STC</w:t>
            </w:r>
          </w:p>
        </w:tc>
        <w:tc>
          <w:tcPr>
            <w:tcW w:w="1299" w:type="dxa"/>
            <w:tcBorders>
              <w:top w:val="nil"/>
              <w:left w:val="nil"/>
              <w:bottom w:val="single" w:sz="4" w:space="0" w:color="auto"/>
              <w:right w:val="single" w:sz="4" w:space="0" w:color="auto"/>
            </w:tcBorders>
            <w:shd w:val="clear" w:color="000000" w:fill="A9D08E"/>
            <w:noWrap/>
            <w:vAlign w:val="bottom"/>
            <w:hideMark/>
          </w:tcPr>
          <w:p w14:paraId="4ACA2092"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10.7</w:t>
            </w:r>
          </w:p>
        </w:tc>
        <w:tc>
          <w:tcPr>
            <w:tcW w:w="1191" w:type="dxa"/>
            <w:tcBorders>
              <w:top w:val="nil"/>
              <w:left w:val="nil"/>
              <w:bottom w:val="single" w:sz="4" w:space="0" w:color="auto"/>
              <w:right w:val="single" w:sz="4" w:space="0" w:color="auto"/>
            </w:tcBorders>
            <w:shd w:val="clear" w:color="000000" w:fill="A9D08E"/>
            <w:noWrap/>
            <w:vAlign w:val="bottom"/>
            <w:hideMark/>
          </w:tcPr>
          <w:p w14:paraId="47505A0E"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75.6</w:t>
            </w:r>
          </w:p>
        </w:tc>
        <w:tc>
          <w:tcPr>
            <w:tcW w:w="1353" w:type="dxa"/>
            <w:tcBorders>
              <w:top w:val="nil"/>
              <w:left w:val="nil"/>
              <w:bottom w:val="single" w:sz="4" w:space="0" w:color="auto"/>
              <w:right w:val="single" w:sz="4" w:space="0" w:color="auto"/>
            </w:tcBorders>
            <w:shd w:val="clear" w:color="000000" w:fill="A9D08E"/>
            <w:noWrap/>
            <w:vAlign w:val="center"/>
            <w:hideMark/>
          </w:tcPr>
          <w:p w14:paraId="709B9CD4" w14:textId="77777777" w:rsidR="00956134" w:rsidRPr="00780AF3" w:rsidRDefault="00956134" w:rsidP="009B0D10">
            <w:pPr>
              <w:spacing w:after="0" w:line="240" w:lineRule="auto"/>
              <w:jc w:val="center"/>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w:t>
            </w:r>
          </w:p>
        </w:tc>
        <w:tc>
          <w:tcPr>
            <w:tcW w:w="1326" w:type="dxa"/>
            <w:tcBorders>
              <w:top w:val="nil"/>
              <w:left w:val="nil"/>
              <w:bottom w:val="single" w:sz="4" w:space="0" w:color="auto"/>
              <w:right w:val="single" w:sz="4" w:space="0" w:color="auto"/>
            </w:tcBorders>
            <w:shd w:val="clear" w:color="000000" w:fill="A9D08E"/>
            <w:noWrap/>
            <w:vAlign w:val="bottom"/>
            <w:hideMark/>
          </w:tcPr>
          <w:p w14:paraId="1CDC77BD"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60.2</w:t>
            </w:r>
          </w:p>
        </w:tc>
        <w:tc>
          <w:tcPr>
            <w:tcW w:w="1299" w:type="dxa"/>
            <w:tcBorders>
              <w:top w:val="nil"/>
              <w:left w:val="nil"/>
              <w:bottom w:val="single" w:sz="4" w:space="0" w:color="auto"/>
              <w:right w:val="single" w:sz="4" w:space="0" w:color="auto"/>
            </w:tcBorders>
            <w:shd w:val="clear" w:color="000000" w:fill="A9D08E"/>
            <w:noWrap/>
            <w:vAlign w:val="bottom"/>
            <w:hideMark/>
          </w:tcPr>
          <w:p w14:paraId="50EA57EA"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7.8</w:t>
            </w:r>
          </w:p>
        </w:tc>
      </w:tr>
      <w:tr w:rsidR="00956134" w:rsidRPr="00780AF3" w14:paraId="3C37252F"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A9D08E"/>
            <w:noWrap/>
            <w:vAlign w:val="bottom"/>
            <w:hideMark/>
          </w:tcPr>
          <w:p w14:paraId="0B93471F"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2015</w:t>
            </w:r>
          </w:p>
        </w:tc>
        <w:tc>
          <w:tcPr>
            <w:tcW w:w="1299" w:type="dxa"/>
            <w:tcBorders>
              <w:top w:val="nil"/>
              <w:left w:val="nil"/>
              <w:bottom w:val="single" w:sz="4" w:space="0" w:color="auto"/>
              <w:right w:val="single" w:sz="4" w:space="0" w:color="auto"/>
            </w:tcBorders>
            <w:shd w:val="clear" w:color="000000" w:fill="A9D08E"/>
            <w:noWrap/>
            <w:vAlign w:val="bottom"/>
            <w:hideMark/>
          </w:tcPr>
          <w:p w14:paraId="2C1C16ED"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STC</w:t>
            </w:r>
          </w:p>
        </w:tc>
        <w:tc>
          <w:tcPr>
            <w:tcW w:w="1299" w:type="dxa"/>
            <w:tcBorders>
              <w:top w:val="nil"/>
              <w:left w:val="nil"/>
              <w:bottom w:val="single" w:sz="4" w:space="0" w:color="auto"/>
              <w:right w:val="single" w:sz="4" w:space="0" w:color="auto"/>
            </w:tcBorders>
            <w:shd w:val="clear" w:color="000000" w:fill="A9D08E"/>
            <w:noWrap/>
            <w:vAlign w:val="bottom"/>
            <w:hideMark/>
          </w:tcPr>
          <w:p w14:paraId="4CA85172"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12.6</w:t>
            </w:r>
          </w:p>
        </w:tc>
        <w:tc>
          <w:tcPr>
            <w:tcW w:w="1191" w:type="dxa"/>
            <w:tcBorders>
              <w:top w:val="nil"/>
              <w:left w:val="nil"/>
              <w:bottom w:val="single" w:sz="4" w:space="0" w:color="auto"/>
              <w:right w:val="single" w:sz="4" w:space="0" w:color="auto"/>
            </w:tcBorders>
            <w:shd w:val="clear" w:color="000000" w:fill="A9D08E"/>
            <w:noWrap/>
            <w:vAlign w:val="bottom"/>
            <w:hideMark/>
          </w:tcPr>
          <w:p w14:paraId="704969F6"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89.8</w:t>
            </w:r>
          </w:p>
        </w:tc>
        <w:tc>
          <w:tcPr>
            <w:tcW w:w="1353" w:type="dxa"/>
            <w:tcBorders>
              <w:top w:val="nil"/>
              <w:left w:val="nil"/>
              <w:bottom w:val="single" w:sz="4" w:space="0" w:color="auto"/>
              <w:right w:val="single" w:sz="4" w:space="0" w:color="auto"/>
            </w:tcBorders>
            <w:shd w:val="clear" w:color="000000" w:fill="A9D08E"/>
            <w:noWrap/>
            <w:vAlign w:val="bottom"/>
            <w:hideMark/>
          </w:tcPr>
          <w:p w14:paraId="4B73039E"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154</w:t>
            </w:r>
          </w:p>
        </w:tc>
        <w:tc>
          <w:tcPr>
            <w:tcW w:w="1326" w:type="dxa"/>
            <w:tcBorders>
              <w:top w:val="nil"/>
              <w:left w:val="nil"/>
              <w:bottom w:val="single" w:sz="4" w:space="0" w:color="auto"/>
              <w:right w:val="single" w:sz="4" w:space="0" w:color="auto"/>
            </w:tcBorders>
            <w:shd w:val="clear" w:color="000000" w:fill="A9D08E"/>
            <w:noWrap/>
            <w:vAlign w:val="bottom"/>
            <w:hideMark/>
          </w:tcPr>
          <w:p w14:paraId="165EAAFA"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73.1</w:t>
            </w:r>
          </w:p>
        </w:tc>
        <w:tc>
          <w:tcPr>
            <w:tcW w:w="1299" w:type="dxa"/>
            <w:tcBorders>
              <w:top w:val="nil"/>
              <w:left w:val="nil"/>
              <w:bottom w:val="single" w:sz="4" w:space="0" w:color="auto"/>
              <w:right w:val="single" w:sz="4" w:space="0" w:color="auto"/>
            </w:tcBorders>
            <w:shd w:val="clear" w:color="000000" w:fill="A9D08E"/>
            <w:noWrap/>
            <w:vAlign w:val="bottom"/>
            <w:hideMark/>
          </w:tcPr>
          <w:p w14:paraId="48D205D9"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0.4</w:t>
            </w:r>
          </w:p>
        </w:tc>
      </w:tr>
      <w:tr w:rsidR="00956134" w:rsidRPr="00780AF3" w14:paraId="70F733E6"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A9D08E"/>
            <w:noWrap/>
            <w:vAlign w:val="bottom"/>
            <w:hideMark/>
          </w:tcPr>
          <w:p w14:paraId="2A9A3D43"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2016</w:t>
            </w:r>
          </w:p>
        </w:tc>
        <w:tc>
          <w:tcPr>
            <w:tcW w:w="1299" w:type="dxa"/>
            <w:tcBorders>
              <w:top w:val="nil"/>
              <w:left w:val="nil"/>
              <w:bottom w:val="single" w:sz="4" w:space="0" w:color="auto"/>
              <w:right w:val="single" w:sz="4" w:space="0" w:color="auto"/>
            </w:tcBorders>
            <w:shd w:val="clear" w:color="000000" w:fill="A9D08E"/>
            <w:noWrap/>
            <w:vAlign w:val="bottom"/>
            <w:hideMark/>
          </w:tcPr>
          <w:p w14:paraId="7A2D0E3A"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STC</w:t>
            </w:r>
          </w:p>
        </w:tc>
        <w:tc>
          <w:tcPr>
            <w:tcW w:w="1299" w:type="dxa"/>
            <w:tcBorders>
              <w:top w:val="nil"/>
              <w:left w:val="nil"/>
              <w:bottom w:val="single" w:sz="4" w:space="0" w:color="auto"/>
              <w:right w:val="single" w:sz="4" w:space="0" w:color="auto"/>
            </w:tcBorders>
            <w:shd w:val="clear" w:color="000000" w:fill="A9D08E"/>
            <w:noWrap/>
            <w:vAlign w:val="bottom"/>
            <w:hideMark/>
          </w:tcPr>
          <w:p w14:paraId="2D87AD93"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13.6</w:t>
            </w:r>
          </w:p>
        </w:tc>
        <w:tc>
          <w:tcPr>
            <w:tcW w:w="1191" w:type="dxa"/>
            <w:tcBorders>
              <w:top w:val="nil"/>
              <w:left w:val="nil"/>
              <w:bottom w:val="single" w:sz="4" w:space="0" w:color="auto"/>
              <w:right w:val="single" w:sz="4" w:space="0" w:color="auto"/>
            </w:tcBorders>
            <w:shd w:val="clear" w:color="000000" w:fill="A9D08E"/>
            <w:noWrap/>
            <w:vAlign w:val="bottom"/>
            <w:hideMark/>
          </w:tcPr>
          <w:p w14:paraId="491AA676"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64.9</w:t>
            </w:r>
          </w:p>
        </w:tc>
        <w:tc>
          <w:tcPr>
            <w:tcW w:w="1353" w:type="dxa"/>
            <w:tcBorders>
              <w:top w:val="nil"/>
              <w:left w:val="nil"/>
              <w:bottom w:val="single" w:sz="4" w:space="0" w:color="auto"/>
              <w:right w:val="single" w:sz="4" w:space="0" w:color="auto"/>
            </w:tcBorders>
            <w:shd w:val="clear" w:color="000000" w:fill="A9D08E"/>
            <w:noWrap/>
            <w:vAlign w:val="bottom"/>
            <w:hideMark/>
          </w:tcPr>
          <w:p w14:paraId="1E70D057"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138</w:t>
            </w:r>
          </w:p>
        </w:tc>
        <w:tc>
          <w:tcPr>
            <w:tcW w:w="1326" w:type="dxa"/>
            <w:tcBorders>
              <w:top w:val="nil"/>
              <w:left w:val="nil"/>
              <w:bottom w:val="single" w:sz="4" w:space="0" w:color="auto"/>
              <w:right w:val="single" w:sz="4" w:space="0" w:color="auto"/>
            </w:tcBorders>
            <w:shd w:val="clear" w:color="000000" w:fill="A9D08E"/>
            <w:noWrap/>
            <w:vAlign w:val="bottom"/>
            <w:hideMark/>
          </w:tcPr>
          <w:p w14:paraId="68F55A6B"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72.6</w:t>
            </w:r>
          </w:p>
        </w:tc>
        <w:tc>
          <w:tcPr>
            <w:tcW w:w="1299" w:type="dxa"/>
            <w:tcBorders>
              <w:top w:val="nil"/>
              <w:left w:val="nil"/>
              <w:bottom w:val="single" w:sz="4" w:space="0" w:color="auto"/>
              <w:right w:val="single" w:sz="4" w:space="0" w:color="auto"/>
            </w:tcBorders>
            <w:shd w:val="clear" w:color="000000" w:fill="A9D08E"/>
            <w:noWrap/>
            <w:vAlign w:val="bottom"/>
            <w:hideMark/>
          </w:tcPr>
          <w:p w14:paraId="279A9948"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0.3</w:t>
            </w:r>
          </w:p>
        </w:tc>
      </w:tr>
      <w:tr w:rsidR="00956134" w:rsidRPr="00780AF3" w14:paraId="40C03ADA"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A9D08E"/>
            <w:noWrap/>
            <w:vAlign w:val="bottom"/>
            <w:hideMark/>
          </w:tcPr>
          <w:p w14:paraId="568EE91A"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2017</w:t>
            </w:r>
          </w:p>
        </w:tc>
        <w:tc>
          <w:tcPr>
            <w:tcW w:w="1299" w:type="dxa"/>
            <w:tcBorders>
              <w:top w:val="nil"/>
              <w:left w:val="nil"/>
              <w:bottom w:val="single" w:sz="4" w:space="0" w:color="auto"/>
              <w:right w:val="single" w:sz="4" w:space="0" w:color="auto"/>
            </w:tcBorders>
            <w:shd w:val="clear" w:color="000000" w:fill="A9D08E"/>
            <w:noWrap/>
            <w:vAlign w:val="bottom"/>
            <w:hideMark/>
          </w:tcPr>
          <w:p w14:paraId="43916FAC"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STC</w:t>
            </w:r>
          </w:p>
        </w:tc>
        <w:tc>
          <w:tcPr>
            <w:tcW w:w="1299" w:type="dxa"/>
            <w:tcBorders>
              <w:top w:val="nil"/>
              <w:left w:val="nil"/>
              <w:bottom w:val="single" w:sz="4" w:space="0" w:color="auto"/>
              <w:right w:val="single" w:sz="4" w:space="0" w:color="auto"/>
            </w:tcBorders>
            <w:shd w:val="clear" w:color="000000" w:fill="A9D08E"/>
            <w:noWrap/>
            <w:vAlign w:val="bottom"/>
            <w:hideMark/>
          </w:tcPr>
          <w:p w14:paraId="3D760289"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13.6</w:t>
            </w:r>
          </w:p>
        </w:tc>
        <w:tc>
          <w:tcPr>
            <w:tcW w:w="1191" w:type="dxa"/>
            <w:tcBorders>
              <w:top w:val="nil"/>
              <w:left w:val="nil"/>
              <w:bottom w:val="single" w:sz="4" w:space="0" w:color="auto"/>
              <w:right w:val="single" w:sz="4" w:space="0" w:color="auto"/>
            </w:tcBorders>
            <w:shd w:val="clear" w:color="000000" w:fill="A9D08E"/>
            <w:noWrap/>
            <w:vAlign w:val="bottom"/>
            <w:hideMark/>
          </w:tcPr>
          <w:p w14:paraId="734C0E91"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82.9</w:t>
            </w:r>
          </w:p>
        </w:tc>
        <w:tc>
          <w:tcPr>
            <w:tcW w:w="1353" w:type="dxa"/>
            <w:tcBorders>
              <w:top w:val="nil"/>
              <w:left w:val="nil"/>
              <w:bottom w:val="single" w:sz="4" w:space="0" w:color="auto"/>
              <w:right w:val="single" w:sz="4" w:space="0" w:color="auto"/>
            </w:tcBorders>
            <w:shd w:val="clear" w:color="000000" w:fill="A9D08E"/>
            <w:noWrap/>
            <w:vAlign w:val="bottom"/>
            <w:hideMark/>
          </w:tcPr>
          <w:p w14:paraId="47D7D7D9"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146</w:t>
            </w:r>
          </w:p>
        </w:tc>
        <w:tc>
          <w:tcPr>
            <w:tcW w:w="1326" w:type="dxa"/>
            <w:tcBorders>
              <w:top w:val="nil"/>
              <w:left w:val="nil"/>
              <w:bottom w:val="single" w:sz="4" w:space="0" w:color="auto"/>
              <w:right w:val="single" w:sz="4" w:space="0" w:color="auto"/>
            </w:tcBorders>
            <w:shd w:val="clear" w:color="000000" w:fill="A9D08E"/>
            <w:noWrap/>
            <w:vAlign w:val="bottom"/>
            <w:hideMark/>
          </w:tcPr>
          <w:p w14:paraId="3E806D62"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72.2</w:t>
            </w:r>
          </w:p>
        </w:tc>
        <w:tc>
          <w:tcPr>
            <w:tcW w:w="1299" w:type="dxa"/>
            <w:tcBorders>
              <w:top w:val="nil"/>
              <w:left w:val="nil"/>
              <w:bottom w:val="single" w:sz="4" w:space="0" w:color="auto"/>
              <w:right w:val="single" w:sz="4" w:space="0" w:color="auto"/>
            </w:tcBorders>
            <w:shd w:val="clear" w:color="000000" w:fill="A9D08E"/>
            <w:noWrap/>
            <w:vAlign w:val="bottom"/>
            <w:hideMark/>
          </w:tcPr>
          <w:p w14:paraId="5FF1225D"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3.5</w:t>
            </w:r>
          </w:p>
        </w:tc>
      </w:tr>
      <w:tr w:rsidR="00956134" w:rsidRPr="00780AF3" w14:paraId="08115140" w14:textId="77777777" w:rsidTr="009B0D10">
        <w:trPr>
          <w:trHeight w:val="347"/>
        </w:trPr>
        <w:tc>
          <w:tcPr>
            <w:tcW w:w="1299" w:type="dxa"/>
            <w:tcBorders>
              <w:top w:val="nil"/>
              <w:left w:val="single" w:sz="4" w:space="0" w:color="auto"/>
              <w:bottom w:val="single" w:sz="4" w:space="0" w:color="auto"/>
              <w:right w:val="single" w:sz="4" w:space="0" w:color="auto"/>
            </w:tcBorders>
            <w:shd w:val="clear" w:color="000000" w:fill="A9D08E"/>
            <w:noWrap/>
            <w:vAlign w:val="bottom"/>
            <w:hideMark/>
          </w:tcPr>
          <w:p w14:paraId="299E9AB5"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2018</w:t>
            </w:r>
          </w:p>
        </w:tc>
        <w:tc>
          <w:tcPr>
            <w:tcW w:w="1299" w:type="dxa"/>
            <w:tcBorders>
              <w:top w:val="nil"/>
              <w:left w:val="nil"/>
              <w:bottom w:val="single" w:sz="4" w:space="0" w:color="auto"/>
              <w:right w:val="single" w:sz="4" w:space="0" w:color="auto"/>
            </w:tcBorders>
            <w:shd w:val="clear" w:color="000000" w:fill="A9D08E"/>
            <w:noWrap/>
            <w:vAlign w:val="bottom"/>
            <w:hideMark/>
          </w:tcPr>
          <w:p w14:paraId="44A1DF9B" w14:textId="77777777" w:rsidR="00956134" w:rsidRPr="00780AF3" w:rsidRDefault="00956134" w:rsidP="009B0D10">
            <w:pPr>
              <w:spacing w:after="0" w:line="240" w:lineRule="auto"/>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STC</w:t>
            </w:r>
          </w:p>
        </w:tc>
        <w:tc>
          <w:tcPr>
            <w:tcW w:w="1299" w:type="dxa"/>
            <w:tcBorders>
              <w:top w:val="nil"/>
              <w:left w:val="nil"/>
              <w:bottom w:val="single" w:sz="4" w:space="0" w:color="auto"/>
              <w:right w:val="single" w:sz="4" w:space="0" w:color="auto"/>
            </w:tcBorders>
            <w:shd w:val="clear" w:color="000000" w:fill="A9D08E"/>
            <w:noWrap/>
            <w:vAlign w:val="bottom"/>
            <w:hideMark/>
          </w:tcPr>
          <w:p w14:paraId="110C0C96"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14.2</w:t>
            </w:r>
          </w:p>
        </w:tc>
        <w:tc>
          <w:tcPr>
            <w:tcW w:w="1191" w:type="dxa"/>
            <w:tcBorders>
              <w:top w:val="nil"/>
              <w:left w:val="nil"/>
              <w:bottom w:val="single" w:sz="4" w:space="0" w:color="auto"/>
              <w:right w:val="single" w:sz="4" w:space="0" w:color="auto"/>
            </w:tcBorders>
            <w:shd w:val="clear" w:color="000000" w:fill="A9D08E"/>
            <w:noWrap/>
            <w:vAlign w:val="bottom"/>
            <w:hideMark/>
          </w:tcPr>
          <w:p w14:paraId="164B90B7"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80.2</w:t>
            </w:r>
          </w:p>
        </w:tc>
        <w:tc>
          <w:tcPr>
            <w:tcW w:w="1353" w:type="dxa"/>
            <w:tcBorders>
              <w:top w:val="nil"/>
              <w:left w:val="nil"/>
              <w:bottom w:val="single" w:sz="4" w:space="0" w:color="auto"/>
              <w:right w:val="single" w:sz="4" w:space="0" w:color="auto"/>
            </w:tcBorders>
            <w:shd w:val="clear" w:color="000000" w:fill="A9D08E"/>
            <w:noWrap/>
            <w:vAlign w:val="bottom"/>
            <w:hideMark/>
          </w:tcPr>
          <w:p w14:paraId="6BFB7520"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154</w:t>
            </w:r>
          </w:p>
        </w:tc>
        <w:tc>
          <w:tcPr>
            <w:tcW w:w="1326" w:type="dxa"/>
            <w:tcBorders>
              <w:top w:val="nil"/>
              <w:left w:val="nil"/>
              <w:bottom w:val="single" w:sz="4" w:space="0" w:color="auto"/>
              <w:right w:val="single" w:sz="4" w:space="0" w:color="auto"/>
            </w:tcBorders>
            <w:shd w:val="clear" w:color="000000" w:fill="A9D08E"/>
            <w:noWrap/>
            <w:vAlign w:val="bottom"/>
            <w:hideMark/>
          </w:tcPr>
          <w:p w14:paraId="28C932C1"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78.8</w:t>
            </w:r>
          </w:p>
        </w:tc>
        <w:tc>
          <w:tcPr>
            <w:tcW w:w="1299" w:type="dxa"/>
            <w:tcBorders>
              <w:top w:val="nil"/>
              <w:left w:val="nil"/>
              <w:bottom w:val="single" w:sz="4" w:space="0" w:color="auto"/>
              <w:right w:val="single" w:sz="4" w:space="0" w:color="auto"/>
            </w:tcBorders>
            <w:shd w:val="clear" w:color="000000" w:fill="A9D08E"/>
            <w:noWrap/>
            <w:vAlign w:val="bottom"/>
            <w:hideMark/>
          </w:tcPr>
          <w:p w14:paraId="49ACDFC4" w14:textId="77777777" w:rsidR="00956134" w:rsidRPr="00780AF3" w:rsidRDefault="00956134" w:rsidP="009B0D10">
            <w:pPr>
              <w:spacing w:after="0" w:line="240" w:lineRule="auto"/>
              <w:jc w:val="right"/>
              <w:rPr>
                <w:rFonts w:ascii="Calibri" w:eastAsia="Times New Roman" w:hAnsi="Calibri" w:cs="Times New Roman"/>
                <w:color w:val="000000"/>
                <w:lang w:eastAsia="en-GB"/>
              </w:rPr>
            </w:pPr>
            <w:r w:rsidRPr="00780AF3">
              <w:rPr>
                <w:rFonts w:ascii="Calibri" w:eastAsia="Times New Roman" w:hAnsi="Calibri" w:cs="Times New Roman"/>
                <w:color w:val="000000"/>
                <w:lang w:eastAsia="en-GB"/>
              </w:rPr>
              <w:t>4.6</w:t>
            </w:r>
          </w:p>
        </w:tc>
      </w:tr>
    </w:tbl>
    <w:p w14:paraId="1B66BF12"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w:t>
      </w:r>
    </w:p>
    <w:p w14:paraId="4FBCDF91"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The data collected as shown in the table 1 above reveals that the three banks have increased their Tier 1 capital and the liquidity coverage ratios mainly due to tighter restrictions but their lending to deposit ratio, the return on equity and the cost to income ratios seems to be fluctuating  from year to year, at the first sight having no or little connection with Tier 1 and liquidity coverage ratio, for a better understanding of the connection between the regulatory capital and the banks performance this paper will analyse each of the three banks on their own.</w:t>
      </w:r>
    </w:p>
    <w:p w14:paraId="1BD9A933" w14:textId="77777777" w:rsidR="00956134" w:rsidRDefault="00956134" w:rsidP="00956134">
      <w:pPr>
        <w:rPr>
          <w:noProof/>
        </w:rPr>
      </w:pPr>
      <w:r>
        <w:rPr>
          <w:rFonts w:ascii="Times New Roman" w:hAnsi="Times New Roman" w:cs="Times New Roman"/>
          <w:sz w:val="24"/>
          <w:szCs w:val="24"/>
        </w:rPr>
        <w:t xml:space="preserve"> HSBC has increased their tier 1 ratio and liquidity coverage ratio considerably for the period from 2014 to 2018 and it can be seen an increased in the performance for the same period of time as can be seen in the chart below:</w:t>
      </w:r>
      <w:r w:rsidRPr="00DC3734">
        <w:rPr>
          <w:noProof/>
        </w:rPr>
        <w:t xml:space="preserve"> </w:t>
      </w:r>
    </w:p>
    <w:p w14:paraId="083CD61C" w14:textId="77777777" w:rsidR="00956134" w:rsidRDefault="00956134" w:rsidP="00956134">
      <w:pPr>
        <w:keepNext/>
        <w:jc w:val="center"/>
      </w:pPr>
      <w:r>
        <w:rPr>
          <w:noProof/>
        </w:rPr>
        <w:lastRenderedPageBreak/>
        <w:drawing>
          <wp:inline distT="0" distB="0" distL="0" distR="0" wp14:anchorId="35E39DFE" wp14:editId="7830DCDB">
            <wp:extent cx="6018028" cy="3019647"/>
            <wp:effectExtent l="0" t="0" r="1905" b="9525"/>
            <wp:docPr id="1" name="Diagramă 1">
              <a:extLst xmlns:a="http://schemas.openxmlformats.org/drawingml/2006/main">
                <a:ext uri="{FF2B5EF4-FFF2-40B4-BE49-F238E27FC236}">
                  <a16:creationId xmlns:a16="http://schemas.microsoft.com/office/drawing/2014/main" id="{0FF1AF17-F2AE-407E-B295-A6F46DEC6E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0EE95B7" w14:textId="77777777" w:rsidR="00956134" w:rsidRDefault="00956134" w:rsidP="00956134">
      <w:pPr>
        <w:pStyle w:val="Legend"/>
        <w:jc w:val="center"/>
        <w:rPr>
          <w:rFonts w:ascii="Times New Roman" w:hAnsi="Times New Roman" w:cs="Times New Roman"/>
          <w:sz w:val="24"/>
          <w:szCs w:val="24"/>
        </w:rPr>
      </w:pPr>
      <w:r>
        <w:t xml:space="preserve">Figure </w:t>
      </w:r>
      <w:fldSimple w:instr=" SEQ Figure \* ARABIC ">
        <w:r>
          <w:rPr>
            <w:noProof/>
          </w:rPr>
          <w:t>1</w:t>
        </w:r>
      </w:fldSimple>
    </w:p>
    <w:p w14:paraId="7BF24107" w14:textId="77777777" w:rsidR="00956134" w:rsidRPr="00AE6640"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In case of HSBC there is a negative correlation of -11% between the increase in tier 1 capital and the increase in cost to income ratio which means that for this bank the increase in tier 1 capital decreases the cost of operations, but it has a negative correlation with it’s return on equity of    -36%  which means that higher tier 1 will reduce the bank’s profitability .</w:t>
      </w:r>
    </w:p>
    <w:p w14:paraId="17B5A88D" w14:textId="77777777" w:rsidR="00956134" w:rsidRDefault="00956134" w:rsidP="00956134">
      <w:pPr>
        <w:pStyle w:val="Legend"/>
        <w:keepNext/>
      </w:pPr>
      <w:r>
        <w:t xml:space="preserve">Table </w:t>
      </w:r>
      <w:fldSimple w:instr=" SEQ Table \* ARABIC ">
        <w:r>
          <w:rPr>
            <w:noProof/>
          </w:rPr>
          <w:t>2</w:t>
        </w:r>
      </w:fldSimple>
      <w:r>
        <w:t>:</w:t>
      </w:r>
    </w:p>
    <w:tbl>
      <w:tblPr>
        <w:tblW w:w="9253" w:type="dxa"/>
        <w:tblInd w:w="113" w:type="dxa"/>
        <w:tblLook w:val="04A0" w:firstRow="1" w:lastRow="0" w:firstColumn="1" w:lastColumn="0" w:noHBand="0" w:noVBand="1"/>
      </w:tblPr>
      <w:tblGrid>
        <w:gridCol w:w="2567"/>
        <w:gridCol w:w="1184"/>
        <w:gridCol w:w="1184"/>
        <w:gridCol w:w="1184"/>
        <w:gridCol w:w="1184"/>
        <w:gridCol w:w="1950"/>
      </w:tblGrid>
      <w:tr w:rsidR="00956134" w:rsidRPr="00AE6640" w14:paraId="1BD2FC76" w14:textId="77777777" w:rsidTr="009B0D10">
        <w:trPr>
          <w:trHeight w:val="401"/>
        </w:trPr>
        <w:tc>
          <w:tcPr>
            <w:tcW w:w="2567"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2F0FD834" w14:textId="77777777" w:rsidR="00956134" w:rsidRPr="00AE6640" w:rsidRDefault="00956134" w:rsidP="009B0D10">
            <w:pPr>
              <w:spacing w:after="0" w:line="240" w:lineRule="auto"/>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HSBC</w:t>
            </w:r>
          </w:p>
        </w:tc>
        <w:tc>
          <w:tcPr>
            <w:tcW w:w="1184" w:type="dxa"/>
            <w:tcBorders>
              <w:top w:val="single" w:sz="4" w:space="0" w:color="auto"/>
              <w:left w:val="nil"/>
              <w:bottom w:val="single" w:sz="4" w:space="0" w:color="auto"/>
              <w:right w:val="single" w:sz="4" w:space="0" w:color="auto"/>
            </w:tcBorders>
            <w:shd w:val="clear" w:color="000000" w:fill="00B0F0"/>
            <w:noWrap/>
            <w:vAlign w:val="bottom"/>
            <w:hideMark/>
          </w:tcPr>
          <w:p w14:paraId="0DE61876"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2015</w:t>
            </w:r>
          </w:p>
        </w:tc>
        <w:tc>
          <w:tcPr>
            <w:tcW w:w="1184" w:type="dxa"/>
            <w:tcBorders>
              <w:top w:val="single" w:sz="4" w:space="0" w:color="auto"/>
              <w:left w:val="nil"/>
              <w:bottom w:val="single" w:sz="4" w:space="0" w:color="auto"/>
              <w:right w:val="single" w:sz="4" w:space="0" w:color="auto"/>
            </w:tcBorders>
            <w:shd w:val="clear" w:color="000000" w:fill="00B0F0"/>
            <w:noWrap/>
            <w:vAlign w:val="bottom"/>
            <w:hideMark/>
          </w:tcPr>
          <w:p w14:paraId="4F452AFA"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2016</w:t>
            </w:r>
          </w:p>
        </w:tc>
        <w:tc>
          <w:tcPr>
            <w:tcW w:w="1184" w:type="dxa"/>
            <w:tcBorders>
              <w:top w:val="single" w:sz="4" w:space="0" w:color="auto"/>
              <w:left w:val="nil"/>
              <w:bottom w:val="single" w:sz="4" w:space="0" w:color="auto"/>
              <w:right w:val="single" w:sz="4" w:space="0" w:color="auto"/>
            </w:tcBorders>
            <w:shd w:val="clear" w:color="000000" w:fill="00B0F0"/>
            <w:noWrap/>
            <w:vAlign w:val="bottom"/>
            <w:hideMark/>
          </w:tcPr>
          <w:p w14:paraId="2B8E96EF"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2017</w:t>
            </w:r>
          </w:p>
        </w:tc>
        <w:tc>
          <w:tcPr>
            <w:tcW w:w="1184" w:type="dxa"/>
            <w:tcBorders>
              <w:top w:val="single" w:sz="4" w:space="0" w:color="auto"/>
              <w:left w:val="nil"/>
              <w:bottom w:val="single" w:sz="4" w:space="0" w:color="auto"/>
              <w:right w:val="single" w:sz="4" w:space="0" w:color="auto"/>
            </w:tcBorders>
            <w:shd w:val="clear" w:color="000000" w:fill="00B0F0"/>
            <w:noWrap/>
            <w:vAlign w:val="bottom"/>
            <w:hideMark/>
          </w:tcPr>
          <w:p w14:paraId="184107B3"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2018</w:t>
            </w:r>
          </w:p>
        </w:tc>
        <w:tc>
          <w:tcPr>
            <w:tcW w:w="1950" w:type="dxa"/>
            <w:tcBorders>
              <w:top w:val="single" w:sz="4" w:space="0" w:color="auto"/>
              <w:left w:val="nil"/>
              <w:bottom w:val="single" w:sz="4" w:space="0" w:color="auto"/>
              <w:right w:val="single" w:sz="4" w:space="0" w:color="auto"/>
            </w:tcBorders>
            <w:shd w:val="clear" w:color="000000" w:fill="00B0F0"/>
            <w:noWrap/>
            <w:vAlign w:val="bottom"/>
            <w:hideMark/>
          </w:tcPr>
          <w:p w14:paraId="11D10C56" w14:textId="77777777" w:rsidR="00956134" w:rsidRPr="00AE6640" w:rsidRDefault="00956134" w:rsidP="009B0D10">
            <w:pPr>
              <w:spacing w:after="0" w:line="240" w:lineRule="auto"/>
              <w:rPr>
                <w:rFonts w:ascii="Calibri" w:eastAsia="Times New Roman" w:hAnsi="Calibri" w:cs="Times New Roman"/>
                <w:color w:val="000000"/>
                <w:sz w:val="18"/>
                <w:szCs w:val="18"/>
                <w:lang w:eastAsia="en-GB"/>
              </w:rPr>
            </w:pPr>
            <w:r w:rsidRPr="00AE6640">
              <w:rPr>
                <w:rFonts w:ascii="Calibri" w:eastAsia="Times New Roman" w:hAnsi="Calibri" w:cs="Times New Roman"/>
                <w:color w:val="000000"/>
                <w:sz w:val="18"/>
                <w:szCs w:val="18"/>
                <w:lang w:eastAsia="en-GB"/>
              </w:rPr>
              <w:t>CORREL WITH TIER 1</w:t>
            </w:r>
          </w:p>
        </w:tc>
      </w:tr>
      <w:tr w:rsidR="00956134" w:rsidRPr="00AE6640" w14:paraId="2D1AAE94" w14:textId="77777777" w:rsidTr="009B0D10">
        <w:trPr>
          <w:trHeight w:val="401"/>
        </w:trPr>
        <w:tc>
          <w:tcPr>
            <w:tcW w:w="2567"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082BFDB5" w14:textId="77777777" w:rsidR="00956134" w:rsidRPr="00AE6640" w:rsidRDefault="00956134" w:rsidP="009B0D10">
            <w:pPr>
              <w:spacing w:after="0" w:line="240" w:lineRule="auto"/>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CHANGE IN TIER 1</w:t>
            </w:r>
          </w:p>
        </w:tc>
        <w:tc>
          <w:tcPr>
            <w:tcW w:w="1184" w:type="dxa"/>
            <w:tcBorders>
              <w:top w:val="nil"/>
              <w:left w:val="nil"/>
              <w:bottom w:val="single" w:sz="4" w:space="0" w:color="auto"/>
              <w:right w:val="single" w:sz="4" w:space="0" w:color="auto"/>
            </w:tcBorders>
            <w:shd w:val="clear" w:color="000000" w:fill="F4B084"/>
            <w:noWrap/>
            <w:vAlign w:val="bottom"/>
            <w:hideMark/>
          </w:tcPr>
          <w:p w14:paraId="1AB0BD22"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9%</w:t>
            </w:r>
          </w:p>
        </w:tc>
        <w:tc>
          <w:tcPr>
            <w:tcW w:w="1184" w:type="dxa"/>
            <w:tcBorders>
              <w:top w:val="nil"/>
              <w:left w:val="nil"/>
              <w:bottom w:val="single" w:sz="4" w:space="0" w:color="auto"/>
              <w:right w:val="single" w:sz="4" w:space="0" w:color="auto"/>
            </w:tcBorders>
            <w:shd w:val="clear" w:color="000000" w:fill="F4B084"/>
            <w:noWrap/>
            <w:vAlign w:val="bottom"/>
            <w:hideMark/>
          </w:tcPr>
          <w:p w14:paraId="0954738F"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14%</w:t>
            </w:r>
          </w:p>
        </w:tc>
        <w:tc>
          <w:tcPr>
            <w:tcW w:w="1184" w:type="dxa"/>
            <w:tcBorders>
              <w:top w:val="nil"/>
              <w:left w:val="nil"/>
              <w:bottom w:val="single" w:sz="4" w:space="0" w:color="auto"/>
              <w:right w:val="single" w:sz="4" w:space="0" w:color="auto"/>
            </w:tcBorders>
            <w:shd w:val="clear" w:color="000000" w:fill="F4B084"/>
            <w:noWrap/>
            <w:vAlign w:val="bottom"/>
            <w:hideMark/>
          </w:tcPr>
          <w:p w14:paraId="07E1DCE4"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7%</w:t>
            </w:r>
          </w:p>
        </w:tc>
        <w:tc>
          <w:tcPr>
            <w:tcW w:w="1184" w:type="dxa"/>
            <w:tcBorders>
              <w:top w:val="nil"/>
              <w:left w:val="nil"/>
              <w:bottom w:val="single" w:sz="4" w:space="0" w:color="auto"/>
              <w:right w:val="single" w:sz="4" w:space="0" w:color="auto"/>
            </w:tcBorders>
            <w:shd w:val="clear" w:color="000000" w:fill="F4B084"/>
            <w:noWrap/>
            <w:vAlign w:val="bottom"/>
            <w:hideMark/>
          </w:tcPr>
          <w:p w14:paraId="7EE3C32F"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-3%</w:t>
            </w:r>
          </w:p>
        </w:tc>
        <w:tc>
          <w:tcPr>
            <w:tcW w:w="1950" w:type="dxa"/>
            <w:tcBorders>
              <w:top w:val="nil"/>
              <w:left w:val="nil"/>
              <w:bottom w:val="single" w:sz="4" w:space="0" w:color="auto"/>
              <w:right w:val="single" w:sz="4" w:space="0" w:color="auto"/>
            </w:tcBorders>
            <w:shd w:val="clear" w:color="auto" w:fill="C2D69B" w:themeFill="accent3" w:themeFillTint="99"/>
            <w:noWrap/>
            <w:vAlign w:val="bottom"/>
            <w:hideMark/>
          </w:tcPr>
          <w:p w14:paraId="02C3D04C" w14:textId="77777777" w:rsidR="00956134" w:rsidRPr="00AE6640" w:rsidRDefault="00956134" w:rsidP="009B0D10">
            <w:pPr>
              <w:spacing w:after="0" w:line="240" w:lineRule="auto"/>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 </w:t>
            </w:r>
          </w:p>
        </w:tc>
      </w:tr>
      <w:tr w:rsidR="00956134" w:rsidRPr="00AE6640" w14:paraId="7C7454AA" w14:textId="77777777" w:rsidTr="009B0D10">
        <w:trPr>
          <w:trHeight w:val="401"/>
        </w:trPr>
        <w:tc>
          <w:tcPr>
            <w:tcW w:w="2567"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73A83BBB" w14:textId="77777777" w:rsidR="00956134" w:rsidRPr="00AE6640" w:rsidRDefault="00956134" w:rsidP="009B0D10">
            <w:pPr>
              <w:spacing w:after="0" w:line="240" w:lineRule="auto"/>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CHANGE IN L/D</w:t>
            </w:r>
            <w:r>
              <w:rPr>
                <w:rFonts w:ascii="Calibri" w:eastAsia="Times New Roman" w:hAnsi="Calibri" w:cs="Times New Roman"/>
                <w:color w:val="000000"/>
                <w:lang w:eastAsia="en-GB"/>
              </w:rPr>
              <w:t xml:space="preserve"> RATIO</w:t>
            </w:r>
          </w:p>
        </w:tc>
        <w:tc>
          <w:tcPr>
            <w:tcW w:w="1184" w:type="dxa"/>
            <w:tcBorders>
              <w:top w:val="nil"/>
              <w:left w:val="nil"/>
              <w:bottom w:val="single" w:sz="4" w:space="0" w:color="auto"/>
              <w:right w:val="single" w:sz="4" w:space="0" w:color="auto"/>
            </w:tcBorders>
            <w:shd w:val="clear" w:color="000000" w:fill="F4B084"/>
            <w:noWrap/>
            <w:vAlign w:val="bottom"/>
            <w:hideMark/>
          </w:tcPr>
          <w:p w14:paraId="18086F38"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-1%</w:t>
            </w:r>
          </w:p>
        </w:tc>
        <w:tc>
          <w:tcPr>
            <w:tcW w:w="1184" w:type="dxa"/>
            <w:tcBorders>
              <w:top w:val="nil"/>
              <w:left w:val="nil"/>
              <w:bottom w:val="single" w:sz="4" w:space="0" w:color="auto"/>
              <w:right w:val="single" w:sz="4" w:space="0" w:color="auto"/>
            </w:tcBorders>
            <w:shd w:val="clear" w:color="000000" w:fill="F4B084"/>
            <w:noWrap/>
            <w:vAlign w:val="bottom"/>
            <w:hideMark/>
          </w:tcPr>
          <w:p w14:paraId="169F7B9B"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-3%</w:t>
            </w:r>
          </w:p>
        </w:tc>
        <w:tc>
          <w:tcPr>
            <w:tcW w:w="1184" w:type="dxa"/>
            <w:tcBorders>
              <w:top w:val="nil"/>
              <w:left w:val="nil"/>
              <w:bottom w:val="single" w:sz="4" w:space="0" w:color="auto"/>
              <w:right w:val="single" w:sz="4" w:space="0" w:color="auto"/>
            </w:tcBorders>
            <w:shd w:val="clear" w:color="000000" w:fill="F4B084"/>
            <w:noWrap/>
            <w:vAlign w:val="bottom"/>
            <w:hideMark/>
          </w:tcPr>
          <w:p w14:paraId="7F55AEFD"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6%</w:t>
            </w:r>
          </w:p>
        </w:tc>
        <w:tc>
          <w:tcPr>
            <w:tcW w:w="1184" w:type="dxa"/>
            <w:tcBorders>
              <w:top w:val="nil"/>
              <w:left w:val="nil"/>
              <w:bottom w:val="single" w:sz="4" w:space="0" w:color="auto"/>
              <w:right w:val="single" w:sz="4" w:space="0" w:color="auto"/>
            </w:tcBorders>
            <w:shd w:val="clear" w:color="000000" w:fill="F4B084"/>
            <w:noWrap/>
            <w:vAlign w:val="bottom"/>
            <w:hideMark/>
          </w:tcPr>
          <w:p w14:paraId="15271D45"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1%</w:t>
            </w:r>
          </w:p>
        </w:tc>
        <w:tc>
          <w:tcPr>
            <w:tcW w:w="1950" w:type="dxa"/>
            <w:tcBorders>
              <w:top w:val="nil"/>
              <w:left w:val="nil"/>
              <w:bottom w:val="single" w:sz="4" w:space="0" w:color="auto"/>
              <w:right w:val="single" w:sz="4" w:space="0" w:color="auto"/>
            </w:tcBorders>
            <w:shd w:val="clear" w:color="auto" w:fill="C2D69B" w:themeFill="accent3" w:themeFillTint="99"/>
            <w:noWrap/>
            <w:vAlign w:val="bottom"/>
            <w:hideMark/>
          </w:tcPr>
          <w:p w14:paraId="189A8F33"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-39%</w:t>
            </w:r>
          </w:p>
        </w:tc>
      </w:tr>
      <w:tr w:rsidR="00956134" w:rsidRPr="00AE6640" w14:paraId="3E04A9E1" w14:textId="77777777" w:rsidTr="009B0D10">
        <w:trPr>
          <w:trHeight w:val="401"/>
        </w:trPr>
        <w:tc>
          <w:tcPr>
            <w:tcW w:w="2567"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15E1065B" w14:textId="77777777" w:rsidR="00956134" w:rsidRPr="00AE6640" w:rsidRDefault="00956134" w:rsidP="009B0D10">
            <w:pPr>
              <w:spacing w:after="0" w:line="240" w:lineRule="auto"/>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CHANGE IN C/I RATIO</w:t>
            </w:r>
          </w:p>
        </w:tc>
        <w:tc>
          <w:tcPr>
            <w:tcW w:w="1184" w:type="dxa"/>
            <w:tcBorders>
              <w:top w:val="nil"/>
              <w:left w:val="nil"/>
              <w:bottom w:val="single" w:sz="4" w:space="0" w:color="auto"/>
              <w:right w:val="single" w:sz="4" w:space="0" w:color="auto"/>
            </w:tcBorders>
            <w:shd w:val="clear" w:color="000000" w:fill="F4B084"/>
            <w:noWrap/>
            <w:vAlign w:val="bottom"/>
            <w:hideMark/>
          </w:tcPr>
          <w:p w14:paraId="74BD89A0"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1%</w:t>
            </w:r>
          </w:p>
        </w:tc>
        <w:tc>
          <w:tcPr>
            <w:tcW w:w="1184" w:type="dxa"/>
            <w:tcBorders>
              <w:top w:val="nil"/>
              <w:left w:val="nil"/>
              <w:bottom w:val="single" w:sz="4" w:space="0" w:color="auto"/>
              <w:right w:val="single" w:sz="4" w:space="0" w:color="auto"/>
            </w:tcBorders>
            <w:shd w:val="clear" w:color="000000" w:fill="F4B084"/>
            <w:noWrap/>
            <w:vAlign w:val="bottom"/>
            <w:hideMark/>
          </w:tcPr>
          <w:p w14:paraId="2655C4A6"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19%</w:t>
            </w:r>
          </w:p>
        </w:tc>
        <w:tc>
          <w:tcPr>
            <w:tcW w:w="1184" w:type="dxa"/>
            <w:tcBorders>
              <w:top w:val="nil"/>
              <w:left w:val="nil"/>
              <w:bottom w:val="single" w:sz="4" w:space="0" w:color="auto"/>
              <w:right w:val="single" w:sz="4" w:space="0" w:color="auto"/>
            </w:tcBorders>
            <w:shd w:val="clear" w:color="000000" w:fill="F4B084"/>
            <w:noWrap/>
            <w:vAlign w:val="bottom"/>
            <w:hideMark/>
          </w:tcPr>
          <w:p w14:paraId="4365E228"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-18%</w:t>
            </w:r>
          </w:p>
        </w:tc>
        <w:tc>
          <w:tcPr>
            <w:tcW w:w="1184" w:type="dxa"/>
            <w:tcBorders>
              <w:top w:val="nil"/>
              <w:left w:val="nil"/>
              <w:bottom w:val="single" w:sz="4" w:space="0" w:color="auto"/>
              <w:right w:val="single" w:sz="4" w:space="0" w:color="auto"/>
            </w:tcBorders>
            <w:shd w:val="clear" w:color="000000" w:fill="F4B084"/>
            <w:noWrap/>
            <w:vAlign w:val="bottom"/>
            <w:hideMark/>
          </w:tcPr>
          <w:p w14:paraId="36A1E7CE"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10%</w:t>
            </w:r>
          </w:p>
        </w:tc>
        <w:tc>
          <w:tcPr>
            <w:tcW w:w="1950" w:type="dxa"/>
            <w:tcBorders>
              <w:top w:val="nil"/>
              <w:left w:val="nil"/>
              <w:bottom w:val="single" w:sz="4" w:space="0" w:color="auto"/>
              <w:right w:val="single" w:sz="4" w:space="0" w:color="auto"/>
            </w:tcBorders>
            <w:shd w:val="clear" w:color="auto" w:fill="C2D69B" w:themeFill="accent3" w:themeFillTint="99"/>
            <w:noWrap/>
            <w:vAlign w:val="bottom"/>
            <w:hideMark/>
          </w:tcPr>
          <w:p w14:paraId="7C46AA6A"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-11%</w:t>
            </w:r>
          </w:p>
        </w:tc>
      </w:tr>
      <w:tr w:rsidR="00956134" w:rsidRPr="00AE6640" w14:paraId="1B6255E7" w14:textId="77777777" w:rsidTr="009B0D10">
        <w:trPr>
          <w:trHeight w:val="401"/>
        </w:trPr>
        <w:tc>
          <w:tcPr>
            <w:tcW w:w="2567"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53F602DD" w14:textId="77777777" w:rsidR="00956134" w:rsidRPr="00AE6640" w:rsidRDefault="00956134" w:rsidP="009B0D10">
            <w:pPr>
              <w:spacing w:after="0" w:line="240" w:lineRule="auto"/>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CHANGE IN ROE</w:t>
            </w:r>
          </w:p>
        </w:tc>
        <w:tc>
          <w:tcPr>
            <w:tcW w:w="1184" w:type="dxa"/>
            <w:tcBorders>
              <w:top w:val="nil"/>
              <w:left w:val="nil"/>
              <w:bottom w:val="single" w:sz="4" w:space="0" w:color="auto"/>
              <w:right w:val="single" w:sz="4" w:space="0" w:color="auto"/>
            </w:tcBorders>
            <w:shd w:val="clear" w:color="000000" w:fill="F4B084"/>
            <w:noWrap/>
            <w:vAlign w:val="bottom"/>
            <w:hideMark/>
          </w:tcPr>
          <w:p w14:paraId="1FD8C83B"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-1%</w:t>
            </w:r>
          </w:p>
        </w:tc>
        <w:tc>
          <w:tcPr>
            <w:tcW w:w="1184" w:type="dxa"/>
            <w:tcBorders>
              <w:top w:val="nil"/>
              <w:left w:val="nil"/>
              <w:bottom w:val="single" w:sz="4" w:space="0" w:color="auto"/>
              <w:right w:val="single" w:sz="4" w:space="0" w:color="auto"/>
            </w:tcBorders>
            <w:shd w:val="clear" w:color="000000" w:fill="F4B084"/>
            <w:noWrap/>
            <w:vAlign w:val="bottom"/>
            <w:hideMark/>
          </w:tcPr>
          <w:p w14:paraId="5A864125"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-64%</w:t>
            </w:r>
          </w:p>
        </w:tc>
        <w:tc>
          <w:tcPr>
            <w:tcW w:w="1184" w:type="dxa"/>
            <w:tcBorders>
              <w:top w:val="nil"/>
              <w:left w:val="nil"/>
              <w:bottom w:val="single" w:sz="4" w:space="0" w:color="auto"/>
              <w:right w:val="single" w:sz="4" w:space="0" w:color="auto"/>
            </w:tcBorders>
            <w:shd w:val="clear" w:color="000000" w:fill="F4B084"/>
            <w:noWrap/>
            <w:vAlign w:val="bottom"/>
            <w:hideMark/>
          </w:tcPr>
          <w:p w14:paraId="6B7E0DBE"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162%</w:t>
            </w:r>
          </w:p>
        </w:tc>
        <w:tc>
          <w:tcPr>
            <w:tcW w:w="1184" w:type="dxa"/>
            <w:tcBorders>
              <w:top w:val="nil"/>
              <w:left w:val="nil"/>
              <w:bottom w:val="single" w:sz="4" w:space="0" w:color="auto"/>
              <w:right w:val="single" w:sz="4" w:space="0" w:color="auto"/>
            </w:tcBorders>
            <w:shd w:val="clear" w:color="000000" w:fill="F4B084"/>
            <w:noWrap/>
            <w:vAlign w:val="bottom"/>
            <w:hideMark/>
          </w:tcPr>
          <w:p w14:paraId="5DE2220A" w14:textId="77777777" w:rsidR="00956134" w:rsidRPr="00AE6640" w:rsidRDefault="00956134" w:rsidP="009B0D10">
            <w:pPr>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26%</w:t>
            </w:r>
          </w:p>
        </w:tc>
        <w:tc>
          <w:tcPr>
            <w:tcW w:w="1950" w:type="dxa"/>
            <w:tcBorders>
              <w:top w:val="nil"/>
              <w:left w:val="nil"/>
              <w:bottom w:val="single" w:sz="4" w:space="0" w:color="auto"/>
              <w:right w:val="single" w:sz="4" w:space="0" w:color="auto"/>
            </w:tcBorders>
            <w:shd w:val="clear" w:color="auto" w:fill="C2D69B" w:themeFill="accent3" w:themeFillTint="99"/>
            <w:noWrap/>
            <w:vAlign w:val="bottom"/>
            <w:hideMark/>
          </w:tcPr>
          <w:p w14:paraId="4740C8C0" w14:textId="77777777" w:rsidR="00956134" w:rsidRPr="00AE6640" w:rsidRDefault="00956134" w:rsidP="009B0D10">
            <w:pPr>
              <w:keepNext/>
              <w:spacing w:after="0" w:line="240" w:lineRule="auto"/>
              <w:jc w:val="right"/>
              <w:rPr>
                <w:rFonts w:ascii="Calibri" w:eastAsia="Times New Roman" w:hAnsi="Calibri" w:cs="Times New Roman"/>
                <w:color w:val="000000"/>
                <w:lang w:eastAsia="en-GB"/>
              </w:rPr>
            </w:pPr>
            <w:r w:rsidRPr="00AE6640">
              <w:rPr>
                <w:rFonts w:ascii="Calibri" w:eastAsia="Times New Roman" w:hAnsi="Calibri" w:cs="Times New Roman"/>
                <w:color w:val="000000"/>
                <w:lang w:eastAsia="en-GB"/>
              </w:rPr>
              <w:t>-36%</w:t>
            </w:r>
          </w:p>
        </w:tc>
      </w:tr>
    </w:tbl>
    <w:p w14:paraId="268644D4" w14:textId="77777777" w:rsidR="00956134" w:rsidRDefault="00956134" w:rsidP="00956134">
      <w:pPr>
        <w:pStyle w:val="Legend"/>
        <w:rPr>
          <w:rFonts w:ascii="Times New Roman" w:hAnsi="Times New Roman" w:cs="Times New Roman"/>
          <w:sz w:val="24"/>
          <w:szCs w:val="24"/>
        </w:rPr>
      </w:pPr>
    </w:p>
    <w:p w14:paraId="080B3E8E"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As can be seen in the Table 2 above the tier 1 ratio has a significant negative relation with the change in lending to deposit ratio which in one part may reduce the bank’s profitability but it increases its stability in case of unforeseen shocks. In order to analyse the impact of tier 1 capital in the financial intermediation role of the bank the change in tier 1 will be correlated with the change in lending for other banks and for customers:</w:t>
      </w:r>
    </w:p>
    <w:p w14:paraId="326B7047" w14:textId="77777777" w:rsidR="00956134" w:rsidRDefault="00956134" w:rsidP="00956134">
      <w:pPr>
        <w:rPr>
          <w:rFonts w:ascii="Times New Roman" w:hAnsi="Times New Roman" w:cs="Times New Roman"/>
          <w:sz w:val="24"/>
          <w:szCs w:val="24"/>
        </w:rPr>
      </w:pPr>
    </w:p>
    <w:p w14:paraId="5EBF3174" w14:textId="77777777" w:rsidR="00956134" w:rsidRDefault="00956134" w:rsidP="00956134">
      <w:pPr>
        <w:rPr>
          <w:rFonts w:ascii="Times New Roman" w:hAnsi="Times New Roman" w:cs="Times New Roman"/>
          <w:sz w:val="24"/>
          <w:szCs w:val="24"/>
        </w:rPr>
      </w:pPr>
    </w:p>
    <w:p w14:paraId="67D90AED" w14:textId="77777777" w:rsidR="00956134" w:rsidRDefault="00956134" w:rsidP="00956134">
      <w:pPr>
        <w:rPr>
          <w:rFonts w:ascii="Times New Roman" w:hAnsi="Times New Roman" w:cs="Times New Roman"/>
          <w:sz w:val="24"/>
          <w:szCs w:val="24"/>
        </w:rPr>
      </w:pPr>
    </w:p>
    <w:p w14:paraId="0C85137F" w14:textId="77777777" w:rsidR="00956134" w:rsidRDefault="00956134" w:rsidP="00956134">
      <w:pPr>
        <w:pStyle w:val="Legend"/>
        <w:keepNext/>
      </w:pPr>
      <w:r>
        <w:lastRenderedPageBreak/>
        <w:t xml:space="preserve">Table </w:t>
      </w:r>
      <w:fldSimple w:instr=" SEQ Table \* ARABIC ">
        <w:r>
          <w:rPr>
            <w:noProof/>
          </w:rPr>
          <w:t>3</w:t>
        </w:r>
      </w:fldSimple>
      <w:r>
        <w:t>:</w:t>
      </w:r>
    </w:p>
    <w:tbl>
      <w:tblPr>
        <w:tblW w:w="9722" w:type="dxa"/>
        <w:tblInd w:w="113" w:type="dxa"/>
        <w:tblLook w:val="04A0" w:firstRow="1" w:lastRow="0" w:firstColumn="1" w:lastColumn="0" w:noHBand="0" w:noVBand="1"/>
      </w:tblPr>
      <w:tblGrid>
        <w:gridCol w:w="1540"/>
        <w:gridCol w:w="1540"/>
        <w:gridCol w:w="1540"/>
        <w:gridCol w:w="1540"/>
        <w:gridCol w:w="1733"/>
        <w:gridCol w:w="1829"/>
      </w:tblGrid>
      <w:tr w:rsidR="00956134" w:rsidRPr="008C736D" w14:paraId="5E1BD939" w14:textId="77777777" w:rsidTr="009B0D10">
        <w:trPr>
          <w:trHeight w:val="497"/>
        </w:trPr>
        <w:tc>
          <w:tcPr>
            <w:tcW w:w="154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6849AA1A" w14:textId="77777777" w:rsidR="00956134" w:rsidRPr="008C736D"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HSBC</w:t>
            </w:r>
          </w:p>
        </w:tc>
        <w:tc>
          <w:tcPr>
            <w:tcW w:w="1540" w:type="dxa"/>
            <w:tcBorders>
              <w:top w:val="single" w:sz="4" w:space="0" w:color="auto"/>
              <w:left w:val="nil"/>
              <w:bottom w:val="single" w:sz="4" w:space="0" w:color="auto"/>
              <w:right w:val="single" w:sz="4" w:space="0" w:color="auto"/>
            </w:tcBorders>
            <w:shd w:val="clear" w:color="000000" w:fill="00B0F0"/>
            <w:noWrap/>
            <w:vAlign w:val="bottom"/>
            <w:hideMark/>
          </w:tcPr>
          <w:p w14:paraId="6D0FA5C6"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2018</w:t>
            </w:r>
          </w:p>
        </w:tc>
        <w:tc>
          <w:tcPr>
            <w:tcW w:w="1540" w:type="dxa"/>
            <w:tcBorders>
              <w:top w:val="single" w:sz="4" w:space="0" w:color="auto"/>
              <w:left w:val="nil"/>
              <w:bottom w:val="single" w:sz="4" w:space="0" w:color="auto"/>
              <w:right w:val="single" w:sz="4" w:space="0" w:color="auto"/>
            </w:tcBorders>
            <w:shd w:val="clear" w:color="000000" w:fill="00B0F0"/>
            <w:noWrap/>
            <w:vAlign w:val="bottom"/>
            <w:hideMark/>
          </w:tcPr>
          <w:p w14:paraId="0C578037"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2017</w:t>
            </w:r>
          </w:p>
        </w:tc>
        <w:tc>
          <w:tcPr>
            <w:tcW w:w="1540" w:type="dxa"/>
            <w:tcBorders>
              <w:top w:val="single" w:sz="4" w:space="0" w:color="auto"/>
              <w:left w:val="nil"/>
              <w:bottom w:val="single" w:sz="4" w:space="0" w:color="auto"/>
              <w:right w:val="single" w:sz="4" w:space="0" w:color="auto"/>
            </w:tcBorders>
            <w:shd w:val="clear" w:color="000000" w:fill="00B0F0"/>
            <w:noWrap/>
            <w:vAlign w:val="bottom"/>
            <w:hideMark/>
          </w:tcPr>
          <w:p w14:paraId="13DE6505"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2016</w:t>
            </w:r>
          </w:p>
        </w:tc>
        <w:tc>
          <w:tcPr>
            <w:tcW w:w="1733" w:type="dxa"/>
            <w:tcBorders>
              <w:top w:val="single" w:sz="4" w:space="0" w:color="auto"/>
              <w:left w:val="nil"/>
              <w:bottom w:val="single" w:sz="4" w:space="0" w:color="auto"/>
              <w:right w:val="single" w:sz="4" w:space="0" w:color="auto"/>
            </w:tcBorders>
            <w:shd w:val="clear" w:color="000000" w:fill="00B0F0"/>
            <w:noWrap/>
            <w:vAlign w:val="bottom"/>
            <w:hideMark/>
          </w:tcPr>
          <w:p w14:paraId="55D63CA5"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2015</w:t>
            </w:r>
          </w:p>
        </w:tc>
        <w:tc>
          <w:tcPr>
            <w:tcW w:w="1829" w:type="dxa"/>
            <w:tcBorders>
              <w:top w:val="single" w:sz="4" w:space="0" w:color="auto"/>
              <w:left w:val="nil"/>
              <w:bottom w:val="single" w:sz="4" w:space="0" w:color="auto"/>
              <w:right w:val="single" w:sz="4" w:space="0" w:color="auto"/>
            </w:tcBorders>
            <w:shd w:val="clear" w:color="000000" w:fill="00B0F0"/>
            <w:noWrap/>
            <w:vAlign w:val="bottom"/>
            <w:hideMark/>
          </w:tcPr>
          <w:p w14:paraId="16E158E4" w14:textId="77777777" w:rsidR="00956134" w:rsidRPr="008C736D"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CORRELATION WITH</w:t>
            </w:r>
            <w:r w:rsidRPr="008C736D">
              <w:rPr>
                <w:rFonts w:ascii="Calibri" w:eastAsia="Times New Roman" w:hAnsi="Calibri" w:cs="Times New Roman"/>
                <w:color w:val="000000"/>
                <w:lang w:eastAsia="en-GB"/>
              </w:rPr>
              <w:t xml:space="preserve"> T</w:t>
            </w:r>
            <w:r>
              <w:rPr>
                <w:rFonts w:ascii="Calibri" w:eastAsia="Times New Roman" w:hAnsi="Calibri" w:cs="Times New Roman"/>
                <w:color w:val="000000"/>
                <w:lang w:eastAsia="en-GB"/>
              </w:rPr>
              <w:t>IER</w:t>
            </w:r>
            <w:r w:rsidRPr="008C736D">
              <w:rPr>
                <w:rFonts w:ascii="Calibri" w:eastAsia="Times New Roman" w:hAnsi="Calibri" w:cs="Times New Roman"/>
                <w:color w:val="000000"/>
                <w:lang w:eastAsia="en-GB"/>
              </w:rPr>
              <w:t xml:space="preserve"> 1</w:t>
            </w:r>
          </w:p>
        </w:tc>
      </w:tr>
      <w:tr w:rsidR="00956134" w:rsidRPr="008C736D" w14:paraId="41103BD3" w14:textId="77777777" w:rsidTr="009B0D10">
        <w:trPr>
          <w:trHeight w:val="497"/>
        </w:trPr>
        <w:tc>
          <w:tcPr>
            <w:tcW w:w="1540"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6D695AF6" w14:textId="77777777" w:rsidR="00956134" w:rsidRPr="008C736D" w:rsidRDefault="00956134" w:rsidP="009B0D10">
            <w:pPr>
              <w:spacing w:after="0" w:line="240" w:lineRule="auto"/>
              <w:rPr>
                <w:rFonts w:ascii="Calibri" w:eastAsia="Times New Roman" w:hAnsi="Calibri" w:cs="Times New Roman"/>
                <w:color w:val="000000"/>
                <w:sz w:val="16"/>
                <w:szCs w:val="16"/>
                <w:lang w:eastAsia="en-GB"/>
              </w:rPr>
            </w:pPr>
            <w:r w:rsidRPr="008C736D">
              <w:rPr>
                <w:rFonts w:ascii="Calibri" w:eastAsia="Times New Roman" w:hAnsi="Calibri" w:cs="Times New Roman"/>
                <w:color w:val="000000"/>
                <w:sz w:val="16"/>
                <w:szCs w:val="16"/>
                <w:lang w:eastAsia="en-GB"/>
              </w:rPr>
              <w:t>CHANGE IN LENDING TO BANKS</w:t>
            </w:r>
          </w:p>
        </w:tc>
        <w:tc>
          <w:tcPr>
            <w:tcW w:w="1540" w:type="dxa"/>
            <w:tcBorders>
              <w:top w:val="nil"/>
              <w:left w:val="nil"/>
              <w:bottom w:val="single" w:sz="4" w:space="0" w:color="auto"/>
              <w:right w:val="single" w:sz="4" w:space="0" w:color="auto"/>
            </w:tcBorders>
            <w:shd w:val="clear" w:color="000000" w:fill="F4B084"/>
            <w:noWrap/>
            <w:vAlign w:val="bottom"/>
            <w:hideMark/>
          </w:tcPr>
          <w:p w14:paraId="7DD387D9"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-20%</w:t>
            </w:r>
          </w:p>
        </w:tc>
        <w:tc>
          <w:tcPr>
            <w:tcW w:w="1540" w:type="dxa"/>
            <w:tcBorders>
              <w:top w:val="nil"/>
              <w:left w:val="nil"/>
              <w:bottom w:val="single" w:sz="4" w:space="0" w:color="auto"/>
              <w:right w:val="single" w:sz="4" w:space="0" w:color="auto"/>
            </w:tcBorders>
            <w:shd w:val="clear" w:color="000000" w:fill="F4B084"/>
            <w:noWrap/>
            <w:vAlign w:val="bottom"/>
            <w:hideMark/>
          </w:tcPr>
          <w:p w14:paraId="370F9308"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3%</w:t>
            </w:r>
          </w:p>
        </w:tc>
        <w:tc>
          <w:tcPr>
            <w:tcW w:w="1540" w:type="dxa"/>
            <w:tcBorders>
              <w:top w:val="nil"/>
              <w:left w:val="nil"/>
              <w:bottom w:val="single" w:sz="4" w:space="0" w:color="auto"/>
              <w:right w:val="single" w:sz="4" w:space="0" w:color="auto"/>
            </w:tcBorders>
            <w:shd w:val="clear" w:color="000000" w:fill="F4B084"/>
            <w:noWrap/>
            <w:vAlign w:val="bottom"/>
            <w:hideMark/>
          </w:tcPr>
          <w:p w14:paraId="6B8875D7"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-3%</w:t>
            </w:r>
          </w:p>
        </w:tc>
        <w:tc>
          <w:tcPr>
            <w:tcW w:w="1733" w:type="dxa"/>
            <w:tcBorders>
              <w:top w:val="nil"/>
              <w:left w:val="nil"/>
              <w:bottom w:val="single" w:sz="4" w:space="0" w:color="auto"/>
              <w:right w:val="single" w:sz="4" w:space="0" w:color="auto"/>
            </w:tcBorders>
            <w:shd w:val="clear" w:color="000000" w:fill="F4B084"/>
            <w:noWrap/>
            <w:vAlign w:val="bottom"/>
            <w:hideMark/>
          </w:tcPr>
          <w:p w14:paraId="6D1DB46F"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-19%</w:t>
            </w:r>
          </w:p>
        </w:tc>
        <w:tc>
          <w:tcPr>
            <w:tcW w:w="1829" w:type="dxa"/>
            <w:tcBorders>
              <w:top w:val="nil"/>
              <w:left w:val="nil"/>
              <w:bottom w:val="single" w:sz="4" w:space="0" w:color="auto"/>
              <w:right w:val="single" w:sz="4" w:space="0" w:color="auto"/>
            </w:tcBorders>
            <w:shd w:val="clear" w:color="auto" w:fill="C2D69B" w:themeFill="accent3" w:themeFillTint="99"/>
            <w:noWrap/>
            <w:vAlign w:val="bottom"/>
            <w:hideMark/>
          </w:tcPr>
          <w:p w14:paraId="27A005EE"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54%</w:t>
            </w:r>
          </w:p>
        </w:tc>
      </w:tr>
      <w:tr w:rsidR="00956134" w:rsidRPr="008C736D" w14:paraId="054845F2" w14:textId="77777777" w:rsidTr="009B0D10">
        <w:trPr>
          <w:trHeight w:val="497"/>
        </w:trPr>
        <w:tc>
          <w:tcPr>
            <w:tcW w:w="1540"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26D3E89E" w14:textId="77777777" w:rsidR="00956134" w:rsidRPr="008C736D" w:rsidRDefault="00956134" w:rsidP="009B0D10">
            <w:pPr>
              <w:spacing w:after="0" w:line="240" w:lineRule="auto"/>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CHANGE IN LENDING TO CUSTOMERS</w:t>
            </w:r>
          </w:p>
        </w:tc>
        <w:tc>
          <w:tcPr>
            <w:tcW w:w="1540" w:type="dxa"/>
            <w:tcBorders>
              <w:top w:val="nil"/>
              <w:left w:val="nil"/>
              <w:bottom w:val="single" w:sz="4" w:space="0" w:color="auto"/>
              <w:right w:val="single" w:sz="4" w:space="0" w:color="auto"/>
            </w:tcBorders>
            <w:shd w:val="clear" w:color="000000" w:fill="F4B084"/>
            <w:noWrap/>
            <w:vAlign w:val="bottom"/>
            <w:hideMark/>
          </w:tcPr>
          <w:p w14:paraId="2A8FBC82"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2%</w:t>
            </w:r>
          </w:p>
        </w:tc>
        <w:tc>
          <w:tcPr>
            <w:tcW w:w="1540" w:type="dxa"/>
            <w:tcBorders>
              <w:top w:val="nil"/>
              <w:left w:val="nil"/>
              <w:bottom w:val="single" w:sz="4" w:space="0" w:color="auto"/>
              <w:right w:val="single" w:sz="4" w:space="0" w:color="auto"/>
            </w:tcBorders>
            <w:shd w:val="clear" w:color="000000" w:fill="F4B084"/>
            <w:noWrap/>
            <w:vAlign w:val="bottom"/>
            <w:hideMark/>
          </w:tcPr>
          <w:p w14:paraId="673F8929"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12%</w:t>
            </w:r>
          </w:p>
        </w:tc>
        <w:tc>
          <w:tcPr>
            <w:tcW w:w="1540" w:type="dxa"/>
            <w:tcBorders>
              <w:top w:val="nil"/>
              <w:left w:val="nil"/>
              <w:bottom w:val="single" w:sz="4" w:space="0" w:color="auto"/>
              <w:right w:val="single" w:sz="4" w:space="0" w:color="auto"/>
            </w:tcBorders>
            <w:shd w:val="clear" w:color="000000" w:fill="F4B084"/>
            <w:noWrap/>
            <w:vAlign w:val="bottom"/>
            <w:hideMark/>
          </w:tcPr>
          <w:p w14:paraId="0B7DE41B"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-7%</w:t>
            </w:r>
          </w:p>
        </w:tc>
        <w:tc>
          <w:tcPr>
            <w:tcW w:w="1733" w:type="dxa"/>
            <w:tcBorders>
              <w:top w:val="nil"/>
              <w:left w:val="nil"/>
              <w:bottom w:val="single" w:sz="4" w:space="0" w:color="auto"/>
              <w:right w:val="single" w:sz="4" w:space="0" w:color="auto"/>
            </w:tcBorders>
            <w:shd w:val="clear" w:color="000000" w:fill="F4B084"/>
            <w:noWrap/>
            <w:vAlign w:val="bottom"/>
            <w:hideMark/>
          </w:tcPr>
          <w:p w14:paraId="77A49D19"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-5%</w:t>
            </w:r>
          </w:p>
        </w:tc>
        <w:tc>
          <w:tcPr>
            <w:tcW w:w="1829" w:type="dxa"/>
            <w:tcBorders>
              <w:top w:val="nil"/>
              <w:left w:val="nil"/>
              <w:bottom w:val="single" w:sz="4" w:space="0" w:color="auto"/>
              <w:right w:val="single" w:sz="4" w:space="0" w:color="auto"/>
            </w:tcBorders>
            <w:shd w:val="clear" w:color="auto" w:fill="C2D69B" w:themeFill="accent3" w:themeFillTint="99"/>
            <w:noWrap/>
            <w:vAlign w:val="bottom"/>
            <w:hideMark/>
          </w:tcPr>
          <w:p w14:paraId="012BB841"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-43%</w:t>
            </w:r>
          </w:p>
        </w:tc>
      </w:tr>
      <w:tr w:rsidR="00956134" w:rsidRPr="008C736D" w14:paraId="0836E3DC" w14:textId="77777777" w:rsidTr="009B0D10">
        <w:trPr>
          <w:trHeight w:val="497"/>
        </w:trPr>
        <w:tc>
          <w:tcPr>
            <w:tcW w:w="1540"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40B00E76" w14:textId="77777777" w:rsidR="00956134" w:rsidRPr="008C736D" w:rsidRDefault="00956134" w:rsidP="009B0D10">
            <w:pPr>
              <w:spacing w:after="0" w:line="240" w:lineRule="auto"/>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 xml:space="preserve">CHANGE IN DEPOSITS FROM BANKS </w:t>
            </w:r>
          </w:p>
        </w:tc>
        <w:tc>
          <w:tcPr>
            <w:tcW w:w="1540" w:type="dxa"/>
            <w:tcBorders>
              <w:top w:val="nil"/>
              <w:left w:val="nil"/>
              <w:bottom w:val="single" w:sz="4" w:space="0" w:color="auto"/>
              <w:right w:val="single" w:sz="4" w:space="0" w:color="auto"/>
            </w:tcBorders>
            <w:shd w:val="clear" w:color="000000" w:fill="F4B084"/>
            <w:noWrap/>
            <w:vAlign w:val="bottom"/>
            <w:hideMark/>
          </w:tcPr>
          <w:p w14:paraId="3D279706"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-7%</w:t>
            </w:r>
          </w:p>
        </w:tc>
        <w:tc>
          <w:tcPr>
            <w:tcW w:w="1540" w:type="dxa"/>
            <w:tcBorders>
              <w:top w:val="nil"/>
              <w:left w:val="nil"/>
              <w:bottom w:val="single" w:sz="4" w:space="0" w:color="auto"/>
              <w:right w:val="single" w:sz="4" w:space="0" w:color="auto"/>
            </w:tcBorders>
            <w:shd w:val="clear" w:color="000000" w:fill="F4B084"/>
            <w:noWrap/>
            <w:vAlign w:val="bottom"/>
            <w:hideMark/>
          </w:tcPr>
          <w:p w14:paraId="32D986B7"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17%</w:t>
            </w:r>
          </w:p>
        </w:tc>
        <w:tc>
          <w:tcPr>
            <w:tcW w:w="1540" w:type="dxa"/>
            <w:tcBorders>
              <w:top w:val="nil"/>
              <w:left w:val="nil"/>
              <w:bottom w:val="single" w:sz="4" w:space="0" w:color="auto"/>
              <w:right w:val="single" w:sz="4" w:space="0" w:color="auto"/>
            </w:tcBorders>
            <w:shd w:val="clear" w:color="000000" w:fill="F4B084"/>
            <w:noWrap/>
            <w:vAlign w:val="bottom"/>
            <w:hideMark/>
          </w:tcPr>
          <w:p w14:paraId="5E11E389"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10%</w:t>
            </w:r>
          </w:p>
        </w:tc>
        <w:tc>
          <w:tcPr>
            <w:tcW w:w="1733" w:type="dxa"/>
            <w:tcBorders>
              <w:top w:val="nil"/>
              <w:left w:val="nil"/>
              <w:bottom w:val="single" w:sz="4" w:space="0" w:color="auto"/>
              <w:right w:val="single" w:sz="4" w:space="0" w:color="auto"/>
            </w:tcBorders>
            <w:shd w:val="clear" w:color="000000" w:fill="F4B084"/>
            <w:noWrap/>
            <w:vAlign w:val="bottom"/>
            <w:hideMark/>
          </w:tcPr>
          <w:p w14:paraId="6F52DC6D"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-30%</w:t>
            </w:r>
          </w:p>
        </w:tc>
        <w:tc>
          <w:tcPr>
            <w:tcW w:w="1829" w:type="dxa"/>
            <w:tcBorders>
              <w:top w:val="nil"/>
              <w:left w:val="nil"/>
              <w:bottom w:val="single" w:sz="4" w:space="0" w:color="auto"/>
              <w:right w:val="single" w:sz="4" w:space="0" w:color="auto"/>
            </w:tcBorders>
            <w:shd w:val="clear" w:color="auto" w:fill="C2D69B" w:themeFill="accent3" w:themeFillTint="99"/>
            <w:noWrap/>
            <w:vAlign w:val="bottom"/>
            <w:hideMark/>
          </w:tcPr>
          <w:p w14:paraId="58DF43BF"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17%</w:t>
            </w:r>
          </w:p>
        </w:tc>
      </w:tr>
      <w:tr w:rsidR="00956134" w:rsidRPr="008C736D" w14:paraId="29BC2205" w14:textId="77777777" w:rsidTr="009B0D10">
        <w:trPr>
          <w:trHeight w:val="497"/>
        </w:trPr>
        <w:tc>
          <w:tcPr>
            <w:tcW w:w="1540"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3CD030DC" w14:textId="77777777" w:rsidR="00956134" w:rsidRPr="008C736D" w:rsidRDefault="00956134" w:rsidP="009B0D10">
            <w:pPr>
              <w:spacing w:after="0" w:line="240" w:lineRule="auto"/>
              <w:rPr>
                <w:rFonts w:ascii="Calibri" w:eastAsia="Times New Roman" w:hAnsi="Calibri" w:cs="Times New Roman"/>
                <w:color w:val="000000"/>
                <w:sz w:val="16"/>
                <w:szCs w:val="16"/>
                <w:lang w:eastAsia="en-GB"/>
              </w:rPr>
            </w:pPr>
            <w:r>
              <w:rPr>
                <w:rFonts w:ascii="Calibri" w:eastAsia="Times New Roman" w:hAnsi="Calibri" w:cs="Times New Roman"/>
                <w:color w:val="000000"/>
                <w:sz w:val="16"/>
                <w:szCs w:val="16"/>
                <w:lang w:eastAsia="en-GB"/>
              </w:rPr>
              <w:t>CHANGE IN DEPOSITS FROM CUSTOMERS</w:t>
            </w:r>
          </w:p>
        </w:tc>
        <w:tc>
          <w:tcPr>
            <w:tcW w:w="1540" w:type="dxa"/>
            <w:tcBorders>
              <w:top w:val="nil"/>
              <w:left w:val="nil"/>
              <w:bottom w:val="single" w:sz="4" w:space="0" w:color="auto"/>
              <w:right w:val="single" w:sz="4" w:space="0" w:color="auto"/>
            </w:tcBorders>
            <w:shd w:val="clear" w:color="000000" w:fill="F4B084"/>
            <w:noWrap/>
            <w:vAlign w:val="bottom"/>
            <w:hideMark/>
          </w:tcPr>
          <w:p w14:paraId="19EF3BC5"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0%</w:t>
            </w:r>
          </w:p>
        </w:tc>
        <w:tc>
          <w:tcPr>
            <w:tcW w:w="1540" w:type="dxa"/>
            <w:tcBorders>
              <w:top w:val="nil"/>
              <w:left w:val="nil"/>
              <w:bottom w:val="single" w:sz="4" w:space="0" w:color="auto"/>
              <w:right w:val="single" w:sz="4" w:space="0" w:color="auto"/>
            </w:tcBorders>
            <w:shd w:val="clear" w:color="000000" w:fill="F4B084"/>
            <w:noWrap/>
            <w:vAlign w:val="bottom"/>
            <w:hideMark/>
          </w:tcPr>
          <w:p w14:paraId="09D4B1DD"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7%</w:t>
            </w:r>
          </w:p>
        </w:tc>
        <w:tc>
          <w:tcPr>
            <w:tcW w:w="1540" w:type="dxa"/>
            <w:tcBorders>
              <w:top w:val="nil"/>
              <w:left w:val="nil"/>
              <w:bottom w:val="single" w:sz="4" w:space="0" w:color="auto"/>
              <w:right w:val="single" w:sz="4" w:space="0" w:color="auto"/>
            </w:tcBorders>
            <w:shd w:val="clear" w:color="000000" w:fill="F4B084"/>
            <w:noWrap/>
            <w:vAlign w:val="bottom"/>
            <w:hideMark/>
          </w:tcPr>
          <w:p w14:paraId="3FB80EBA"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-1%</w:t>
            </w:r>
          </w:p>
        </w:tc>
        <w:tc>
          <w:tcPr>
            <w:tcW w:w="1733" w:type="dxa"/>
            <w:tcBorders>
              <w:top w:val="nil"/>
              <w:left w:val="nil"/>
              <w:bottom w:val="single" w:sz="4" w:space="0" w:color="auto"/>
              <w:right w:val="single" w:sz="4" w:space="0" w:color="auto"/>
            </w:tcBorders>
            <w:shd w:val="clear" w:color="000000" w:fill="F4B084"/>
            <w:noWrap/>
            <w:vAlign w:val="bottom"/>
            <w:hideMark/>
          </w:tcPr>
          <w:p w14:paraId="1319CC31"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-5%</w:t>
            </w:r>
          </w:p>
        </w:tc>
        <w:tc>
          <w:tcPr>
            <w:tcW w:w="1829" w:type="dxa"/>
            <w:tcBorders>
              <w:top w:val="nil"/>
              <w:left w:val="nil"/>
              <w:bottom w:val="single" w:sz="4" w:space="0" w:color="auto"/>
              <w:right w:val="single" w:sz="4" w:space="0" w:color="auto"/>
            </w:tcBorders>
            <w:shd w:val="clear" w:color="auto" w:fill="C2D69B" w:themeFill="accent3" w:themeFillTint="99"/>
            <w:noWrap/>
            <w:vAlign w:val="bottom"/>
            <w:hideMark/>
          </w:tcPr>
          <w:p w14:paraId="5FBB2660" w14:textId="77777777" w:rsidR="00956134" w:rsidRPr="008C736D" w:rsidRDefault="00956134" w:rsidP="009B0D10">
            <w:pPr>
              <w:spacing w:after="0" w:line="240" w:lineRule="auto"/>
              <w:jc w:val="right"/>
              <w:rPr>
                <w:rFonts w:ascii="Calibri" w:eastAsia="Times New Roman" w:hAnsi="Calibri" w:cs="Times New Roman"/>
                <w:color w:val="000000"/>
                <w:lang w:eastAsia="en-GB"/>
              </w:rPr>
            </w:pPr>
            <w:r w:rsidRPr="008C736D">
              <w:rPr>
                <w:rFonts w:ascii="Calibri" w:eastAsia="Times New Roman" w:hAnsi="Calibri" w:cs="Times New Roman"/>
                <w:color w:val="000000"/>
                <w:lang w:eastAsia="en-GB"/>
              </w:rPr>
              <w:t>-16%</w:t>
            </w:r>
          </w:p>
        </w:tc>
      </w:tr>
    </w:tbl>
    <w:p w14:paraId="3171D7EF" w14:textId="77777777" w:rsidR="00956134" w:rsidRDefault="00956134" w:rsidP="00956134">
      <w:pPr>
        <w:rPr>
          <w:rFonts w:ascii="Times New Roman" w:hAnsi="Times New Roman" w:cs="Times New Roman"/>
          <w:sz w:val="24"/>
          <w:szCs w:val="24"/>
        </w:rPr>
      </w:pPr>
    </w:p>
    <w:p w14:paraId="7775B58D"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As it can be seen in the table above there is a positive relation between the change in Tier 1 and the change in the deposits and loans to other banks which means that the increase in Tier 1 is beneficial when it comes on making business with a other banks  but it has a strong negative relationship when it comes to deposits and lending to customers which means that a high amount of tier 1 has a detrimental effect especially when it comes to lending to customers.</w:t>
      </w:r>
    </w:p>
    <w:p w14:paraId="79C2D83B" w14:textId="77777777" w:rsidR="00956134" w:rsidRPr="00AE6640"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When it comes to the impact of the liquidity coverage ratio:</w:t>
      </w:r>
    </w:p>
    <w:p w14:paraId="42EE52EF" w14:textId="77777777" w:rsidR="00956134" w:rsidRDefault="00956134" w:rsidP="00956134">
      <w:pPr>
        <w:pStyle w:val="Legend"/>
        <w:keepNext/>
      </w:pPr>
      <w:r>
        <w:t xml:space="preserve">Table </w:t>
      </w:r>
      <w:fldSimple w:instr=" SEQ Table \* ARABIC ">
        <w:r>
          <w:rPr>
            <w:noProof/>
          </w:rPr>
          <w:t>4</w:t>
        </w:r>
      </w:fldSimple>
      <w:r>
        <w:t>:</w:t>
      </w:r>
    </w:p>
    <w:tbl>
      <w:tblPr>
        <w:tblW w:w="9856" w:type="dxa"/>
        <w:tblInd w:w="113" w:type="dxa"/>
        <w:tblLook w:val="04A0" w:firstRow="1" w:lastRow="0" w:firstColumn="1" w:lastColumn="0" w:noHBand="0" w:noVBand="1"/>
      </w:tblPr>
      <w:tblGrid>
        <w:gridCol w:w="3024"/>
        <w:gridCol w:w="1708"/>
        <w:gridCol w:w="1708"/>
        <w:gridCol w:w="1708"/>
        <w:gridCol w:w="1708"/>
      </w:tblGrid>
      <w:tr w:rsidR="00956134" w:rsidRPr="009B6F2B" w14:paraId="097388DF" w14:textId="77777777" w:rsidTr="009B0D10">
        <w:trPr>
          <w:trHeight w:val="382"/>
        </w:trPr>
        <w:tc>
          <w:tcPr>
            <w:tcW w:w="3024"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4BF06C45" w14:textId="77777777" w:rsidR="00956134" w:rsidRPr="009B6F2B" w:rsidRDefault="00956134" w:rsidP="009B0D10">
            <w:pPr>
              <w:spacing w:after="0" w:line="240" w:lineRule="auto"/>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HSBC</w:t>
            </w:r>
          </w:p>
        </w:tc>
        <w:tc>
          <w:tcPr>
            <w:tcW w:w="1708" w:type="dxa"/>
            <w:tcBorders>
              <w:top w:val="single" w:sz="4" w:space="0" w:color="auto"/>
              <w:left w:val="nil"/>
              <w:bottom w:val="single" w:sz="4" w:space="0" w:color="auto"/>
              <w:right w:val="single" w:sz="4" w:space="0" w:color="auto"/>
            </w:tcBorders>
            <w:shd w:val="clear" w:color="000000" w:fill="00B0F0"/>
            <w:noWrap/>
            <w:vAlign w:val="bottom"/>
            <w:hideMark/>
          </w:tcPr>
          <w:p w14:paraId="61767DEA"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2016</w:t>
            </w:r>
          </w:p>
        </w:tc>
        <w:tc>
          <w:tcPr>
            <w:tcW w:w="1708" w:type="dxa"/>
            <w:tcBorders>
              <w:top w:val="single" w:sz="4" w:space="0" w:color="auto"/>
              <w:left w:val="nil"/>
              <w:bottom w:val="single" w:sz="4" w:space="0" w:color="auto"/>
              <w:right w:val="single" w:sz="4" w:space="0" w:color="auto"/>
            </w:tcBorders>
            <w:shd w:val="clear" w:color="000000" w:fill="00B0F0"/>
            <w:noWrap/>
            <w:vAlign w:val="bottom"/>
            <w:hideMark/>
          </w:tcPr>
          <w:p w14:paraId="19C95499"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2017</w:t>
            </w:r>
          </w:p>
        </w:tc>
        <w:tc>
          <w:tcPr>
            <w:tcW w:w="1708" w:type="dxa"/>
            <w:tcBorders>
              <w:top w:val="single" w:sz="4" w:space="0" w:color="auto"/>
              <w:left w:val="nil"/>
              <w:bottom w:val="single" w:sz="4" w:space="0" w:color="auto"/>
              <w:right w:val="single" w:sz="4" w:space="0" w:color="auto"/>
            </w:tcBorders>
            <w:shd w:val="clear" w:color="000000" w:fill="00B0F0"/>
            <w:noWrap/>
            <w:vAlign w:val="bottom"/>
            <w:hideMark/>
          </w:tcPr>
          <w:p w14:paraId="5BBF3C36"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2018</w:t>
            </w:r>
          </w:p>
        </w:tc>
        <w:tc>
          <w:tcPr>
            <w:tcW w:w="1708" w:type="dxa"/>
            <w:tcBorders>
              <w:top w:val="single" w:sz="4" w:space="0" w:color="auto"/>
              <w:left w:val="nil"/>
              <w:bottom w:val="single" w:sz="4" w:space="0" w:color="auto"/>
              <w:right w:val="single" w:sz="4" w:space="0" w:color="auto"/>
            </w:tcBorders>
            <w:shd w:val="clear" w:color="000000" w:fill="00B0F0"/>
            <w:noWrap/>
            <w:vAlign w:val="bottom"/>
            <w:hideMark/>
          </w:tcPr>
          <w:p w14:paraId="5275BA29" w14:textId="77777777" w:rsidR="00956134" w:rsidRPr="009B6F2B" w:rsidRDefault="00956134" w:rsidP="009B0D10">
            <w:pPr>
              <w:spacing w:after="0" w:line="240" w:lineRule="auto"/>
              <w:rPr>
                <w:rFonts w:ascii="Calibri" w:eastAsia="Times New Roman" w:hAnsi="Calibri" w:cs="Times New Roman"/>
                <w:color w:val="000000"/>
                <w:sz w:val="18"/>
                <w:szCs w:val="18"/>
                <w:lang w:eastAsia="en-GB"/>
              </w:rPr>
            </w:pPr>
            <w:r w:rsidRPr="009B6F2B">
              <w:rPr>
                <w:rFonts w:ascii="Calibri" w:eastAsia="Times New Roman" w:hAnsi="Calibri" w:cs="Times New Roman"/>
                <w:color w:val="000000"/>
                <w:sz w:val="18"/>
                <w:szCs w:val="18"/>
                <w:lang w:eastAsia="en-GB"/>
              </w:rPr>
              <w:t>CORREL  LCR</w:t>
            </w:r>
          </w:p>
        </w:tc>
      </w:tr>
      <w:tr w:rsidR="00956134" w:rsidRPr="009B6F2B" w14:paraId="0597568A" w14:textId="77777777" w:rsidTr="009B0D10">
        <w:trPr>
          <w:trHeight w:val="382"/>
        </w:trPr>
        <w:tc>
          <w:tcPr>
            <w:tcW w:w="3024"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30567B8D" w14:textId="77777777" w:rsidR="00956134" w:rsidRPr="009B6F2B" w:rsidRDefault="00956134" w:rsidP="009B0D10">
            <w:pPr>
              <w:spacing w:after="0" w:line="240" w:lineRule="auto"/>
              <w:rPr>
                <w:rFonts w:ascii="Calibri" w:eastAsia="Times New Roman" w:hAnsi="Calibri" w:cs="Times New Roman"/>
                <w:color w:val="000000"/>
                <w:sz w:val="18"/>
                <w:szCs w:val="18"/>
                <w:lang w:eastAsia="en-GB"/>
              </w:rPr>
            </w:pPr>
            <w:r w:rsidRPr="009B6F2B">
              <w:rPr>
                <w:rFonts w:ascii="Calibri" w:eastAsia="Times New Roman" w:hAnsi="Calibri" w:cs="Times New Roman"/>
                <w:color w:val="000000"/>
                <w:sz w:val="18"/>
                <w:szCs w:val="18"/>
                <w:lang w:eastAsia="en-GB"/>
              </w:rPr>
              <w:t>CHANGE IN L/D</w:t>
            </w:r>
          </w:p>
        </w:tc>
        <w:tc>
          <w:tcPr>
            <w:tcW w:w="1708" w:type="dxa"/>
            <w:tcBorders>
              <w:top w:val="nil"/>
              <w:left w:val="nil"/>
              <w:bottom w:val="single" w:sz="4" w:space="0" w:color="auto"/>
              <w:right w:val="single" w:sz="4" w:space="0" w:color="auto"/>
            </w:tcBorders>
            <w:shd w:val="clear" w:color="000000" w:fill="F4B084"/>
            <w:noWrap/>
            <w:vAlign w:val="bottom"/>
            <w:hideMark/>
          </w:tcPr>
          <w:p w14:paraId="00CE8DF8"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-3%</w:t>
            </w:r>
          </w:p>
        </w:tc>
        <w:tc>
          <w:tcPr>
            <w:tcW w:w="1708" w:type="dxa"/>
            <w:tcBorders>
              <w:top w:val="nil"/>
              <w:left w:val="nil"/>
              <w:bottom w:val="single" w:sz="4" w:space="0" w:color="auto"/>
              <w:right w:val="single" w:sz="4" w:space="0" w:color="auto"/>
            </w:tcBorders>
            <w:shd w:val="clear" w:color="000000" w:fill="F4B084"/>
            <w:noWrap/>
            <w:vAlign w:val="bottom"/>
            <w:hideMark/>
          </w:tcPr>
          <w:p w14:paraId="0F2909FC"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6%</w:t>
            </w:r>
          </w:p>
        </w:tc>
        <w:tc>
          <w:tcPr>
            <w:tcW w:w="1708" w:type="dxa"/>
            <w:tcBorders>
              <w:top w:val="nil"/>
              <w:left w:val="nil"/>
              <w:bottom w:val="single" w:sz="4" w:space="0" w:color="auto"/>
              <w:right w:val="single" w:sz="4" w:space="0" w:color="auto"/>
            </w:tcBorders>
            <w:shd w:val="clear" w:color="000000" w:fill="F4B084"/>
            <w:noWrap/>
            <w:vAlign w:val="bottom"/>
            <w:hideMark/>
          </w:tcPr>
          <w:p w14:paraId="3470C671"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1%</w:t>
            </w:r>
          </w:p>
        </w:tc>
        <w:tc>
          <w:tcPr>
            <w:tcW w:w="1708" w:type="dxa"/>
            <w:tcBorders>
              <w:top w:val="nil"/>
              <w:left w:val="nil"/>
              <w:bottom w:val="single" w:sz="4" w:space="0" w:color="auto"/>
              <w:right w:val="single" w:sz="4" w:space="0" w:color="auto"/>
            </w:tcBorders>
            <w:shd w:val="clear" w:color="auto" w:fill="C2D69B" w:themeFill="accent3" w:themeFillTint="99"/>
            <w:noWrap/>
            <w:vAlign w:val="bottom"/>
            <w:hideMark/>
          </w:tcPr>
          <w:p w14:paraId="65799D60"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6%</w:t>
            </w:r>
          </w:p>
        </w:tc>
      </w:tr>
      <w:tr w:rsidR="00956134" w:rsidRPr="009B6F2B" w14:paraId="77CFE856" w14:textId="77777777" w:rsidTr="009B0D10">
        <w:trPr>
          <w:trHeight w:val="382"/>
        </w:trPr>
        <w:tc>
          <w:tcPr>
            <w:tcW w:w="3024"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19DFA215" w14:textId="77777777" w:rsidR="00956134" w:rsidRPr="009B6F2B" w:rsidRDefault="00956134" w:rsidP="009B0D10">
            <w:pPr>
              <w:spacing w:after="0" w:line="240" w:lineRule="auto"/>
              <w:rPr>
                <w:rFonts w:ascii="Calibri" w:eastAsia="Times New Roman" w:hAnsi="Calibri" w:cs="Times New Roman"/>
                <w:color w:val="000000"/>
                <w:sz w:val="18"/>
                <w:szCs w:val="18"/>
                <w:lang w:eastAsia="en-GB"/>
              </w:rPr>
            </w:pPr>
            <w:r w:rsidRPr="009B6F2B">
              <w:rPr>
                <w:rFonts w:ascii="Calibri" w:eastAsia="Times New Roman" w:hAnsi="Calibri" w:cs="Times New Roman"/>
                <w:color w:val="000000"/>
                <w:sz w:val="18"/>
                <w:szCs w:val="18"/>
                <w:lang w:eastAsia="en-GB"/>
              </w:rPr>
              <w:t>CHANGE IN C/I RATIO</w:t>
            </w:r>
          </w:p>
        </w:tc>
        <w:tc>
          <w:tcPr>
            <w:tcW w:w="1708" w:type="dxa"/>
            <w:tcBorders>
              <w:top w:val="nil"/>
              <w:left w:val="nil"/>
              <w:bottom w:val="single" w:sz="4" w:space="0" w:color="auto"/>
              <w:right w:val="single" w:sz="4" w:space="0" w:color="auto"/>
            </w:tcBorders>
            <w:shd w:val="clear" w:color="000000" w:fill="F4B084"/>
            <w:noWrap/>
            <w:vAlign w:val="bottom"/>
            <w:hideMark/>
          </w:tcPr>
          <w:p w14:paraId="3359D114"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19%</w:t>
            </w:r>
          </w:p>
        </w:tc>
        <w:tc>
          <w:tcPr>
            <w:tcW w:w="1708" w:type="dxa"/>
            <w:tcBorders>
              <w:top w:val="nil"/>
              <w:left w:val="nil"/>
              <w:bottom w:val="single" w:sz="4" w:space="0" w:color="auto"/>
              <w:right w:val="single" w:sz="4" w:space="0" w:color="auto"/>
            </w:tcBorders>
            <w:shd w:val="clear" w:color="000000" w:fill="F4B084"/>
            <w:noWrap/>
            <w:vAlign w:val="bottom"/>
            <w:hideMark/>
          </w:tcPr>
          <w:p w14:paraId="17B6B0C1"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-18%</w:t>
            </w:r>
          </w:p>
        </w:tc>
        <w:tc>
          <w:tcPr>
            <w:tcW w:w="1708" w:type="dxa"/>
            <w:tcBorders>
              <w:top w:val="nil"/>
              <w:left w:val="nil"/>
              <w:bottom w:val="single" w:sz="4" w:space="0" w:color="auto"/>
              <w:right w:val="single" w:sz="4" w:space="0" w:color="auto"/>
            </w:tcBorders>
            <w:shd w:val="clear" w:color="000000" w:fill="F4B084"/>
            <w:noWrap/>
            <w:vAlign w:val="bottom"/>
            <w:hideMark/>
          </w:tcPr>
          <w:p w14:paraId="56A79056"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10%</w:t>
            </w:r>
          </w:p>
        </w:tc>
        <w:tc>
          <w:tcPr>
            <w:tcW w:w="1708" w:type="dxa"/>
            <w:tcBorders>
              <w:top w:val="nil"/>
              <w:left w:val="nil"/>
              <w:bottom w:val="single" w:sz="4" w:space="0" w:color="auto"/>
              <w:right w:val="single" w:sz="4" w:space="0" w:color="auto"/>
            </w:tcBorders>
            <w:shd w:val="clear" w:color="auto" w:fill="C2D69B" w:themeFill="accent3" w:themeFillTint="99"/>
            <w:noWrap/>
            <w:vAlign w:val="bottom"/>
            <w:hideMark/>
          </w:tcPr>
          <w:p w14:paraId="7559243B"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-28%</w:t>
            </w:r>
          </w:p>
        </w:tc>
      </w:tr>
      <w:tr w:rsidR="00956134" w:rsidRPr="009B6F2B" w14:paraId="374D48E3" w14:textId="77777777" w:rsidTr="009B0D10">
        <w:trPr>
          <w:trHeight w:val="382"/>
        </w:trPr>
        <w:tc>
          <w:tcPr>
            <w:tcW w:w="3024"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7E1123A6" w14:textId="77777777" w:rsidR="00956134" w:rsidRPr="009B6F2B" w:rsidRDefault="00956134" w:rsidP="009B0D10">
            <w:pPr>
              <w:spacing w:after="0" w:line="240" w:lineRule="auto"/>
              <w:rPr>
                <w:rFonts w:ascii="Calibri" w:eastAsia="Times New Roman" w:hAnsi="Calibri" w:cs="Times New Roman"/>
                <w:color w:val="000000"/>
                <w:sz w:val="18"/>
                <w:szCs w:val="18"/>
                <w:lang w:eastAsia="en-GB"/>
              </w:rPr>
            </w:pPr>
            <w:r w:rsidRPr="009B6F2B">
              <w:rPr>
                <w:rFonts w:ascii="Calibri" w:eastAsia="Times New Roman" w:hAnsi="Calibri" w:cs="Times New Roman"/>
                <w:color w:val="000000"/>
                <w:sz w:val="18"/>
                <w:szCs w:val="18"/>
                <w:lang w:eastAsia="en-GB"/>
              </w:rPr>
              <w:t>CHANGE IN ROE</w:t>
            </w:r>
          </w:p>
        </w:tc>
        <w:tc>
          <w:tcPr>
            <w:tcW w:w="1708" w:type="dxa"/>
            <w:tcBorders>
              <w:top w:val="nil"/>
              <w:left w:val="nil"/>
              <w:bottom w:val="single" w:sz="4" w:space="0" w:color="auto"/>
              <w:right w:val="single" w:sz="4" w:space="0" w:color="auto"/>
            </w:tcBorders>
            <w:shd w:val="clear" w:color="000000" w:fill="F4B084"/>
            <w:noWrap/>
            <w:vAlign w:val="bottom"/>
            <w:hideMark/>
          </w:tcPr>
          <w:p w14:paraId="7291939C"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-64%</w:t>
            </w:r>
          </w:p>
        </w:tc>
        <w:tc>
          <w:tcPr>
            <w:tcW w:w="1708" w:type="dxa"/>
            <w:tcBorders>
              <w:top w:val="nil"/>
              <w:left w:val="nil"/>
              <w:bottom w:val="single" w:sz="4" w:space="0" w:color="auto"/>
              <w:right w:val="single" w:sz="4" w:space="0" w:color="auto"/>
            </w:tcBorders>
            <w:shd w:val="clear" w:color="000000" w:fill="F4B084"/>
            <w:noWrap/>
            <w:vAlign w:val="bottom"/>
            <w:hideMark/>
          </w:tcPr>
          <w:p w14:paraId="55D8AEB3"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162%</w:t>
            </w:r>
          </w:p>
        </w:tc>
        <w:tc>
          <w:tcPr>
            <w:tcW w:w="1708" w:type="dxa"/>
            <w:tcBorders>
              <w:top w:val="nil"/>
              <w:left w:val="nil"/>
              <w:bottom w:val="single" w:sz="4" w:space="0" w:color="auto"/>
              <w:right w:val="single" w:sz="4" w:space="0" w:color="auto"/>
            </w:tcBorders>
            <w:shd w:val="clear" w:color="000000" w:fill="F4B084"/>
            <w:noWrap/>
            <w:vAlign w:val="bottom"/>
            <w:hideMark/>
          </w:tcPr>
          <w:p w14:paraId="74B2D993"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26%</w:t>
            </w:r>
          </w:p>
        </w:tc>
        <w:tc>
          <w:tcPr>
            <w:tcW w:w="1708" w:type="dxa"/>
            <w:tcBorders>
              <w:top w:val="nil"/>
              <w:left w:val="nil"/>
              <w:bottom w:val="single" w:sz="4" w:space="0" w:color="auto"/>
              <w:right w:val="single" w:sz="4" w:space="0" w:color="auto"/>
            </w:tcBorders>
            <w:shd w:val="clear" w:color="auto" w:fill="C2D69B" w:themeFill="accent3" w:themeFillTint="99"/>
            <w:noWrap/>
            <w:vAlign w:val="bottom"/>
            <w:hideMark/>
          </w:tcPr>
          <w:p w14:paraId="0C51C05C"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12%</w:t>
            </w:r>
          </w:p>
        </w:tc>
      </w:tr>
      <w:tr w:rsidR="00956134" w:rsidRPr="009B6F2B" w14:paraId="2C4EF36C" w14:textId="77777777" w:rsidTr="009B0D10">
        <w:trPr>
          <w:trHeight w:val="382"/>
        </w:trPr>
        <w:tc>
          <w:tcPr>
            <w:tcW w:w="3024"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2AF20089" w14:textId="77777777" w:rsidR="00956134" w:rsidRPr="009B6F2B" w:rsidRDefault="00956134" w:rsidP="009B0D10">
            <w:pPr>
              <w:spacing w:after="0" w:line="240" w:lineRule="auto"/>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CHANGE IN LCR</w:t>
            </w:r>
          </w:p>
        </w:tc>
        <w:tc>
          <w:tcPr>
            <w:tcW w:w="1708" w:type="dxa"/>
            <w:tcBorders>
              <w:top w:val="nil"/>
              <w:left w:val="nil"/>
              <w:bottom w:val="single" w:sz="4" w:space="0" w:color="auto"/>
              <w:right w:val="single" w:sz="4" w:space="0" w:color="auto"/>
            </w:tcBorders>
            <w:shd w:val="clear" w:color="000000" w:fill="F4B084"/>
            <w:noWrap/>
            <w:vAlign w:val="bottom"/>
            <w:hideMark/>
          </w:tcPr>
          <w:p w14:paraId="210B59F8"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15%</w:t>
            </w:r>
          </w:p>
        </w:tc>
        <w:tc>
          <w:tcPr>
            <w:tcW w:w="1708" w:type="dxa"/>
            <w:tcBorders>
              <w:top w:val="nil"/>
              <w:left w:val="nil"/>
              <w:bottom w:val="single" w:sz="4" w:space="0" w:color="auto"/>
              <w:right w:val="single" w:sz="4" w:space="0" w:color="auto"/>
            </w:tcBorders>
            <w:shd w:val="clear" w:color="000000" w:fill="F4B084"/>
            <w:noWrap/>
            <w:vAlign w:val="bottom"/>
            <w:hideMark/>
          </w:tcPr>
          <w:p w14:paraId="4B873C89"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15%</w:t>
            </w:r>
          </w:p>
        </w:tc>
        <w:tc>
          <w:tcPr>
            <w:tcW w:w="1708" w:type="dxa"/>
            <w:tcBorders>
              <w:top w:val="nil"/>
              <w:left w:val="nil"/>
              <w:bottom w:val="single" w:sz="4" w:space="0" w:color="auto"/>
              <w:right w:val="single" w:sz="4" w:space="0" w:color="auto"/>
            </w:tcBorders>
            <w:shd w:val="clear" w:color="000000" w:fill="F4B084"/>
            <w:noWrap/>
            <w:vAlign w:val="bottom"/>
            <w:hideMark/>
          </w:tcPr>
          <w:p w14:paraId="1E2A2B83" w14:textId="77777777" w:rsidR="00956134" w:rsidRPr="009B6F2B" w:rsidRDefault="00956134" w:rsidP="009B0D10">
            <w:pPr>
              <w:spacing w:after="0" w:line="240" w:lineRule="auto"/>
              <w:jc w:val="right"/>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8%</w:t>
            </w:r>
          </w:p>
        </w:tc>
        <w:tc>
          <w:tcPr>
            <w:tcW w:w="1708" w:type="dxa"/>
            <w:tcBorders>
              <w:top w:val="nil"/>
              <w:left w:val="nil"/>
              <w:bottom w:val="single" w:sz="4" w:space="0" w:color="auto"/>
              <w:right w:val="single" w:sz="4" w:space="0" w:color="auto"/>
            </w:tcBorders>
            <w:shd w:val="clear" w:color="auto" w:fill="C2D69B" w:themeFill="accent3" w:themeFillTint="99"/>
            <w:noWrap/>
            <w:vAlign w:val="bottom"/>
            <w:hideMark/>
          </w:tcPr>
          <w:p w14:paraId="52D40EF7" w14:textId="77777777" w:rsidR="00956134" w:rsidRPr="009B6F2B" w:rsidRDefault="00956134" w:rsidP="009B0D10">
            <w:pPr>
              <w:spacing w:after="0" w:line="240" w:lineRule="auto"/>
              <w:rPr>
                <w:rFonts w:ascii="Calibri" w:eastAsia="Times New Roman" w:hAnsi="Calibri" w:cs="Times New Roman"/>
                <w:color w:val="000000"/>
                <w:lang w:eastAsia="en-GB"/>
              </w:rPr>
            </w:pPr>
            <w:r w:rsidRPr="009B6F2B">
              <w:rPr>
                <w:rFonts w:ascii="Calibri" w:eastAsia="Times New Roman" w:hAnsi="Calibri" w:cs="Times New Roman"/>
                <w:color w:val="000000"/>
                <w:lang w:eastAsia="en-GB"/>
              </w:rPr>
              <w:t> </w:t>
            </w:r>
          </w:p>
        </w:tc>
      </w:tr>
    </w:tbl>
    <w:p w14:paraId="6BDD39F8" w14:textId="77777777" w:rsidR="00956134" w:rsidRDefault="00956134" w:rsidP="00956134">
      <w:pPr>
        <w:rPr>
          <w:rFonts w:ascii="Times New Roman" w:hAnsi="Times New Roman" w:cs="Times New Roman"/>
          <w:sz w:val="24"/>
          <w:szCs w:val="24"/>
        </w:rPr>
      </w:pPr>
    </w:p>
    <w:p w14:paraId="2105C0BA"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It can be seen that it doesn’t have a big impact on loans/deposit ratio even though there is a positive relation as it is in the case of ROE the relation is relatively small 6% and 12% but when it comes to cost to income ratio there is a negative relation of -28% which means that higher LCR will decrease the bank’s efficiency.</w:t>
      </w:r>
    </w:p>
    <w:p w14:paraId="74BF6D1E"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When it comes to the effect of LCR to lending there can be seen significant results, but the accuracy must be poor due to the lack of more data the main reason being that the liquidity coverage ratio was implemented in full only in 2015:  </w:t>
      </w:r>
    </w:p>
    <w:p w14:paraId="6ECA1806" w14:textId="77777777" w:rsidR="00956134" w:rsidRDefault="00956134" w:rsidP="00956134">
      <w:pPr>
        <w:rPr>
          <w:rFonts w:ascii="Times New Roman" w:hAnsi="Times New Roman" w:cs="Times New Roman"/>
          <w:sz w:val="24"/>
          <w:szCs w:val="24"/>
        </w:rPr>
      </w:pPr>
    </w:p>
    <w:p w14:paraId="5A088F65" w14:textId="77777777" w:rsidR="00956134" w:rsidRDefault="00956134" w:rsidP="00956134">
      <w:pPr>
        <w:rPr>
          <w:rFonts w:ascii="Times New Roman" w:hAnsi="Times New Roman" w:cs="Times New Roman"/>
          <w:sz w:val="24"/>
          <w:szCs w:val="24"/>
        </w:rPr>
      </w:pPr>
    </w:p>
    <w:p w14:paraId="15720137" w14:textId="77777777" w:rsidR="00956134" w:rsidRDefault="00956134" w:rsidP="00956134">
      <w:pPr>
        <w:rPr>
          <w:rFonts w:ascii="Times New Roman" w:hAnsi="Times New Roman" w:cs="Times New Roman"/>
          <w:sz w:val="24"/>
          <w:szCs w:val="24"/>
        </w:rPr>
      </w:pPr>
    </w:p>
    <w:p w14:paraId="51A5678E" w14:textId="77777777" w:rsidR="00956134" w:rsidRDefault="00956134" w:rsidP="00956134">
      <w:pPr>
        <w:pStyle w:val="Legend"/>
        <w:keepNext/>
      </w:pPr>
      <w:r>
        <w:lastRenderedPageBreak/>
        <w:t xml:space="preserve">Table </w:t>
      </w:r>
      <w:fldSimple w:instr=" SEQ Table \* ARABIC ">
        <w:r>
          <w:rPr>
            <w:noProof/>
          </w:rPr>
          <w:t>5</w:t>
        </w:r>
      </w:fldSimple>
      <w:r>
        <w:t>:</w:t>
      </w:r>
    </w:p>
    <w:tbl>
      <w:tblPr>
        <w:tblW w:w="9928" w:type="dxa"/>
        <w:tblInd w:w="113" w:type="dxa"/>
        <w:tblLook w:val="04A0" w:firstRow="1" w:lastRow="0" w:firstColumn="1" w:lastColumn="0" w:noHBand="0" w:noVBand="1"/>
      </w:tblPr>
      <w:tblGrid>
        <w:gridCol w:w="2062"/>
        <w:gridCol w:w="1833"/>
        <w:gridCol w:w="1833"/>
        <w:gridCol w:w="1833"/>
        <w:gridCol w:w="2367"/>
      </w:tblGrid>
      <w:tr w:rsidR="00956134" w:rsidRPr="007A592D" w14:paraId="03A7357E" w14:textId="77777777" w:rsidTr="009B0D10">
        <w:trPr>
          <w:trHeight w:val="378"/>
        </w:trPr>
        <w:tc>
          <w:tcPr>
            <w:tcW w:w="2062"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5182A4DA" w14:textId="77777777" w:rsidR="00956134" w:rsidRPr="007A592D"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HSBC</w:t>
            </w:r>
          </w:p>
        </w:tc>
        <w:tc>
          <w:tcPr>
            <w:tcW w:w="1833" w:type="dxa"/>
            <w:tcBorders>
              <w:top w:val="single" w:sz="4" w:space="0" w:color="auto"/>
              <w:left w:val="nil"/>
              <w:bottom w:val="single" w:sz="4" w:space="0" w:color="auto"/>
              <w:right w:val="single" w:sz="4" w:space="0" w:color="auto"/>
            </w:tcBorders>
            <w:shd w:val="clear" w:color="000000" w:fill="00B0F0"/>
            <w:noWrap/>
            <w:vAlign w:val="bottom"/>
            <w:hideMark/>
          </w:tcPr>
          <w:p w14:paraId="1BFB191D"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2018</w:t>
            </w:r>
          </w:p>
        </w:tc>
        <w:tc>
          <w:tcPr>
            <w:tcW w:w="1833" w:type="dxa"/>
            <w:tcBorders>
              <w:top w:val="single" w:sz="4" w:space="0" w:color="auto"/>
              <w:left w:val="nil"/>
              <w:bottom w:val="single" w:sz="4" w:space="0" w:color="auto"/>
              <w:right w:val="single" w:sz="4" w:space="0" w:color="auto"/>
            </w:tcBorders>
            <w:shd w:val="clear" w:color="000000" w:fill="00B0F0"/>
            <w:noWrap/>
            <w:vAlign w:val="bottom"/>
            <w:hideMark/>
          </w:tcPr>
          <w:p w14:paraId="0AFF1FD1"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2017</w:t>
            </w:r>
          </w:p>
        </w:tc>
        <w:tc>
          <w:tcPr>
            <w:tcW w:w="1833" w:type="dxa"/>
            <w:tcBorders>
              <w:top w:val="single" w:sz="4" w:space="0" w:color="auto"/>
              <w:left w:val="nil"/>
              <w:bottom w:val="single" w:sz="4" w:space="0" w:color="auto"/>
              <w:right w:val="single" w:sz="4" w:space="0" w:color="auto"/>
            </w:tcBorders>
            <w:shd w:val="clear" w:color="000000" w:fill="00B0F0"/>
            <w:noWrap/>
            <w:vAlign w:val="bottom"/>
            <w:hideMark/>
          </w:tcPr>
          <w:p w14:paraId="787443D4"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2016</w:t>
            </w:r>
          </w:p>
        </w:tc>
        <w:tc>
          <w:tcPr>
            <w:tcW w:w="2367" w:type="dxa"/>
            <w:tcBorders>
              <w:top w:val="single" w:sz="4" w:space="0" w:color="auto"/>
              <w:left w:val="nil"/>
              <w:bottom w:val="single" w:sz="4" w:space="0" w:color="auto"/>
              <w:right w:val="single" w:sz="4" w:space="0" w:color="auto"/>
            </w:tcBorders>
            <w:shd w:val="clear" w:color="000000" w:fill="00B0F0"/>
            <w:noWrap/>
            <w:vAlign w:val="bottom"/>
            <w:hideMark/>
          </w:tcPr>
          <w:p w14:paraId="1F5B10FB" w14:textId="77777777" w:rsidR="00956134" w:rsidRPr="007A592D" w:rsidRDefault="00956134" w:rsidP="009B0D10">
            <w:pPr>
              <w:spacing w:after="0" w:line="240" w:lineRule="auto"/>
              <w:rPr>
                <w:rFonts w:ascii="Calibri" w:eastAsia="Times New Roman" w:hAnsi="Calibri" w:cs="Times New Roman"/>
                <w:color w:val="000000"/>
                <w:sz w:val="16"/>
                <w:szCs w:val="16"/>
                <w:lang w:eastAsia="en-GB"/>
              </w:rPr>
            </w:pPr>
            <w:r w:rsidRPr="007A592D">
              <w:rPr>
                <w:rFonts w:ascii="Calibri" w:eastAsia="Times New Roman" w:hAnsi="Calibri" w:cs="Times New Roman"/>
                <w:color w:val="000000"/>
                <w:sz w:val="16"/>
                <w:szCs w:val="16"/>
                <w:lang w:eastAsia="en-GB"/>
              </w:rPr>
              <w:t>CORREL WITH LCR</w:t>
            </w:r>
          </w:p>
        </w:tc>
      </w:tr>
      <w:tr w:rsidR="00956134" w:rsidRPr="007A592D" w14:paraId="2176ABFD" w14:textId="77777777" w:rsidTr="009B0D10">
        <w:trPr>
          <w:trHeight w:val="378"/>
        </w:trPr>
        <w:tc>
          <w:tcPr>
            <w:tcW w:w="2062" w:type="dxa"/>
            <w:tcBorders>
              <w:top w:val="nil"/>
              <w:left w:val="single" w:sz="4" w:space="0" w:color="auto"/>
              <w:bottom w:val="single" w:sz="4" w:space="0" w:color="auto"/>
              <w:right w:val="single" w:sz="4" w:space="0" w:color="auto"/>
            </w:tcBorders>
            <w:shd w:val="clear" w:color="000000" w:fill="F4B084"/>
            <w:noWrap/>
            <w:vAlign w:val="bottom"/>
            <w:hideMark/>
          </w:tcPr>
          <w:p w14:paraId="40BBE11D" w14:textId="77777777" w:rsidR="00956134" w:rsidRPr="007A592D" w:rsidRDefault="00956134" w:rsidP="009B0D10">
            <w:pPr>
              <w:spacing w:after="0" w:line="240" w:lineRule="auto"/>
              <w:rPr>
                <w:rFonts w:ascii="Calibri" w:eastAsia="Times New Roman" w:hAnsi="Calibri" w:cs="Times New Roman"/>
                <w:color w:val="000000"/>
                <w:sz w:val="18"/>
                <w:szCs w:val="18"/>
                <w:lang w:eastAsia="en-GB"/>
              </w:rPr>
            </w:pPr>
            <w:r>
              <w:rPr>
                <w:rFonts w:ascii="Calibri" w:eastAsia="Times New Roman" w:hAnsi="Calibri" w:cs="Times New Roman"/>
                <w:color w:val="000000"/>
                <w:sz w:val="18"/>
                <w:szCs w:val="18"/>
                <w:lang w:eastAsia="en-GB"/>
              </w:rPr>
              <w:t>CHANGE IN LOANS TO BANKS</w:t>
            </w:r>
          </w:p>
        </w:tc>
        <w:tc>
          <w:tcPr>
            <w:tcW w:w="1833" w:type="dxa"/>
            <w:tcBorders>
              <w:top w:val="nil"/>
              <w:left w:val="nil"/>
              <w:bottom w:val="single" w:sz="4" w:space="0" w:color="auto"/>
              <w:right w:val="single" w:sz="4" w:space="0" w:color="auto"/>
            </w:tcBorders>
            <w:shd w:val="clear" w:color="000000" w:fill="F4B084"/>
            <w:noWrap/>
            <w:vAlign w:val="bottom"/>
            <w:hideMark/>
          </w:tcPr>
          <w:p w14:paraId="02B7F42C"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-20%</w:t>
            </w:r>
          </w:p>
        </w:tc>
        <w:tc>
          <w:tcPr>
            <w:tcW w:w="1833" w:type="dxa"/>
            <w:tcBorders>
              <w:top w:val="nil"/>
              <w:left w:val="nil"/>
              <w:bottom w:val="single" w:sz="4" w:space="0" w:color="auto"/>
              <w:right w:val="single" w:sz="4" w:space="0" w:color="auto"/>
            </w:tcBorders>
            <w:shd w:val="clear" w:color="000000" w:fill="F4B084"/>
            <w:noWrap/>
            <w:vAlign w:val="bottom"/>
            <w:hideMark/>
          </w:tcPr>
          <w:p w14:paraId="661EFF45"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3%</w:t>
            </w:r>
          </w:p>
        </w:tc>
        <w:tc>
          <w:tcPr>
            <w:tcW w:w="1833" w:type="dxa"/>
            <w:tcBorders>
              <w:top w:val="nil"/>
              <w:left w:val="nil"/>
              <w:bottom w:val="single" w:sz="4" w:space="0" w:color="auto"/>
              <w:right w:val="single" w:sz="4" w:space="0" w:color="auto"/>
            </w:tcBorders>
            <w:shd w:val="clear" w:color="000000" w:fill="F4B084"/>
            <w:noWrap/>
            <w:vAlign w:val="bottom"/>
            <w:hideMark/>
          </w:tcPr>
          <w:p w14:paraId="4E33D841"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-3%</w:t>
            </w:r>
          </w:p>
        </w:tc>
        <w:tc>
          <w:tcPr>
            <w:tcW w:w="2367" w:type="dxa"/>
            <w:tcBorders>
              <w:top w:val="nil"/>
              <w:left w:val="nil"/>
              <w:bottom w:val="single" w:sz="4" w:space="0" w:color="auto"/>
              <w:right w:val="single" w:sz="4" w:space="0" w:color="auto"/>
            </w:tcBorders>
            <w:shd w:val="clear" w:color="000000" w:fill="F4B084"/>
            <w:noWrap/>
            <w:vAlign w:val="bottom"/>
            <w:hideMark/>
          </w:tcPr>
          <w:p w14:paraId="35FC0C75"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99%</w:t>
            </w:r>
          </w:p>
        </w:tc>
      </w:tr>
      <w:tr w:rsidR="00956134" w:rsidRPr="007A592D" w14:paraId="1235A2E4" w14:textId="77777777" w:rsidTr="009B0D10">
        <w:trPr>
          <w:trHeight w:val="378"/>
        </w:trPr>
        <w:tc>
          <w:tcPr>
            <w:tcW w:w="2062" w:type="dxa"/>
            <w:tcBorders>
              <w:top w:val="nil"/>
              <w:left w:val="single" w:sz="4" w:space="0" w:color="auto"/>
              <w:bottom w:val="single" w:sz="4" w:space="0" w:color="auto"/>
              <w:right w:val="single" w:sz="4" w:space="0" w:color="auto"/>
            </w:tcBorders>
            <w:shd w:val="clear" w:color="000000" w:fill="F4B084"/>
            <w:noWrap/>
            <w:vAlign w:val="bottom"/>
            <w:hideMark/>
          </w:tcPr>
          <w:p w14:paraId="60B0C753" w14:textId="77777777" w:rsidR="00956134" w:rsidRPr="007A592D" w:rsidRDefault="00956134" w:rsidP="009B0D10">
            <w:pPr>
              <w:spacing w:after="0" w:line="240" w:lineRule="auto"/>
              <w:rPr>
                <w:rFonts w:ascii="Calibri" w:eastAsia="Times New Roman" w:hAnsi="Calibri" w:cs="Times New Roman"/>
                <w:color w:val="000000"/>
                <w:sz w:val="18"/>
                <w:szCs w:val="18"/>
                <w:lang w:eastAsia="en-GB"/>
              </w:rPr>
            </w:pPr>
            <w:r>
              <w:rPr>
                <w:rFonts w:ascii="Calibri" w:eastAsia="Times New Roman" w:hAnsi="Calibri" w:cs="Times New Roman"/>
                <w:color w:val="000000"/>
                <w:sz w:val="18"/>
                <w:szCs w:val="18"/>
                <w:lang w:eastAsia="en-GB"/>
              </w:rPr>
              <w:t>CANGE IN LOANS TO CUSTOMERS</w:t>
            </w:r>
          </w:p>
        </w:tc>
        <w:tc>
          <w:tcPr>
            <w:tcW w:w="1833" w:type="dxa"/>
            <w:tcBorders>
              <w:top w:val="nil"/>
              <w:left w:val="nil"/>
              <w:bottom w:val="single" w:sz="4" w:space="0" w:color="auto"/>
              <w:right w:val="single" w:sz="4" w:space="0" w:color="auto"/>
            </w:tcBorders>
            <w:shd w:val="clear" w:color="000000" w:fill="F4B084"/>
            <w:noWrap/>
            <w:vAlign w:val="bottom"/>
            <w:hideMark/>
          </w:tcPr>
          <w:p w14:paraId="78DBA0C1"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2%</w:t>
            </w:r>
          </w:p>
        </w:tc>
        <w:tc>
          <w:tcPr>
            <w:tcW w:w="1833" w:type="dxa"/>
            <w:tcBorders>
              <w:top w:val="nil"/>
              <w:left w:val="nil"/>
              <w:bottom w:val="single" w:sz="4" w:space="0" w:color="auto"/>
              <w:right w:val="single" w:sz="4" w:space="0" w:color="auto"/>
            </w:tcBorders>
            <w:shd w:val="clear" w:color="000000" w:fill="F4B084"/>
            <w:noWrap/>
            <w:vAlign w:val="bottom"/>
            <w:hideMark/>
          </w:tcPr>
          <w:p w14:paraId="1CB2F1A5"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12%</w:t>
            </w:r>
          </w:p>
        </w:tc>
        <w:tc>
          <w:tcPr>
            <w:tcW w:w="1833" w:type="dxa"/>
            <w:tcBorders>
              <w:top w:val="nil"/>
              <w:left w:val="nil"/>
              <w:bottom w:val="single" w:sz="4" w:space="0" w:color="auto"/>
              <w:right w:val="single" w:sz="4" w:space="0" w:color="auto"/>
            </w:tcBorders>
            <w:shd w:val="clear" w:color="000000" w:fill="F4B084"/>
            <w:noWrap/>
            <w:vAlign w:val="bottom"/>
            <w:hideMark/>
          </w:tcPr>
          <w:p w14:paraId="17ECFF37"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-7%</w:t>
            </w:r>
          </w:p>
        </w:tc>
        <w:tc>
          <w:tcPr>
            <w:tcW w:w="2367" w:type="dxa"/>
            <w:tcBorders>
              <w:top w:val="nil"/>
              <w:left w:val="nil"/>
              <w:bottom w:val="single" w:sz="4" w:space="0" w:color="auto"/>
              <w:right w:val="single" w:sz="4" w:space="0" w:color="auto"/>
            </w:tcBorders>
            <w:shd w:val="clear" w:color="000000" w:fill="F4B084"/>
            <w:noWrap/>
            <w:vAlign w:val="bottom"/>
            <w:hideMark/>
          </w:tcPr>
          <w:p w14:paraId="7A07A443"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10%</w:t>
            </w:r>
          </w:p>
        </w:tc>
      </w:tr>
      <w:tr w:rsidR="00956134" w:rsidRPr="007A592D" w14:paraId="5136FF6D" w14:textId="77777777" w:rsidTr="009B0D10">
        <w:trPr>
          <w:trHeight w:val="378"/>
        </w:trPr>
        <w:tc>
          <w:tcPr>
            <w:tcW w:w="2062" w:type="dxa"/>
            <w:tcBorders>
              <w:top w:val="nil"/>
              <w:left w:val="single" w:sz="4" w:space="0" w:color="auto"/>
              <w:bottom w:val="single" w:sz="4" w:space="0" w:color="auto"/>
              <w:right w:val="single" w:sz="4" w:space="0" w:color="auto"/>
            </w:tcBorders>
            <w:shd w:val="clear" w:color="000000" w:fill="F4B084"/>
            <w:noWrap/>
            <w:vAlign w:val="bottom"/>
            <w:hideMark/>
          </w:tcPr>
          <w:p w14:paraId="2EB6C4BE" w14:textId="77777777" w:rsidR="00956134" w:rsidRPr="007A592D" w:rsidRDefault="00956134" w:rsidP="009B0D10">
            <w:pPr>
              <w:spacing w:after="0" w:line="240" w:lineRule="auto"/>
              <w:rPr>
                <w:rFonts w:ascii="Calibri" w:eastAsia="Times New Roman" w:hAnsi="Calibri" w:cs="Times New Roman"/>
                <w:color w:val="000000"/>
                <w:sz w:val="18"/>
                <w:szCs w:val="18"/>
                <w:lang w:eastAsia="en-GB"/>
              </w:rPr>
            </w:pPr>
            <w:r>
              <w:rPr>
                <w:rFonts w:ascii="Calibri" w:eastAsia="Times New Roman" w:hAnsi="Calibri" w:cs="Times New Roman"/>
                <w:color w:val="000000"/>
                <w:sz w:val="18"/>
                <w:szCs w:val="18"/>
                <w:lang w:eastAsia="en-GB"/>
              </w:rPr>
              <w:t>CHANGE IN DEPOSITS FROM BANKS</w:t>
            </w:r>
          </w:p>
        </w:tc>
        <w:tc>
          <w:tcPr>
            <w:tcW w:w="1833" w:type="dxa"/>
            <w:tcBorders>
              <w:top w:val="nil"/>
              <w:left w:val="nil"/>
              <w:bottom w:val="single" w:sz="4" w:space="0" w:color="auto"/>
              <w:right w:val="single" w:sz="4" w:space="0" w:color="auto"/>
            </w:tcBorders>
            <w:shd w:val="clear" w:color="000000" w:fill="F4B084"/>
            <w:noWrap/>
            <w:vAlign w:val="bottom"/>
            <w:hideMark/>
          </w:tcPr>
          <w:p w14:paraId="34A6848A"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-7%</w:t>
            </w:r>
          </w:p>
        </w:tc>
        <w:tc>
          <w:tcPr>
            <w:tcW w:w="1833" w:type="dxa"/>
            <w:tcBorders>
              <w:top w:val="nil"/>
              <w:left w:val="nil"/>
              <w:bottom w:val="single" w:sz="4" w:space="0" w:color="auto"/>
              <w:right w:val="single" w:sz="4" w:space="0" w:color="auto"/>
            </w:tcBorders>
            <w:shd w:val="clear" w:color="000000" w:fill="F4B084"/>
            <w:noWrap/>
            <w:vAlign w:val="bottom"/>
            <w:hideMark/>
          </w:tcPr>
          <w:p w14:paraId="733781F7"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17%</w:t>
            </w:r>
          </w:p>
        </w:tc>
        <w:tc>
          <w:tcPr>
            <w:tcW w:w="1833" w:type="dxa"/>
            <w:tcBorders>
              <w:top w:val="nil"/>
              <w:left w:val="nil"/>
              <w:bottom w:val="single" w:sz="4" w:space="0" w:color="auto"/>
              <w:right w:val="single" w:sz="4" w:space="0" w:color="auto"/>
            </w:tcBorders>
            <w:shd w:val="clear" w:color="000000" w:fill="F4B084"/>
            <w:noWrap/>
            <w:vAlign w:val="bottom"/>
            <w:hideMark/>
          </w:tcPr>
          <w:p w14:paraId="3381C6C9"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10%</w:t>
            </w:r>
          </w:p>
        </w:tc>
        <w:tc>
          <w:tcPr>
            <w:tcW w:w="2367" w:type="dxa"/>
            <w:tcBorders>
              <w:top w:val="nil"/>
              <w:left w:val="nil"/>
              <w:bottom w:val="single" w:sz="4" w:space="0" w:color="auto"/>
              <w:right w:val="single" w:sz="4" w:space="0" w:color="auto"/>
            </w:tcBorders>
            <w:shd w:val="clear" w:color="000000" w:fill="F4B084"/>
            <w:noWrap/>
            <w:vAlign w:val="bottom"/>
            <w:hideMark/>
          </w:tcPr>
          <w:p w14:paraId="14B3CFC9"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98%</w:t>
            </w:r>
          </w:p>
        </w:tc>
      </w:tr>
      <w:tr w:rsidR="00956134" w:rsidRPr="007A592D" w14:paraId="6C13F522" w14:textId="77777777" w:rsidTr="009B0D10">
        <w:trPr>
          <w:trHeight w:val="378"/>
        </w:trPr>
        <w:tc>
          <w:tcPr>
            <w:tcW w:w="2062" w:type="dxa"/>
            <w:tcBorders>
              <w:top w:val="nil"/>
              <w:left w:val="single" w:sz="4" w:space="0" w:color="auto"/>
              <w:bottom w:val="single" w:sz="4" w:space="0" w:color="auto"/>
              <w:right w:val="single" w:sz="4" w:space="0" w:color="auto"/>
            </w:tcBorders>
            <w:shd w:val="clear" w:color="000000" w:fill="F4B084"/>
            <w:noWrap/>
            <w:vAlign w:val="bottom"/>
            <w:hideMark/>
          </w:tcPr>
          <w:p w14:paraId="45F1D549" w14:textId="77777777" w:rsidR="00956134" w:rsidRPr="007A592D" w:rsidRDefault="00956134" w:rsidP="009B0D10">
            <w:pPr>
              <w:spacing w:after="0" w:line="240" w:lineRule="auto"/>
              <w:rPr>
                <w:rFonts w:ascii="Calibri" w:eastAsia="Times New Roman" w:hAnsi="Calibri" w:cs="Times New Roman"/>
                <w:color w:val="000000"/>
                <w:sz w:val="18"/>
                <w:szCs w:val="18"/>
                <w:lang w:eastAsia="en-GB"/>
              </w:rPr>
            </w:pPr>
            <w:r>
              <w:rPr>
                <w:rFonts w:ascii="Calibri" w:eastAsia="Times New Roman" w:hAnsi="Calibri" w:cs="Times New Roman"/>
                <w:color w:val="000000"/>
                <w:sz w:val="18"/>
                <w:szCs w:val="18"/>
                <w:lang w:eastAsia="en-GB"/>
              </w:rPr>
              <w:t>CHANGE IN DEPOSITS FROM CUSTOMERS</w:t>
            </w:r>
          </w:p>
        </w:tc>
        <w:tc>
          <w:tcPr>
            <w:tcW w:w="1833" w:type="dxa"/>
            <w:tcBorders>
              <w:top w:val="nil"/>
              <w:left w:val="nil"/>
              <w:bottom w:val="single" w:sz="4" w:space="0" w:color="auto"/>
              <w:right w:val="single" w:sz="4" w:space="0" w:color="auto"/>
            </w:tcBorders>
            <w:shd w:val="clear" w:color="000000" w:fill="F4B084"/>
            <w:noWrap/>
            <w:vAlign w:val="bottom"/>
            <w:hideMark/>
          </w:tcPr>
          <w:p w14:paraId="69901F71"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0%</w:t>
            </w:r>
          </w:p>
        </w:tc>
        <w:tc>
          <w:tcPr>
            <w:tcW w:w="1833" w:type="dxa"/>
            <w:tcBorders>
              <w:top w:val="nil"/>
              <w:left w:val="nil"/>
              <w:bottom w:val="single" w:sz="4" w:space="0" w:color="auto"/>
              <w:right w:val="single" w:sz="4" w:space="0" w:color="auto"/>
            </w:tcBorders>
            <w:shd w:val="clear" w:color="000000" w:fill="F4B084"/>
            <w:noWrap/>
            <w:vAlign w:val="bottom"/>
            <w:hideMark/>
          </w:tcPr>
          <w:p w14:paraId="59132EA8"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7%</w:t>
            </w:r>
          </w:p>
        </w:tc>
        <w:tc>
          <w:tcPr>
            <w:tcW w:w="1833" w:type="dxa"/>
            <w:tcBorders>
              <w:top w:val="nil"/>
              <w:left w:val="nil"/>
              <w:bottom w:val="single" w:sz="4" w:space="0" w:color="auto"/>
              <w:right w:val="single" w:sz="4" w:space="0" w:color="auto"/>
            </w:tcBorders>
            <w:shd w:val="clear" w:color="000000" w:fill="F4B084"/>
            <w:noWrap/>
            <w:vAlign w:val="bottom"/>
            <w:hideMark/>
          </w:tcPr>
          <w:p w14:paraId="4FF1BF7E"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-1%</w:t>
            </w:r>
          </w:p>
        </w:tc>
        <w:tc>
          <w:tcPr>
            <w:tcW w:w="2367" w:type="dxa"/>
            <w:tcBorders>
              <w:top w:val="nil"/>
              <w:left w:val="nil"/>
              <w:bottom w:val="single" w:sz="4" w:space="0" w:color="auto"/>
              <w:right w:val="single" w:sz="4" w:space="0" w:color="auto"/>
            </w:tcBorders>
            <w:shd w:val="clear" w:color="000000" w:fill="F4B084"/>
            <w:noWrap/>
            <w:vAlign w:val="bottom"/>
            <w:hideMark/>
          </w:tcPr>
          <w:p w14:paraId="084C2429"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44%</w:t>
            </w:r>
          </w:p>
        </w:tc>
      </w:tr>
      <w:tr w:rsidR="00956134" w:rsidRPr="007A592D" w14:paraId="35BC6F56" w14:textId="77777777" w:rsidTr="009B0D10">
        <w:trPr>
          <w:trHeight w:val="378"/>
        </w:trPr>
        <w:tc>
          <w:tcPr>
            <w:tcW w:w="2062"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54B01B0D" w14:textId="77777777" w:rsidR="00956134" w:rsidRPr="007A592D" w:rsidRDefault="00956134" w:rsidP="009B0D10">
            <w:pPr>
              <w:spacing w:after="0" w:line="240" w:lineRule="auto"/>
              <w:rPr>
                <w:rFonts w:ascii="Calibri" w:eastAsia="Times New Roman" w:hAnsi="Calibri" w:cs="Times New Roman"/>
                <w:color w:val="000000"/>
                <w:sz w:val="18"/>
                <w:szCs w:val="18"/>
                <w:lang w:eastAsia="en-GB"/>
              </w:rPr>
            </w:pPr>
            <w:r w:rsidRPr="007A592D">
              <w:rPr>
                <w:rFonts w:ascii="Calibri" w:eastAsia="Times New Roman" w:hAnsi="Calibri" w:cs="Times New Roman"/>
                <w:color w:val="000000"/>
                <w:sz w:val="18"/>
                <w:szCs w:val="18"/>
                <w:lang w:eastAsia="en-GB"/>
              </w:rPr>
              <w:t>CHANGE IN LCR</w:t>
            </w:r>
          </w:p>
        </w:tc>
        <w:tc>
          <w:tcPr>
            <w:tcW w:w="1833" w:type="dxa"/>
            <w:tcBorders>
              <w:top w:val="single" w:sz="4" w:space="0" w:color="auto"/>
              <w:left w:val="nil"/>
              <w:bottom w:val="single" w:sz="4" w:space="0" w:color="auto"/>
              <w:right w:val="single" w:sz="4" w:space="0" w:color="auto"/>
            </w:tcBorders>
            <w:shd w:val="clear" w:color="000000" w:fill="F4B084"/>
            <w:noWrap/>
            <w:vAlign w:val="bottom"/>
            <w:hideMark/>
          </w:tcPr>
          <w:p w14:paraId="030AABC0"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8%</w:t>
            </w:r>
          </w:p>
        </w:tc>
        <w:tc>
          <w:tcPr>
            <w:tcW w:w="1833" w:type="dxa"/>
            <w:tcBorders>
              <w:top w:val="single" w:sz="4" w:space="0" w:color="auto"/>
              <w:left w:val="nil"/>
              <w:bottom w:val="single" w:sz="4" w:space="0" w:color="auto"/>
              <w:right w:val="single" w:sz="4" w:space="0" w:color="auto"/>
            </w:tcBorders>
            <w:shd w:val="clear" w:color="000000" w:fill="F4B084"/>
            <w:noWrap/>
            <w:vAlign w:val="bottom"/>
            <w:hideMark/>
          </w:tcPr>
          <w:p w14:paraId="4B6B990D"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15%</w:t>
            </w:r>
          </w:p>
        </w:tc>
        <w:tc>
          <w:tcPr>
            <w:tcW w:w="1833" w:type="dxa"/>
            <w:tcBorders>
              <w:top w:val="single" w:sz="4" w:space="0" w:color="auto"/>
              <w:left w:val="nil"/>
              <w:bottom w:val="single" w:sz="4" w:space="0" w:color="auto"/>
              <w:right w:val="single" w:sz="4" w:space="0" w:color="auto"/>
            </w:tcBorders>
            <w:shd w:val="clear" w:color="000000" w:fill="F4B084"/>
            <w:noWrap/>
            <w:vAlign w:val="bottom"/>
            <w:hideMark/>
          </w:tcPr>
          <w:p w14:paraId="79DB5952" w14:textId="77777777" w:rsidR="00956134" w:rsidRPr="007A592D" w:rsidRDefault="00956134" w:rsidP="009B0D10">
            <w:pPr>
              <w:spacing w:after="0" w:line="240" w:lineRule="auto"/>
              <w:jc w:val="right"/>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15%</w:t>
            </w:r>
          </w:p>
        </w:tc>
        <w:tc>
          <w:tcPr>
            <w:tcW w:w="2367" w:type="dxa"/>
            <w:tcBorders>
              <w:top w:val="single" w:sz="4" w:space="0" w:color="auto"/>
              <w:left w:val="nil"/>
              <w:bottom w:val="single" w:sz="4" w:space="0" w:color="auto"/>
              <w:right w:val="single" w:sz="4" w:space="0" w:color="auto"/>
            </w:tcBorders>
            <w:shd w:val="clear" w:color="000000" w:fill="F4B084"/>
            <w:noWrap/>
            <w:vAlign w:val="bottom"/>
            <w:hideMark/>
          </w:tcPr>
          <w:p w14:paraId="6EFE8836" w14:textId="77777777" w:rsidR="00956134" w:rsidRPr="007A592D" w:rsidRDefault="00956134" w:rsidP="009B0D10">
            <w:pPr>
              <w:spacing w:after="0" w:line="240" w:lineRule="auto"/>
              <w:rPr>
                <w:rFonts w:ascii="Calibri" w:eastAsia="Times New Roman" w:hAnsi="Calibri" w:cs="Times New Roman"/>
                <w:color w:val="000000"/>
                <w:lang w:eastAsia="en-GB"/>
              </w:rPr>
            </w:pPr>
            <w:r w:rsidRPr="007A592D">
              <w:rPr>
                <w:rFonts w:ascii="Calibri" w:eastAsia="Times New Roman" w:hAnsi="Calibri" w:cs="Times New Roman"/>
                <w:color w:val="000000"/>
                <w:lang w:eastAsia="en-GB"/>
              </w:rPr>
              <w:t> </w:t>
            </w:r>
          </w:p>
        </w:tc>
      </w:tr>
    </w:tbl>
    <w:p w14:paraId="1908097D" w14:textId="77777777" w:rsidR="00956134" w:rsidRDefault="00956134" w:rsidP="00956134">
      <w:pPr>
        <w:rPr>
          <w:rFonts w:ascii="Times New Roman" w:hAnsi="Times New Roman" w:cs="Times New Roman"/>
          <w:sz w:val="24"/>
          <w:szCs w:val="24"/>
        </w:rPr>
      </w:pPr>
    </w:p>
    <w:p w14:paraId="6460D2AE"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The data table shows s strong positive relation between the liquidity coverage ratio and the inter-bank loans and deposit and a strong relation with deposits from customers but a small but positive correlation coefficient with the change in the loans to customers, which may mean that the LCR at least for this bank does not have a negative impact on the role of financial intermediator as stated by other authors.</w:t>
      </w:r>
    </w:p>
    <w:p w14:paraId="717F47FB"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Lloyds Bank also increased their Tier 1 capital and LCR considerably for the past 5 years as can be seen in the chart below:</w:t>
      </w:r>
    </w:p>
    <w:p w14:paraId="3AF9622B" w14:textId="77777777" w:rsidR="00956134" w:rsidRDefault="00956134" w:rsidP="00956134">
      <w:pPr>
        <w:keepNext/>
      </w:pPr>
      <w:r>
        <w:rPr>
          <w:noProof/>
        </w:rPr>
        <w:drawing>
          <wp:inline distT="0" distB="0" distL="0" distR="0" wp14:anchorId="0595B79F" wp14:editId="5BB1FE31">
            <wp:extent cx="6166884" cy="3296093"/>
            <wp:effectExtent l="0" t="0" r="5715" b="0"/>
            <wp:docPr id="2" name="Diagramă 2">
              <a:extLst xmlns:a="http://schemas.openxmlformats.org/drawingml/2006/main">
                <a:ext uri="{FF2B5EF4-FFF2-40B4-BE49-F238E27FC236}">
                  <a16:creationId xmlns:a16="http://schemas.microsoft.com/office/drawing/2014/main" id="{46674C9A-0E76-4664-B1A4-30570B55D9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C37DA60" w14:textId="77777777" w:rsidR="00956134" w:rsidRDefault="00956134" w:rsidP="00956134">
      <w:pPr>
        <w:pStyle w:val="Legend"/>
      </w:pPr>
      <w:r>
        <w:t xml:space="preserve">Figure </w:t>
      </w:r>
      <w:fldSimple w:instr=" SEQ Figure \* ARABIC ">
        <w:r>
          <w:rPr>
            <w:noProof/>
          </w:rPr>
          <w:t>2</w:t>
        </w:r>
      </w:fldSimple>
      <w:r>
        <w:t>.</w:t>
      </w:r>
    </w:p>
    <w:p w14:paraId="55C144AE" w14:textId="77777777" w:rsidR="00956134" w:rsidRDefault="00956134" w:rsidP="00956134">
      <w:pPr>
        <w:rPr>
          <w:rFonts w:ascii="Times New Roman" w:hAnsi="Times New Roman" w:cs="Times New Roman"/>
          <w:sz w:val="24"/>
          <w:szCs w:val="24"/>
        </w:rPr>
      </w:pPr>
      <w:r>
        <w:t xml:space="preserve"> </w:t>
      </w:r>
      <w:r>
        <w:rPr>
          <w:rFonts w:ascii="Times New Roman" w:hAnsi="Times New Roman" w:cs="Times New Roman"/>
          <w:sz w:val="24"/>
          <w:szCs w:val="24"/>
        </w:rPr>
        <w:t>As in the case of HSBC the change Tier 1 capital has a negative correlation with the loans to deposit ratio and cost to income ratio, and a stronger positive relation with the return on equity:</w:t>
      </w:r>
    </w:p>
    <w:p w14:paraId="72749CB4" w14:textId="77777777" w:rsidR="00956134" w:rsidRDefault="00956134" w:rsidP="00956134">
      <w:pPr>
        <w:rPr>
          <w:rFonts w:ascii="Times New Roman" w:hAnsi="Times New Roman" w:cs="Times New Roman"/>
          <w:sz w:val="24"/>
          <w:szCs w:val="24"/>
        </w:rPr>
      </w:pPr>
    </w:p>
    <w:p w14:paraId="7EAC88E4" w14:textId="77777777" w:rsidR="00956134" w:rsidRDefault="00956134" w:rsidP="00956134">
      <w:pPr>
        <w:pStyle w:val="Legend"/>
        <w:keepNext/>
      </w:pPr>
      <w:r>
        <w:lastRenderedPageBreak/>
        <w:t xml:space="preserve">Table </w:t>
      </w:r>
      <w:fldSimple w:instr=" SEQ Table \* ARABIC ">
        <w:r>
          <w:rPr>
            <w:noProof/>
          </w:rPr>
          <w:t>6</w:t>
        </w:r>
      </w:fldSimple>
      <w:r>
        <w:t>:</w:t>
      </w:r>
    </w:p>
    <w:tbl>
      <w:tblPr>
        <w:tblW w:w="9491" w:type="dxa"/>
        <w:tblInd w:w="113" w:type="dxa"/>
        <w:tblLook w:val="04A0" w:firstRow="1" w:lastRow="0" w:firstColumn="1" w:lastColumn="0" w:noHBand="0" w:noVBand="1"/>
      </w:tblPr>
      <w:tblGrid>
        <w:gridCol w:w="2292"/>
        <w:gridCol w:w="1208"/>
        <w:gridCol w:w="1208"/>
        <w:gridCol w:w="1208"/>
        <w:gridCol w:w="1208"/>
        <w:gridCol w:w="2367"/>
      </w:tblGrid>
      <w:tr w:rsidR="00956134" w:rsidRPr="00454FBB" w14:paraId="2526383C" w14:textId="77777777" w:rsidTr="009B0D10">
        <w:trPr>
          <w:trHeight w:val="329"/>
        </w:trPr>
        <w:tc>
          <w:tcPr>
            <w:tcW w:w="2292"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C0C9B6C" w14:textId="77777777" w:rsidR="00956134" w:rsidRPr="00454FBB"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LLOYDS</w:t>
            </w:r>
          </w:p>
        </w:tc>
        <w:tc>
          <w:tcPr>
            <w:tcW w:w="1208" w:type="dxa"/>
            <w:tcBorders>
              <w:top w:val="single" w:sz="4" w:space="0" w:color="auto"/>
              <w:left w:val="nil"/>
              <w:bottom w:val="single" w:sz="4" w:space="0" w:color="auto"/>
              <w:right w:val="single" w:sz="4" w:space="0" w:color="auto"/>
            </w:tcBorders>
            <w:shd w:val="clear" w:color="000000" w:fill="00B0F0"/>
            <w:noWrap/>
            <w:vAlign w:val="bottom"/>
            <w:hideMark/>
          </w:tcPr>
          <w:p w14:paraId="4AB35D2B"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2015</w:t>
            </w:r>
          </w:p>
        </w:tc>
        <w:tc>
          <w:tcPr>
            <w:tcW w:w="1208" w:type="dxa"/>
            <w:tcBorders>
              <w:top w:val="single" w:sz="4" w:space="0" w:color="auto"/>
              <w:left w:val="nil"/>
              <w:bottom w:val="single" w:sz="4" w:space="0" w:color="auto"/>
              <w:right w:val="single" w:sz="4" w:space="0" w:color="auto"/>
            </w:tcBorders>
            <w:shd w:val="clear" w:color="000000" w:fill="00B0F0"/>
            <w:noWrap/>
            <w:vAlign w:val="bottom"/>
            <w:hideMark/>
          </w:tcPr>
          <w:p w14:paraId="5E0A19C7"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2016</w:t>
            </w:r>
          </w:p>
        </w:tc>
        <w:tc>
          <w:tcPr>
            <w:tcW w:w="1208" w:type="dxa"/>
            <w:tcBorders>
              <w:top w:val="single" w:sz="4" w:space="0" w:color="auto"/>
              <w:left w:val="nil"/>
              <w:bottom w:val="single" w:sz="4" w:space="0" w:color="auto"/>
              <w:right w:val="single" w:sz="4" w:space="0" w:color="auto"/>
            </w:tcBorders>
            <w:shd w:val="clear" w:color="000000" w:fill="00B0F0"/>
            <w:noWrap/>
            <w:vAlign w:val="bottom"/>
            <w:hideMark/>
          </w:tcPr>
          <w:p w14:paraId="448BDB5B"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2017</w:t>
            </w:r>
          </w:p>
        </w:tc>
        <w:tc>
          <w:tcPr>
            <w:tcW w:w="1208" w:type="dxa"/>
            <w:tcBorders>
              <w:top w:val="single" w:sz="4" w:space="0" w:color="auto"/>
              <w:left w:val="nil"/>
              <w:bottom w:val="single" w:sz="4" w:space="0" w:color="auto"/>
              <w:right w:val="single" w:sz="4" w:space="0" w:color="auto"/>
            </w:tcBorders>
            <w:shd w:val="clear" w:color="000000" w:fill="00B0F0"/>
            <w:noWrap/>
            <w:vAlign w:val="bottom"/>
            <w:hideMark/>
          </w:tcPr>
          <w:p w14:paraId="446B19C2"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2018</w:t>
            </w:r>
          </w:p>
        </w:tc>
        <w:tc>
          <w:tcPr>
            <w:tcW w:w="2367" w:type="dxa"/>
            <w:tcBorders>
              <w:top w:val="single" w:sz="4" w:space="0" w:color="auto"/>
              <w:left w:val="nil"/>
              <w:bottom w:val="single" w:sz="4" w:space="0" w:color="auto"/>
              <w:right w:val="single" w:sz="4" w:space="0" w:color="auto"/>
            </w:tcBorders>
            <w:shd w:val="clear" w:color="000000" w:fill="00B0F0"/>
            <w:noWrap/>
            <w:vAlign w:val="bottom"/>
            <w:hideMark/>
          </w:tcPr>
          <w:p w14:paraId="5BC8104D" w14:textId="77777777" w:rsidR="00956134" w:rsidRPr="00454FBB" w:rsidRDefault="00956134" w:rsidP="009B0D10">
            <w:pPr>
              <w:spacing w:after="0" w:line="240" w:lineRule="auto"/>
              <w:rPr>
                <w:rFonts w:ascii="Calibri" w:eastAsia="Times New Roman" w:hAnsi="Calibri" w:cs="Times New Roman"/>
                <w:color w:val="000000"/>
                <w:sz w:val="18"/>
                <w:szCs w:val="18"/>
                <w:lang w:eastAsia="en-GB"/>
              </w:rPr>
            </w:pPr>
            <w:r w:rsidRPr="00454FBB">
              <w:rPr>
                <w:rFonts w:ascii="Calibri" w:eastAsia="Times New Roman" w:hAnsi="Calibri" w:cs="Times New Roman"/>
                <w:color w:val="000000"/>
                <w:sz w:val="18"/>
                <w:szCs w:val="18"/>
                <w:lang w:eastAsia="en-GB"/>
              </w:rPr>
              <w:t>CORREL WITH TIER 1</w:t>
            </w:r>
          </w:p>
        </w:tc>
      </w:tr>
      <w:tr w:rsidR="00956134" w:rsidRPr="00454FBB" w14:paraId="34AC77EF" w14:textId="77777777" w:rsidTr="009B0D10">
        <w:trPr>
          <w:trHeight w:val="329"/>
        </w:trPr>
        <w:tc>
          <w:tcPr>
            <w:tcW w:w="2292"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46481C9B" w14:textId="77777777" w:rsidR="00956134" w:rsidRPr="00454FBB" w:rsidRDefault="00956134" w:rsidP="009B0D10">
            <w:pPr>
              <w:spacing w:after="0" w:line="240" w:lineRule="auto"/>
              <w:rPr>
                <w:rFonts w:ascii="Calibri" w:eastAsia="Times New Roman" w:hAnsi="Calibri" w:cs="Times New Roman"/>
                <w:color w:val="000000"/>
                <w:sz w:val="18"/>
                <w:szCs w:val="18"/>
                <w:lang w:eastAsia="en-GB"/>
              </w:rPr>
            </w:pPr>
            <w:r w:rsidRPr="00454FBB">
              <w:rPr>
                <w:rFonts w:ascii="Calibri" w:eastAsia="Times New Roman" w:hAnsi="Calibri" w:cs="Times New Roman"/>
                <w:color w:val="000000"/>
                <w:sz w:val="18"/>
                <w:szCs w:val="18"/>
                <w:lang w:eastAsia="en-GB"/>
              </w:rPr>
              <w:t>CHANGE IN TIER 1</w:t>
            </w:r>
          </w:p>
        </w:tc>
        <w:tc>
          <w:tcPr>
            <w:tcW w:w="1208" w:type="dxa"/>
            <w:tcBorders>
              <w:top w:val="nil"/>
              <w:left w:val="nil"/>
              <w:bottom w:val="single" w:sz="4" w:space="0" w:color="auto"/>
              <w:right w:val="single" w:sz="4" w:space="0" w:color="auto"/>
            </w:tcBorders>
            <w:shd w:val="clear" w:color="000000" w:fill="F4B084"/>
            <w:noWrap/>
            <w:vAlign w:val="bottom"/>
            <w:hideMark/>
          </w:tcPr>
          <w:p w14:paraId="577E32BC"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-10%</w:t>
            </w:r>
          </w:p>
        </w:tc>
        <w:tc>
          <w:tcPr>
            <w:tcW w:w="1208" w:type="dxa"/>
            <w:tcBorders>
              <w:top w:val="nil"/>
              <w:left w:val="nil"/>
              <w:bottom w:val="single" w:sz="4" w:space="0" w:color="auto"/>
              <w:right w:val="single" w:sz="4" w:space="0" w:color="auto"/>
            </w:tcBorders>
            <w:shd w:val="clear" w:color="000000" w:fill="F4B084"/>
            <w:noWrap/>
            <w:vAlign w:val="bottom"/>
            <w:hideMark/>
          </w:tcPr>
          <w:p w14:paraId="1F6D3AA1"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4%</w:t>
            </w:r>
          </w:p>
        </w:tc>
        <w:tc>
          <w:tcPr>
            <w:tcW w:w="1208" w:type="dxa"/>
            <w:tcBorders>
              <w:top w:val="nil"/>
              <w:left w:val="nil"/>
              <w:bottom w:val="single" w:sz="4" w:space="0" w:color="auto"/>
              <w:right w:val="single" w:sz="4" w:space="0" w:color="auto"/>
            </w:tcBorders>
            <w:shd w:val="clear" w:color="000000" w:fill="F4B084"/>
            <w:noWrap/>
            <w:vAlign w:val="bottom"/>
            <w:hideMark/>
          </w:tcPr>
          <w:p w14:paraId="3C6EEE48"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1%</w:t>
            </w:r>
          </w:p>
        </w:tc>
        <w:tc>
          <w:tcPr>
            <w:tcW w:w="1208" w:type="dxa"/>
            <w:tcBorders>
              <w:top w:val="nil"/>
              <w:left w:val="nil"/>
              <w:bottom w:val="single" w:sz="4" w:space="0" w:color="auto"/>
              <w:right w:val="single" w:sz="4" w:space="0" w:color="auto"/>
            </w:tcBorders>
            <w:shd w:val="clear" w:color="000000" w:fill="F4B084"/>
            <w:noWrap/>
            <w:vAlign w:val="bottom"/>
            <w:hideMark/>
          </w:tcPr>
          <w:p w14:paraId="06B8180D"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6%</w:t>
            </w:r>
          </w:p>
        </w:tc>
        <w:tc>
          <w:tcPr>
            <w:tcW w:w="2367" w:type="dxa"/>
            <w:tcBorders>
              <w:top w:val="nil"/>
              <w:left w:val="nil"/>
              <w:bottom w:val="single" w:sz="4" w:space="0" w:color="auto"/>
              <w:right w:val="single" w:sz="4" w:space="0" w:color="auto"/>
            </w:tcBorders>
            <w:shd w:val="clear" w:color="auto" w:fill="C2D69B" w:themeFill="accent3" w:themeFillTint="99"/>
            <w:noWrap/>
            <w:vAlign w:val="bottom"/>
            <w:hideMark/>
          </w:tcPr>
          <w:p w14:paraId="5F7F60AB" w14:textId="77777777" w:rsidR="00956134" w:rsidRPr="00454FBB" w:rsidRDefault="00956134" w:rsidP="009B0D10">
            <w:pPr>
              <w:spacing w:after="0" w:line="240" w:lineRule="auto"/>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 </w:t>
            </w:r>
          </w:p>
        </w:tc>
      </w:tr>
      <w:tr w:rsidR="00956134" w:rsidRPr="00454FBB" w14:paraId="0554A9E8" w14:textId="77777777" w:rsidTr="009B0D10">
        <w:trPr>
          <w:trHeight w:val="329"/>
        </w:trPr>
        <w:tc>
          <w:tcPr>
            <w:tcW w:w="2292"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5781D04F" w14:textId="77777777" w:rsidR="00956134" w:rsidRPr="00454FBB" w:rsidRDefault="00956134" w:rsidP="009B0D10">
            <w:pPr>
              <w:spacing w:after="0" w:line="240" w:lineRule="auto"/>
              <w:rPr>
                <w:rFonts w:ascii="Calibri" w:eastAsia="Times New Roman" w:hAnsi="Calibri" w:cs="Times New Roman"/>
                <w:color w:val="000000"/>
                <w:sz w:val="18"/>
                <w:szCs w:val="18"/>
                <w:lang w:eastAsia="en-GB"/>
              </w:rPr>
            </w:pPr>
            <w:r w:rsidRPr="00454FBB">
              <w:rPr>
                <w:rFonts w:ascii="Calibri" w:eastAsia="Times New Roman" w:hAnsi="Calibri" w:cs="Times New Roman"/>
                <w:color w:val="000000"/>
                <w:sz w:val="18"/>
                <w:szCs w:val="18"/>
                <w:lang w:eastAsia="en-GB"/>
              </w:rPr>
              <w:t>CHANGE IN L/D</w:t>
            </w:r>
          </w:p>
        </w:tc>
        <w:tc>
          <w:tcPr>
            <w:tcW w:w="1208" w:type="dxa"/>
            <w:tcBorders>
              <w:top w:val="nil"/>
              <w:left w:val="nil"/>
              <w:bottom w:val="single" w:sz="4" w:space="0" w:color="auto"/>
              <w:right w:val="single" w:sz="4" w:space="0" w:color="auto"/>
            </w:tcBorders>
            <w:shd w:val="clear" w:color="000000" w:fill="F4B084"/>
            <w:noWrap/>
            <w:vAlign w:val="bottom"/>
            <w:hideMark/>
          </w:tcPr>
          <w:p w14:paraId="2A21414A"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0%</w:t>
            </w:r>
          </w:p>
        </w:tc>
        <w:tc>
          <w:tcPr>
            <w:tcW w:w="1208" w:type="dxa"/>
            <w:tcBorders>
              <w:top w:val="nil"/>
              <w:left w:val="nil"/>
              <w:bottom w:val="single" w:sz="4" w:space="0" w:color="auto"/>
              <w:right w:val="single" w:sz="4" w:space="0" w:color="auto"/>
            </w:tcBorders>
            <w:shd w:val="clear" w:color="000000" w:fill="F4B084"/>
            <w:noWrap/>
            <w:vAlign w:val="bottom"/>
            <w:hideMark/>
          </w:tcPr>
          <w:p w14:paraId="58D27E83"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2%</w:t>
            </w:r>
          </w:p>
        </w:tc>
        <w:tc>
          <w:tcPr>
            <w:tcW w:w="1208" w:type="dxa"/>
            <w:tcBorders>
              <w:top w:val="nil"/>
              <w:left w:val="nil"/>
              <w:bottom w:val="single" w:sz="4" w:space="0" w:color="auto"/>
              <w:right w:val="single" w:sz="4" w:space="0" w:color="auto"/>
            </w:tcBorders>
            <w:shd w:val="clear" w:color="000000" w:fill="F4B084"/>
            <w:noWrap/>
            <w:vAlign w:val="bottom"/>
            <w:hideMark/>
          </w:tcPr>
          <w:p w14:paraId="1E4C3E22"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0%</w:t>
            </w:r>
          </w:p>
        </w:tc>
        <w:tc>
          <w:tcPr>
            <w:tcW w:w="1208" w:type="dxa"/>
            <w:tcBorders>
              <w:top w:val="nil"/>
              <w:left w:val="nil"/>
              <w:bottom w:val="single" w:sz="4" w:space="0" w:color="auto"/>
              <w:right w:val="single" w:sz="4" w:space="0" w:color="auto"/>
            </w:tcBorders>
            <w:shd w:val="clear" w:color="000000" w:fill="F4B084"/>
            <w:noWrap/>
            <w:vAlign w:val="bottom"/>
            <w:hideMark/>
          </w:tcPr>
          <w:p w14:paraId="6DF87052"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-2%</w:t>
            </w:r>
          </w:p>
        </w:tc>
        <w:tc>
          <w:tcPr>
            <w:tcW w:w="2367" w:type="dxa"/>
            <w:tcBorders>
              <w:top w:val="nil"/>
              <w:left w:val="nil"/>
              <w:bottom w:val="single" w:sz="4" w:space="0" w:color="auto"/>
              <w:right w:val="single" w:sz="4" w:space="0" w:color="auto"/>
            </w:tcBorders>
            <w:shd w:val="clear" w:color="auto" w:fill="C2D69B" w:themeFill="accent3" w:themeFillTint="99"/>
            <w:noWrap/>
            <w:vAlign w:val="bottom"/>
            <w:hideMark/>
          </w:tcPr>
          <w:p w14:paraId="6EF9EF0D"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-13%</w:t>
            </w:r>
          </w:p>
        </w:tc>
      </w:tr>
      <w:tr w:rsidR="00956134" w:rsidRPr="00454FBB" w14:paraId="30A6ABC3" w14:textId="77777777" w:rsidTr="009B0D10">
        <w:trPr>
          <w:trHeight w:val="329"/>
        </w:trPr>
        <w:tc>
          <w:tcPr>
            <w:tcW w:w="2292"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1C06D737" w14:textId="77777777" w:rsidR="00956134" w:rsidRPr="00454FBB" w:rsidRDefault="00956134" w:rsidP="009B0D10">
            <w:pPr>
              <w:spacing w:after="0" w:line="240" w:lineRule="auto"/>
              <w:rPr>
                <w:rFonts w:ascii="Calibri" w:eastAsia="Times New Roman" w:hAnsi="Calibri" w:cs="Times New Roman"/>
                <w:color w:val="000000"/>
                <w:sz w:val="18"/>
                <w:szCs w:val="18"/>
                <w:lang w:eastAsia="en-GB"/>
              </w:rPr>
            </w:pPr>
            <w:r w:rsidRPr="00454FBB">
              <w:rPr>
                <w:rFonts w:ascii="Calibri" w:eastAsia="Times New Roman" w:hAnsi="Calibri" w:cs="Times New Roman"/>
                <w:color w:val="000000"/>
                <w:sz w:val="18"/>
                <w:szCs w:val="18"/>
                <w:lang w:eastAsia="en-GB"/>
              </w:rPr>
              <w:t>CHANGE IN C/I RATIO</w:t>
            </w:r>
          </w:p>
        </w:tc>
        <w:tc>
          <w:tcPr>
            <w:tcW w:w="1208" w:type="dxa"/>
            <w:tcBorders>
              <w:top w:val="nil"/>
              <w:left w:val="nil"/>
              <w:bottom w:val="single" w:sz="4" w:space="0" w:color="auto"/>
              <w:right w:val="single" w:sz="4" w:space="0" w:color="auto"/>
            </w:tcBorders>
            <w:shd w:val="clear" w:color="000000" w:fill="F4B084"/>
            <w:noWrap/>
            <w:vAlign w:val="bottom"/>
            <w:hideMark/>
          </w:tcPr>
          <w:p w14:paraId="4D7B19B8"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-2%</w:t>
            </w:r>
          </w:p>
        </w:tc>
        <w:tc>
          <w:tcPr>
            <w:tcW w:w="1208" w:type="dxa"/>
            <w:tcBorders>
              <w:top w:val="nil"/>
              <w:left w:val="nil"/>
              <w:bottom w:val="single" w:sz="4" w:space="0" w:color="auto"/>
              <w:right w:val="single" w:sz="4" w:space="0" w:color="auto"/>
            </w:tcBorders>
            <w:shd w:val="clear" w:color="000000" w:fill="F4B084"/>
            <w:noWrap/>
            <w:vAlign w:val="bottom"/>
            <w:hideMark/>
          </w:tcPr>
          <w:p w14:paraId="06967F4A"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2%</w:t>
            </w:r>
          </w:p>
        </w:tc>
        <w:tc>
          <w:tcPr>
            <w:tcW w:w="1208" w:type="dxa"/>
            <w:tcBorders>
              <w:top w:val="nil"/>
              <w:left w:val="nil"/>
              <w:bottom w:val="single" w:sz="4" w:space="0" w:color="auto"/>
              <w:right w:val="single" w:sz="4" w:space="0" w:color="auto"/>
            </w:tcBorders>
            <w:shd w:val="clear" w:color="000000" w:fill="F4B084"/>
            <w:noWrap/>
            <w:vAlign w:val="bottom"/>
            <w:hideMark/>
          </w:tcPr>
          <w:p w14:paraId="569DEC62"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-6%</w:t>
            </w:r>
          </w:p>
        </w:tc>
        <w:tc>
          <w:tcPr>
            <w:tcW w:w="1208" w:type="dxa"/>
            <w:tcBorders>
              <w:top w:val="nil"/>
              <w:left w:val="nil"/>
              <w:bottom w:val="single" w:sz="4" w:space="0" w:color="auto"/>
              <w:right w:val="single" w:sz="4" w:space="0" w:color="auto"/>
            </w:tcBorders>
            <w:shd w:val="clear" w:color="000000" w:fill="F4B084"/>
            <w:noWrap/>
            <w:vAlign w:val="bottom"/>
            <w:hideMark/>
          </w:tcPr>
          <w:p w14:paraId="038255C7"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-5%</w:t>
            </w:r>
          </w:p>
        </w:tc>
        <w:tc>
          <w:tcPr>
            <w:tcW w:w="2367" w:type="dxa"/>
            <w:tcBorders>
              <w:top w:val="nil"/>
              <w:left w:val="nil"/>
              <w:bottom w:val="single" w:sz="4" w:space="0" w:color="auto"/>
              <w:right w:val="single" w:sz="4" w:space="0" w:color="auto"/>
            </w:tcBorders>
            <w:shd w:val="clear" w:color="auto" w:fill="C2D69B" w:themeFill="accent3" w:themeFillTint="99"/>
            <w:noWrap/>
            <w:vAlign w:val="bottom"/>
            <w:hideMark/>
          </w:tcPr>
          <w:p w14:paraId="3A217588"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-9%</w:t>
            </w:r>
          </w:p>
        </w:tc>
      </w:tr>
      <w:tr w:rsidR="00956134" w:rsidRPr="00454FBB" w14:paraId="00BC747F" w14:textId="77777777" w:rsidTr="009B0D10">
        <w:trPr>
          <w:trHeight w:val="329"/>
        </w:trPr>
        <w:tc>
          <w:tcPr>
            <w:tcW w:w="2292"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05182B04" w14:textId="77777777" w:rsidR="00956134" w:rsidRPr="00454FBB" w:rsidRDefault="00956134" w:rsidP="009B0D10">
            <w:pPr>
              <w:spacing w:after="0" w:line="240" w:lineRule="auto"/>
              <w:rPr>
                <w:rFonts w:ascii="Calibri" w:eastAsia="Times New Roman" w:hAnsi="Calibri" w:cs="Times New Roman"/>
                <w:color w:val="000000"/>
                <w:sz w:val="18"/>
                <w:szCs w:val="18"/>
                <w:lang w:eastAsia="en-GB"/>
              </w:rPr>
            </w:pPr>
            <w:r w:rsidRPr="00454FBB">
              <w:rPr>
                <w:rFonts w:ascii="Calibri" w:eastAsia="Times New Roman" w:hAnsi="Calibri" w:cs="Times New Roman"/>
                <w:color w:val="000000"/>
                <w:sz w:val="18"/>
                <w:szCs w:val="18"/>
                <w:lang w:eastAsia="en-GB"/>
              </w:rPr>
              <w:t>CHANGE IN ROE</w:t>
            </w:r>
          </w:p>
        </w:tc>
        <w:tc>
          <w:tcPr>
            <w:tcW w:w="1208" w:type="dxa"/>
            <w:tcBorders>
              <w:top w:val="nil"/>
              <w:left w:val="nil"/>
              <w:bottom w:val="single" w:sz="4" w:space="0" w:color="auto"/>
              <w:right w:val="single" w:sz="4" w:space="0" w:color="auto"/>
            </w:tcBorders>
            <w:shd w:val="clear" w:color="000000" w:fill="F4B084"/>
            <w:noWrap/>
            <w:vAlign w:val="bottom"/>
            <w:hideMark/>
          </w:tcPr>
          <w:p w14:paraId="0B36DD65"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-32%</w:t>
            </w:r>
          </w:p>
        </w:tc>
        <w:tc>
          <w:tcPr>
            <w:tcW w:w="1208" w:type="dxa"/>
            <w:tcBorders>
              <w:top w:val="nil"/>
              <w:left w:val="nil"/>
              <w:bottom w:val="single" w:sz="4" w:space="0" w:color="auto"/>
              <w:right w:val="single" w:sz="4" w:space="0" w:color="auto"/>
            </w:tcBorders>
            <w:shd w:val="clear" w:color="000000" w:fill="F4B084"/>
            <w:noWrap/>
            <w:vAlign w:val="bottom"/>
            <w:hideMark/>
          </w:tcPr>
          <w:p w14:paraId="52D83439"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120%</w:t>
            </w:r>
          </w:p>
        </w:tc>
        <w:tc>
          <w:tcPr>
            <w:tcW w:w="1208" w:type="dxa"/>
            <w:tcBorders>
              <w:top w:val="nil"/>
              <w:left w:val="nil"/>
              <w:bottom w:val="single" w:sz="4" w:space="0" w:color="auto"/>
              <w:right w:val="single" w:sz="4" w:space="0" w:color="auto"/>
            </w:tcBorders>
            <w:shd w:val="clear" w:color="000000" w:fill="F4B084"/>
            <w:noWrap/>
            <w:vAlign w:val="bottom"/>
            <w:hideMark/>
          </w:tcPr>
          <w:p w14:paraId="4B5841F4"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77%</w:t>
            </w:r>
          </w:p>
        </w:tc>
        <w:tc>
          <w:tcPr>
            <w:tcW w:w="1208" w:type="dxa"/>
            <w:tcBorders>
              <w:top w:val="nil"/>
              <w:left w:val="nil"/>
              <w:bottom w:val="single" w:sz="4" w:space="0" w:color="auto"/>
              <w:right w:val="single" w:sz="4" w:space="0" w:color="auto"/>
            </w:tcBorders>
            <w:shd w:val="clear" w:color="000000" w:fill="F4B084"/>
            <w:noWrap/>
            <w:vAlign w:val="bottom"/>
            <w:hideMark/>
          </w:tcPr>
          <w:p w14:paraId="13E6FFEA" w14:textId="77777777" w:rsidR="00956134" w:rsidRPr="00454FBB" w:rsidRDefault="00956134" w:rsidP="009B0D10">
            <w:pPr>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11%</w:t>
            </w:r>
          </w:p>
        </w:tc>
        <w:tc>
          <w:tcPr>
            <w:tcW w:w="2367" w:type="dxa"/>
            <w:tcBorders>
              <w:top w:val="nil"/>
              <w:left w:val="nil"/>
              <w:bottom w:val="single" w:sz="4" w:space="0" w:color="auto"/>
              <w:right w:val="single" w:sz="4" w:space="0" w:color="auto"/>
            </w:tcBorders>
            <w:shd w:val="clear" w:color="auto" w:fill="C2D69B" w:themeFill="accent3" w:themeFillTint="99"/>
            <w:noWrap/>
            <w:vAlign w:val="bottom"/>
            <w:hideMark/>
          </w:tcPr>
          <w:p w14:paraId="1FF4786B" w14:textId="77777777" w:rsidR="00956134" w:rsidRPr="00454FBB" w:rsidRDefault="00956134" w:rsidP="009B0D10">
            <w:pPr>
              <w:keepNext/>
              <w:spacing w:after="0" w:line="240" w:lineRule="auto"/>
              <w:jc w:val="right"/>
              <w:rPr>
                <w:rFonts w:ascii="Calibri" w:eastAsia="Times New Roman" w:hAnsi="Calibri" w:cs="Times New Roman"/>
                <w:color w:val="000000"/>
                <w:lang w:eastAsia="en-GB"/>
              </w:rPr>
            </w:pPr>
            <w:r w:rsidRPr="00454FBB">
              <w:rPr>
                <w:rFonts w:ascii="Calibri" w:eastAsia="Times New Roman" w:hAnsi="Calibri" w:cs="Times New Roman"/>
                <w:color w:val="000000"/>
                <w:lang w:eastAsia="en-GB"/>
              </w:rPr>
              <w:t>62%</w:t>
            </w:r>
          </w:p>
        </w:tc>
      </w:tr>
    </w:tbl>
    <w:p w14:paraId="58CDD486" w14:textId="77777777" w:rsidR="00956134" w:rsidRDefault="00956134" w:rsidP="00956134">
      <w:pPr>
        <w:pStyle w:val="Legend"/>
      </w:pPr>
    </w:p>
    <w:p w14:paraId="6B5EEED9"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When it comes to the impact of Tier 1 capital and LCR to the financial intermediary role of Lloyds bank it could be analysed only the effect of the Tier 1 in relation to total lending since the bank reporting system does not shows lending to banks and to customers:</w:t>
      </w:r>
    </w:p>
    <w:p w14:paraId="33FDDBCA" w14:textId="77777777" w:rsidR="00956134" w:rsidRDefault="00956134" w:rsidP="00956134">
      <w:pPr>
        <w:pStyle w:val="Legend"/>
        <w:keepNext/>
      </w:pPr>
      <w:r>
        <w:t xml:space="preserve">Table </w:t>
      </w:r>
      <w:fldSimple w:instr=" SEQ Table \* ARABIC ">
        <w:r>
          <w:rPr>
            <w:noProof/>
          </w:rPr>
          <w:t>7</w:t>
        </w:r>
      </w:fldSimple>
      <w:r>
        <w:t>:</w:t>
      </w:r>
    </w:p>
    <w:tbl>
      <w:tblPr>
        <w:tblW w:w="9321" w:type="dxa"/>
        <w:tblInd w:w="113" w:type="dxa"/>
        <w:tblLook w:val="04A0" w:firstRow="1" w:lastRow="0" w:firstColumn="1" w:lastColumn="0" w:noHBand="0" w:noVBand="1"/>
      </w:tblPr>
      <w:tblGrid>
        <w:gridCol w:w="2585"/>
        <w:gridCol w:w="1193"/>
        <w:gridCol w:w="1193"/>
        <w:gridCol w:w="1193"/>
        <w:gridCol w:w="1193"/>
        <w:gridCol w:w="1964"/>
      </w:tblGrid>
      <w:tr w:rsidR="00956134" w:rsidRPr="00F4498A" w14:paraId="63CF5BF3" w14:textId="77777777" w:rsidTr="009B0D10">
        <w:trPr>
          <w:trHeight w:val="360"/>
        </w:trPr>
        <w:tc>
          <w:tcPr>
            <w:tcW w:w="2585"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2CE5B006" w14:textId="77777777" w:rsidR="00956134" w:rsidRPr="00F4498A" w:rsidRDefault="00956134" w:rsidP="009B0D10">
            <w:pPr>
              <w:spacing w:after="0" w:line="240" w:lineRule="auto"/>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LLOYDS</w:t>
            </w:r>
          </w:p>
        </w:tc>
        <w:tc>
          <w:tcPr>
            <w:tcW w:w="1193" w:type="dxa"/>
            <w:tcBorders>
              <w:top w:val="single" w:sz="4" w:space="0" w:color="auto"/>
              <w:left w:val="nil"/>
              <w:bottom w:val="single" w:sz="4" w:space="0" w:color="auto"/>
              <w:right w:val="single" w:sz="4" w:space="0" w:color="auto"/>
            </w:tcBorders>
            <w:shd w:val="clear" w:color="000000" w:fill="00B0F0"/>
            <w:noWrap/>
            <w:vAlign w:val="bottom"/>
            <w:hideMark/>
          </w:tcPr>
          <w:p w14:paraId="029E8F47" w14:textId="77777777" w:rsidR="00956134" w:rsidRPr="00F4498A" w:rsidRDefault="00956134" w:rsidP="009B0D10">
            <w:pPr>
              <w:spacing w:after="0" w:line="240" w:lineRule="auto"/>
              <w:jc w:val="right"/>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2015</w:t>
            </w:r>
          </w:p>
        </w:tc>
        <w:tc>
          <w:tcPr>
            <w:tcW w:w="1193" w:type="dxa"/>
            <w:tcBorders>
              <w:top w:val="single" w:sz="4" w:space="0" w:color="auto"/>
              <w:left w:val="nil"/>
              <w:bottom w:val="single" w:sz="4" w:space="0" w:color="auto"/>
              <w:right w:val="single" w:sz="4" w:space="0" w:color="auto"/>
            </w:tcBorders>
            <w:shd w:val="clear" w:color="000000" w:fill="00B0F0"/>
            <w:noWrap/>
            <w:vAlign w:val="bottom"/>
            <w:hideMark/>
          </w:tcPr>
          <w:p w14:paraId="17EB5A02" w14:textId="77777777" w:rsidR="00956134" w:rsidRPr="00F4498A" w:rsidRDefault="00956134" w:rsidP="009B0D10">
            <w:pPr>
              <w:spacing w:after="0" w:line="240" w:lineRule="auto"/>
              <w:jc w:val="right"/>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2016</w:t>
            </w:r>
          </w:p>
        </w:tc>
        <w:tc>
          <w:tcPr>
            <w:tcW w:w="1193" w:type="dxa"/>
            <w:tcBorders>
              <w:top w:val="single" w:sz="4" w:space="0" w:color="auto"/>
              <w:left w:val="nil"/>
              <w:bottom w:val="single" w:sz="4" w:space="0" w:color="auto"/>
              <w:right w:val="single" w:sz="4" w:space="0" w:color="auto"/>
            </w:tcBorders>
            <w:shd w:val="clear" w:color="000000" w:fill="00B0F0"/>
            <w:noWrap/>
            <w:vAlign w:val="bottom"/>
            <w:hideMark/>
          </w:tcPr>
          <w:p w14:paraId="3AE8AF95" w14:textId="77777777" w:rsidR="00956134" w:rsidRPr="00F4498A" w:rsidRDefault="00956134" w:rsidP="009B0D10">
            <w:pPr>
              <w:spacing w:after="0" w:line="240" w:lineRule="auto"/>
              <w:jc w:val="right"/>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2017</w:t>
            </w:r>
          </w:p>
        </w:tc>
        <w:tc>
          <w:tcPr>
            <w:tcW w:w="1193" w:type="dxa"/>
            <w:tcBorders>
              <w:top w:val="single" w:sz="4" w:space="0" w:color="auto"/>
              <w:left w:val="nil"/>
              <w:bottom w:val="single" w:sz="4" w:space="0" w:color="auto"/>
              <w:right w:val="single" w:sz="4" w:space="0" w:color="auto"/>
            </w:tcBorders>
            <w:shd w:val="clear" w:color="000000" w:fill="00B0F0"/>
            <w:noWrap/>
            <w:vAlign w:val="bottom"/>
            <w:hideMark/>
          </w:tcPr>
          <w:p w14:paraId="0BA4C218" w14:textId="77777777" w:rsidR="00956134" w:rsidRPr="00F4498A" w:rsidRDefault="00956134" w:rsidP="009B0D10">
            <w:pPr>
              <w:spacing w:after="0" w:line="240" w:lineRule="auto"/>
              <w:jc w:val="right"/>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2018</w:t>
            </w:r>
          </w:p>
        </w:tc>
        <w:tc>
          <w:tcPr>
            <w:tcW w:w="1964" w:type="dxa"/>
            <w:tcBorders>
              <w:top w:val="single" w:sz="4" w:space="0" w:color="auto"/>
              <w:left w:val="nil"/>
              <w:bottom w:val="single" w:sz="4" w:space="0" w:color="auto"/>
              <w:right w:val="single" w:sz="4" w:space="0" w:color="auto"/>
            </w:tcBorders>
            <w:shd w:val="clear" w:color="000000" w:fill="00B0F0"/>
            <w:noWrap/>
            <w:vAlign w:val="bottom"/>
            <w:hideMark/>
          </w:tcPr>
          <w:p w14:paraId="4AB6D9D3" w14:textId="77777777" w:rsidR="00956134" w:rsidRPr="00F4498A" w:rsidRDefault="00956134" w:rsidP="009B0D10">
            <w:pPr>
              <w:spacing w:after="0" w:line="240" w:lineRule="auto"/>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CORRELATION</w:t>
            </w:r>
          </w:p>
        </w:tc>
      </w:tr>
      <w:tr w:rsidR="00956134" w:rsidRPr="00F4498A" w14:paraId="0864951E" w14:textId="77777777" w:rsidTr="009B0D10">
        <w:trPr>
          <w:trHeight w:val="360"/>
        </w:trPr>
        <w:tc>
          <w:tcPr>
            <w:tcW w:w="2585" w:type="dxa"/>
            <w:tcBorders>
              <w:top w:val="nil"/>
              <w:left w:val="single" w:sz="4" w:space="0" w:color="auto"/>
              <w:bottom w:val="single" w:sz="4" w:space="0" w:color="auto"/>
              <w:right w:val="single" w:sz="4" w:space="0" w:color="auto"/>
            </w:tcBorders>
            <w:shd w:val="clear" w:color="000000" w:fill="FD7B7B"/>
            <w:noWrap/>
            <w:vAlign w:val="bottom"/>
            <w:hideMark/>
          </w:tcPr>
          <w:p w14:paraId="2507737D" w14:textId="77777777" w:rsidR="00956134" w:rsidRPr="00F4498A"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CHANGE</w:t>
            </w:r>
            <w:r w:rsidRPr="00F4498A">
              <w:rPr>
                <w:rFonts w:ascii="Calibri" w:eastAsia="Times New Roman" w:hAnsi="Calibri" w:cs="Times New Roman"/>
                <w:color w:val="000000"/>
                <w:lang w:eastAsia="en-GB"/>
              </w:rPr>
              <w:t xml:space="preserve"> IN TIER 1</w:t>
            </w:r>
          </w:p>
        </w:tc>
        <w:tc>
          <w:tcPr>
            <w:tcW w:w="1193" w:type="dxa"/>
            <w:tcBorders>
              <w:top w:val="nil"/>
              <w:left w:val="nil"/>
              <w:bottom w:val="single" w:sz="4" w:space="0" w:color="auto"/>
              <w:right w:val="single" w:sz="4" w:space="0" w:color="auto"/>
            </w:tcBorders>
            <w:shd w:val="clear" w:color="000000" w:fill="FD7B7B"/>
            <w:noWrap/>
            <w:vAlign w:val="bottom"/>
            <w:hideMark/>
          </w:tcPr>
          <w:p w14:paraId="29E63FB4" w14:textId="77777777" w:rsidR="00956134" w:rsidRPr="00F4498A" w:rsidRDefault="00956134" w:rsidP="009B0D10">
            <w:pPr>
              <w:spacing w:after="0" w:line="240" w:lineRule="auto"/>
              <w:jc w:val="right"/>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-1%</w:t>
            </w:r>
          </w:p>
        </w:tc>
        <w:tc>
          <w:tcPr>
            <w:tcW w:w="1193" w:type="dxa"/>
            <w:tcBorders>
              <w:top w:val="nil"/>
              <w:left w:val="nil"/>
              <w:bottom w:val="single" w:sz="4" w:space="0" w:color="auto"/>
              <w:right w:val="single" w:sz="4" w:space="0" w:color="auto"/>
            </w:tcBorders>
            <w:shd w:val="clear" w:color="000000" w:fill="FD7B7B"/>
            <w:noWrap/>
            <w:vAlign w:val="bottom"/>
            <w:hideMark/>
          </w:tcPr>
          <w:p w14:paraId="0126A633" w14:textId="77777777" w:rsidR="00956134" w:rsidRPr="00F4498A" w:rsidRDefault="00956134" w:rsidP="009B0D10">
            <w:pPr>
              <w:spacing w:after="0" w:line="240" w:lineRule="auto"/>
              <w:jc w:val="right"/>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4%</w:t>
            </w:r>
          </w:p>
        </w:tc>
        <w:tc>
          <w:tcPr>
            <w:tcW w:w="1193" w:type="dxa"/>
            <w:tcBorders>
              <w:top w:val="nil"/>
              <w:left w:val="nil"/>
              <w:bottom w:val="single" w:sz="4" w:space="0" w:color="auto"/>
              <w:right w:val="single" w:sz="4" w:space="0" w:color="auto"/>
            </w:tcBorders>
            <w:shd w:val="clear" w:color="000000" w:fill="FD7B7B"/>
            <w:noWrap/>
            <w:vAlign w:val="bottom"/>
            <w:hideMark/>
          </w:tcPr>
          <w:p w14:paraId="42C2A2C8" w14:textId="77777777" w:rsidR="00956134" w:rsidRPr="00F4498A" w:rsidRDefault="00956134" w:rsidP="009B0D10">
            <w:pPr>
              <w:spacing w:after="0" w:line="240" w:lineRule="auto"/>
              <w:jc w:val="right"/>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1%</w:t>
            </w:r>
          </w:p>
        </w:tc>
        <w:tc>
          <w:tcPr>
            <w:tcW w:w="1193" w:type="dxa"/>
            <w:tcBorders>
              <w:top w:val="nil"/>
              <w:left w:val="nil"/>
              <w:bottom w:val="single" w:sz="4" w:space="0" w:color="auto"/>
              <w:right w:val="single" w:sz="4" w:space="0" w:color="auto"/>
            </w:tcBorders>
            <w:shd w:val="clear" w:color="000000" w:fill="FD7B7B"/>
            <w:noWrap/>
            <w:vAlign w:val="bottom"/>
            <w:hideMark/>
          </w:tcPr>
          <w:p w14:paraId="3FEBAB99" w14:textId="77777777" w:rsidR="00956134" w:rsidRPr="00F4498A" w:rsidRDefault="00956134" w:rsidP="009B0D10">
            <w:pPr>
              <w:spacing w:after="0" w:line="240" w:lineRule="auto"/>
              <w:jc w:val="right"/>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6%</w:t>
            </w:r>
          </w:p>
        </w:tc>
        <w:tc>
          <w:tcPr>
            <w:tcW w:w="1964" w:type="dxa"/>
            <w:tcBorders>
              <w:top w:val="nil"/>
              <w:left w:val="nil"/>
              <w:bottom w:val="single" w:sz="4" w:space="0" w:color="auto"/>
              <w:right w:val="single" w:sz="4" w:space="0" w:color="auto"/>
            </w:tcBorders>
            <w:shd w:val="clear" w:color="000000" w:fill="FD7B7B"/>
            <w:noWrap/>
            <w:vAlign w:val="bottom"/>
            <w:hideMark/>
          </w:tcPr>
          <w:p w14:paraId="4F22E2D3" w14:textId="77777777" w:rsidR="00956134" w:rsidRPr="00F4498A" w:rsidRDefault="00956134" w:rsidP="009B0D10">
            <w:pPr>
              <w:spacing w:after="0" w:line="240" w:lineRule="auto"/>
              <w:jc w:val="right"/>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-85%</w:t>
            </w:r>
          </w:p>
        </w:tc>
      </w:tr>
      <w:tr w:rsidR="00956134" w:rsidRPr="00F4498A" w14:paraId="01FAB490" w14:textId="77777777" w:rsidTr="009B0D10">
        <w:trPr>
          <w:trHeight w:val="360"/>
        </w:trPr>
        <w:tc>
          <w:tcPr>
            <w:tcW w:w="2585" w:type="dxa"/>
            <w:tcBorders>
              <w:top w:val="nil"/>
              <w:left w:val="single" w:sz="4" w:space="0" w:color="auto"/>
              <w:bottom w:val="single" w:sz="4" w:space="0" w:color="auto"/>
              <w:right w:val="single" w:sz="4" w:space="0" w:color="auto"/>
            </w:tcBorders>
            <w:shd w:val="clear" w:color="000000" w:fill="FD7B7B"/>
            <w:noWrap/>
            <w:vAlign w:val="bottom"/>
            <w:hideMark/>
          </w:tcPr>
          <w:p w14:paraId="15B958EC" w14:textId="77777777" w:rsidR="00956134" w:rsidRPr="00F4498A"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CHANGE</w:t>
            </w:r>
            <w:r w:rsidRPr="00F4498A">
              <w:rPr>
                <w:rFonts w:ascii="Calibri" w:eastAsia="Times New Roman" w:hAnsi="Calibri" w:cs="Times New Roman"/>
                <w:color w:val="000000"/>
                <w:lang w:eastAsia="en-GB"/>
              </w:rPr>
              <w:t xml:space="preserve"> IN LENDING</w:t>
            </w:r>
          </w:p>
        </w:tc>
        <w:tc>
          <w:tcPr>
            <w:tcW w:w="1193" w:type="dxa"/>
            <w:tcBorders>
              <w:top w:val="nil"/>
              <w:left w:val="nil"/>
              <w:bottom w:val="single" w:sz="4" w:space="0" w:color="auto"/>
              <w:right w:val="single" w:sz="4" w:space="0" w:color="auto"/>
            </w:tcBorders>
            <w:shd w:val="clear" w:color="000000" w:fill="FD7B7B"/>
            <w:noWrap/>
            <w:vAlign w:val="bottom"/>
            <w:hideMark/>
          </w:tcPr>
          <w:p w14:paraId="029511FB" w14:textId="77777777" w:rsidR="00956134" w:rsidRPr="00F4498A" w:rsidRDefault="00956134" w:rsidP="009B0D10">
            <w:pPr>
              <w:spacing w:after="0" w:line="240" w:lineRule="auto"/>
              <w:jc w:val="right"/>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0%</w:t>
            </w:r>
          </w:p>
        </w:tc>
        <w:tc>
          <w:tcPr>
            <w:tcW w:w="1193" w:type="dxa"/>
            <w:tcBorders>
              <w:top w:val="nil"/>
              <w:left w:val="nil"/>
              <w:bottom w:val="single" w:sz="4" w:space="0" w:color="auto"/>
              <w:right w:val="single" w:sz="4" w:space="0" w:color="auto"/>
            </w:tcBorders>
            <w:shd w:val="clear" w:color="000000" w:fill="FD7B7B"/>
            <w:noWrap/>
            <w:vAlign w:val="bottom"/>
            <w:hideMark/>
          </w:tcPr>
          <w:p w14:paraId="2BDF7F29" w14:textId="77777777" w:rsidR="00956134" w:rsidRPr="00F4498A" w:rsidRDefault="00956134" w:rsidP="009B0D10">
            <w:pPr>
              <w:spacing w:after="0" w:line="240" w:lineRule="auto"/>
              <w:jc w:val="right"/>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-1%</w:t>
            </w:r>
          </w:p>
        </w:tc>
        <w:tc>
          <w:tcPr>
            <w:tcW w:w="1193" w:type="dxa"/>
            <w:tcBorders>
              <w:top w:val="nil"/>
              <w:left w:val="nil"/>
              <w:bottom w:val="single" w:sz="4" w:space="0" w:color="auto"/>
              <w:right w:val="single" w:sz="4" w:space="0" w:color="auto"/>
            </w:tcBorders>
            <w:shd w:val="clear" w:color="000000" w:fill="FD7B7B"/>
            <w:noWrap/>
            <w:vAlign w:val="bottom"/>
            <w:hideMark/>
          </w:tcPr>
          <w:p w14:paraId="381E0B7C" w14:textId="77777777" w:rsidR="00956134" w:rsidRPr="00F4498A" w:rsidRDefault="00956134" w:rsidP="009B0D10">
            <w:pPr>
              <w:spacing w:after="0" w:line="240" w:lineRule="auto"/>
              <w:jc w:val="right"/>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1%</w:t>
            </w:r>
          </w:p>
        </w:tc>
        <w:tc>
          <w:tcPr>
            <w:tcW w:w="1193" w:type="dxa"/>
            <w:tcBorders>
              <w:top w:val="nil"/>
              <w:left w:val="nil"/>
              <w:bottom w:val="single" w:sz="4" w:space="0" w:color="auto"/>
              <w:right w:val="single" w:sz="4" w:space="0" w:color="auto"/>
            </w:tcBorders>
            <w:shd w:val="clear" w:color="000000" w:fill="FD7B7B"/>
            <w:noWrap/>
            <w:vAlign w:val="bottom"/>
            <w:hideMark/>
          </w:tcPr>
          <w:p w14:paraId="73AB5861" w14:textId="77777777" w:rsidR="00956134" w:rsidRPr="00F4498A" w:rsidRDefault="00956134" w:rsidP="009B0D10">
            <w:pPr>
              <w:spacing w:after="0" w:line="240" w:lineRule="auto"/>
              <w:jc w:val="right"/>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-3%</w:t>
            </w:r>
          </w:p>
        </w:tc>
        <w:tc>
          <w:tcPr>
            <w:tcW w:w="1964" w:type="dxa"/>
            <w:tcBorders>
              <w:top w:val="nil"/>
              <w:left w:val="nil"/>
              <w:bottom w:val="single" w:sz="4" w:space="0" w:color="auto"/>
              <w:right w:val="single" w:sz="4" w:space="0" w:color="auto"/>
            </w:tcBorders>
            <w:shd w:val="clear" w:color="000000" w:fill="FD7B7B"/>
            <w:noWrap/>
            <w:vAlign w:val="bottom"/>
            <w:hideMark/>
          </w:tcPr>
          <w:p w14:paraId="0F6A7442" w14:textId="77777777" w:rsidR="00956134" w:rsidRPr="00F4498A" w:rsidRDefault="00956134" w:rsidP="009B0D10">
            <w:pPr>
              <w:spacing w:after="0" w:line="240" w:lineRule="auto"/>
              <w:rPr>
                <w:rFonts w:ascii="Calibri" w:eastAsia="Times New Roman" w:hAnsi="Calibri" w:cs="Times New Roman"/>
                <w:color w:val="000000"/>
                <w:lang w:eastAsia="en-GB"/>
              </w:rPr>
            </w:pPr>
            <w:r w:rsidRPr="00F4498A">
              <w:rPr>
                <w:rFonts w:ascii="Calibri" w:eastAsia="Times New Roman" w:hAnsi="Calibri" w:cs="Times New Roman"/>
                <w:color w:val="000000"/>
                <w:lang w:eastAsia="en-GB"/>
              </w:rPr>
              <w:t> </w:t>
            </w:r>
          </w:p>
        </w:tc>
      </w:tr>
    </w:tbl>
    <w:p w14:paraId="09EDAEB7" w14:textId="77777777" w:rsidR="00956134" w:rsidRDefault="00956134" w:rsidP="00956134">
      <w:pPr>
        <w:rPr>
          <w:rFonts w:ascii="Times New Roman" w:hAnsi="Times New Roman" w:cs="Times New Roman"/>
          <w:sz w:val="24"/>
          <w:szCs w:val="24"/>
        </w:rPr>
      </w:pPr>
    </w:p>
    <w:p w14:paraId="7E545103"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The data show a strong negative correlation between the change in the Tier 1 capital and the change in lending which means that a higher Tier 1 capital affects the lending in a negative way.</w:t>
      </w:r>
    </w:p>
    <w:p w14:paraId="03B4C935"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The liquidity coverer ratio has a strong negative correlation with the bank’s measured ratio which means that the higher the LCR the less profitable the bank becomes but in contrasts it rises the efficiency of the bank, which in this bank’s case may not be a good thince since Lloyds is a highly leveraged bank:</w:t>
      </w:r>
    </w:p>
    <w:p w14:paraId="4997BAD0" w14:textId="77777777" w:rsidR="00956134" w:rsidRPr="008F73C6"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w:t>
      </w:r>
    </w:p>
    <w:p w14:paraId="5CE69F1E" w14:textId="77777777" w:rsidR="00956134" w:rsidRDefault="00956134" w:rsidP="00956134">
      <w:pPr>
        <w:pStyle w:val="Legend"/>
        <w:keepNext/>
      </w:pPr>
      <w:r>
        <w:t xml:space="preserve">Table </w:t>
      </w:r>
      <w:fldSimple w:instr=" SEQ Table \* ARABIC ">
        <w:r>
          <w:rPr>
            <w:noProof/>
          </w:rPr>
          <w:t>8</w:t>
        </w:r>
      </w:fldSimple>
      <w:r>
        <w:t>:</w:t>
      </w:r>
    </w:p>
    <w:tbl>
      <w:tblPr>
        <w:tblW w:w="9811" w:type="dxa"/>
        <w:tblInd w:w="113" w:type="dxa"/>
        <w:tblLook w:val="04A0" w:firstRow="1" w:lastRow="0" w:firstColumn="1" w:lastColumn="0" w:noHBand="0" w:noVBand="1"/>
      </w:tblPr>
      <w:tblGrid>
        <w:gridCol w:w="2781"/>
        <w:gridCol w:w="1467"/>
        <w:gridCol w:w="1467"/>
        <w:gridCol w:w="1467"/>
        <w:gridCol w:w="2629"/>
      </w:tblGrid>
      <w:tr w:rsidR="00956134" w:rsidRPr="00206402" w14:paraId="5B37D136" w14:textId="77777777" w:rsidTr="009B0D10">
        <w:trPr>
          <w:trHeight w:val="352"/>
        </w:trPr>
        <w:tc>
          <w:tcPr>
            <w:tcW w:w="2781"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16732EC6" w14:textId="77777777" w:rsidR="00956134" w:rsidRPr="00206402" w:rsidRDefault="00956134" w:rsidP="009B0D10">
            <w:pPr>
              <w:spacing w:after="0" w:line="240" w:lineRule="auto"/>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LLOYDS</w:t>
            </w:r>
          </w:p>
        </w:tc>
        <w:tc>
          <w:tcPr>
            <w:tcW w:w="1467" w:type="dxa"/>
            <w:tcBorders>
              <w:top w:val="single" w:sz="4" w:space="0" w:color="auto"/>
              <w:left w:val="nil"/>
              <w:bottom w:val="single" w:sz="4" w:space="0" w:color="auto"/>
              <w:right w:val="single" w:sz="4" w:space="0" w:color="auto"/>
            </w:tcBorders>
            <w:shd w:val="clear" w:color="000000" w:fill="00B0F0"/>
            <w:noWrap/>
            <w:vAlign w:val="bottom"/>
            <w:hideMark/>
          </w:tcPr>
          <w:p w14:paraId="5BD6127B"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2016</w:t>
            </w:r>
          </w:p>
        </w:tc>
        <w:tc>
          <w:tcPr>
            <w:tcW w:w="1467" w:type="dxa"/>
            <w:tcBorders>
              <w:top w:val="single" w:sz="4" w:space="0" w:color="auto"/>
              <w:left w:val="nil"/>
              <w:bottom w:val="single" w:sz="4" w:space="0" w:color="auto"/>
              <w:right w:val="single" w:sz="4" w:space="0" w:color="auto"/>
            </w:tcBorders>
            <w:shd w:val="clear" w:color="000000" w:fill="00B0F0"/>
            <w:noWrap/>
            <w:vAlign w:val="bottom"/>
            <w:hideMark/>
          </w:tcPr>
          <w:p w14:paraId="3E8FED7F"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2017</w:t>
            </w:r>
          </w:p>
        </w:tc>
        <w:tc>
          <w:tcPr>
            <w:tcW w:w="1467" w:type="dxa"/>
            <w:tcBorders>
              <w:top w:val="single" w:sz="4" w:space="0" w:color="auto"/>
              <w:left w:val="nil"/>
              <w:bottom w:val="single" w:sz="4" w:space="0" w:color="auto"/>
              <w:right w:val="single" w:sz="4" w:space="0" w:color="auto"/>
            </w:tcBorders>
            <w:shd w:val="clear" w:color="000000" w:fill="00B0F0"/>
            <w:noWrap/>
            <w:vAlign w:val="bottom"/>
            <w:hideMark/>
          </w:tcPr>
          <w:p w14:paraId="329701CC"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2018</w:t>
            </w:r>
          </w:p>
        </w:tc>
        <w:tc>
          <w:tcPr>
            <w:tcW w:w="2629" w:type="dxa"/>
            <w:tcBorders>
              <w:top w:val="single" w:sz="4" w:space="0" w:color="auto"/>
              <w:left w:val="nil"/>
              <w:bottom w:val="single" w:sz="4" w:space="0" w:color="auto"/>
              <w:right w:val="single" w:sz="4" w:space="0" w:color="auto"/>
            </w:tcBorders>
            <w:shd w:val="clear" w:color="000000" w:fill="00B0F0"/>
            <w:noWrap/>
            <w:vAlign w:val="bottom"/>
            <w:hideMark/>
          </w:tcPr>
          <w:p w14:paraId="662CAEB9" w14:textId="77777777" w:rsidR="00956134" w:rsidRPr="00206402" w:rsidRDefault="00956134" w:rsidP="009B0D10">
            <w:pPr>
              <w:spacing w:after="0" w:line="240" w:lineRule="auto"/>
              <w:rPr>
                <w:rFonts w:ascii="Calibri" w:eastAsia="Times New Roman" w:hAnsi="Calibri" w:cs="Times New Roman"/>
                <w:color w:val="000000"/>
                <w:sz w:val="18"/>
                <w:szCs w:val="18"/>
                <w:lang w:eastAsia="en-GB"/>
              </w:rPr>
            </w:pPr>
            <w:r w:rsidRPr="00206402">
              <w:rPr>
                <w:rFonts w:ascii="Calibri" w:eastAsia="Times New Roman" w:hAnsi="Calibri" w:cs="Times New Roman"/>
                <w:color w:val="000000"/>
                <w:sz w:val="18"/>
                <w:szCs w:val="18"/>
                <w:lang w:eastAsia="en-GB"/>
              </w:rPr>
              <w:t>CORREL WITH LCR</w:t>
            </w:r>
          </w:p>
        </w:tc>
      </w:tr>
      <w:tr w:rsidR="00956134" w:rsidRPr="00206402" w14:paraId="52B13B41" w14:textId="77777777" w:rsidTr="009B0D10">
        <w:trPr>
          <w:trHeight w:val="352"/>
        </w:trPr>
        <w:tc>
          <w:tcPr>
            <w:tcW w:w="2781"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0761F4F0" w14:textId="77777777" w:rsidR="00956134" w:rsidRPr="00206402" w:rsidRDefault="00956134" w:rsidP="009B0D10">
            <w:pPr>
              <w:spacing w:after="0" w:line="240" w:lineRule="auto"/>
              <w:rPr>
                <w:rFonts w:ascii="Calibri" w:eastAsia="Times New Roman" w:hAnsi="Calibri" w:cs="Times New Roman"/>
                <w:color w:val="000000"/>
                <w:sz w:val="18"/>
                <w:szCs w:val="18"/>
                <w:lang w:eastAsia="en-GB"/>
              </w:rPr>
            </w:pPr>
            <w:r w:rsidRPr="00206402">
              <w:rPr>
                <w:rFonts w:ascii="Calibri" w:eastAsia="Times New Roman" w:hAnsi="Calibri" w:cs="Times New Roman"/>
                <w:color w:val="000000"/>
                <w:sz w:val="18"/>
                <w:szCs w:val="18"/>
                <w:lang w:eastAsia="en-GB"/>
              </w:rPr>
              <w:t>CHANGE IN LCR</w:t>
            </w:r>
          </w:p>
        </w:tc>
        <w:tc>
          <w:tcPr>
            <w:tcW w:w="1467" w:type="dxa"/>
            <w:tcBorders>
              <w:top w:val="nil"/>
              <w:left w:val="nil"/>
              <w:bottom w:val="single" w:sz="4" w:space="0" w:color="auto"/>
              <w:right w:val="single" w:sz="4" w:space="0" w:color="auto"/>
            </w:tcBorders>
            <w:shd w:val="clear" w:color="000000" w:fill="F4B084"/>
            <w:noWrap/>
            <w:vAlign w:val="bottom"/>
            <w:hideMark/>
          </w:tcPr>
          <w:p w14:paraId="53FE5961"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-2%</w:t>
            </w:r>
          </w:p>
        </w:tc>
        <w:tc>
          <w:tcPr>
            <w:tcW w:w="1467" w:type="dxa"/>
            <w:tcBorders>
              <w:top w:val="nil"/>
              <w:left w:val="nil"/>
              <w:bottom w:val="single" w:sz="4" w:space="0" w:color="auto"/>
              <w:right w:val="single" w:sz="4" w:space="0" w:color="auto"/>
            </w:tcBorders>
            <w:shd w:val="clear" w:color="000000" w:fill="F4B084"/>
            <w:noWrap/>
            <w:vAlign w:val="bottom"/>
            <w:hideMark/>
          </w:tcPr>
          <w:p w14:paraId="5FB7AEEF"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5%</w:t>
            </w:r>
          </w:p>
        </w:tc>
        <w:tc>
          <w:tcPr>
            <w:tcW w:w="1467" w:type="dxa"/>
            <w:tcBorders>
              <w:top w:val="nil"/>
              <w:left w:val="nil"/>
              <w:bottom w:val="single" w:sz="4" w:space="0" w:color="auto"/>
              <w:right w:val="single" w:sz="4" w:space="0" w:color="auto"/>
            </w:tcBorders>
            <w:shd w:val="clear" w:color="000000" w:fill="F4B084"/>
            <w:noWrap/>
            <w:vAlign w:val="bottom"/>
            <w:hideMark/>
          </w:tcPr>
          <w:p w14:paraId="24BEF8B8"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2%</w:t>
            </w:r>
          </w:p>
        </w:tc>
        <w:tc>
          <w:tcPr>
            <w:tcW w:w="2629" w:type="dxa"/>
            <w:tcBorders>
              <w:top w:val="nil"/>
              <w:left w:val="nil"/>
              <w:bottom w:val="single" w:sz="4" w:space="0" w:color="auto"/>
              <w:right w:val="single" w:sz="4" w:space="0" w:color="auto"/>
            </w:tcBorders>
            <w:shd w:val="clear" w:color="auto" w:fill="C2D69B" w:themeFill="accent3" w:themeFillTint="99"/>
            <w:noWrap/>
            <w:vAlign w:val="bottom"/>
            <w:hideMark/>
          </w:tcPr>
          <w:p w14:paraId="4D5861EA" w14:textId="77777777" w:rsidR="00956134" w:rsidRPr="00206402" w:rsidRDefault="00956134" w:rsidP="009B0D10">
            <w:pPr>
              <w:spacing w:after="0" w:line="240" w:lineRule="auto"/>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 </w:t>
            </w:r>
          </w:p>
        </w:tc>
      </w:tr>
      <w:tr w:rsidR="00956134" w:rsidRPr="00206402" w14:paraId="553BA471" w14:textId="77777777" w:rsidTr="009B0D10">
        <w:trPr>
          <w:trHeight w:val="352"/>
        </w:trPr>
        <w:tc>
          <w:tcPr>
            <w:tcW w:w="2781"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743B0001" w14:textId="77777777" w:rsidR="00956134" w:rsidRPr="00206402" w:rsidRDefault="00956134" w:rsidP="009B0D10">
            <w:pPr>
              <w:spacing w:after="0" w:line="240" w:lineRule="auto"/>
              <w:rPr>
                <w:rFonts w:ascii="Calibri" w:eastAsia="Times New Roman" w:hAnsi="Calibri" w:cs="Times New Roman"/>
                <w:color w:val="000000"/>
                <w:sz w:val="18"/>
                <w:szCs w:val="18"/>
                <w:lang w:eastAsia="en-GB"/>
              </w:rPr>
            </w:pPr>
            <w:r w:rsidRPr="00206402">
              <w:rPr>
                <w:rFonts w:ascii="Calibri" w:eastAsia="Times New Roman" w:hAnsi="Calibri" w:cs="Times New Roman"/>
                <w:color w:val="000000"/>
                <w:sz w:val="18"/>
                <w:szCs w:val="18"/>
                <w:lang w:eastAsia="en-GB"/>
              </w:rPr>
              <w:t>CHANGE IN L/D</w:t>
            </w:r>
          </w:p>
        </w:tc>
        <w:tc>
          <w:tcPr>
            <w:tcW w:w="1467" w:type="dxa"/>
            <w:tcBorders>
              <w:top w:val="nil"/>
              <w:left w:val="nil"/>
              <w:bottom w:val="single" w:sz="4" w:space="0" w:color="auto"/>
              <w:right w:val="single" w:sz="4" w:space="0" w:color="auto"/>
            </w:tcBorders>
            <w:shd w:val="clear" w:color="000000" w:fill="F4B084"/>
            <w:noWrap/>
            <w:vAlign w:val="bottom"/>
            <w:hideMark/>
          </w:tcPr>
          <w:p w14:paraId="167C2CF0"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2%</w:t>
            </w:r>
          </w:p>
        </w:tc>
        <w:tc>
          <w:tcPr>
            <w:tcW w:w="1467" w:type="dxa"/>
            <w:tcBorders>
              <w:top w:val="nil"/>
              <w:left w:val="nil"/>
              <w:bottom w:val="single" w:sz="4" w:space="0" w:color="auto"/>
              <w:right w:val="single" w:sz="4" w:space="0" w:color="auto"/>
            </w:tcBorders>
            <w:shd w:val="clear" w:color="000000" w:fill="F4B084"/>
            <w:noWrap/>
            <w:vAlign w:val="bottom"/>
            <w:hideMark/>
          </w:tcPr>
          <w:p w14:paraId="34D4AF5B"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0%</w:t>
            </w:r>
          </w:p>
        </w:tc>
        <w:tc>
          <w:tcPr>
            <w:tcW w:w="1467" w:type="dxa"/>
            <w:tcBorders>
              <w:top w:val="nil"/>
              <w:left w:val="nil"/>
              <w:bottom w:val="single" w:sz="4" w:space="0" w:color="auto"/>
              <w:right w:val="single" w:sz="4" w:space="0" w:color="auto"/>
            </w:tcBorders>
            <w:shd w:val="clear" w:color="000000" w:fill="F4B084"/>
            <w:noWrap/>
            <w:vAlign w:val="bottom"/>
            <w:hideMark/>
          </w:tcPr>
          <w:p w14:paraId="5E580A6D"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-2%</w:t>
            </w:r>
          </w:p>
        </w:tc>
        <w:tc>
          <w:tcPr>
            <w:tcW w:w="2629" w:type="dxa"/>
            <w:tcBorders>
              <w:top w:val="nil"/>
              <w:left w:val="nil"/>
              <w:bottom w:val="single" w:sz="4" w:space="0" w:color="auto"/>
              <w:right w:val="single" w:sz="4" w:space="0" w:color="auto"/>
            </w:tcBorders>
            <w:shd w:val="clear" w:color="auto" w:fill="C2D69B" w:themeFill="accent3" w:themeFillTint="99"/>
            <w:noWrap/>
            <w:vAlign w:val="bottom"/>
            <w:hideMark/>
          </w:tcPr>
          <w:p w14:paraId="7294E5AA"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-57%</w:t>
            </w:r>
          </w:p>
        </w:tc>
      </w:tr>
      <w:tr w:rsidR="00956134" w:rsidRPr="00206402" w14:paraId="05EDACFB" w14:textId="77777777" w:rsidTr="009B0D10">
        <w:trPr>
          <w:trHeight w:val="352"/>
        </w:trPr>
        <w:tc>
          <w:tcPr>
            <w:tcW w:w="2781"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6C205C4A" w14:textId="77777777" w:rsidR="00956134" w:rsidRPr="00206402" w:rsidRDefault="00956134" w:rsidP="009B0D10">
            <w:pPr>
              <w:spacing w:after="0" w:line="240" w:lineRule="auto"/>
              <w:rPr>
                <w:rFonts w:ascii="Calibri" w:eastAsia="Times New Roman" w:hAnsi="Calibri" w:cs="Times New Roman"/>
                <w:color w:val="000000"/>
                <w:sz w:val="18"/>
                <w:szCs w:val="18"/>
                <w:lang w:eastAsia="en-GB"/>
              </w:rPr>
            </w:pPr>
            <w:r w:rsidRPr="00206402">
              <w:rPr>
                <w:rFonts w:ascii="Calibri" w:eastAsia="Times New Roman" w:hAnsi="Calibri" w:cs="Times New Roman"/>
                <w:color w:val="000000"/>
                <w:sz w:val="18"/>
                <w:szCs w:val="18"/>
                <w:lang w:eastAsia="en-GB"/>
              </w:rPr>
              <w:t>CHANGE IN C/I RATIO</w:t>
            </w:r>
          </w:p>
        </w:tc>
        <w:tc>
          <w:tcPr>
            <w:tcW w:w="1467" w:type="dxa"/>
            <w:tcBorders>
              <w:top w:val="nil"/>
              <w:left w:val="nil"/>
              <w:bottom w:val="single" w:sz="4" w:space="0" w:color="auto"/>
              <w:right w:val="single" w:sz="4" w:space="0" w:color="auto"/>
            </w:tcBorders>
            <w:shd w:val="clear" w:color="000000" w:fill="F4B084"/>
            <w:noWrap/>
            <w:vAlign w:val="bottom"/>
            <w:hideMark/>
          </w:tcPr>
          <w:p w14:paraId="30816989"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2%</w:t>
            </w:r>
          </w:p>
        </w:tc>
        <w:tc>
          <w:tcPr>
            <w:tcW w:w="1467" w:type="dxa"/>
            <w:tcBorders>
              <w:top w:val="nil"/>
              <w:left w:val="nil"/>
              <w:bottom w:val="single" w:sz="4" w:space="0" w:color="auto"/>
              <w:right w:val="single" w:sz="4" w:space="0" w:color="auto"/>
            </w:tcBorders>
            <w:shd w:val="clear" w:color="000000" w:fill="F4B084"/>
            <w:noWrap/>
            <w:vAlign w:val="bottom"/>
            <w:hideMark/>
          </w:tcPr>
          <w:p w14:paraId="6FBA80E9"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-6%</w:t>
            </w:r>
          </w:p>
        </w:tc>
        <w:tc>
          <w:tcPr>
            <w:tcW w:w="1467" w:type="dxa"/>
            <w:tcBorders>
              <w:top w:val="nil"/>
              <w:left w:val="nil"/>
              <w:bottom w:val="single" w:sz="4" w:space="0" w:color="auto"/>
              <w:right w:val="single" w:sz="4" w:space="0" w:color="auto"/>
            </w:tcBorders>
            <w:shd w:val="clear" w:color="000000" w:fill="F4B084"/>
            <w:noWrap/>
            <w:vAlign w:val="bottom"/>
            <w:hideMark/>
          </w:tcPr>
          <w:p w14:paraId="60F06A2C"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-5%</w:t>
            </w:r>
          </w:p>
        </w:tc>
        <w:tc>
          <w:tcPr>
            <w:tcW w:w="2629" w:type="dxa"/>
            <w:tcBorders>
              <w:top w:val="nil"/>
              <w:left w:val="nil"/>
              <w:bottom w:val="single" w:sz="4" w:space="0" w:color="auto"/>
              <w:right w:val="single" w:sz="4" w:space="0" w:color="auto"/>
            </w:tcBorders>
            <w:shd w:val="clear" w:color="auto" w:fill="C2D69B" w:themeFill="accent3" w:themeFillTint="99"/>
            <w:noWrap/>
            <w:vAlign w:val="bottom"/>
            <w:hideMark/>
          </w:tcPr>
          <w:p w14:paraId="0225F9D2"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-95%</w:t>
            </w:r>
          </w:p>
        </w:tc>
      </w:tr>
      <w:tr w:rsidR="00956134" w:rsidRPr="00206402" w14:paraId="06884D2A" w14:textId="77777777" w:rsidTr="009B0D10">
        <w:trPr>
          <w:trHeight w:val="352"/>
        </w:trPr>
        <w:tc>
          <w:tcPr>
            <w:tcW w:w="2781"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0A11DBCD" w14:textId="77777777" w:rsidR="00956134" w:rsidRPr="00206402" w:rsidRDefault="00956134" w:rsidP="009B0D10">
            <w:pPr>
              <w:spacing w:after="0" w:line="240" w:lineRule="auto"/>
              <w:rPr>
                <w:rFonts w:ascii="Calibri" w:eastAsia="Times New Roman" w:hAnsi="Calibri" w:cs="Times New Roman"/>
                <w:color w:val="000000"/>
                <w:sz w:val="18"/>
                <w:szCs w:val="18"/>
                <w:lang w:eastAsia="en-GB"/>
              </w:rPr>
            </w:pPr>
            <w:r w:rsidRPr="00206402">
              <w:rPr>
                <w:rFonts w:ascii="Calibri" w:eastAsia="Times New Roman" w:hAnsi="Calibri" w:cs="Times New Roman"/>
                <w:color w:val="000000"/>
                <w:sz w:val="18"/>
                <w:szCs w:val="18"/>
                <w:lang w:eastAsia="en-GB"/>
              </w:rPr>
              <w:t>CHANGE IN ROE</w:t>
            </w:r>
          </w:p>
        </w:tc>
        <w:tc>
          <w:tcPr>
            <w:tcW w:w="1467" w:type="dxa"/>
            <w:tcBorders>
              <w:top w:val="nil"/>
              <w:left w:val="nil"/>
              <w:bottom w:val="single" w:sz="4" w:space="0" w:color="auto"/>
              <w:right w:val="single" w:sz="4" w:space="0" w:color="auto"/>
            </w:tcBorders>
            <w:shd w:val="clear" w:color="000000" w:fill="F4B084"/>
            <w:noWrap/>
            <w:vAlign w:val="bottom"/>
            <w:hideMark/>
          </w:tcPr>
          <w:p w14:paraId="6A29FDEF"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120%</w:t>
            </w:r>
          </w:p>
        </w:tc>
        <w:tc>
          <w:tcPr>
            <w:tcW w:w="1467" w:type="dxa"/>
            <w:tcBorders>
              <w:top w:val="nil"/>
              <w:left w:val="nil"/>
              <w:bottom w:val="single" w:sz="4" w:space="0" w:color="auto"/>
              <w:right w:val="single" w:sz="4" w:space="0" w:color="auto"/>
            </w:tcBorders>
            <w:shd w:val="clear" w:color="000000" w:fill="F4B084"/>
            <w:noWrap/>
            <w:vAlign w:val="bottom"/>
            <w:hideMark/>
          </w:tcPr>
          <w:p w14:paraId="67FFACCA"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77%</w:t>
            </w:r>
          </w:p>
        </w:tc>
        <w:tc>
          <w:tcPr>
            <w:tcW w:w="1467" w:type="dxa"/>
            <w:tcBorders>
              <w:top w:val="nil"/>
              <w:left w:val="nil"/>
              <w:bottom w:val="single" w:sz="4" w:space="0" w:color="auto"/>
              <w:right w:val="single" w:sz="4" w:space="0" w:color="auto"/>
            </w:tcBorders>
            <w:shd w:val="clear" w:color="000000" w:fill="F4B084"/>
            <w:noWrap/>
            <w:vAlign w:val="bottom"/>
            <w:hideMark/>
          </w:tcPr>
          <w:p w14:paraId="5694BB11"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11%</w:t>
            </w:r>
          </w:p>
        </w:tc>
        <w:tc>
          <w:tcPr>
            <w:tcW w:w="2629" w:type="dxa"/>
            <w:tcBorders>
              <w:top w:val="nil"/>
              <w:left w:val="nil"/>
              <w:bottom w:val="single" w:sz="4" w:space="0" w:color="auto"/>
              <w:right w:val="single" w:sz="4" w:space="0" w:color="auto"/>
            </w:tcBorders>
            <w:shd w:val="clear" w:color="auto" w:fill="C2D69B" w:themeFill="accent3" w:themeFillTint="99"/>
            <w:noWrap/>
            <w:vAlign w:val="bottom"/>
            <w:hideMark/>
          </w:tcPr>
          <w:p w14:paraId="22D9546B"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-47%</w:t>
            </w:r>
          </w:p>
        </w:tc>
      </w:tr>
    </w:tbl>
    <w:p w14:paraId="3604F1E4" w14:textId="77777777" w:rsidR="00956134" w:rsidRDefault="00956134" w:rsidP="00956134">
      <w:pPr>
        <w:rPr>
          <w:rFonts w:ascii="Times New Roman" w:hAnsi="Times New Roman" w:cs="Times New Roman"/>
          <w:sz w:val="24"/>
          <w:szCs w:val="24"/>
        </w:rPr>
      </w:pPr>
    </w:p>
    <w:p w14:paraId="76C0830E"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When it comes to the financial intermediate the liquidity coverage ratio has a strong positive impact on the bank’s lending:</w:t>
      </w:r>
    </w:p>
    <w:p w14:paraId="52709803" w14:textId="77777777" w:rsidR="00956134" w:rsidRDefault="00956134" w:rsidP="00956134">
      <w:pPr>
        <w:rPr>
          <w:rFonts w:ascii="Times New Roman" w:hAnsi="Times New Roman" w:cs="Times New Roman"/>
          <w:sz w:val="24"/>
          <w:szCs w:val="24"/>
        </w:rPr>
      </w:pPr>
    </w:p>
    <w:p w14:paraId="44848288" w14:textId="77777777" w:rsidR="00956134" w:rsidRDefault="00956134" w:rsidP="00956134">
      <w:pPr>
        <w:rPr>
          <w:rFonts w:ascii="Times New Roman" w:hAnsi="Times New Roman" w:cs="Times New Roman"/>
          <w:sz w:val="24"/>
          <w:szCs w:val="24"/>
        </w:rPr>
      </w:pPr>
    </w:p>
    <w:p w14:paraId="2A907446" w14:textId="77777777" w:rsidR="00956134" w:rsidRDefault="00956134" w:rsidP="00956134">
      <w:pPr>
        <w:pStyle w:val="Legend"/>
        <w:keepNext/>
      </w:pPr>
      <w:r>
        <w:lastRenderedPageBreak/>
        <w:t xml:space="preserve">Table </w:t>
      </w:r>
      <w:fldSimple w:instr=" SEQ Table \* ARABIC ">
        <w:r>
          <w:rPr>
            <w:noProof/>
          </w:rPr>
          <w:t>9</w:t>
        </w:r>
      </w:fldSimple>
      <w:r>
        <w:t>:</w:t>
      </w:r>
    </w:p>
    <w:tbl>
      <w:tblPr>
        <w:tblW w:w="9798" w:type="dxa"/>
        <w:tblInd w:w="113" w:type="dxa"/>
        <w:tblLook w:val="04A0" w:firstRow="1" w:lastRow="0" w:firstColumn="1" w:lastColumn="0" w:noHBand="0" w:noVBand="1"/>
      </w:tblPr>
      <w:tblGrid>
        <w:gridCol w:w="3157"/>
        <w:gridCol w:w="1457"/>
        <w:gridCol w:w="1457"/>
        <w:gridCol w:w="1457"/>
        <w:gridCol w:w="2270"/>
      </w:tblGrid>
      <w:tr w:rsidR="00956134" w:rsidRPr="00206402" w14:paraId="486DD51A" w14:textId="77777777" w:rsidTr="009B0D10">
        <w:trPr>
          <w:trHeight w:val="486"/>
        </w:trPr>
        <w:tc>
          <w:tcPr>
            <w:tcW w:w="3157"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02C9653E" w14:textId="77777777" w:rsidR="00956134" w:rsidRPr="00206402" w:rsidRDefault="00956134" w:rsidP="009B0D10">
            <w:pPr>
              <w:spacing w:after="0" w:line="240" w:lineRule="auto"/>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LLOYDS</w:t>
            </w:r>
          </w:p>
        </w:tc>
        <w:tc>
          <w:tcPr>
            <w:tcW w:w="1457" w:type="dxa"/>
            <w:tcBorders>
              <w:top w:val="single" w:sz="4" w:space="0" w:color="auto"/>
              <w:left w:val="nil"/>
              <w:bottom w:val="single" w:sz="4" w:space="0" w:color="auto"/>
              <w:right w:val="single" w:sz="4" w:space="0" w:color="auto"/>
            </w:tcBorders>
            <w:shd w:val="clear" w:color="000000" w:fill="00B0F0"/>
            <w:noWrap/>
            <w:vAlign w:val="bottom"/>
            <w:hideMark/>
          </w:tcPr>
          <w:p w14:paraId="033DBDC4"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2016</w:t>
            </w:r>
          </w:p>
        </w:tc>
        <w:tc>
          <w:tcPr>
            <w:tcW w:w="1457" w:type="dxa"/>
            <w:tcBorders>
              <w:top w:val="single" w:sz="4" w:space="0" w:color="auto"/>
              <w:left w:val="nil"/>
              <w:bottom w:val="single" w:sz="4" w:space="0" w:color="auto"/>
              <w:right w:val="single" w:sz="4" w:space="0" w:color="auto"/>
            </w:tcBorders>
            <w:shd w:val="clear" w:color="000000" w:fill="00B0F0"/>
            <w:noWrap/>
            <w:vAlign w:val="bottom"/>
            <w:hideMark/>
          </w:tcPr>
          <w:p w14:paraId="72A5AB32"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2017</w:t>
            </w:r>
          </w:p>
        </w:tc>
        <w:tc>
          <w:tcPr>
            <w:tcW w:w="1457" w:type="dxa"/>
            <w:tcBorders>
              <w:top w:val="single" w:sz="4" w:space="0" w:color="auto"/>
              <w:left w:val="nil"/>
              <w:bottom w:val="single" w:sz="4" w:space="0" w:color="auto"/>
              <w:right w:val="single" w:sz="4" w:space="0" w:color="auto"/>
            </w:tcBorders>
            <w:shd w:val="clear" w:color="000000" w:fill="00B0F0"/>
            <w:noWrap/>
            <w:vAlign w:val="bottom"/>
            <w:hideMark/>
          </w:tcPr>
          <w:p w14:paraId="58A58755"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2018</w:t>
            </w:r>
          </w:p>
        </w:tc>
        <w:tc>
          <w:tcPr>
            <w:tcW w:w="2270" w:type="dxa"/>
            <w:tcBorders>
              <w:top w:val="single" w:sz="4" w:space="0" w:color="auto"/>
              <w:left w:val="nil"/>
              <w:bottom w:val="single" w:sz="4" w:space="0" w:color="auto"/>
              <w:right w:val="single" w:sz="4" w:space="0" w:color="auto"/>
            </w:tcBorders>
            <w:shd w:val="clear" w:color="000000" w:fill="00B0F0"/>
            <w:noWrap/>
            <w:vAlign w:val="bottom"/>
            <w:hideMark/>
          </w:tcPr>
          <w:p w14:paraId="6145A8E9" w14:textId="77777777" w:rsidR="00956134" w:rsidRPr="00206402" w:rsidRDefault="00956134" w:rsidP="009B0D10">
            <w:pPr>
              <w:spacing w:after="0" w:line="240" w:lineRule="auto"/>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CORRELATION</w:t>
            </w:r>
          </w:p>
        </w:tc>
      </w:tr>
      <w:tr w:rsidR="00956134" w:rsidRPr="00206402" w14:paraId="4B6F121E" w14:textId="77777777" w:rsidTr="009B0D10">
        <w:trPr>
          <w:trHeight w:val="486"/>
        </w:trPr>
        <w:tc>
          <w:tcPr>
            <w:tcW w:w="3157" w:type="dxa"/>
            <w:tcBorders>
              <w:top w:val="nil"/>
              <w:left w:val="single" w:sz="4" w:space="0" w:color="auto"/>
              <w:bottom w:val="single" w:sz="4" w:space="0" w:color="auto"/>
              <w:right w:val="single" w:sz="4" w:space="0" w:color="auto"/>
            </w:tcBorders>
            <w:shd w:val="clear" w:color="000000" w:fill="FD7B7B"/>
            <w:noWrap/>
            <w:vAlign w:val="bottom"/>
            <w:hideMark/>
          </w:tcPr>
          <w:p w14:paraId="389513D9" w14:textId="77777777" w:rsidR="00956134" w:rsidRPr="00206402" w:rsidRDefault="00956134" w:rsidP="009B0D10">
            <w:pPr>
              <w:spacing w:after="0" w:line="240" w:lineRule="auto"/>
              <w:rPr>
                <w:rFonts w:ascii="Calibri" w:eastAsia="Times New Roman" w:hAnsi="Calibri" w:cs="Times New Roman"/>
                <w:color w:val="000000"/>
                <w:sz w:val="18"/>
                <w:szCs w:val="18"/>
                <w:lang w:eastAsia="en-GB"/>
              </w:rPr>
            </w:pPr>
            <w:r w:rsidRPr="00206402">
              <w:rPr>
                <w:rFonts w:ascii="Calibri" w:eastAsia="Times New Roman" w:hAnsi="Calibri" w:cs="Times New Roman"/>
                <w:color w:val="000000"/>
                <w:sz w:val="18"/>
                <w:szCs w:val="18"/>
                <w:lang w:eastAsia="en-GB"/>
              </w:rPr>
              <w:t>CHANGE IN LCR</w:t>
            </w:r>
          </w:p>
        </w:tc>
        <w:tc>
          <w:tcPr>
            <w:tcW w:w="1457" w:type="dxa"/>
            <w:tcBorders>
              <w:top w:val="nil"/>
              <w:left w:val="nil"/>
              <w:bottom w:val="single" w:sz="4" w:space="0" w:color="auto"/>
              <w:right w:val="single" w:sz="4" w:space="0" w:color="auto"/>
            </w:tcBorders>
            <w:shd w:val="clear" w:color="000000" w:fill="FD7B7B"/>
            <w:noWrap/>
            <w:vAlign w:val="bottom"/>
            <w:hideMark/>
          </w:tcPr>
          <w:p w14:paraId="4A2737A9"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-2%</w:t>
            </w:r>
          </w:p>
        </w:tc>
        <w:tc>
          <w:tcPr>
            <w:tcW w:w="1457" w:type="dxa"/>
            <w:tcBorders>
              <w:top w:val="nil"/>
              <w:left w:val="nil"/>
              <w:bottom w:val="single" w:sz="4" w:space="0" w:color="auto"/>
              <w:right w:val="single" w:sz="4" w:space="0" w:color="auto"/>
            </w:tcBorders>
            <w:shd w:val="clear" w:color="000000" w:fill="FD7B7B"/>
            <w:noWrap/>
            <w:vAlign w:val="bottom"/>
            <w:hideMark/>
          </w:tcPr>
          <w:p w14:paraId="5D8F2157"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5%</w:t>
            </w:r>
          </w:p>
        </w:tc>
        <w:tc>
          <w:tcPr>
            <w:tcW w:w="1457" w:type="dxa"/>
            <w:tcBorders>
              <w:top w:val="nil"/>
              <w:left w:val="nil"/>
              <w:bottom w:val="single" w:sz="4" w:space="0" w:color="auto"/>
              <w:right w:val="single" w:sz="4" w:space="0" w:color="auto"/>
            </w:tcBorders>
            <w:shd w:val="clear" w:color="000000" w:fill="FD7B7B"/>
            <w:noWrap/>
            <w:vAlign w:val="bottom"/>
            <w:hideMark/>
          </w:tcPr>
          <w:p w14:paraId="56FEE35E"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2%</w:t>
            </w:r>
          </w:p>
        </w:tc>
        <w:tc>
          <w:tcPr>
            <w:tcW w:w="2270" w:type="dxa"/>
            <w:tcBorders>
              <w:top w:val="nil"/>
              <w:left w:val="nil"/>
              <w:bottom w:val="single" w:sz="4" w:space="0" w:color="auto"/>
              <w:right w:val="single" w:sz="4" w:space="0" w:color="auto"/>
            </w:tcBorders>
            <w:shd w:val="clear" w:color="000000" w:fill="FD7B7B"/>
            <w:noWrap/>
            <w:vAlign w:val="bottom"/>
            <w:hideMark/>
          </w:tcPr>
          <w:p w14:paraId="0B65620C"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43%</w:t>
            </w:r>
          </w:p>
        </w:tc>
      </w:tr>
      <w:tr w:rsidR="00956134" w:rsidRPr="00206402" w14:paraId="4417BEB7" w14:textId="77777777" w:rsidTr="009B0D10">
        <w:trPr>
          <w:trHeight w:val="486"/>
        </w:trPr>
        <w:tc>
          <w:tcPr>
            <w:tcW w:w="3157" w:type="dxa"/>
            <w:tcBorders>
              <w:top w:val="nil"/>
              <w:left w:val="single" w:sz="4" w:space="0" w:color="auto"/>
              <w:bottom w:val="single" w:sz="4" w:space="0" w:color="auto"/>
              <w:right w:val="single" w:sz="4" w:space="0" w:color="auto"/>
            </w:tcBorders>
            <w:shd w:val="clear" w:color="000000" w:fill="FD7B7B"/>
            <w:noWrap/>
            <w:vAlign w:val="bottom"/>
            <w:hideMark/>
          </w:tcPr>
          <w:p w14:paraId="7F16E5BB" w14:textId="77777777" w:rsidR="00956134" w:rsidRPr="00206402" w:rsidRDefault="00956134" w:rsidP="009B0D10">
            <w:pPr>
              <w:spacing w:after="0" w:line="240" w:lineRule="auto"/>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INCREASE IN LENDING</w:t>
            </w:r>
          </w:p>
        </w:tc>
        <w:tc>
          <w:tcPr>
            <w:tcW w:w="1457" w:type="dxa"/>
            <w:tcBorders>
              <w:top w:val="nil"/>
              <w:left w:val="nil"/>
              <w:bottom w:val="single" w:sz="4" w:space="0" w:color="auto"/>
              <w:right w:val="single" w:sz="4" w:space="0" w:color="auto"/>
            </w:tcBorders>
            <w:shd w:val="clear" w:color="000000" w:fill="FD7B7B"/>
            <w:noWrap/>
            <w:vAlign w:val="bottom"/>
            <w:hideMark/>
          </w:tcPr>
          <w:p w14:paraId="2C783929"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-1%</w:t>
            </w:r>
          </w:p>
        </w:tc>
        <w:tc>
          <w:tcPr>
            <w:tcW w:w="1457" w:type="dxa"/>
            <w:tcBorders>
              <w:top w:val="nil"/>
              <w:left w:val="nil"/>
              <w:bottom w:val="single" w:sz="4" w:space="0" w:color="auto"/>
              <w:right w:val="single" w:sz="4" w:space="0" w:color="auto"/>
            </w:tcBorders>
            <w:shd w:val="clear" w:color="000000" w:fill="FD7B7B"/>
            <w:noWrap/>
            <w:vAlign w:val="bottom"/>
            <w:hideMark/>
          </w:tcPr>
          <w:p w14:paraId="1B35A80C"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1%</w:t>
            </w:r>
          </w:p>
        </w:tc>
        <w:tc>
          <w:tcPr>
            <w:tcW w:w="1457" w:type="dxa"/>
            <w:tcBorders>
              <w:top w:val="nil"/>
              <w:left w:val="nil"/>
              <w:bottom w:val="single" w:sz="4" w:space="0" w:color="auto"/>
              <w:right w:val="single" w:sz="4" w:space="0" w:color="auto"/>
            </w:tcBorders>
            <w:shd w:val="clear" w:color="000000" w:fill="FD7B7B"/>
            <w:noWrap/>
            <w:vAlign w:val="bottom"/>
            <w:hideMark/>
          </w:tcPr>
          <w:p w14:paraId="747C9924" w14:textId="77777777" w:rsidR="00956134" w:rsidRPr="00206402" w:rsidRDefault="00956134" w:rsidP="009B0D10">
            <w:pPr>
              <w:spacing w:after="0" w:line="240" w:lineRule="auto"/>
              <w:jc w:val="right"/>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-3%</w:t>
            </w:r>
          </w:p>
        </w:tc>
        <w:tc>
          <w:tcPr>
            <w:tcW w:w="2270" w:type="dxa"/>
            <w:tcBorders>
              <w:top w:val="nil"/>
              <w:left w:val="nil"/>
              <w:bottom w:val="single" w:sz="4" w:space="0" w:color="auto"/>
              <w:right w:val="single" w:sz="4" w:space="0" w:color="auto"/>
            </w:tcBorders>
            <w:shd w:val="clear" w:color="000000" w:fill="FD7B7B"/>
            <w:noWrap/>
            <w:vAlign w:val="bottom"/>
            <w:hideMark/>
          </w:tcPr>
          <w:p w14:paraId="6B0BF08A" w14:textId="77777777" w:rsidR="00956134" w:rsidRPr="00206402" w:rsidRDefault="00956134" w:rsidP="009B0D10">
            <w:pPr>
              <w:spacing w:after="0" w:line="240" w:lineRule="auto"/>
              <w:rPr>
                <w:rFonts w:ascii="Calibri" w:eastAsia="Times New Roman" w:hAnsi="Calibri" w:cs="Times New Roman"/>
                <w:color w:val="000000"/>
                <w:lang w:eastAsia="en-GB"/>
              </w:rPr>
            </w:pPr>
            <w:r w:rsidRPr="00206402">
              <w:rPr>
                <w:rFonts w:ascii="Calibri" w:eastAsia="Times New Roman" w:hAnsi="Calibri" w:cs="Times New Roman"/>
                <w:color w:val="000000"/>
                <w:lang w:eastAsia="en-GB"/>
              </w:rPr>
              <w:t> </w:t>
            </w:r>
          </w:p>
        </w:tc>
      </w:tr>
    </w:tbl>
    <w:p w14:paraId="5DFC5190" w14:textId="77777777" w:rsidR="00956134" w:rsidRDefault="00956134" w:rsidP="00956134">
      <w:pPr>
        <w:rPr>
          <w:rFonts w:ascii="Times New Roman" w:hAnsi="Times New Roman" w:cs="Times New Roman"/>
          <w:sz w:val="24"/>
          <w:szCs w:val="24"/>
        </w:rPr>
      </w:pPr>
    </w:p>
    <w:p w14:paraId="33D1EE69"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In case of Standard Charted, the bank increased the Tier 1 capital and their liquidity coverage ratio in a similar way as HSBC did, both having relatively similar figures:</w:t>
      </w:r>
    </w:p>
    <w:p w14:paraId="17B3F79B" w14:textId="77777777" w:rsidR="00956134" w:rsidRDefault="00956134" w:rsidP="00956134">
      <w:pPr>
        <w:keepNext/>
      </w:pPr>
      <w:r>
        <w:rPr>
          <w:noProof/>
        </w:rPr>
        <w:drawing>
          <wp:inline distT="0" distB="0" distL="0" distR="0" wp14:anchorId="567176D1" wp14:editId="59E801AC">
            <wp:extent cx="6007395" cy="2817628"/>
            <wp:effectExtent l="0" t="0" r="12700" b="1905"/>
            <wp:docPr id="3" name="Diagramă 3">
              <a:extLst xmlns:a="http://schemas.openxmlformats.org/drawingml/2006/main">
                <a:ext uri="{FF2B5EF4-FFF2-40B4-BE49-F238E27FC236}">
                  <a16:creationId xmlns:a16="http://schemas.microsoft.com/office/drawing/2014/main" id="{2982E2E7-19DA-47B3-B11E-89528609DB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E2EB765" w14:textId="77777777" w:rsidR="00956134" w:rsidRDefault="00956134" w:rsidP="00956134">
      <w:pPr>
        <w:pStyle w:val="Legend"/>
      </w:pPr>
      <w:r>
        <w:t xml:space="preserve">Figure </w:t>
      </w:r>
      <w:fldSimple w:instr=" SEQ Figure \* ARABIC ">
        <w:r>
          <w:rPr>
            <w:noProof/>
          </w:rPr>
          <w:t>3</w:t>
        </w:r>
      </w:fldSimple>
      <w:r>
        <w:t>.</w:t>
      </w:r>
    </w:p>
    <w:p w14:paraId="113E7F7A" w14:textId="77777777" w:rsidR="00956134" w:rsidRPr="002307CE" w:rsidRDefault="00956134" w:rsidP="00956134">
      <w:pPr>
        <w:rPr>
          <w:rFonts w:ascii="Times New Roman" w:hAnsi="Times New Roman" w:cs="Times New Roman"/>
          <w:sz w:val="24"/>
          <w:szCs w:val="24"/>
        </w:rPr>
      </w:pPr>
      <w:r w:rsidRPr="002307CE">
        <w:rPr>
          <w:rFonts w:ascii="Times New Roman" w:hAnsi="Times New Roman" w:cs="Times New Roman"/>
          <w:sz w:val="24"/>
          <w:szCs w:val="24"/>
        </w:rPr>
        <w:t xml:space="preserve">  In the case of STC the Tier 1 capital has a strong positive correlation with the cost to income ratio, a low negative correlation with the lending to deposit ratio and a strong negative correlation with the change in return on equity which means that the higher Tier 1 makes this bank more profitable:</w:t>
      </w:r>
    </w:p>
    <w:p w14:paraId="25AD2072" w14:textId="77777777" w:rsidR="00956134" w:rsidRDefault="00956134" w:rsidP="00956134">
      <w:pPr>
        <w:pStyle w:val="Legend"/>
        <w:keepNext/>
      </w:pPr>
      <w:r>
        <w:t xml:space="preserve">Table </w:t>
      </w:r>
      <w:fldSimple w:instr=" SEQ Table \* ARABIC ">
        <w:r>
          <w:rPr>
            <w:noProof/>
          </w:rPr>
          <w:t>10</w:t>
        </w:r>
      </w:fldSimple>
      <w:r>
        <w:t>:</w:t>
      </w:r>
    </w:p>
    <w:tbl>
      <w:tblPr>
        <w:tblW w:w="9868" w:type="dxa"/>
        <w:tblInd w:w="113" w:type="dxa"/>
        <w:tblLook w:val="04A0" w:firstRow="1" w:lastRow="0" w:firstColumn="1" w:lastColumn="0" w:noHBand="0" w:noVBand="1"/>
      </w:tblPr>
      <w:tblGrid>
        <w:gridCol w:w="2164"/>
        <w:gridCol w:w="1141"/>
        <w:gridCol w:w="1141"/>
        <w:gridCol w:w="1141"/>
        <w:gridCol w:w="2045"/>
        <w:gridCol w:w="2236"/>
      </w:tblGrid>
      <w:tr w:rsidR="00956134" w:rsidRPr="002307CE" w14:paraId="69A13BB0" w14:textId="77777777" w:rsidTr="009B0D10">
        <w:trPr>
          <w:trHeight w:val="335"/>
        </w:trPr>
        <w:tc>
          <w:tcPr>
            <w:tcW w:w="2164"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7DC286EF" w14:textId="77777777" w:rsidR="00956134" w:rsidRPr="002307CE" w:rsidRDefault="00956134" w:rsidP="009B0D10">
            <w:pPr>
              <w:spacing w:after="0" w:line="240" w:lineRule="auto"/>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STC</w:t>
            </w:r>
          </w:p>
        </w:tc>
        <w:tc>
          <w:tcPr>
            <w:tcW w:w="1141" w:type="dxa"/>
            <w:tcBorders>
              <w:top w:val="single" w:sz="4" w:space="0" w:color="auto"/>
              <w:left w:val="nil"/>
              <w:bottom w:val="single" w:sz="4" w:space="0" w:color="auto"/>
              <w:right w:val="single" w:sz="4" w:space="0" w:color="auto"/>
            </w:tcBorders>
            <w:shd w:val="clear" w:color="000000" w:fill="00B0F0"/>
            <w:noWrap/>
            <w:vAlign w:val="bottom"/>
            <w:hideMark/>
          </w:tcPr>
          <w:p w14:paraId="2ABF70A4"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2015</w:t>
            </w:r>
          </w:p>
        </w:tc>
        <w:tc>
          <w:tcPr>
            <w:tcW w:w="1141" w:type="dxa"/>
            <w:tcBorders>
              <w:top w:val="single" w:sz="4" w:space="0" w:color="auto"/>
              <w:left w:val="nil"/>
              <w:bottom w:val="single" w:sz="4" w:space="0" w:color="auto"/>
              <w:right w:val="single" w:sz="4" w:space="0" w:color="auto"/>
            </w:tcBorders>
            <w:shd w:val="clear" w:color="000000" w:fill="00B0F0"/>
            <w:noWrap/>
            <w:vAlign w:val="bottom"/>
            <w:hideMark/>
          </w:tcPr>
          <w:p w14:paraId="0D511A20"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2016</w:t>
            </w:r>
          </w:p>
        </w:tc>
        <w:tc>
          <w:tcPr>
            <w:tcW w:w="1141" w:type="dxa"/>
            <w:tcBorders>
              <w:top w:val="single" w:sz="4" w:space="0" w:color="auto"/>
              <w:left w:val="nil"/>
              <w:bottom w:val="single" w:sz="4" w:space="0" w:color="auto"/>
              <w:right w:val="single" w:sz="4" w:space="0" w:color="auto"/>
            </w:tcBorders>
            <w:shd w:val="clear" w:color="000000" w:fill="00B0F0"/>
            <w:noWrap/>
            <w:vAlign w:val="bottom"/>
            <w:hideMark/>
          </w:tcPr>
          <w:p w14:paraId="7B63E93B"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2017</w:t>
            </w:r>
          </w:p>
        </w:tc>
        <w:tc>
          <w:tcPr>
            <w:tcW w:w="2045" w:type="dxa"/>
            <w:tcBorders>
              <w:top w:val="single" w:sz="4" w:space="0" w:color="auto"/>
              <w:left w:val="nil"/>
              <w:bottom w:val="single" w:sz="4" w:space="0" w:color="auto"/>
              <w:right w:val="single" w:sz="4" w:space="0" w:color="auto"/>
            </w:tcBorders>
            <w:shd w:val="clear" w:color="000000" w:fill="00B0F0"/>
            <w:noWrap/>
            <w:vAlign w:val="bottom"/>
            <w:hideMark/>
          </w:tcPr>
          <w:p w14:paraId="42F771B2"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2018</w:t>
            </w:r>
          </w:p>
        </w:tc>
        <w:tc>
          <w:tcPr>
            <w:tcW w:w="2236" w:type="dxa"/>
            <w:tcBorders>
              <w:top w:val="single" w:sz="4" w:space="0" w:color="auto"/>
              <w:left w:val="nil"/>
              <w:bottom w:val="single" w:sz="4" w:space="0" w:color="auto"/>
              <w:right w:val="single" w:sz="4" w:space="0" w:color="auto"/>
            </w:tcBorders>
            <w:shd w:val="clear" w:color="000000" w:fill="00B0F0"/>
            <w:noWrap/>
            <w:vAlign w:val="bottom"/>
            <w:hideMark/>
          </w:tcPr>
          <w:p w14:paraId="29D19DD8" w14:textId="77777777" w:rsidR="00956134" w:rsidRPr="002307CE" w:rsidRDefault="00956134" w:rsidP="009B0D10">
            <w:pPr>
              <w:spacing w:after="0" w:line="240" w:lineRule="auto"/>
              <w:rPr>
                <w:rFonts w:ascii="Calibri" w:eastAsia="Times New Roman" w:hAnsi="Calibri" w:cs="Times New Roman"/>
                <w:color w:val="000000"/>
                <w:sz w:val="18"/>
                <w:szCs w:val="18"/>
                <w:lang w:eastAsia="en-GB"/>
              </w:rPr>
            </w:pPr>
            <w:r w:rsidRPr="002307CE">
              <w:rPr>
                <w:rFonts w:ascii="Calibri" w:eastAsia="Times New Roman" w:hAnsi="Calibri" w:cs="Times New Roman"/>
                <w:color w:val="000000"/>
                <w:sz w:val="18"/>
                <w:szCs w:val="18"/>
                <w:lang w:eastAsia="en-GB"/>
              </w:rPr>
              <w:t>CORREL WITH TIER 1</w:t>
            </w:r>
          </w:p>
        </w:tc>
      </w:tr>
      <w:tr w:rsidR="00956134" w:rsidRPr="002307CE" w14:paraId="183A40A8" w14:textId="77777777" w:rsidTr="009B0D10">
        <w:trPr>
          <w:trHeight w:val="335"/>
        </w:trPr>
        <w:tc>
          <w:tcPr>
            <w:tcW w:w="2164"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697BAF11" w14:textId="77777777" w:rsidR="00956134" w:rsidRPr="002307CE" w:rsidRDefault="00956134" w:rsidP="009B0D10">
            <w:pPr>
              <w:spacing w:after="0" w:line="240" w:lineRule="auto"/>
              <w:rPr>
                <w:rFonts w:ascii="Calibri" w:eastAsia="Times New Roman" w:hAnsi="Calibri" w:cs="Times New Roman"/>
                <w:color w:val="000000"/>
                <w:sz w:val="18"/>
                <w:szCs w:val="18"/>
                <w:lang w:eastAsia="en-GB"/>
              </w:rPr>
            </w:pPr>
            <w:r w:rsidRPr="002307CE">
              <w:rPr>
                <w:rFonts w:ascii="Calibri" w:eastAsia="Times New Roman" w:hAnsi="Calibri" w:cs="Times New Roman"/>
                <w:color w:val="000000"/>
                <w:sz w:val="18"/>
                <w:szCs w:val="18"/>
                <w:lang w:eastAsia="en-GB"/>
              </w:rPr>
              <w:t>CHANGE IN TIER 1</w:t>
            </w:r>
          </w:p>
        </w:tc>
        <w:tc>
          <w:tcPr>
            <w:tcW w:w="1141" w:type="dxa"/>
            <w:tcBorders>
              <w:top w:val="nil"/>
              <w:left w:val="nil"/>
              <w:bottom w:val="single" w:sz="4" w:space="0" w:color="auto"/>
              <w:right w:val="single" w:sz="4" w:space="0" w:color="auto"/>
            </w:tcBorders>
            <w:shd w:val="clear" w:color="000000" w:fill="F4B084"/>
            <w:noWrap/>
            <w:vAlign w:val="bottom"/>
            <w:hideMark/>
          </w:tcPr>
          <w:p w14:paraId="48F8211A"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18%</w:t>
            </w:r>
          </w:p>
        </w:tc>
        <w:tc>
          <w:tcPr>
            <w:tcW w:w="1141" w:type="dxa"/>
            <w:tcBorders>
              <w:top w:val="nil"/>
              <w:left w:val="nil"/>
              <w:bottom w:val="single" w:sz="4" w:space="0" w:color="auto"/>
              <w:right w:val="single" w:sz="4" w:space="0" w:color="auto"/>
            </w:tcBorders>
            <w:shd w:val="clear" w:color="000000" w:fill="F4B084"/>
            <w:noWrap/>
            <w:vAlign w:val="bottom"/>
            <w:hideMark/>
          </w:tcPr>
          <w:p w14:paraId="721ABAEF"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8%</w:t>
            </w:r>
          </w:p>
        </w:tc>
        <w:tc>
          <w:tcPr>
            <w:tcW w:w="1141" w:type="dxa"/>
            <w:tcBorders>
              <w:top w:val="nil"/>
              <w:left w:val="nil"/>
              <w:bottom w:val="single" w:sz="4" w:space="0" w:color="auto"/>
              <w:right w:val="single" w:sz="4" w:space="0" w:color="auto"/>
            </w:tcBorders>
            <w:shd w:val="clear" w:color="000000" w:fill="F4B084"/>
            <w:noWrap/>
            <w:vAlign w:val="bottom"/>
            <w:hideMark/>
          </w:tcPr>
          <w:p w14:paraId="06825086"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0%</w:t>
            </w:r>
          </w:p>
        </w:tc>
        <w:tc>
          <w:tcPr>
            <w:tcW w:w="2045" w:type="dxa"/>
            <w:tcBorders>
              <w:top w:val="nil"/>
              <w:left w:val="nil"/>
              <w:bottom w:val="single" w:sz="4" w:space="0" w:color="auto"/>
              <w:right w:val="single" w:sz="4" w:space="0" w:color="auto"/>
            </w:tcBorders>
            <w:shd w:val="clear" w:color="000000" w:fill="F4B084"/>
            <w:noWrap/>
            <w:vAlign w:val="bottom"/>
            <w:hideMark/>
          </w:tcPr>
          <w:p w14:paraId="5057D528"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4%</w:t>
            </w:r>
          </w:p>
        </w:tc>
        <w:tc>
          <w:tcPr>
            <w:tcW w:w="2236" w:type="dxa"/>
            <w:tcBorders>
              <w:top w:val="nil"/>
              <w:left w:val="nil"/>
              <w:bottom w:val="single" w:sz="4" w:space="0" w:color="auto"/>
              <w:right w:val="single" w:sz="4" w:space="0" w:color="auto"/>
            </w:tcBorders>
            <w:shd w:val="clear" w:color="auto" w:fill="C2D69B" w:themeFill="accent3" w:themeFillTint="99"/>
            <w:noWrap/>
            <w:vAlign w:val="bottom"/>
            <w:hideMark/>
          </w:tcPr>
          <w:p w14:paraId="54994D60" w14:textId="77777777" w:rsidR="00956134" w:rsidRPr="002307CE" w:rsidRDefault="00956134" w:rsidP="009B0D10">
            <w:pPr>
              <w:spacing w:after="0" w:line="240" w:lineRule="auto"/>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 </w:t>
            </w:r>
          </w:p>
        </w:tc>
      </w:tr>
      <w:tr w:rsidR="00956134" w:rsidRPr="002307CE" w14:paraId="46BAAD31" w14:textId="77777777" w:rsidTr="009B0D10">
        <w:trPr>
          <w:trHeight w:val="335"/>
        </w:trPr>
        <w:tc>
          <w:tcPr>
            <w:tcW w:w="2164"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0DCF2C46" w14:textId="77777777" w:rsidR="00956134" w:rsidRPr="002307CE" w:rsidRDefault="00956134" w:rsidP="009B0D10">
            <w:pPr>
              <w:spacing w:after="0" w:line="240" w:lineRule="auto"/>
              <w:rPr>
                <w:rFonts w:ascii="Calibri" w:eastAsia="Times New Roman" w:hAnsi="Calibri" w:cs="Times New Roman"/>
                <w:color w:val="000000"/>
                <w:sz w:val="18"/>
                <w:szCs w:val="18"/>
                <w:lang w:eastAsia="en-GB"/>
              </w:rPr>
            </w:pPr>
            <w:r w:rsidRPr="002307CE">
              <w:rPr>
                <w:rFonts w:ascii="Calibri" w:eastAsia="Times New Roman" w:hAnsi="Calibri" w:cs="Times New Roman"/>
                <w:color w:val="000000"/>
                <w:sz w:val="18"/>
                <w:szCs w:val="18"/>
                <w:lang w:eastAsia="en-GB"/>
              </w:rPr>
              <w:t>CHANGE IN L/D</w:t>
            </w:r>
          </w:p>
        </w:tc>
        <w:tc>
          <w:tcPr>
            <w:tcW w:w="1141" w:type="dxa"/>
            <w:tcBorders>
              <w:top w:val="nil"/>
              <w:left w:val="nil"/>
              <w:bottom w:val="single" w:sz="4" w:space="0" w:color="auto"/>
              <w:right w:val="single" w:sz="4" w:space="0" w:color="auto"/>
            </w:tcBorders>
            <w:shd w:val="clear" w:color="000000" w:fill="F4B084"/>
            <w:noWrap/>
            <w:vAlign w:val="bottom"/>
            <w:hideMark/>
          </w:tcPr>
          <w:p w14:paraId="5FE23898"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19%</w:t>
            </w:r>
          </w:p>
        </w:tc>
        <w:tc>
          <w:tcPr>
            <w:tcW w:w="1141" w:type="dxa"/>
            <w:tcBorders>
              <w:top w:val="nil"/>
              <w:left w:val="nil"/>
              <w:bottom w:val="single" w:sz="4" w:space="0" w:color="auto"/>
              <w:right w:val="single" w:sz="4" w:space="0" w:color="auto"/>
            </w:tcBorders>
            <w:shd w:val="clear" w:color="000000" w:fill="F4B084"/>
            <w:noWrap/>
            <w:vAlign w:val="bottom"/>
            <w:hideMark/>
          </w:tcPr>
          <w:p w14:paraId="04A1FDC8"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-28%</w:t>
            </w:r>
          </w:p>
        </w:tc>
        <w:tc>
          <w:tcPr>
            <w:tcW w:w="1141" w:type="dxa"/>
            <w:tcBorders>
              <w:top w:val="nil"/>
              <w:left w:val="nil"/>
              <w:bottom w:val="single" w:sz="4" w:space="0" w:color="auto"/>
              <w:right w:val="single" w:sz="4" w:space="0" w:color="auto"/>
            </w:tcBorders>
            <w:shd w:val="clear" w:color="000000" w:fill="F4B084"/>
            <w:noWrap/>
            <w:vAlign w:val="bottom"/>
            <w:hideMark/>
          </w:tcPr>
          <w:p w14:paraId="55919DF9"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28%</w:t>
            </w:r>
          </w:p>
        </w:tc>
        <w:tc>
          <w:tcPr>
            <w:tcW w:w="2045" w:type="dxa"/>
            <w:tcBorders>
              <w:top w:val="nil"/>
              <w:left w:val="nil"/>
              <w:bottom w:val="single" w:sz="4" w:space="0" w:color="auto"/>
              <w:right w:val="single" w:sz="4" w:space="0" w:color="auto"/>
            </w:tcBorders>
            <w:shd w:val="clear" w:color="000000" w:fill="F4B084"/>
            <w:noWrap/>
            <w:vAlign w:val="bottom"/>
            <w:hideMark/>
          </w:tcPr>
          <w:p w14:paraId="4E663BC3"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-3%</w:t>
            </w:r>
          </w:p>
        </w:tc>
        <w:tc>
          <w:tcPr>
            <w:tcW w:w="2236" w:type="dxa"/>
            <w:tcBorders>
              <w:top w:val="nil"/>
              <w:left w:val="nil"/>
              <w:bottom w:val="single" w:sz="4" w:space="0" w:color="auto"/>
              <w:right w:val="single" w:sz="4" w:space="0" w:color="auto"/>
            </w:tcBorders>
            <w:shd w:val="clear" w:color="auto" w:fill="C2D69B" w:themeFill="accent3" w:themeFillTint="99"/>
            <w:noWrap/>
            <w:vAlign w:val="bottom"/>
            <w:hideMark/>
          </w:tcPr>
          <w:p w14:paraId="430F8DAB"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w:t>
            </w:r>
          </w:p>
        </w:tc>
      </w:tr>
      <w:tr w:rsidR="00956134" w:rsidRPr="002307CE" w14:paraId="0647F0C2" w14:textId="77777777" w:rsidTr="009B0D10">
        <w:trPr>
          <w:trHeight w:val="335"/>
        </w:trPr>
        <w:tc>
          <w:tcPr>
            <w:tcW w:w="2164"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02930300" w14:textId="77777777" w:rsidR="00956134" w:rsidRPr="002307CE" w:rsidRDefault="00956134" w:rsidP="009B0D10">
            <w:pPr>
              <w:spacing w:after="0" w:line="240" w:lineRule="auto"/>
              <w:rPr>
                <w:rFonts w:ascii="Calibri" w:eastAsia="Times New Roman" w:hAnsi="Calibri" w:cs="Times New Roman"/>
                <w:color w:val="000000"/>
                <w:sz w:val="18"/>
                <w:szCs w:val="18"/>
                <w:lang w:eastAsia="en-GB"/>
              </w:rPr>
            </w:pPr>
            <w:r w:rsidRPr="002307CE">
              <w:rPr>
                <w:rFonts w:ascii="Calibri" w:eastAsia="Times New Roman" w:hAnsi="Calibri" w:cs="Times New Roman"/>
                <w:color w:val="000000"/>
                <w:sz w:val="18"/>
                <w:szCs w:val="18"/>
                <w:lang w:eastAsia="en-GB"/>
              </w:rPr>
              <w:t>CHANGE IN C/I RATIO</w:t>
            </w:r>
          </w:p>
        </w:tc>
        <w:tc>
          <w:tcPr>
            <w:tcW w:w="1141" w:type="dxa"/>
            <w:tcBorders>
              <w:top w:val="nil"/>
              <w:left w:val="nil"/>
              <w:bottom w:val="single" w:sz="4" w:space="0" w:color="auto"/>
              <w:right w:val="single" w:sz="4" w:space="0" w:color="auto"/>
            </w:tcBorders>
            <w:shd w:val="clear" w:color="000000" w:fill="F4B084"/>
            <w:noWrap/>
            <w:vAlign w:val="bottom"/>
            <w:hideMark/>
          </w:tcPr>
          <w:p w14:paraId="5CE6D471"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21%</w:t>
            </w:r>
          </w:p>
        </w:tc>
        <w:tc>
          <w:tcPr>
            <w:tcW w:w="1141" w:type="dxa"/>
            <w:tcBorders>
              <w:top w:val="nil"/>
              <w:left w:val="nil"/>
              <w:bottom w:val="single" w:sz="4" w:space="0" w:color="auto"/>
              <w:right w:val="single" w:sz="4" w:space="0" w:color="auto"/>
            </w:tcBorders>
            <w:shd w:val="clear" w:color="000000" w:fill="F4B084"/>
            <w:noWrap/>
            <w:vAlign w:val="bottom"/>
            <w:hideMark/>
          </w:tcPr>
          <w:p w14:paraId="1E70CACC"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-1%</w:t>
            </w:r>
          </w:p>
        </w:tc>
        <w:tc>
          <w:tcPr>
            <w:tcW w:w="1141" w:type="dxa"/>
            <w:tcBorders>
              <w:top w:val="nil"/>
              <w:left w:val="nil"/>
              <w:bottom w:val="single" w:sz="4" w:space="0" w:color="auto"/>
              <w:right w:val="single" w:sz="4" w:space="0" w:color="auto"/>
            </w:tcBorders>
            <w:shd w:val="clear" w:color="000000" w:fill="F4B084"/>
            <w:noWrap/>
            <w:vAlign w:val="bottom"/>
            <w:hideMark/>
          </w:tcPr>
          <w:p w14:paraId="6820B31F"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-1%</w:t>
            </w:r>
          </w:p>
        </w:tc>
        <w:tc>
          <w:tcPr>
            <w:tcW w:w="2045" w:type="dxa"/>
            <w:tcBorders>
              <w:top w:val="nil"/>
              <w:left w:val="nil"/>
              <w:bottom w:val="single" w:sz="4" w:space="0" w:color="auto"/>
              <w:right w:val="single" w:sz="4" w:space="0" w:color="auto"/>
            </w:tcBorders>
            <w:shd w:val="clear" w:color="000000" w:fill="F4B084"/>
            <w:noWrap/>
            <w:vAlign w:val="bottom"/>
            <w:hideMark/>
          </w:tcPr>
          <w:p w14:paraId="4984A33F"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9%</w:t>
            </w:r>
          </w:p>
        </w:tc>
        <w:tc>
          <w:tcPr>
            <w:tcW w:w="2236" w:type="dxa"/>
            <w:tcBorders>
              <w:top w:val="nil"/>
              <w:left w:val="nil"/>
              <w:bottom w:val="single" w:sz="4" w:space="0" w:color="auto"/>
              <w:right w:val="single" w:sz="4" w:space="0" w:color="auto"/>
            </w:tcBorders>
            <w:shd w:val="clear" w:color="auto" w:fill="C2D69B" w:themeFill="accent3" w:themeFillTint="99"/>
            <w:noWrap/>
            <w:vAlign w:val="bottom"/>
            <w:hideMark/>
          </w:tcPr>
          <w:p w14:paraId="007792D0"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81%</w:t>
            </w:r>
          </w:p>
        </w:tc>
      </w:tr>
      <w:tr w:rsidR="00956134" w:rsidRPr="002307CE" w14:paraId="4716CFC6" w14:textId="77777777" w:rsidTr="009B0D10">
        <w:trPr>
          <w:trHeight w:val="335"/>
        </w:trPr>
        <w:tc>
          <w:tcPr>
            <w:tcW w:w="2164" w:type="dxa"/>
            <w:tcBorders>
              <w:top w:val="nil"/>
              <w:left w:val="single" w:sz="4" w:space="0" w:color="auto"/>
              <w:bottom w:val="single" w:sz="4" w:space="0" w:color="auto"/>
              <w:right w:val="single" w:sz="4" w:space="0" w:color="auto"/>
            </w:tcBorders>
            <w:shd w:val="clear" w:color="auto" w:fill="C2D69B" w:themeFill="accent3" w:themeFillTint="99"/>
            <w:noWrap/>
            <w:vAlign w:val="bottom"/>
            <w:hideMark/>
          </w:tcPr>
          <w:p w14:paraId="10EC08FD" w14:textId="77777777" w:rsidR="00956134" w:rsidRPr="002307CE" w:rsidRDefault="00956134" w:rsidP="009B0D10">
            <w:pPr>
              <w:spacing w:after="0" w:line="240" w:lineRule="auto"/>
              <w:rPr>
                <w:rFonts w:ascii="Calibri" w:eastAsia="Times New Roman" w:hAnsi="Calibri" w:cs="Times New Roman"/>
                <w:color w:val="000000"/>
                <w:sz w:val="18"/>
                <w:szCs w:val="18"/>
                <w:lang w:eastAsia="en-GB"/>
              </w:rPr>
            </w:pPr>
            <w:r w:rsidRPr="002307CE">
              <w:rPr>
                <w:rFonts w:ascii="Calibri" w:eastAsia="Times New Roman" w:hAnsi="Calibri" w:cs="Times New Roman"/>
                <w:color w:val="000000"/>
                <w:sz w:val="18"/>
                <w:szCs w:val="18"/>
                <w:lang w:eastAsia="en-GB"/>
              </w:rPr>
              <w:t>CHANGE IN ROE</w:t>
            </w:r>
          </w:p>
        </w:tc>
        <w:tc>
          <w:tcPr>
            <w:tcW w:w="1141" w:type="dxa"/>
            <w:tcBorders>
              <w:top w:val="nil"/>
              <w:left w:val="nil"/>
              <w:bottom w:val="single" w:sz="4" w:space="0" w:color="auto"/>
              <w:right w:val="single" w:sz="4" w:space="0" w:color="auto"/>
            </w:tcBorders>
            <w:shd w:val="clear" w:color="000000" w:fill="F4B084"/>
            <w:noWrap/>
            <w:vAlign w:val="bottom"/>
            <w:hideMark/>
          </w:tcPr>
          <w:p w14:paraId="4A218DF6"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-95%</w:t>
            </w:r>
          </w:p>
        </w:tc>
        <w:tc>
          <w:tcPr>
            <w:tcW w:w="1141" w:type="dxa"/>
            <w:tcBorders>
              <w:top w:val="nil"/>
              <w:left w:val="nil"/>
              <w:bottom w:val="single" w:sz="4" w:space="0" w:color="auto"/>
              <w:right w:val="single" w:sz="4" w:space="0" w:color="auto"/>
            </w:tcBorders>
            <w:shd w:val="clear" w:color="000000" w:fill="F4B084"/>
            <w:noWrap/>
            <w:vAlign w:val="bottom"/>
            <w:hideMark/>
          </w:tcPr>
          <w:p w14:paraId="044FEBD8"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-25%</w:t>
            </w:r>
          </w:p>
        </w:tc>
        <w:tc>
          <w:tcPr>
            <w:tcW w:w="1141" w:type="dxa"/>
            <w:tcBorders>
              <w:top w:val="nil"/>
              <w:left w:val="nil"/>
              <w:bottom w:val="single" w:sz="4" w:space="0" w:color="auto"/>
              <w:right w:val="single" w:sz="4" w:space="0" w:color="auto"/>
            </w:tcBorders>
            <w:shd w:val="clear" w:color="000000" w:fill="F4B084"/>
            <w:noWrap/>
            <w:vAlign w:val="bottom"/>
            <w:hideMark/>
          </w:tcPr>
          <w:p w14:paraId="0917827B"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1067%</w:t>
            </w:r>
          </w:p>
        </w:tc>
        <w:tc>
          <w:tcPr>
            <w:tcW w:w="2045" w:type="dxa"/>
            <w:tcBorders>
              <w:top w:val="nil"/>
              <w:left w:val="nil"/>
              <w:bottom w:val="single" w:sz="4" w:space="0" w:color="auto"/>
              <w:right w:val="single" w:sz="4" w:space="0" w:color="auto"/>
            </w:tcBorders>
            <w:shd w:val="clear" w:color="000000" w:fill="F4B084"/>
            <w:noWrap/>
            <w:vAlign w:val="bottom"/>
            <w:hideMark/>
          </w:tcPr>
          <w:p w14:paraId="65F56752"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31%</w:t>
            </w:r>
          </w:p>
        </w:tc>
        <w:tc>
          <w:tcPr>
            <w:tcW w:w="2236" w:type="dxa"/>
            <w:tcBorders>
              <w:top w:val="nil"/>
              <w:left w:val="nil"/>
              <w:bottom w:val="single" w:sz="4" w:space="0" w:color="auto"/>
              <w:right w:val="single" w:sz="4" w:space="0" w:color="auto"/>
            </w:tcBorders>
            <w:shd w:val="clear" w:color="auto" w:fill="C2D69B" w:themeFill="accent3" w:themeFillTint="99"/>
            <w:noWrap/>
            <w:vAlign w:val="bottom"/>
            <w:hideMark/>
          </w:tcPr>
          <w:p w14:paraId="1289AF4D"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-71%</w:t>
            </w:r>
          </w:p>
        </w:tc>
      </w:tr>
    </w:tbl>
    <w:p w14:paraId="512DBE9D" w14:textId="77777777" w:rsidR="00956134" w:rsidRDefault="00956134" w:rsidP="00956134"/>
    <w:p w14:paraId="62F66526" w14:textId="77777777" w:rsidR="00956134" w:rsidRDefault="00956134" w:rsidP="00956134">
      <w:pPr>
        <w:rPr>
          <w:rFonts w:ascii="Times New Roman" w:hAnsi="Times New Roman" w:cs="Times New Roman"/>
          <w:sz w:val="24"/>
          <w:szCs w:val="24"/>
        </w:rPr>
      </w:pPr>
      <w:r w:rsidRPr="002307CE">
        <w:rPr>
          <w:rFonts w:ascii="Times New Roman" w:hAnsi="Times New Roman" w:cs="Times New Roman"/>
          <w:sz w:val="24"/>
          <w:szCs w:val="24"/>
        </w:rPr>
        <w:t xml:space="preserve"> The liquidity </w:t>
      </w:r>
      <w:r>
        <w:rPr>
          <w:rFonts w:ascii="Times New Roman" w:hAnsi="Times New Roman" w:cs="Times New Roman"/>
          <w:sz w:val="24"/>
          <w:szCs w:val="24"/>
        </w:rPr>
        <w:t xml:space="preserve">coverage ratio has a strong positive impact in profitability, efficiency and leverage of this bank with strong positive correlation with all the of the ratios calculated: </w:t>
      </w:r>
    </w:p>
    <w:p w14:paraId="21935406" w14:textId="77777777" w:rsidR="00956134" w:rsidRDefault="00956134" w:rsidP="00956134">
      <w:pPr>
        <w:pStyle w:val="Legend"/>
        <w:keepNext/>
      </w:pPr>
      <w:r>
        <w:lastRenderedPageBreak/>
        <w:t xml:space="preserve">Table </w:t>
      </w:r>
      <w:fldSimple w:instr=" SEQ Table \* ARABIC ">
        <w:r>
          <w:rPr>
            <w:noProof/>
          </w:rPr>
          <w:t>11</w:t>
        </w:r>
      </w:fldSimple>
      <w:r>
        <w:t>:</w:t>
      </w:r>
    </w:p>
    <w:tbl>
      <w:tblPr>
        <w:tblW w:w="10078" w:type="dxa"/>
        <w:tblInd w:w="113" w:type="dxa"/>
        <w:tblLook w:val="04A0" w:firstRow="1" w:lastRow="0" w:firstColumn="1" w:lastColumn="0" w:noHBand="0" w:noVBand="1"/>
      </w:tblPr>
      <w:tblGrid>
        <w:gridCol w:w="2857"/>
        <w:gridCol w:w="1507"/>
        <w:gridCol w:w="1507"/>
        <w:gridCol w:w="1507"/>
        <w:gridCol w:w="2700"/>
      </w:tblGrid>
      <w:tr w:rsidR="00956134" w:rsidRPr="002307CE" w14:paraId="137D348D" w14:textId="77777777" w:rsidTr="009B0D10">
        <w:trPr>
          <w:trHeight w:val="407"/>
        </w:trPr>
        <w:tc>
          <w:tcPr>
            <w:tcW w:w="2857"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2C0B2F44" w14:textId="77777777" w:rsidR="00956134" w:rsidRPr="002307CE" w:rsidRDefault="00956134" w:rsidP="009B0D10">
            <w:pPr>
              <w:spacing w:after="0" w:line="240" w:lineRule="auto"/>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STC</w:t>
            </w:r>
          </w:p>
        </w:tc>
        <w:tc>
          <w:tcPr>
            <w:tcW w:w="1507" w:type="dxa"/>
            <w:tcBorders>
              <w:top w:val="single" w:sz="4" w:space="0" w:color="auto"/>
              <w:left w:val="nil"/>
              <w:bottom w:val="single" w:sz="4" w:space="0" w:color="auto"/>
              <w:right w:val="single" w:sz="4" w:space="0" w:color="auto"/>
            </w:tcBorders>
            <w:shd w:val="clear" w:color="000000" w:fill="00B0F0"/>
            <w:noWrap/>
            <w:vAlign w:val="bottom"/>
            <w:hideMark/>
          </w:tcPr>
          <w:p w14:paraId="44210950"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2016</w:t>
            </w:r>
          </w:p>
        </w:tc>
        <w:tc>
          <w:tcPr>
            <w:tcW w:w="1507" w:type="dxa"/>
            <w:tcBorders>
              <w:top w:val="single" w:sz="4" w:space="0" w:color="auto"/>
              <w:left w:val="nil"/>
              <w:bottom w:val="single" w:sz="4" w:space="0" w:color="auto"/>
              <w:right w:val="single" w:sz="4" w:space="0" w:color="auto"/>
            </w:tcBorders>
            <w:shd w:val="clear" w:color="000000" w:fill="00B0F0"/>
            <w:noWrap/>
            <w:vAlign w:val="bottom"/>
            <w:hideMark/>
          </w:tcPr>
          <w:p w14:paraId="426F1216"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2017</w:t>
            </w:r>
          </w:p>
        </w:tc>
        <w:tc>
          <w:tcPr>
            <w:tcW w:w="1507" w:type="dxa"/>
            <w:tcBorders>
              <w:top w:val="single" w:sz="4" w:space="0" w:color="auto"/>
              <w:left w:val="nil"/>
              <w:bottom w:val="single" w:sz="4" w:space="0" w:color="auto"/>
              <w:right w:val="single" w:sz="4" w:space="0" w:color="auto"/>
            </w:tcBorders>
            <w:shd w:val="clear" w:color="000000" w:fill="00B0F0"/>
            <w:noWrap/>
            <w:vAlign w:val="bottom"/>
            <w:hideMark/>
          </w:tcPr>
          <w:p w14:paraId="3A15AF88"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2018</w:t>
            </w:r>
          </w:p>
        </w:tc>
        <w:tc>
          <w:tcPr>
            <w:tcW w:w="2700" w:type="dxa"/>
            <w:tcBorders>
              <w:top w:val="single" w:sz="4" w:space="0" w:color="auto"/>
              <w:left w:val="nil"/>
              <w:bottom w:val="single" w:sz="4" w:space="0" w:color="auto"/>
              <w:right w:val="single" w:sz="4" w:space="0" w:color="auto"/>
            </w:tcBorders>
            <w:shd w:val="clear" w:color="000000" w:fill="00B0F0"/>
            <w:noWrap/>
            <w:vAlign w:val="bottom"/>
            <w:hideMark/>
          </w:tcPr>
          <w:p w14:paraId="6CFBD091" w14:textId="77777777" w:rsidR="00956134" w:rsidRPr="002307CE" w:rsidRDefault="00956134" w:rsidP="009B0D10">
            <w:pPr>
              <w:spacing w:after="0" w:line="240" w:lineRule="auto"/>
              <w:rPr>
                <w:rFonts w:ascii="Calibri" w:eastAsia="Times New Roman" w:hAnsi="Calibri" w:cs="Times New Roman"/>
                <w:color w:val="000000"/>
                <w:sz w:val="18"/>
                <w:szCs w:val="18"/>
                <w:lang w:eastAsia="en-GB"/>
              </w:rPr>
            </w:pPr>
            <w:r w:rsidRPr="002307CE">
              <w:rPr>
                <w:rFonts w:ascii="Calibri" w:eastAsia="Times New Roman" w:hAnsi="Calibri" w:cs="Times New Roman"/>
                <w:color w:val="000000"/>
                <w:sz w:val="18"/>
                <w:szCs w:val="18"/>
                <w:lang w:eastAsia="en-GB"/>
              </w:rPr>
              <w:t>CORREL WITH LCR</w:t>
            </w:r>
          </w:p>
        </w:tc>
      </w:tr>
      <w:tr w:rsidR="00956134" w:rsidRPr="002307CE" w14:paraId="150F7CD7" w14:textId="77777777" w:rsidTr="009B0D10">
        <w:trPr>
          <w:trHeight w:val="407"/>
        </w:trPr>
        <w:tc>
          <w:tcPr>
            <w:tcW w:w="2857" w:type="dxa"/>
            <w:tcBorders>
              <w:top w:val="nil"/>
              <w:left w:val="single" w:sz="4" w:space="0" w:color="auto"/>
              <w:bottom w:val="single" w:sz="4" w:space="0" w:color="auto"/>
              <w:right w:val="single" w:sz="4" w:space="0" w:color="auto"/>
            </w:tcBorders>
            <w:shd w:val="clear" w:color="000000" w:fill="F4B084"/>
            <w:noWrap/>
            <w:vAlign w:val="bottom"/>
            <w:hideMark/>
          </w:tcPr>
          <w:p w14:paraId="4555D206" w14:textId="77777777" w:rsidR="00956134" w:rsidRPr="002307CE" w:rsidRDefault="00956134" w:rsidP="009B0D10">
            <w:pPr>
              <w:spacing w:after="0" w:line="240" w:lineRule="auto"/>
              <w:rPr>
                <w:rFonts w:ascii="Calibri" w:eastAsia="Times New Roman" w:hAnsi="Calibri" w:cs="Times New Roman"/>
                <w:color w:val="000000"/>
                <w:sz w:val="18"/>
                <w:szCs w:val="18"/>
                <w:lang w:eastAsia="en-GB"/>
              </w:rPr>
            </w:pPr>
            <w:r w:rsidRPr="002307CE">
              <w:rPr>
                <w:rFonts w:ascii="Calibri" w:eastAsia="Times New Roman" w:hAnsi="Calibri" w:cs="Times New Roman"/>
                <w:color w:val="000000"/>
                <w:sz w:val="18"/>
                <w:szCs w:val="18"/>
                <w:lang w:eastAsia="en-GB"/>
              </w:rPr>
              <w:t>CHANGE IN LCR</w:t>
            </w:r>
          </w:p>
        </w:tc>
        <w:tc>
          <w:tcPr>
            <w:tcW w:w="1507" w:type="dxa"/>
            <w:tcBorders>
              <w:top w:val="nil"/>
              <w:left w:val="nil"/>
              <w:bottom w:val="single" w:sz="4" w:space="0" w:color="auto"/>
              <w:right w:val="single" w:sz="4" w:space="0" w:color="auto"/>
            </w:tcBorders>
            <w:shd w:val="clear" w:color="000000" w:fill="F4B084"/>
            <w:noWrap/>
            <w:vAlign w:val="bottom"/>
            <w:hideMark/>
          </w:tcPr>
          <w:p w14:paraId="086710FE"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-10%</w:t>
            </w:r>
          </w:p>
        </w:tc>
        <w:tc>
          <w:tcPr>
            <w:tcW w:w="1507" w:type="dxa"/>
            <w:tcBorders>
              <w:top w:val="nil"/>
              <w:left w:val="nil"/>
              <w:bottom w:val="single" w:sz="4" w:space="0" w:color="auto"/>
              <w:right w:val="single" w:sz="4" w:space="0" w:color="auto"/>
            </w:tcBorders>
            <w:shd w:val="clear" w:color="000000" w:fill="F4B084"/>
            <w:noWrap/>
            <w:vAlign w:val="bottom"/>
            <w:hideMark/>
          </w:tcPr>
          <w:p w14:paraId="75038775"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6%</w:t>
            </w:r>
          </w:p>
        </w:tc>
        <w:tc>
          <w:tcPr>
            <w:tcW w:w="1507" w:type="dxa"/>
            <w:tcBorders>
              <w:top w:val="nil"/>
              <w:left w:val="nil"/>
              <w:bottom w:val="single" w:sz="4" w:space="0" w:color="auto"/>
              <w:right w:val="single" w:sz="4" w:space="0" w:color="auto"/>
            </w:tcBorders>
            <w:shd w:val="clear" w:color="000000" w:fill="F4B084"/>
            <w:noWrap/>
            <w:vAlign w:val="bottom"/>
            <w:hideMark/>
          </w:tcPr>
          <w:p w14:paraId="237093A2"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5%</w:t>
            </w:r>
          </w:p>
        </w:tc>
        <w:tc>
          <w:tcPr>
            <w:tcW w:w="2700" w:type="dxa"/>
            <w:tcBorders>
              <w:top w:val="nil"/>
              <w:left w:val="nil"/>
              <w:bottom w:val="single" w:sz="4" w:space="0" w:color="auto"/>
              <w:right w:val="single" w:sz="4" w:space="0" w:color="auto"/>
            </w:tcBorders>
            <w:shd w:val="clear" w:color="000000" w:fill="F4B084"/>
            <w:noWrap/>
            <w:vAlign w:val="bottom"/>
            <w:hideMark/>
          </w:tcPr>
          <w:p w14:paraId="30DC78B5" w14:textId="77777777" w:rsidR="00956134" w:rsidRPr="002307CE" w:rsidRDefault="00956134" w:rsidP="009B0D10">
            <w:pPr>
              <w:spacing w:after="0" w:line="240" w:lineRule="auto"/>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 </w:t>
            </w:r>
          </w:p>
        </w:tc>
      </w:tr>
      <w:tr w:rsidR="00956134" w:rsidRPr="002307CE" w14:paraId="772D950B" w14:textId="77777777" w:rsidTr="009B0D10">
        <w:trPr>
          <w:trHeight w:val="407"/>
        </w:trPr>
        <w:tc>
          <w:tcPr>
            <w:tcW w:w="2857" w:type="dxa"/>
            <w:tcBorders>
              <w:top w:val="nil"/>
              <w:left w:val="single" w:sz="4" w:space="0" w:color="auto"/>
              <w:bottom w:val="single" w:sz="4" w:space="0" w:color="auto"/>
              <w:right w:val="single" w:sz="4" w:space="0" w:color="auto"/>
            </w:tcBorders>
            <w:shd w:val="clear" w:color="000000" w:fill="F4B084"/>
            <w:noWrap/>
            <w:vAlign w:val="bottom"/>
            <w:hideMark/>
          </w:tcPr>
          <w:p w14:paraId="0E3509B8" w14:textId="77777777" w:rsidR="00956134" w:rsidRPr="002307CE" w:rsidRDefault="00956134" w:rsidP="009B0D10">
            <w:pPr>
              <w:spacing w:after="0" w:line="240" w:lineRule="auto"/>
              <w:rPr>
                <w:rFonts w:ascii="Calibri" w:eastAsia="Times New Roman" w:hAnsi="Calibri" w:cs="Times New Roman"/>
                <w:color w:val="000000"/>
                <w:sz w:val="18"/>
                <w:szCs w:val="18"/>
                <w:lang w:eastAsia="en-GB"/>
              </w:rPr>
            </w:pPr>
            <w:r w:rsidRPr="002307CE">
              <w:rPr>
                <w:rFonts w:ascii="Calibri" w:eastAsia="Times New Roman" w:hAnsi="Calibri" w:cs="Times New Roman"/>
                <w:color w:val="000000"/>
                <w:sz w:val="18"/>
                <w:szCs w:val="18"/>
                <w:lang w:eastAsia="en-GB"/>
              </w:rPr>
              <w:t>CHANGE IN L/D</w:t>
            </w:r>
          </w:p>
        </w:tc>
        <w:tc>
          <w:tcPr>
            <w:tcW w:w="1507" w:type="dxa"/>
            <w:tcBorders>
              <w:top w:val="nil"/>
              <w:left w:val="nil"/>
              <w:bottom w:val="single" w:sz="4" w:space="0" w:color="auto"/>
              <w:right w:val="single" w:sz="4" w:space="0" w:color="auto"/>
            </w:tcBorders>
            <w:shd w:val="clear" w:color="000000" w:fill="F4B084"/>
            <w:noWrap/>
            <w:vAlign w:val="bottom"/>
            <w:hideMark/>
          </w:tcPr>
          <w:p w14:paraId="23C28182"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-28%</w:t>
            </w:r>
          </w:p>
        </w:tc>
        <w:tc>
          <w:tcPr>
            <w:tcW w:w="1507" w:type="dxa"/>
            <w:tcBorders>
              <w:top w:val="nil"/>
              <w:left w:val="nil"/>
              <w:bottom w:val="single" w:sz="4" w:space="0" w:color="auto"/>
              <w:right w:val="single" w:sz="4" w:space="0" w:color="auto"/>
            </w:tcBorders>
            <w:shd w:val="clear" w:color="000000" w:fill="F4B084"/>
            <w:noWrap/>
            <w:vAlign w:val="bottom"/>
            <w:hideMark/>
          </w:tcPr>
          <w:p w14:paraId="77EF0B66"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28%</w:t>
            </w:r>
          </w:p>
        </w:tc>
        <w:tc>
          <w:tcPr>
            <w:tcW w:w="1507" w:type="dxa"/>
            <w:tcBorders>
              <w:top w:val="nil"/>
              <w:left w:val="nil"/>
              <w:bottom w:val="single" w:sz="4" w:space="0" w:color="auto"/>
              <w:right w:val="single" w:sz="4" w:space="0" w:color="auto"/>
            </w:tcBorders>
            <w:shd w:val="clear" w:color="000000" w:fill="F4B084"/>
            <w:noWrap/>
            <w:vAlign w:val="bottom"/>
            <w:hideMark/>
          </w:tcPr>
          <w:p w14:paraId="28954A95"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-3%</w:t>
            </w:r>
          </w:p>
        </w:tc>
        <w:tc>
          <w:tcPr>
            <w:tcW w:w="2700" w:type="dxa"/>
            <w:tcBorders>
              <w:top w:val="nil"/>
              <w:left w:val="nil"/>
              <w:bottom w:val="single" w:sz="4" w:space="0" w:color="auto"/>
              <w:right w:val="single" w:sz="4" w:space="0" w:color="auto"/>
            </w:tcBorders>
            <w:shd w:val="clear" w:color="000000" w:fill="F4B084"/>
            <w:noWrap/>
            <w:vAlign w:val="bottom"/>
            <w:hideMark/>
          </w:tcPr>
          <w:p w14:paraId="025AF9CB"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86%</w:t>
            </w:r>
          </w:p>
        </w:tc>
      </w:tr>
      <w:tr w:rsidR="00956134" w:rsidRPr="002307CE" w14:paraId="5EA52D93" w14:textId="77777777" w:rsidTr="009B0D10">
        <w:trPr>
          <w:trHeight w:val="407"/>
        </w:trPr>
        <w:tc>
          <w:tcPr>
            <w:tcW w:w="2857" w:type="dxa"/>
            <w:tcBorders>
              <w:top w:val="nil"/>
              <w:left w:val="single" w:sz="4" w:space="0" w:color="auto"/>
              <w:bottom w:val="single" w:sz="4" w:space="0" w:color="auto"/>
              <w:right w:val="single" w:sz="4" w:space="0" w:color="auto"/>
            </w:tcBorders>
            <w:shd w:val="clear" w:color="000000" w:fill="F4B084"/>
            <w:noWrap/>
            <w:vAlign w:val="bottom"/>
            <w:hideMark/>
          </w:tcPr>
          <w:p w14:paraId="2ABBBEF6" w14:textId="77777777" w:rsidR="00956134" w:rsidRPr="002307CE" w:rsidRDefault="00956134" w:rsidP="009B0D10">
            <w:pPr>
              <w:spacing w:after="0" w:line="240" w:lineRule="auto"/>
              <w:rPr>
                <w:rFonts w:ascii="Calibri" w:eastAsia="Times New Roman" w:hAnsi="Calibri" w:cs="Times New Roman"/>
                <w:color w:val="000000"/>
                <w:sz w:val="18"/>
                <w:szCs w:val="18"/>
                <w:lang w:eastAsia="en-GB"/>
              </w:rPr>
            </w:pPr>
            <w:r w:rsidRPr="002307CE">
              <w:rPr>
                <w:rFonts w:ascii="Calibri" w:eastAsia="Times New Roman" w:hAnsi="Calibri" w:cs="Times New Roman"/>
                <w:color w:val="000000"/>
                <w:sz w:val="18"/>
                <w:szCs w:val="18"/>
                <w:lang w:eastAsia="en-GB"/>
              </w:rPr>
              <w:t>CHANGE IN C/I RATIO</w:t>
            </w:r>
          </w:p>
        </w:tc>
        <w:tc>
          <w:tcPr>
            <w:tcW w:w="1507" w:type="dxa"/>
            <w:tcBorders>
              <w:top w:val="nil"/>
              <w:left w:val="nil"/>
              <w:bottom w:val="single" w:sz="4" w:space="0" w:color="auto"/>
              <w:right w:val="single" w:sz="4" w:space="0" w:color="auto"/>
            </w:tcBorders>
            <w:shd w:val="clear" w:color="000000" w:fill="F4B084"/>
            <w:noWrap/>
            <w:vAlign w:val="bottom"/>
            <w:hideMark/>
          </w:tcPr>
          <w:p w14:paraId="7F99A66D"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-1%</w:t>
            </w:r>
          </w:p>
        </w:tc>
        <w:tc>
          <w:tcPr>
            <w:tcW w:w="1507" w:type="dxa"/>
            <w:tcBorders>
              <w:top w:val="nil"/>
              <w:left w:val="nil"/>
              <w:bottom w:val="single" w:sz="4" w:space="0" w:color="auto"/>
              <w:right w:val="single" w:sz="4" w:space="0" w:color="auto"/>
            </w:tcBorders>
            <w:shd w:val="clear" w:color="000000" w:fill="F4B084"/>
            <w:noWrap/>
            <w:vAlign w:val="bottom"/>
            <w:hideMark/>
          </w:tcPr>
          <w:p w14:paraId="4492933E"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-1%</w:t>
            </w:r>
          </w:p>
        </w:tc>
        <w:tc>
          <w:tcPr>
            <w:tcW w:w="1507" w:type="dxa"/>
            <w:tcBorders>
              <w:top w:val="nil"/>
              <w:left w:val="nil"/>
              <w:bottom w:val="single" w:sz="4" w:space="0" w:color="auto"/>
              <w:right w:val="single" w:sz="4" w:space="0" w:color="auto"/>
            </w:tcBorders>
            <w:shd w:val="clear" w:color="000000" w:fill="F4B084"/>
            <w:noWrap/>
            <w:vAlign w:val="bottom"/>
            <w:hideMark/>
          </w:tcPr>
          <w:p w14:paraId="46277DE0"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9%</w:t>
            </w:r>
          </w:p>
        </w:tc>
        <w:tc>
          <w:tcPr>
            <w:tcW w:w="2700" w:type="dxa"/>
            <w:tcBorders>
              <w:top w:val="nil"/>
              <w:left w:val="nil"/>
              <w:bottom w:val="single" w:sz="4" w:space="0" w:color="auto"/>
              <w:right w:val="single" w:sz="4" w:space="0" w:color="auto"/>
            </w:tcBorders>
            <w:shd w:val="clear" w:color="000000" w:fill="F4B084"/>
            <w:noWrap/>
            <w:vAlign w:val="bottom"/>
            <w:hideMark/>
          </w:tcPr>
          <w:p w14:paraId="7414D7BC"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45%</w:t>
            </w:r>
          </w:p>
        </w:tc>
      </w:tr>
      <w:tr w:rsidR="00956134" w:rsidRPr="002307CE" w14:paraId="065A8DA6" w14:textId="77777777" w:rsidTr="009B0D10">
        <w:trPr>
          <w:trHeight w:val="407"/>
        </w:trPr>
        <w:tc>
          <w:tcPr>
            <w:tcW w:w="2857" w:type="dxa"/>
            <w:tcBorders>
              <w:top w:val="nil"/>
              <w:left w:val="single" w:sz="4" w:space="0" w:color="auto"/>
              <w:bottom w:val="single" w:sz="4" w:space="0" w:color="auto"/>
              <w:right w:val="single" w:sz="4" w:space="0" w:color="auto"/>
            </w:tcBorders>
            <w:shd w:val="clear" w:color="000000" w:fill="F4B084"/>
            <w:noWrap/>
            <w:vAlign w:val="bottom"/>
            <w:hideMark/>
          </w:tcPr>
          <w:p w14:paraId="01D237FF" w14:textId="77777777" w:rsidR="00956134" w:rsidRPr="002307CE" w:rsidRDefault="00956134" w:rsidP="009B0D10">
            <w:pPr>
              <w:spacing w:after="0" w:line="240" w:lineRule="auto"/>
              <w:rPr>
                <w:rFonts w:ascii="Calibri" w:eastAsia="Times New Roman" w:hAnsi="Calibri" w:cs="Times New Roman"/>
                <w:color w:val="000000"/>
                <w:sz w:val="18"/>
                <w:szCs w:val="18"/>
                <w:lang w:eastAsia="en-GB"/>
              </w:rPr>
            </w:pPr>
            <w:r w:rsidRPr="002307CE">
              <w:rPr>
                <w:rFonts w:ascii="Calibri" w:eastAsia="Times New Roman" w:hAnsi="Calibri" w:cs="Times New Roman"/>
                <w:color w:val="000000"/>
                <w:sz w:val="18"/>
                <w:szCs w:val="18"/>
                <w:lang w:eastAsia="en-GB"/>
              </w:rPr>
              <w:t>CHANGE IN ROE</w:t>
            </w:r>
          </w:p>
        </w:tc>
        <w:tc>
          <w:tcPr>
            <w:tcW w:w="1507" w:type="dxa"/>
            <w:tcBorders>
              <w:top w:val="nil"/>
              <w:left w:val="nil"/>
              <w:bottom w:val="single" w:sz="4" w:space="0" w:color="auto"/>
              <w:right w:val="single" w:sz="4" w:space="0" w:color="auto"/>
            </w:tcBorders>
            <w:shd w:val="clear" w:color="000000" w:fill="F4B084"/>
            <w:noWrap/>
            <w:vAlign w:val="bottom"/>
            <w:hideMark/>
          </w:tcPr>
          <w:p w14:paraId="78BAF212"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-25%</w:t>
            </w:r>
          </w:p>
        </w:tc>
        <w:tc>
          <w:tcPr>
            <w:tcW w:w="1507" w:type="dxa"/>
            <w:tcBorders>
              <w:top w:val="nil"/>
              <w:left w:val="nil"/>
              <w:bottom w:val="single" w:sz="4" w:space="0" w:color="auto"/>
              <w:right w:val="single" w:sz="4" w:space="0" w:color="auto"/>
            </w:tcBorders>
            <w:shd w:val="clear" w:color="000000" w:fill="F4B084"/>
            <w:noWrap/>
            <w:vAlign w:val="bottom"/>
            <w:hideMark/>
          </w:tcPr>
          <w:p w14:paraId="36E5A4D6"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1067%</w:t>
            </w:r>
          </w:p>
        </w:tc>
        <w:tc>
          <w:tcPr>
            <w:tcW w:w="1507" w:type="dxa"/>
            <w:tcBorders>
              <w:top w:val="nil"/>
              <w:left w:val="nil"/>
              <w:bottom w:val="single" w:sz="4" w:space="0" w:color="auto"/>
              <w:right w:val="single" w:sz="4" w:space="0" w:color="auto"/>
            </w:tcBorders>
            <w:shd w:val="clear" w:color="000000" w:fill="F4B084"/>
            <w:noWrap/>
            <w:vAlign w:val="bottom"/>
            <w:hideMark/>
          </w:tcPr>
          <w:p w14:paraId="22F17FBC"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31%</w:t>
            </w:r>
          </w:p>
        </w:tc>
        <w:tc>
          <w:tcPr>
            <w:tcW w:w="2700" w:type="dxa"/>
            <w:tcBorders>
              <w:top w:val="nil"/>
              <w:left w:val="nil"/>
              <w:bottom w:val="single" w:sz="4" w:space="0" w:color="auto"/>
              <w:right w:val="single" w:sz="4" w:space="0" w:color="auto"/>
            </w:tcBorders>
            <w:shd w:val="clear" w:color="000000" w:fill="F4B084"/>
            <w:noWrap/>
            <w:vAlign w:val="bottom"/>
            <w:hideMark/>
          </w:tcPr>
          <w:p w14:paraId="25BE088B" w14:textId="77777777" w:rsidR="00956134" w:rsidRPr="002307CE" w:rsidRDefault="00956134" w:rsidP="009B0D10">
            <w:pPr>
              <w:spacing w:after="0" w:line="240" w:lineRule="auto"/>
              <w:jc w:val="right"/>
              <w:rPr>
                <w:rFonts w:ascii="Calibri" w:eastAsia="Times New Roman" w:hAnsi="Calibri" w:cs="Times New Roman"/>
                <w:color w:val="000000"/>
                <w:lang w:eastAsia="en-GB"/>
              </w:rPr>
            </w:pPr>
            <w:r w:rsidRPr="002307CE">
              <w:rPr>
                <w:rFonts w:ascii="Calibri" w:eastAsia="Times New Roman" w:hAnsi="Calibri" w:cs="Times New Roman"/>
                <w:color w:val="000000"/>
                <w:lang w:eastAsia="en-GB"/>
              </w:rPr>
              <w:t>59%</w:t>
            </w:r>
          </w:p>
        </w:tc>
      </w:tr>
    </w:tbl>
    <w:p w14:paraId="5AF8C1EA" w14:textId="77777777" w:rsidR="00956134" w:rsidRDefault="00956134" w:rsidP="00956134">
      <w:pPr>
        <w:rPr>
          <w:rFonts w:ascii="Times New Roman" w:hAnsi="Times New Roman" w:cs="Times New Roman"/>
          <w:sz w:val="24"/>
          <w:szCs w:val="24"/>
        </w:rPr>
      </w:pPr>
    </w:p>
    <w:p w14:paraId="14341915"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When it comes to the financial intermediate role of the Standard Charted Bank, the change tier 1 capital has a strong negative correlation with lending and deposit from and to both customers and banks which means that in cased of this bank the increase in Tier 1 capital strongly affects the bank’s performance in their financial intermediary role:</w:t>
      </w:r>
    </w:p>
    <w:p w14:paraId="2DB303C3" w14:textId="77777777" w:rsidR="00956134" w:rsidRDefault="00956134" w:rsidP="00956134">
      <w:pPr>
        <w:pStyle w:val="Legend"/>
        <w:keepNext/>
      </w:pPr>
      <w:r>
        <w:t xml:space="preserve">Table </w:t>
      </w:r>
      <w:fldSimple w:instr=" SEQ Table \* ARABIC ">
        <w:r>
          <w:rPr>
            <w:noProof/>
          </w:rPr>
          <w:t>12</w:t>
        </w:r>
      </w:fldSimple>
      <w:r>
        <w:t>:</w:t>
      </w:r>
    </w:p>
    <w:tbl>
      <w:tblPr>
        <w:tblW w:w="9599" w:type="dxa"/>
        <w:tblInd w:w="113" w:type="dxa"/>
        <w:tblLook w:val="04A0" w:firstRow="1" w:lastRow="0" w:firstColumn="1" w:lastColumn="0" w:noHBand="0" w:noVBand="1"/>
      </w:tblPr>
      <w:tblGrid>
        <w:gridCol w:w="1630"/>
        <w:gridCol w:w="1449"/>
        <w:gridCol w:w="1449"/>
        <w:gridCol w:w="1449"/>
        <w:gridCol w:w="1871"/>
        <w:gridCol w:w="1751"/>
      </w:tblGrid>
      <w:tr w:rsidR="00956134" w:rsidRPr="009D6D7E" w14:paraId="719691AC" w14:textId="77777777" w:rsidTr="009B0D10">
        <w:trPr>
          <w:trHeight w:val="629"/>
        </w:trPr>
        <w:tc>
          <w:tcPr>
            <w:tcW w:w="163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47A40E1B" w14:textId="77777777" w:rsidR="00956134" w:rsidRPr="009D6D7E" w:rsidRDefault="00956134" w:rsidP="009B0D10">
            <w:pPr>
              <w:spacing w:after="0" w:line="240" w:lineRule="auto"/>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STC</w:t>
            </w:r>
          </w:p>
        </w:tc>
        <w:tc>
          <w:tcPr>
            <w:tcW w:w="1449" w:type="dxa"/>
            <w:tcBorders>
              <w:top w:val="single" w:sz="4" w:space="0" w:color="auto"/>
              <w:left w:val="nil"/>
              <w:bottom w:val="single" w:sz="4" w:space="0" w:color="auto"/>
              <w:right w:val="single" w:sz="4" w:space="0" w:color="auto"/>
            </w:tcBorders>
            <w:shd w:val="clear" w:color="000000" w:fill="00B0F0"/>
            <w:noWrap/>
            <w:vAlign w:val="bottom"/>
            <w:hideMark/>
          </w:tcPr>
          <w:p w14:paraId="7BBDF979"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2018</w:t>
            </w:r>
          </w:p>
        </w:tc>
        <w:tc>
          <w:tcPr>
            <w:tcW w:w="1449" w:type="dxa"/>
            <w:tcBorders>
              <w:top w:val="single" w:sz="4" w:space="0" w:color="auto"/>
              <w:left w:val="nil"/>
              <w:bottom w:val="single" w:sz="4" w:space="0" w:color="auto"/>
              <w:right w:val="single" w:sz="4" w:space="0" w:color="auto"/>
            </w:tcBorders>
            <w:shd w:val="clear" w:color="000000" w:fill="00B0F0"/>
            <w:noWrap/>
            <w:vAlign w:val="bottom"/>
            <w:hideMark/>
          </w:tcPr>
          <w:p w14:paraId="421884BA"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2017</w:t>
            </w:r>
          </w:p>
        </w:tc>
        <w:tc>
          <w:tcPr>
            <w:tcW w:w="1449" w:type="dxa"/>
            <w:tcBorders>
              <w:top w:val="single" w:sz="4" w:space="0" w:color="auto"/>
              <w:left w:val="nil"/>
              <w:bottom w:val="single" w:sz="4" w:space="0" w:color="auto"/>
              <w:right w:val="single" w:sz="4" w:space="0" w:color="auto"/>
            </w:tcBorders>
            <w:shd w:val="clear" w:color="000000" w:fill="00B0F0"/>
            <w:noWrap/>
            <w:vAlign w:val="bottom"/>
            <w:hideMark/>
          </w:tcPr>
          <w:p w14:paraId="41A8B175"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2016</w:t>
            </w:r>
          </w:p>
        </w:tc>
        <w:tc>
          <w:tcPr>
            <w:tcW w:w="1871" w:type="dxa"/>
            <w:tcBorders>
              <w:top w:val="single" w:sz="4" w:space="0" w:color="auto"/>
              <w:left w:val="nil"/>
              <w:bottom w:val="single" w:sz="4" w:space="0" w:color="auto"/>
              <w:right w:val="single" w:sz="4" w:space="0" w:color="auto"/>
            </w:tcBorders>
            <w:shd w:val="clear" w:color="000000" w:fill="00B0F0"/>
            <w:noWrap/>
            <w:vAlign w:val="bottom"/>
            <w:hideMark/>
          </w:tcPr>
          <w:p w14:paraId="7FAC9FD4"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2015</w:t>
            </w:r>
          </w:p>
        </w:tc>
        <w:tc>
          <w:tcPr>
            <w:tcW w:w="1751" w:type="dxa"/>
            <w:tcBorders>
              <w:top w:val="single" w:sz="4" w:space="0" w:color="auto"/>
              <w:left w:val="nil"/>
              <w:bottom w:val="single" w:sz="4" w:space="0" w:color="auto"/>
              <w:right w:val="single" w:sz="4" w:space="0" w:color="auto"/>
            </w:tcBorders>
            <w:shd w:val="clear" w:color="000000" w:fill="00B0F0"/>
            <w:noWrap/>
            <w:vAlign w:val="bottom"/>
            <w:hideMark/>
          </w:tcPr>
          <w:p w14:paraId="1C7C8F6A" w14:textId="77777777" w:rsidR="00956134" w:rsidRPr="009D6D7E" w:rsidRDefault="00956134" w:rsidP="009B0D10">
            <w:pPr>
              <w:spacing w:after="0" w:line="240" w:lineRule="auto"/>
              <w:rPr>
                <w:rFonts w:ascii="Calibri" w:eastAsia="Times New Roman" w:hAnsi="Calibri" w:cs="Times New Roman"/>
                <w:color w:val="000000"/>
                <w:lang w:eastAsia="en-GB"/>
              </w:rPr>
            </w:pPr>
            <w:r w:rsidRPr="007A592D">
              <w:rPr>
                <w:rFonts w:ascii="Calibri" w:eastAsia="Times New Roman" w:hAnsi="Calibri" w:cs="Times New Roman"/>
                <w:color w:val="000000"/>
                <w:sz w:val="16"/>
                <w:szCs w:val="16"/>
                <w:lang w:eastAsia="en-GB"/>
              </w:rPr>
              <w:t xml:space="preserve">CORREL WITH </w:t>
            </w:r>
            <w:r>
              <w:rPr>
                <w:rFonts w:ascii="Calibri" w:eastAsia="Times New Roman" w:hAnsi="Calibri" w:cs="Times New Roman"/>
                <w:color w:val="000000"/>
                <w:sz w:val="16"/>
                <w:szCs w:val="16"/>
                <w:lang w:eastAsia="en-GB"/>
              </w:rPr>
              <w:t>TIER 1</w:t>
            </w:r>
          </w:p>
        </w:tc>
      </w:tr>
      <w:tr w:rsidR="00956134" w:rsidRPr="009D6D7E" w14:paraId="0D760F0D" w14:textId="77777777" w:rsidTr="009B0D10">
        <w:trPr>
          <w:trHeight w:val="629"/>
        </w:trPr>
        <w:tc>
          <w:tcPr>
            <w:tcW w:w="1630" w:type="dxa"/>
            <w:tcBorders>
              <w:top w:val="nil"/>
              <w:left w:val="single" w:sz="4" w:space="0" w:color="auto"/>
              <w:bottom w:val="single" w:sz="4" w:space="0" w:color="auto"/>
              <w:right w:val="single" w:sz="4" w:space="0" w:color="auto"/>
            </w:tcBorders>
            <w:shd w:val="clear" w:color="000000" w:fill="F4B084"/>
            <w:noWrap/>
            <w:vAlign w:val="bottom"/>
            <w:hideMark/>
          </w:tcPr>
          <w:p w14:paraId="385F6E38" w14:textId="77777777" w:rsidR="00956134" w:rsidRPr="009D6D7E"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sz w:val="18"/>
                <w:szCs w:val="18"/>
                <w:lang w:eastAsia="en-GB"/>
              </w:rPr>
              <w:t>CHANGE IN LOANS TO BANKS</w:t>
            </w:r>
          </w:p>
        </w:tc>
        <w:tc>
          <w:tcPr>
            <w:tcW w:w="1449" w:type="dxa"/>
            <w:tcBorders>
              <w:top w:val="nil"/>
              <w:left w:val="nil"/>
              <w:bottom w:val="single" w:sz="4" w:space="0" w:color="auto"/>
              <w:right w:val="single" w:sz="4" w:space="0" w:color="auto"/>
            </w:tcBorders>
            <w:shd w:val="clear" w:color="000000" w:fill="F4B084"/>
            <w:noWrap/>
            <w:vAlign w:val="bottom"/>
            <w:hideMark/>
          </w:tcPr>
          <w:p w14:paraId="40142233"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-21%</w:t>
            </w:r>
          </w:p>
        </w:tc>
        <w:tc>
          <w:tcPr>
            <w:tcW w:w="1449" w:type="dxa"/>
            <w:tcBorders>
              <w:top w:val="nil"/>
              <w:left w:val="nil"/>
              <w:bottom w:val="single" w:sz="4" w:space="0" w:color="auto"/>
              <w:right w:val="single" w:sz="4" w:space="0" w:color="auto"/>
            </w:tcBorders>
            <w:shd w:val="clear" w:color="000000" w:fill="F4B084"/>
            <w:noWrap/>
            <w:vAlign w:val="bottom"/>
            <w:hideMark/>
          </w:tcPr>
          <w:p w14:paraId="5F70DFC8"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520%</w:t>
            </w:r>
          </w:p>
        </w:tc>
        <w:tc>
          <w:tcPr>
            <w:tcW w:w="1449" w:type="dxa"/>
            <w:tcBorders>
              <w:top w:val="nil"/>
              <w:left w:val="nil"/>
              <w:bottom w:val="single" w:sz="4" w:space="0" w:color="auto"/>
              <w:right w:val="single" w:sz="4" w:space="0" w:color="auto"/>
            </w:tcBorders>
            <w:shd w:val="clear" w:color="000000" w:fill="F4B084"/>
            <w:noWrap/>
            <w:vAlign w:val="bottom"/>
            <w:hideMark/>
          </w:tcPr>
          <w:p w14:paraId="0845F305"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-80%</w:t>
            </w:r>
          </w:p>
        </w:tc>
        <w:tc>
          <w:tcPr>
            <w:tcW w:w="1871" w:type="dxa"/>
            <w:tcBorders>
              <w:top w:val="nil"/>
              <w:left w:val="nil"/>
              <w:bottom w:val="single" w:sz="4" w:space="0" w:color="auto"/>
              <w:right w:val="single" w:sz="4" w:space="0" w:color="auto"/>
            </w:tcBorders>
            <w:shd w:val="clear" w:color="000000" w:fill="F4B084"/>
            <w:noWrap/>
            <w:vAlign w:val="bottom"/>
            <w:hideMark/>
          </w:tcPr>
          <w:p w14:paraId="7E88C7DA"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-23%</w:t>
            </w:r>
          </w:p>
        </w:tc>
        <w:tc>
          <w:tcPr>
            <w:tcW w:w="1751" w:type="dxa"/>
            <w:tcBorders>
              <w:top w:val="nil"/>
              <w:left w:val="nil"/>
              <w:bottom w:val="single" w:sz="4" w:space="0" w:color="auto"/>
              <w:right w:val="single" w:sz="4" w:space="0" w:color="auto"/>
            </w:tcBorders>
            <w:shd w:val="clear" w:color="000000" w:fill="F4B084"/>
            <w:noWrap/>
            <w:vAlign w:val="bottom"/>
            <w:hideMark/>
          </w:tcPr>
          <w:p w14:paraId="6067E982"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-63%</w:t>
            </w:r>
          </w:p>
        </w:tc>
      </w:tr>
      <w:tr w:rsidR="00956134" w:rsidRPr="009D6D7E" w14:paraId="376E1258" w14:textId="77777777" w:rsidTr="009B0D10">
        <w:trPr>
          <w:trHeight w:val="629"/>
        </w:trPr>
        <w:tc>
          <w:tcPr>
            <w:tcW w:w="1630" w:type="dxa"/>
            <w:tcBorders>
              <w:top w:val="nil"/>
              <w:left w:val="single" w:sz="4" w:space="0" w:color="auto"/>
              <w:bottom w:val="single" w:sz="4" w:space="0" w:color="auto"/>
              <w:right w:val="single" w:sz="4" w:space="0" w:color="auto"/>
            </w:tcBorders>
            <w:shd w:val="clear" w:color="000000" w:fill="F4B084"/>
            <w:noWrap/>
            <w:vAlign w:val="bottom"/>
            <w:hideMark/>
          </w:tcPr>
          <w:p w14:paraId="052C0BA4" w14:textId="77777777" w:rsidR="00956134" w:rsidRPr="009D6D7E"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sz w:val="18"/>
                <w:szCs w:val="18"/>
                <w:lang w:eastAsia="en-GB"/>
              </w:rPr>
              <w:t>CANGE IN LOANS TO CUSTOMERS</w:t>
            </w:r>
          </w:p>
        </w:tc>
        <w:tc>
          <w:tcPr>
            <w:tcW w:w="1449" w:type="dxa"/>
            <w:tcBorders>
              <w:top w:val="nil"/>
              <w:left w:val="nil"/>
              <w:bottom w:val="single" w:sz="4" w:space="0" w:color="auto"/>
              <w:right w:val="single" w:sz="4" w:space="0" w:color="auto"/>
            </w:tcBorders>
            <w:shd w:val="clear" w:color="000000" w:fill="F4B084"/>
            <w:noWrap/>
            <w:vAlign w:val="bottom"/>
            <w:hideMark/>
          </w:tcPr>
          <w:p w14:paraId="05C7429C"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-9%</w:t>
            </w:r>
          </w:p>
        </w:tc>
        <w:tc>
          <w:tcPr>
            <w:tcW w:w="1449" w:type="dxa"/>
            <w:tcBorders>
              <w:top w:val="nil"/>
              <w:left w:val="nil"/>
              <w:bottom w:val="single" w:sz="4" w:space="0" w:color="auto"/>
              <w:right w:val="single" w:sz="4" w:space="0" w:color="auto"/>
            </w:tcBorders>
            <w:shd w:val="clear" w:color="000000" w:fill="F4B084"/>
            <w:noWrap/>
            <w:vAlign w:val="bottom"/>
            <w:hideMark/>
          </w:tcPr>
          <w:p w14:paraId="48531EB5"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12%</w:t>
            </w:r>
          </w:p>
        </w:tc>
        <w:tc>
          <w:tcPr>
            <w:tcW w:w="1449" w:type="dxa"/>
            <w:tcBorders>
              <w:top w:val="nil"/>
              <w:left w:val="nil"/>
              <w:bottom w:val="single" w:sz="4" w:space="0" w:color="auto"/>
              <w:right w:val="single" w:sz="4" w:space="0" w:color="auto"/>
            </w:tcBorders>
            <w:shd w:val="clear" w:color="000000" w:fill="F4B084"/>
            <w:noWrap/>
            <w:vAlign w:val="bottom"/>
            <w:hideMark/>
          </w:tcPr>
          <w:p w14:paraId="37CDDCE5"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w:t>
            </w:r>
          </w:p>
        </w:tc>
        <w:tc>
          <w:tcPr>
            <w:tcW w:w="1871" w:type="dxa"/>
            <w:tcBorders>
              <w:top w:val="nil"/>
              <w:left w:val="nil"/>
              <w:bottom w:val="single" w:sz="4" w:space="0" w:color="auto"/>
              <w:right w:val="single" w:sz="4" w:space="0" w:color="auto"/>
            </w:tcBorders>
            <w:shd w:val="clear" w:color="000000" w:fill="F4B084"/>
            <w:noWrap/>
            <w:vAlign w:val="bottom"/>
            <w:hideMark/>
          </w:tcPr>
          <w:p w14:paraId="6FA0208B"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-10%</w:t>
            </w:r>
          </w:p>
        </w:tc>
        <w:tc>
          <w:tcPr>
            <w:tcW w:w="1751" w:type="dxa"/>
            <w:tcBorders>
              <w:top w:val="nil"/>
              <w:left w:val="nil"/>
              <w:bottom w:val="single" w:sz="4" w:space="0" w:color="auto"/>
              <w:right w:val="single" w:sz="4" w:space="0" w:color="auto"/>
            </w:tcBorders>
            <w:shd w:val="clear" w:color="000000" w:fill="F4B084"/>
            <w:noWrap/>
            <w:vAlign w:val="bottom"/>
            <w:hideMark/>
          </w:tcPr>
          <w:p w14:paraId="6D0D6F27"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-68%</w:t>
            </w:r>
          </w:p>
        </w:tc>
      </w:tr>
      <w:tr w:rsidR="00956134" w:rsidRPr="009D6D7E" w14:paraId="587D3109" w14:textId="77777777" w:rsidTr="009B0D10">
        <w:trPr>
          <w:trHeight w:val="629"/>
        </w:trPr>
        <w:tc>
          <w:tcPr>
            <w:tcW w:w="1630" w:type="dxa"/>
            <w:tcBorders>
              <w:top w:val="nil"/>
              <w:left w:val="single" w:sz="4" w:space="0" w:color="auto"/>
              <w:bottom w:val="single" w:sz="4" w:space="0" w:color="auto"/>
              <w:right w:val="single" w:sz="4" w:space="0" w:color="auto"/>
            </w:tcBorders>
            <w:shd w:val="clear" w:color="000000" w:fill="F4B084"/>
            <w:noWrap/>
            <w:vAlign w:val="bottom"/>
            <w:hideMark/>
          </w:tcPr>
          <w:p w14:paraId="14C29875" w14:textId="77777777" w:rsidR="00956134" w:rsidRPr="009D6D7E"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sz w:val="18"/>
                <w:szCs w:val="18"/>
                <w:lang w:eastAsia="en-GB"/>
              </w:rPr>
              <w:t>CHANGE IN DEPOSITS FROM BANKS</w:t>
            </w:r>
          </w:p>
        </w:tc>
        <w:tc>
          <w:tcPr>
            <w:tcW w:w="1449" w:type="dxa"/>
            <w:tcBorders>
              <w:top w:val="nil"/>
              <w:left w:val="nil"/>
              <w:bottom w:val="single" w:sz="4" w:space="0" w:color="auto"/>
              <w:right w:val="single" w:sz="4" w:space="0" w:color="auto"/>
            </w:tcBorders>
            <w:shd w:val="clear" w:color="000000" w:fill="F4B084"/>
            <w:noWrap/>
            <w:vAlign w:val="bottom"/>
            <w:hideMark/>
          </w:tcPr>
          <w:p w14:paraId="085F75DB"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-4%</w:t>
            </w:r>
          </w:p>
        </w:tc>
        <w:tc>
          <w:tcPr>
            <w:tcW w:w="1449" w:type="dxa"/>
            <w:tcBorders>
              <w:top w:val="nil"/>
              <w:left w:val="nil"/>
              <w:bottom w:val="single" w:sz="4" w:space="0" w:color="auto"/>
              <w:right w:val="single" w:sz="4" w:space="0" w:color="auto"/>
            </w:tcBorders>
            <w:shd w:val="clear" w:color="000000" w:fill="F4B084"/>
            <w:noWrap/>
            <w:vAlign w:val="bottom"/>
            <w:hideMark/>
          </w:tcPr>
          <w:p w14:paraId="5139129F"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-16%</w:t>
            </w:r>
          </w:p>
        </w:tc>
        <w:tc>
          <w:tcPr>
            <w:tcW w:w="1449" w:type="dxa"/>
            <w:tcBorders>
              <w:top w:val="nil"/>
              <w:left w:val="nil"/>
              <w:bottom w:val="single" w:sz="4" w:space="0" w:color="auto"/>
              <w:right w:val="single" w:sz="4" w:space="0" w:color="auto"/>
            </w:tcBorders>
            <w:shd w:val="clear" w:color="000000" w:fill="F4B084"/>
            <w:noWrap/>
            <w:vAlign w:val="bottom"/>
            <w:hideMark/>
          </w:tcPr>
          <w:p w14:paraId="158C4338"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w:t>
            </w:r>
          </w:p>
        </w:tc>
        <w:tc>
          <w:tcPr>
            <w:tcW w:w="1871" w:type="dxa"/>
            <w:tcBorders>
              <w:top w:val="nil"/>
              <w:left w:val="nil"/>
              <w:bottom w:val="single" w:sz="4" w:space="0" w:color="auto"/>
              <w:right w:val="single" w:sz="4" w:space="0" w:color="auto"/>
            </w:tcBorders>
            <w:shd w:val="clear" w:color="000000" w:fill="F4B084"/>
            <w:noWrap/>
            <w:vAlign w:val="bottom"/>
            <w:hideMark/>
          </w:tcPr>
          <w:p w14:paraId="40FB6C92"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-31%</w:t>
            </w:r>
          </w:p>
        </w:tc>
        <w:tc>
          <w:tcPr>
            <w:tcW w:w="1751" w:type="dxa"/>
            <w:tcBorders>
              <w:top w:val="nil"/>
              <w:left w:val="nil"/>
              <w:bottom w:val="single" w:sz="4" w:space="0" w:color="auto"/>
              <w:right w:val="single" w:sz="4" w:space="0" w:color="auto"/>
            </w:tcBorders>
            <w:shd w:val="clear" w:color="000000" w:fill="F4B084"/>
            <w:noWrap/>
            <w:vAlign w:val="bottom"/>
            <w:hideMark/>
          </w:tcPr>
          <w:p w14:paraId="088103D8"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-62%</w:t>
            </w:r>
          </w:p>
        </w:tc>
      </w:tr>
      <w:tr w:rsidR="00956134" w:rsidRPr="009D6D7E" w14:paraId="21742AF4" w14:textId="77777777" w:rsidTr="009B0D10">
        <w:trPr>
          <w:trHeight w:val="629"/>
        </w:trPr>
        <w:tc>
          <w:tcPr>
            <w:tcW w:w="1630" w:type="dxa"/>
            <w:tcBorders>
              <w:top w:val="nil"/>
              <w:left w:val="single" w:sz="4" w:space="0" w:color="auto"/>
              <w:bottom w:val="single" w:sz="4" w:space="0" w:color="auto"/>
              <w:right w:val="single" w:sz="4" w:space="0" w:color="auto"/>
            </w:tcBorders>
            <w:shd w:val="clear" w:color="000000" w:fill="F4B084"/>
            <w:noWrap/>
            <w:vAlign w:val="bottom"/>
            <w:hideMark/>
          </w:tcPr>
          <w:p w14:paraId="55CF0F9E" w14:textId="77777777" w:rsidR="00956134" w:rsidRPr="009D6D7E"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sz w:val="18"/>
                <w:szCs w:val="18"/>
                <w:lang w:eastAsia="en-GB"/>
              </w:rPr>
              <w:t>CHANGE IN DEPOSITS FROM CUSTOMERS</w:t>
            </w:r>
          </w:p>
        </w:tc>
        <w:tc>
          <w:tcPr>
            <w:tcW w:w="1449" w:type="dxa"/>
            <w:tcBorders>
              <w:top w:val="nil"/>
              <w:left w:val="nil"/>
              <w:bottom w:val="single" w:sz="4" w:space="0" w:color="auto"/>
              <w:right w:val="single" w:sz="4" w:space="0" w:color="auto"/>
            </w:tcBorders>
            <w:shd w:val="clear" w:color="000000" w:fill="F4B084"/>
            <w:noWrap/>
            <w:vAlign w:val="bottom"/>
            <w:hideMark/>
          </w:tcPr>
          <w:p w14:paraId="03970914"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6%</w:t>
            </w:r>
          </w:p>
        </w:tc>
        <w:tc>
          <w:tcPr>
            <w:tcW w:w="1449" w:type="dxa"/>
            <w:tcBorders>
              <w:top w:val="nil"/>
              <w:left w:val="nil"/>
              <w:bottom w:val="single" w:sz="4" w:space="0" w:color="auto"/>
              <w:right w:val="single" w:sz="4" w:space="0" w:color="auto"/>
            </w:tcBorders>
            <w:shd w:val="clear" w:color="000000" w:fill="F4B084"/>
            <w:noWrap/>
            <w:vAlign w:val="bottom"/>
            <w:hideMark/>
          </w:tcPr>
          <w:p w14:paraId="5443EE39"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0%</w:t>
            </w:r>
          </w:p>
        </w:tc>
        <w:tc>
          <w:tcPr>
            <w:tcW w:w="1449" w:type="dxa"/>
            <w:tcBorders>
              <w:top w:val="nil"/>
              <w:left w:val="nil"/>
              <w:bottom w:val="single" w:sz="4" w:space="0" w:color="auto"/>
              <w:right w:val="single" w:sz="4" w:space="0" w:color="auto"/>
            </w:tcBorders>
            <w:shd w:val="clear" w:color="000000" w:fill="F4B084"/>
            <w:noWrap/>
            <w:vAlign w:val="bottom"/>
            <w:hideMark/>
          </w:tcPr>
          <w:p w14:paraId="4D16F61F"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6%</w:t>
            </w:r>
          </w:p>
        </w:tc>
        <w:tc>
          <w:tcPr>
            <w:tcW w:w="1871" w:type="dxa"/>
            <w:tcBorders>
              <w:top w:val="nil"/>
              <w:left w:val="nil"/>
              <w:bottom w:val="single" w:sz="4" w:space="0" w:color="auto"/>
              <w:right w:val="single" w:sz="4" w:space="0" w:color="auto"/>
            </w:tcBorders>
            <w:shd w:val="clear" w:color="000000" w:fill="F4B084"/>
            <w:noWrap/>
            <w:vAlign w:val="bottom"/>
            <w:hideMark/>
          </w:tcPr>
          <w:p w14:paraId="04ECCEF1"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-13%</w:t>
            </w:r>
          </w:p>
        </w:tc>
        <w:tc>
          <w:tcPr>
            <w:tcW w:w="1751" w:type="dxa"/>
            <w:tcBorders>
              <w:top w:val="nil"/>
              <w:left w:val="nil"/>
              <w:bottom w:val="single" w:sz="4" w:space="0" w:color="auto"/>
              <w:right w:val="single" w:sz="4" w:space="0" w:color="auto"/>
            </w:tcBorders>
            <w:shd w:val="clear" w:color="000000" w:fill="F4B084"/>
            <w:noWrap/>
            <w:vAlign w:val="bottom"/>
            <w:hideMark/>
          </w:tcPr>
          <w:p w14:paraId="0BCBB890"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-74%</w:t>
            </w:r>
          </w:p>
        </w:tc>
      </w:tr>
    </w:tbl>
    <w:p w14:paraId="00A0A6CA" w14:textId="77777777" w:rsidR="00956134" w:rsidRDefault="00956134" w:rsidP="00956134">
      <w:pPr>
        <w:rPr>
          <w:rFonts w:ascii="Times New Roman" w:hAnsi="Times New Roman" w:cs="Times New Roman"/>
          <w:sz w:val="24"/>
          <w:szCs w:val="24"/>
        </w:rPr>
      </w:pPr>
    </w:p>
    <w:p w14:paraId="2E2B4630"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The liquidity coverage ratio has a strong positive correlation with the loans to banks but a smaller positive correlation with loans to customers and strong negative correlation with deposits form banks and customers:</w:t>
      </w:r>
    </w:p>
    <w:p w14:paraId="4D3058C2" w14:textId="77777777" w:rsidR="00956134" w:rsidRDefault="00956134" w:rsidP="00956134">
      <w:pPr>
        <w:pStyle w:val="Legend"/>
        <w:keepNext/>
      </w:pPr>
      <w:r>
        <w:t xml:space="preserve">Table </w:t>
      </w:r>
      <w:fldSimple w:instr=" SEQ Table \* ARABIC ">
        <w:r>
          <w:rPr>
            <w:noProof/>
          </w:rPr>
          <w:t>13</w:t>
        </w:r>
      </w:fldSimple>
      <w:r>
        <w:t>:</w:t>
      </w:r>
    </w:p>
    <w:tbl>
      <w:tblPr>
        <w:tblW w:w="9773" w:type="dxa"/>
        <w:tblInd w:w="113" w:type="dxa"/>
        <w:tblLook w:val="04A0" w:firstRow="1" w:lastRow="0" w:firstColumn="1" w:lastColumn="0" w:noHBand="0" w:noVBand="1"/>
      </w:tblPr>
      <w:tblGrid>
        <w:gridCol w:w="2030"/>
        <w:gridCol w:w="1804"/>
        <w:gridCol w:w="1804"/>
        <w:gridCol w:w="1804"/>
        <w:gridCol w:w="2331"/>
      </w:tblGrid>
      <w:tr w:rsidR="00956134" w:rsidRPr="009D6D7E" w14:paraId="6ACE7F99" w14:textId="77777777" w:rsidTr="009B0D10">
        <w:trPr>
          <w:trHeight w:val="428"/>
        </w:trPr>
        <w:tc>
          <w:tcPr>
            <w:tcW w:w="203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52C9EE18" w14:textId="77777777" w:rsidR="00956134" w:rsidRPr="009D6D7E"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STC</w:t>
            </w:r>
          </w:p>
        </w:tc>
        <w:tc>
          <w:tcPr>
            <w:tcW w:w="1804" w:type="dxa"/>
            <w:tcBorders>
              <w:top w:val="single" w:sz="4" w:space="0" w:color="auto"/>
              <w:left w:val="nil"/>
              <w:bottom w:val="single" w:sz="4" w:space="0" w:color="auto"/>
              <w:right w:val="single" w:sz="4" w:space="0" w:color="auto"/>
            </w:tcBorders>
            <w:shd w:val="clear" w:color="000000" w:fill="00B0F0"/>
            <w:noWrap/>
            <w:vAlign w:val="bottom"/>
            <w:hideMark/>
          </w:tcPr>
          <w:p w14:paraId="27BFE82F"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2018</w:t>
            </w:r>
          </w:p>
        </w:tc>
        <w:tc>
          <w:tcPr>
            <w:tcW w:w="1804" w:type="dxa"/>
            <w:tcBorders>
              <w:top w:val="single" w:sz="4" w:space="0" w:color="auto"/>
              <w:left w:val="nil"/>
              <w:bottom w:val="single" w:sz="4" w:space="0" w:color="auto"/>
              <w:right w:val="single" w:sz="4" w:space="0" w:color="auto"/>
            </w:tcBorders>
            <w:shd w:val="clear" w:color="000000" w:fill="00B0F0"/>
            <w:noWrap/>
            <w:vAlign w:val="bottom"/>
            <w:hideMark/>
          </w:tcPr>
          <w:p w14:paraId="083B2845"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2017</w:t>
            </w:r>
          </w:p>
        </w:tc>
        <w:tc>
          <w:tcPr>
            <w:tcW w:w="1804" w:type="dxa"/>
            <w:tcBorders>
              <w:top w:val="single" w:sz="4" w:space="0" w:color="auto"/>
              <w:left w:val="nil"/>
              <w:bottom w:val="single" w:sz="4" w:space="0" w:color="auto"/>
              <w:right w:val="single" w:sz="4" w:space="0" w:color="auto"/>
            </w:tcBorders>
            <w:shd w:val="clear" w:color="000000" w:fill="00B0F0"/>
            <w:noWrap/>
            <w:vAlign w:val="bottom"/>
            <w:hideMark/>
          </w:tcPr>
          <w:p w14:paraId="6084A6B2"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2016</w:t>
            </w:r>
          </w:p>
        </w:tc>
        <w:tc>
          <w:tcPr>
            <w:tcW w:w="2331" w:type="dxa"/>
            <w:tcBorders>
              <w:top w:val="single" w:sz="4" w:space="0" w:color="auto"/>
              <w:left w:val="nil"/>
              <w:bottom w:val="single" w:sz="4" w:space="0" w:color="auto"/>
              <w:right w:val="single" w:sz="4" w:space="0" w:color="auto"/>
            </w:tcBorders>
            <w:shd w:val="clear" w:color="000000" w:fill="00B0F0"/>
            <w:noWrap/>
            <w:vAlign w:val="bottom"/>
            <w:hideMark/>
          </w:tcPr>
          <w:p w14:paraId="5BFBED61" w14:textId="77777777" w:rsidR="00956134" w:rsidRPr="009D6D7E" w:rsidRDefault="00956134" w:rsidP="009B0D10">
            <w:pPr>
              <w:spacing w:after="0" w:line="240" w:lineRule="auto"/>
              <w:rPr>
                <w:rFonts w:ascii="Calibri" w:eastAsia="Times New Roman" w:hAnsi="Calibri" w:cs="Times New Roman"/>
                <w:color w:val="000000"/>
                <w:sz w:val="16"/>
                <w:szCs w:val="16"/>
                <w:lang w:eastAsia="en-GB"/>
              </w:rPr>
            </w:pPr>
            <w:r w:rsidRPr="009D6D7E">
              <w:rPr>
                <w:rFonts w:ascii="Calibri" w:eastAsia="Times New Roman" w:hAnsi="Calibri" w:cs="Times New Roman"/>
                <w:color w:val="000000"/>
                <w:sz w:val="16"/>
                <w:szCs w:val="16"/>
                <w:lang w:eastAsia="en-GB"/>
              </w:rPr>
              <w:t>CORREL WITH LCR</w:t>
            </w:r>
          </w:p>
        </w:tc>
      </w:tr>
      <w:tr w:rsidR="00956134" w:rsidRPr="009D6D7E" w14:paraId="64A184FA" w14:textId="77777777" w:rsidTr="009B0D10">
        <w:trPr>
          <w:trHeight w:val="428"/>
        </w:trPr>
        <w:tc>
          <w:tcPr>
            <w:tcW w:w="2030" w:type="dxa"/>
            <w:tcBorders>
              <w:top w:val="nil"/>
              <w:left w:val="single" w:sz="4" w:space="0" w:color="auto"/>
              <w:bottom w:val="single" w:sz="4" w:space="0" w:color="auto"/>
              <w:right w:val="single" w:sz="4" w:space="0" w:color="auto"/>
            </w:tcBorders>
            <w:shd w:val="clear" w:color="000000" w:fill="F4B084"/>
            <w:noWrap/>
            <w:vAlign w:val="bottom"/>
            <w:hideMark/>
          </w:tcPr>
          <w:p w14:paraId="0F01F6DD" w14:textId="77777777" w:rsidR="00956134" w:rsidRPr="009D6D7E"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sz w:val="18"/>
                <w:szCs w:val="18"/>
                <w:lang w:eastAsia="en-GB"/>
              </w:rPr>
              <w:t>CHANGE IN LOANS TO BANKS</w:t>
            </w:r>
          </w:p>
        </w:tc>
        <w:tc>
          <w:tcPr>
            <w:tcW w:w="1804" w:type="dxa"/>
            <w:tcBorders>
              <w:top w:val="nil"/>
              <w:left w:val="nil"/>
              <w:bottom w:val="single" w:sz="4" w:space="0" w:color="auto"/>
              <w:right w:val="single" w:sz="4" w:space="0" w:color="auto"/>
            </w:tcBorders>
            <w:shd w:val="clear" w:color="000000" w:fill="F4B084"/>
            <w:noWrap/>
            <w:vAlign w:val="bottom"/>
            <w:hideMark/>
          </w:tcPr>
          <w:p w14:paraId="59682D83"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-21%</w:t>
            </w:r>
          </w:p>
        </w:tc>
        <w:tc>
          <w:tcPr>
            <w:tcW w:w="1804" w:type="dxa"/>
            <w:tcBorders>
              <w:top w:val="nil"/>
              <w:left w:val="nil"/>
              <w:bottom w:val="single" w:sz="4" w:space="0" w:color="auto"/>
              <w:right w:val="single" w:sz="4" w:space="0" w:color="auto"/>
            </w:tcBorders>
            <w:shd w:val="clear" w:color="000000" w:fill="F4B084"/>
            <w:noWrap/>
            <w:vAlign w:val="bottom"/>
            <w:hideMark/>
          </w:tcPr>
          <w:p w14:paraId="0CA6E165"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520%</w:t>
            </w:r>
          </w:p>
        </w:tc>
        <w:tc>
          <w:tcPr>
            <w:tcW w:w="1804" w:type="dxa"/>
            <w:tcBorders>
              <w:top w:val="nil"/>
              <w:left w:val="nil"/>
              <w:bottom w:val="single" w:sz="4" w:space="0" w:color="auto"/>
              <w:right w:val="single" w:sz="4" w:space="0" w:color="auto"/>
            </w:tcBorders>
            <w:shd w:val="clear" w:color="000000" w:fill="F4B084"/>
            <w:noWrap/>
            <w:vAlign w:val="bottom"/>
            <w:hideMark/>
          </w:tcPr>
          <w:p w14:paraId="79219B42"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-80%</w:t>
            </w:r>
          </w:p>
        </w:tc>
        <w:tc>
          <w:tcPr>
            <w:tcW w:w="2331" w:type="dxa"/>
            <w:tcBorders>
              <w:top w:val="nil"/>
              <w:left w:val="nil"/>
              <w:bottom w:val="single" w:sz="4" w:space="0" w:color="auto"/>
              <w:right w:val="single" w:sz="4" w:space="0" w:color="auto"/>
            </w:tcBorders>
            <w:shd w:val="clear" w:color="000000" w:fill="F4B084"/>
            <w:noWrap/>
            <w:vAlign w:val="bottom"/>
            <w:hideMark/>
          </w:tcPr>
          <w:p w14:paraId="194E1C54"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62%</w:t>
            </w:r>
          </w:p>
        </w:tc>
      </w:tr>
      <w:tr w:rsidR="00956134" w:rsidRPr="009D6D7E" w14:paraId="0CA20D18" w14:textId="77777777" w:rsidTr="009B0D10">
        <w:trPr>
          <w:trHeight w:val="428"/>
        </w:trPr>
        <w:tc>
          <w:tcPr>
            <w:tcW w:w="2030" w:type="dxa"/>
            <w:tcBorders>
              <w:top w:val="nil"/>
              <w:left w:val="single" w:sz="4" w:space="0" w:color="auto"/>
              <w:bottom w:val="single" w:sz="4" w:space="0" w:color="auto"/>
              <w:right w:val="single" w:sz="4" w:space="0" w:color="auto"/>
            </w:tcBorders>
            <w:shd w:val="clear" w:color="000000" w:fill="F4B084"/>
            <w:noWrap/>
            <w:vAlign w:val="bottom"/>
            <w:hideMark/>
          </w:tcPr>
          <w:p w14:paraId="23774915" w14:textId="77777777" w:rsidR="00956134" w:rsidRPr="009D6D7E"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sz w:val="18"/>
                <w:szCs w:val="18"/>
                <w:lang w:eastAsia="en-GB"/>
              </w:rPr>
              <w:t>CANGE IN LOANS TO CUSTOMERS</w:t>
            </w:r>
          </w:p>
        </w:tc>
        <w:tc>
          <w:tcPr>
            <w:tcW w:w="1804" w:type="dxa"/>
            <w:tcBorders>
              <w:top w:val="nil"/>
              <w:left w:val="nil"/>
              <w:bottom w:val="single" w:sz="4" w:space="0" w:color="auto"/>
              <w:right w:val="single" w:sz="4" w:space="0" w:color="auto"/>
            </w:tcBorders>
            <w:shd w:val="clear" w:color="000000" w:fill="F4B084"/>
            <w:noWrap/>
            <w:vAlign w:val="bottom"/>
            <w:hideMark/>
          </w:tcPr>
          <w:p w14:paraId="323B7170"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-9%</w:t>
            </w:r>
          </w:p>
        </w:tc>
        <w:tc>
          <w:tcPr>
            <w:tcW w:w="1804" w:type="dxa"/>
            <w:tcBorders>
              <w:top w:val="nil"/>
              <w:left w:val="nil"/>
              <w:bottom w:val="single" w:sz="4" w:space="0" w:color="auto"/>
              <w:right w:val="single" w:sz="4" w:space="0" w:color="auto"/>
            </w:tcBorders>
            <w:shd w:val="clear" w:color="000000" w:fill="F4B084"/>
            <w:noWrap/>
            <w:vAlign w:val="bottom"/>
            <w:hideMark/>
          </w:tcPr>
          <w:p w14:paraId="2D7BA21E"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12%</w:t>
            </w:r>
          </w:p>
        </w:tc>
        <w:tc>
          <w:tcPr>
            <w:tcW w:w="1804" w:type="dxa"/>
            <w:tcBorders>
              <w:top w:val="nil"/>
              <w:left w:val="nil"/>
              <w:bottom w:val="single" w:sz="4" w:space="0" w:color="auto"/>
              <w:right w:val="single" w:sz="4" w:space="0" w:color="auto"/>
            </w:tcBorders>
            <w:shd w:val="clear" w:color="000000" w:fill="F4B084"/>
            <w:noWrap/>
            <w:vAlign w:val="bottom"/>
            <w:hideMark/>
          </w:tcPr>
          <w:p w14:paraId="7B0716DC"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w:t>
            </w:r>
          </w:p>
        </w:tc>
        <w:tc>
          <w:tcPr>
            <w:tcW w:w="2331" w:type="dxa"/>
            <w:tcBorders>
              <w:top w:val="nil"/>
              <w:left w:val="nil"/>
              <w:bottom w:val="single" w:sz="4" w:space="0" w:color="auto"/>
              <w:right w:val="single" w:sz="4" w:space="0" w:color="auto"/>
            </w:tcBorders>
            <w:shd w:val="clear" w:color="000000" w:fill="F4B084"/>
            <w:noWrap/>
            <w:vAlign w:val="bottom"/>
            <w:hideMark/>
          </w:tcPr>
          <w:p w14:paraId="5A04FE71"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22%</w:t>
            </w:r>
          </w:p>
        </w:tc>
      </w:tr>
      <w:tr w:rsidR="00956134" w:rsidRPr="009D6D7E" w14:paraId="7641B8CD" w14:textId="77777777" w:rsidTr="009B0D10">
        <w:trPr>
          <w:trHeight w:val="428"/>
        </w:trPr>
        <w:tc>
          <w:tcPr>
            <w:tcW w:w="2030" w:type="dxa"/>
            <w:tcBorders>
              <w:top w:val="nil"/>
              <w:left w:val="single" w:sz="4" w:space="0" w:color="auto"/>
              <w:bottom w:val="single" w:sz="4" w:space="0" w:color="auto"/>
              <w:right w:val="single" w:sz="4" w:space="0" w:color="auto"/>
            </w:tcBorders>
            <w:shd w:val="clear" w:color="000000" w:fill="F4B084"/>
            <w:noWrap/>
            <w:vAlign w:val="bottom"/>
            <w:hideMark/>
          </w:tcPr>
          <w:p w14:paraId="3FDD159B" w14:textId="77777777" w:rsidR="00956134" w:rsidRPr="009D6D7E"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sz w:val="18"/>
                <w:szCs w:val="18"/>
                <w:lang w:eastAsia="en-GB"/>
              </w:rPr>
              <w:t>CHANGE IN DEPOSITS FROM BANKS</w:t>
            </w:r>
          </w:p>
        </w:tc>
        <w:tc>
          <w:tcPr>
            <w:tcW w:w="1804" w:type="dxa"/>
            <w:tcBorders>
              <w:top w:val="nil"/>
              <w:left w:val="nil"/>
              <w:bottom w:val="single" w:sz="4" w:space="0" w:color="auto"/>
              <w:right w:val="single" w:sz="4" w:space="0" w:color="auto"/>
            </w:tcBorders>
            <w:shd w:val="clear" w:color="000000" w:fill="F4B084"/>
            <w:noWrap/>
            <w:vAlign w:val="bottom"/>
            <w:hideMark/>
          </w:tcPr>
          <w:p w14:paraId="1F92A484"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-4%</w:t>
            </w:r>
          </w:p>
        </w:tc>
        <w:tc>
          <w:tcPr>
            <w:tcW w:w="1804" w:type="dxa"/>
            <w:tcBorders>
              <w:top w:val="nil"/>
              <w:left w:val="nil"/>
              <w:bottom w:val="single" w:sz="4" w:space="0" w:color="auto"/>
              <w:right w:val="single" w:sz="4" w:space="0" w:color="auto"/>
            </w:tcBorders>
            <w:shd w:val="clear" w:color="000000" w:fill="F4B084"/>
            <w:noWrap/>
            <w:vAlign w:val="bottom"/>
            <w:hideMark/>
          </w:tcPr>
          <w:p w14:paraId="57BE2130"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-16%</w:t>
            </w:r>
          </w:p>
        </w:tc>
        <w:tc>
          <w:tcPr>
            <w:tcW w:w="1804" w:type="dxa"/>
            <w:tcBorders>
              <w:top w:val="nil"/>
              <w:left w:val="nil"/>
              <w:bottom w:val="single" w:sz="4" w:space="0" w:color="auto"/>
              <w:right w:val="single" w:sz="4" w:space="0" w:color="auto"/>
            </w:tcBorders>
            <w:shd w:val="clear" w:color="000000" w:fill="F4B084"/>
            <w:noWrap/>
            <w:vAlign w:val="bottom"/>
            <w:hideMark/>
          </w:tcPr>
          <w:p w14:paraId="340C01FC"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-2%</w:t>
            </w:r>
          </w:p>
        </w:tc>
        <w:tc>
          <w:tcPr>
            <w:tcW w:w="2331" w:type="dxa"/>
            <w:tcBorders>
              <w:top w:val="nil"/>
              <w:left w:val="nil"/>
              <w:bottom w:val="single" w:sz="4" w:space="0" w:color="auto"/>
              <w:right w:val="single" w:sz="4" w:space="0" w:color="auto"/>
            </w:tcBorders>
            <w:shd w:val="clear" w:color="000000" w:fill="F4B084"/>
            <w:noWrap/>
            <w:vAlign w:val="bottom"/>
            <w:hideMark/>
          </w:tcPr>
          <w:p w14:paraId="4BB4E854"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-66%</w:t>
            </w:r>
          </w:p>
        </w:tc>
      </w:tr>
      <w:tr w:rsidR="00956134" w:rsidRPr="009D6D7E" w14:paraId="4BCB7A0F" w14:textId="77777777" w:rsidTr="009B0D10">
        <w:trPr>
          <w:trHeight w:val="428"/>
        </w:trPr>
        <w:tc>
          <w:tcPr>
            <w:tcW w:w="2030" w:type="dxa"/>
            <w:tcBorders>
              <w:top w:val="nil"/>
              <w:left w:val="single" w:sz="4" w:space="0" w:color="auto"/>
              <w:bottom w:val="single" w:sz="4" w:space="0" w:color="auto"/>
              <w:right w:val="single" w:sz="4" w:space="0" w:color="auto"/>
            </w:tcBorders>
            <w:shd w:val="clear" w:color="000000" w:fill="F4B084"/>
            <w:noWrap/>
            <w:vAlign w:val="bottom"/>
            <w:hideMark/>
          </w:tcPr>
          <w:p w14:paraId="525B8BF4" w14:textId="77777777" w:rsidR="00956134" w:rsidRPr="009D6D7E" w:rsidRDefault="00956134" w:rsidP="009B0D10">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sz w:val="18"/>
                <w:szCs w:val="18"/>
                <w:lang w:eastAsia="en-GB"/>
              </w:rPr>
              <w:t>CHANGE IN DEPOSITS FROM CUSTOMERS</w:t>
            </w:r>
          </w:p>
        </w:tc>
        <w:tc>
          <w:tcPr>
            <w:tcW w:w="1804" w:type="dxa"/>
            <w:tcBorders>
              <w:top w:val="nil"/>
              <w:left w:val="nil"/>
              <w:bottom w:val="single" w:sz="4" w:space="0" w:color="auto"/>
              <w:right w:val="single" w:sz="4" w:space="0" w:color="auto"/>
            </w:tcBorders>
            <w:shd w:val="clear" w:color="000000" w:fill="F4B084"/>
            <w:noWrap/>
            <w:vAlign w:val="bottom"/>
            <w:hideMark/>
          </w:tcPr>
          <w:p w14:paraId="1D14F6AB"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6%</w:t>
            </w:r>
          </w:p>
        </w:tc>
        <w:tc>
          <w:tcPr>
            <w:tcW w:w="1804" w:type="dxa"/>
            <w:tcBorders>
              <w:top w:val="nil"/>
              <w:left w:val="nil"/>
              <w:bottom w:val="single" w:sz="4" w:space="0" w:color="auto"/>
              <w:right w:val="single" w:sz="4" w:space="0" w:color="auto"/>
            </w:tcBorders>
            <w:shd w:val="clear" w:color="000000" w:fill="F4B084"/>
            <w:noWrap/>
            <w:vAlign w:val="bottom"/>
            <w:hideMark/>
          </w:tcPr>
          <w:p w14:paraId="4847CE98"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0%</w:t>
            </w:r>
          </w:p>
        </w:tc>
        <w:tc>
          <w:tcPr>
            <w:tcW w:w="1804" w:type="dxa"/>
            <w:tcBorders>
              <w:top w:val="nil"/>
              <w:left w:val="nil"/>
              <w:bottom w:val="single" w:sz="4" w:space="0" w:color="auto"/>
              <w:right w:val="single" w:sz="4" w:space="0" w:color="auto"/>
            </w:tcBorders>
            <w:shd w:val="clear" w:color="000000" w:fill="F4B084"/>
            <w:noWrap/>
            <w:vAlign w:val="bottom"/>
            <w:hideMark/>
          </w:tcPr>
          <w:p w14:paraId="05CD7A35"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6%</w:t>
            </w:r>
          </w:p>
        </w:tc>
        <w:tc>
          <w:tcPr>
            <w:tcW w:w="2331" w:type="dxa"/>
            <w:tcBorders>
              <w:top w:val="nil"/>
              <w:left w:val="nil"/>
              <w:bottom w:val="single" w:sz="4" w:space="0" w:color="auto"/>
              <w:right w:val="single" w:sz="4" w:space="0" w:color="auto"/>
            </w:tcBorders>
            <w:shd w:val="clear" w:color="000000" w:fill="F4B084"/>
            <w:noWrap/>
            <w:vAlign w:val="bottom"/>
            <w:hideMark/>
          </w:tcPr>
          <w:p w14:paraId="36D606B1" w14:textId="77777777" w:rsidR="00956134" w:rsidRPr="009D6D7E" w:rsidRDefault="00956134" w:rsidP="009B0D10">
            <w:pPr>
              <w:spacing w:after="0" w:line="240" w:lineRule="auto"/>
              <w:jc w:val="right"/>
              <w:rPr>
                <w:rFonts w:ascii="Calibri" w:eastAsia="Times New Roman" w:hAnsi="Calibri" w:cs="Times New Roman"/>
                <w:color w:val="000000"/>
                <w:lang w:eastAsia="en-GB"/>
              </w:rPr>
            </w:pPr>
            <w:r w:rsidRPr="009D6D7E">
              <w:rPr>
                <w:rFonts w:ascii="Calibri" w:eastAsia="Times New Roman" w:hAnsi="Calibri" w:cs="Times New Roman"/>
                <w:color w:val="000000"/>
                <w:lang w:eastAsia="en-GB"/>
              </w:rPr>
              <w:t>-61%</w:t>
            </w:r>
          </w:p>
        </w:tc>
      </w:tr>
    </w:tbl>
    <w:p w14:paraId="58166F68" w14:textId="77777777" w:rsidR="00956134" w:rsidRDefault="00956134" w:rsidP="00956134">
      <w:pPr>
        <w:rPr>
          <w:rFonts w:ascii="Times New Roman" w:hAnsi="Times New Roman" w:cs="Times New Roman"/>
          <w:sz w:val="24"/>
          <w:szCs w:val="24"/>
        </w:rPr>
      </w:pPr>
    </w:p>
    <w:p w14:paraId="6FBCE070"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After analysing the three banks there can’t be seen any pattern to conclude if the regulation has a positive or negative impact on the banks most probably because the data analysed is insufficient to reveal such a pattern, as it can be seen in the table below:</w:t>
      </w:r>
    </w:p>
    <w:p w14:paraId="3BFB2BF6" w14:textId="77777777" w:rsidR="00956134" w:rsidRDefault="00956134" w:rsidP="00956134">
      <w:pPr>
        <w:pStyle w:val="Legend"/>
        <w:keepNext/>
      </w:pPr>
      <w:r>
        <w:lastRenderedPageBreak/>
        <w:t xml:space="preserve">Table </w:t>
      </w:r>
      <w:fldSimple w:instr=" SEQ Table \* ARABIC ">
        <w:r>
          <w:rPr>
            <w:noProof/>
          </w:rPr>
          <w:t>14</w:t>
        </w:r>
      </w:fldSimple>
      <w:r>
        <w:t>:</w:t>
      </w:r>
    </w:p>
    <w:tbl>
      <w:tblPr>
        <w:tblW w:w="9751" w:type="dxa"/>
        <w:tblInd w:w="113" w:type="dxa"/>
        <w:tblLook w:val="04A0" w:firstRow="1" w:lastRow="0" w:firstColumn="1" w:lastColumn="0" w:noHBand="0" w:noVBand="1"/>
      </w:tblPr>
      <w:tblGrid>
        <w:gridCol w:w="1908"/>
        <w:gridCol w:w="1006"/>
        <w:gridCol w:w="1006"/>
        <w:gridCol w:w="1006"/>
        <w:gridCol w:w="1803"/>
        <w:gridCol w:w="1971"/>
        <w:gridCol w:w="1051"/>
      </w:tblGrid>
      <w:tr w:rsidR="00956134" w:rsidRPr="00D57A96" w14:paraId="524580E5" w14:textId="77777777" w:rsidTr="009B0D10">
        <w:trPr>
          <w:trHeight w:val="398"/>
        </w:trPr>
        <w:tc>
          <w:tcPr>
            <w:tcW w:w="1908" w:type="dxa"/>
            <w:tcBorders>
              <w:top w:val="single" w:sz="4" w:space="0" w:color="auto"/>
              <w:left w:val="single" w:sz="4" w:space="0" w:color="auto"/>
              <w:bottom w:val="single" w:sz="4" w:space="0" w:color="auto"/>
              <w:right w:val="single" w:sz="4" w:space="0" w:color="auto"/>
            </w:tcBorders>
            <w:shd w:val="clear" w:color="000000" w:fill="A9D08E"/>
            <w:noWrap/>
            <w:vAlign w:val="bottom"/>
            <w:hideMark/>
          </w:tcPr>
          <w:p w14:paraId="2DD25F33" w14:textId="77777777" w:rsidR="00956134" w:rsidRPr="00D57A96" w:rsidRDefault="00956134" w:rsidP="009B0D10">
            <w:pPr>
              <w:spacing w:after="0" w:line="240" w:lineRule="auto"/>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BANK</w:t>
            </w:r>
          </w:p>
        </w:tc>
        <w:tc>
          <w:tcPr>
            <w:tcW w:w="1006" w:type="dxa"/>
            <w:tcBorders>
              <w:top w:val="single" w:sz="4" w:space="0" w:color="auto"/>
              <w:left w:val="nil"/>
              <w:bottom w:val="single" w:sz="4" w:space="0" w:color="auto"/>
              <w:right w:val="single" w:sz="4" w:space="0" w:color="auto"/>
            </w:tcBorders>
            <w:shd w:val="clear" w:color="000000" w:fill="A9D08E"/>
            <w:noWrap/>
            <w:vAlign w:val="bottom"/>
            <w:hideMark/>
          </w:tcPr>
          <w:p w14:paraId="7A9AF167" w14:textId="77777777" w:rsidR="00956134" w:rsidRPr="00D57A96" w:rsidRDefault="00956134" w:rsidP="009B0D10">
            <w:pPr>
              <w:spacing w:after="0" w:line="240" w:lineRule="auto"/>
              <w:rPr>
                <w:rFonts w:ascii="Calibri" w:eastAsia="Times New Roman" w:hAnsi="Calibri" w:cs="Times New Roman"/>
                <w:color w:val="000000"/>
                <w:sz w:val="18"/>
                <w:szCs w:val="18"/>
                <w:lang w:eastAsia="en-GB"/>
              </w:rPr>
            </w:pPr>
            <w:r w:rsidRPr="00D57A96">
              <w:rPr>
                <w:rFonts w:ascii="Calibri" w:eastAsia="Times New Roman" w:hAnsi="Calibri" w:cs="Times New Roman"/>
                <w:color w:val="000000"/>
                <w:sz w:val="18"/>
                <w:szCs w:val="18"/>
                <w:lang w:eastAsia="en-GB"/>
              </w:rPr>
              <w:t>TIER1/ LDR</w:t>
            </w:r>
          </w:p>
        </w:tc>
        <w:tc>
          <w:tcPr>
            <w:tcW w:w="1006" w:type="dxa"/>
            <w:tcBorders>
              <w:top w:val="single" w:sz="4" w:space="0" w:color="auto"/>
              <w:left w:val="nil"/>
              <w:bottom w:val="single" w:sz="4" w:space="0" w:color="auto"/>
              <w:right w:val="single" w:sz="4" w:space="0" w:color="auto"/>
            </w:tcBorders>
            <w:shd w:val="clear" w:color="000000" w:fill="A9D08E"/>
            <w:noWrap/>
            <w:vAlign w:val="bottom"/>
            <w:hideMark/>
          </w:tcPr>
          <w:p w14:paraId="252C005E" w14:textId="77777777" w:rsidR="00956134" w:rsidRPr="00D57A96" w:rsidRDefault="00956134" w:rsidP="009B0D10">
            <w:pPr>
              <w:spacing w:after="0" w:line="240" w:lineRule="auto"/>
              <w:rPr>
                <w:rFonts w:ascii="Calibri" w:eastAsia="Times New Roman" w:hAnsi="Calibri" w:cs="Times New Roman"/>
                <w:color w:val="000000"/>
                <w:sz w:val="18"/>
                <w:szCs w:val="18"/>
                <w:lang w:eastAsia="en-GB"/>
              </w:rPr>
            </w:pPr>
            <w:r w:rsidRPr="00D57A96">
              <w:rPr>
                <w:rFonts w:ascii="Calibri" w:eastAsia="Times New Roman" w:hAnsi="Calibri" w:cs="Times New Roman"/>
                <w:color w:val="000000"/>
                <w:sz w:val="18"/>
                <w:szCs w:val="18"/>
                <w:lang w:eastAsia="en-GB"/>
              </w:rPr>
              <w:t>TIER 1/ CIR</w:t>
            </w:r>
          </w:p>
        </w:tc>
        <w:tc>
          <w:tcPr>
            <w:tcW w:w="1006" w:type="dxa"/>
            <w:tcBorders>
              <w:top w:val="single" w:sz="4" w:space="0" w:color="auto"/>
              <w:left w:val="nil"/>
              <w:bottom w:val="single" w:sz="4" w:space="0" w:color="auto"/>
              <w:right w:val="single" w:sz="4" w:space="0" w:color="auto"/>
            </w:tcBorders>
            <w:shd w:val="clear" w:color="000000" w:fill="A9D08E"/>
            <w:noWrap/>
            <w:vAlign w:val="bottom"/>
            <w:hideMark/>
          </w:tcPr>
          <w:p w14:paraId="2416EB0B" w14:textId="77777777" w:rsidR="00956134" w:rsidRPr="00D57A96" w:rsidRDefault="00956134" w:rsidP="009B0D10">
            <w:pPr>
              <w:spacing w:after="0" w:line="240" w:lineRule="auto"/>
              <w:rPr>
                <w:rFonts w:ascii="Calibri" w:eastAsia="Times New Roman" w:hAnsi="Calibri" w:cs="Times New Roman"/>
                <w:color w:val="000000"/>
                <w:sz w:val="18"/>
                <w:szCs w:val="18"/>
                <w:lang w:eastAsia="en-GB"/>
              </w:rPr>
            </w:pPr>
            <w:r w:rsidRPr="00D57A96">
              <w:rPr>
                <w:rFonts w:ascii="Calibri" w:eastAsia="Times New Roman" w:hAnsi="Calibri" w:cs="Times New Roman"/>
                <w:color w:val="000000"/>
                <w:sz w:val="18"/>
                <w:szCs w:val="18"/>
                <w:lang w:eastAsia="en-GB"/>
              </w:rPr>
              <w:t>TIER1/ ROE</w:t>
            </w:r>
          </w:p>
        </w:tc>
        <w:tc>
          <w:tcPr>
            <w:tcW w:w="1803" w:type="dxa"/>
            <w:tcBorders>
              <w:top w:val="single" w:sz="4" w:space="0" w:color="auto"/>
              <w:left w:val="nil"/>
              <w:bottom w:val="single" w:sz="4" w:space="0" w:color="auto"/>
              <w:right w:val="single" w:sz="4" w:space="0" w:color="auto"/>
            </w:tcBorders>
            <w:shd w:val="clear" w:color="000000" w:fill="A9D08E"/>
            <w:noWrap/>
            <w:vAlign w:val="bottom"/>
            <w:hideMark/>
          </w:tcPr>
          <w:p w14:paraId="1E43D71F" w14:textId="77777777" w:rsidR="00956134" w:rsidRPr="00D57A96" w:rsidRDefault="00956134" w:rsidP="009B0D10">
            <w:pPr>
              <w:spacing w:after="0" w:line="240" w:lineRule="auto"/>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LCR/LDR</w:t>
            </w:r>
          </w:p>
        </w:tc>
        <w:tc>
          <w:tcPr>
            <w:tcW w:w="1971" w:type="dxa"/>
            <w:tcBorders>
              <w:top w:val="single" w:sz="4" w:space="0" w:color="auto"/>
              <w:left w:val="nil"/>
              <w:bottom w:val="single" w:sz="4" w:space="0" w:color="auto"/>
              <w:right w:val="single" w:sz="4" w:space="0" w:color="auto"/>
            </w:tcBorders>
            <w:shd w:val="clear" w:color="000000" w:fill="A9D08E"/>
            <w:noWrap/>
            <w:vAlign w:val="bottom"/>
            <w:hideMark/>
          </w:tcPr>
          <w:p w14:paraId="2BA076BC" w14:textId="77777777" w:rsidR="00956134" w:rsidRPr="00D57A96" w:rsidRDefault="00956134" w:rsidP="009B0D10">
            <w:pPr>
              <w:spacing w:after="0" w:line="240" w:lineRule="auto"/>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LCR/CIR</w:t>
            </w:r>
          </w:p>
        </w:tc>
        <w:tc>
          <w:tcPr>
            <w:tcW w:w="1051" w:type="dxa"/>
            <w:tcBorders>
              <w:top w:val="single" w:sz="4" w:space="0" w:color="auto"/>
              <w:left w:val="nil"/>
              <w:bottom w:val="single" w:sz="4" w:space="0" w:color="auto"/>
              <w:right w:val="single" w:sz="4" w:space="0" w:color="auto"/>
            </w:tcBorders>
            <w:shd w:val="clear" w:color="000000" w:fill="A9D08E"/>
            <w:noWrap/>
            <w:vAlign w:val="bottom"/>
            <w:hideMark/>
          </w:tcPr>
          <w:p w14:paraId="45F7E629" w14:textId="77777777" w:rsidR="00956134" w:rsidRPr="00D57A96" w:rsidRDefault="00956134" w:rsidP="009B0D10">
            <w:pPr>
              <w:spacing w:after="0" w:line="240" w:lineRule="auto"/>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LCR/ROE</w:t>
            </w:r>
          </w:p>
        </w:tc>
      </w:tr>
      <w:tr w:rsidR="00956134" w:rsidRPr="00D57A96" w14:paraId="028D129B" w14:textId="77777777" w:rsidTr="009B0D10">
        <w:trPr>
          <w:trHeight w:val="398"/>
        </w:trPr>
        <w:tc>
          <w:tcPr>
            <w:tcW w:w="1908" w:type="dxa"/>
            <w:tcBorders>
              <w:top w:val="nil"/>
              <w:left w:val="single" w:sz="4" w:space="0" w:color="auto"/>
              <w:bottom w:val="single" w:sz="4" w:space="0" w:color="auto"/>
              <w:right w:val="single" w:sz="4" w:space="0" w:color="auto"/>
            </w:tcBorders>
            <w:shd w:val="clear" w:color="000000" w:fill="9BC2E6"/>
            <w:noWrap/>
            <w:vAlign w:val="bottom"/>
            <w:hideMark/>
          </w:tcPr>
          <w:p w14:paraId="4F6EAE67" w14:textId="77777777" w:rsidR="00956134" w:rsidRPr="00D57A96" w:rsidRDefault="00956134" w:rsidP="009B0D10">
            <w:pPr>
              <w:spacing w:after="0" w:line="240" w:lineRule="auto"/>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HSBC</w:t>
            </w:r>
          </w:p>
        </w:tc>
        <w:tc>
          <w:tcPr>
            <w:tcW w:w="1006" w:type="dxa"/>
            <w:tcBorders>
              <w:top w:val="nil"/>
              <w:left w:val="nil"/>
              <w:bottom w:val="single" w:sz="4" w:space="0" w:color="auto"/>
              <w:right w:val="single" w:sz="4" w:space="0" w:color="auto"/>
            </w:tcBorders>
            <w:shd w:val="clear" w:color="000000" w:fill="FFFF00"/>
            <w:noWrap/>
            <w:vAlign w:val="bottom"/>
            <w:hideMark/>
          </w:tcPr>
          <w:p w14:paraId="64257DC2"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-39%</w:t>
            </w:r>
          </w:p>
        </w:tc>
        <w:tc>
          <w:tcPr>
            <w:tcW w:w="1006" w:type="dxa"/>
            <w:tcBorders>
              <w:top w:val="nil"/>
              <w:left w:val="nil"/>
              <w:bottom w:val="single" w:sz="4" w:space="0" w:color="auto"/>
              <w:right w:val="single" w:sz="4" w:space="0" w:color="auto"/>
            </w:tcBorders>
            <w:shd w:val="clear" w:color="000000" w:fill="FFFF00"/>
            <w:noWrap/>
            <w:vAlign w:val="bottom"/>
            <w:hideMark/>
          </w:tcPr>
          <w:p w14:paraId="0D565B3D"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-11%</w:t>
            </w:r>
          </w:p>
        </w:tc>
        <w:tc>
          <w:tcPr>
            <w:tcW w:w="1006" w:type="dxa"/>
            <w:tcBorders>
              <w:top w:val="nil"/>
              <w:left w:val="nil"/>
              <w:bottom w:val="single" w:sz="4" w:space="0" w:color="auto"/>
              <w:right w:val="single" w:sz="4" w:space="0" w:color="auto"/>
            </w:tcBorders>
            <w:shd w:val="clear" w:color="000000" w:fill="FFFF00"/>
            <w:noWrap/>
            <w:vAlign w:val="bottom"/>
            <w:hideMark/>
          </w:tcPr>
          <w:p w14:paraId="44F6EBE2"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-36%</w:t>
            </w:r>
          </w:p>
        </w:tc>
        <w:tc>
          <w:tcPr>
            <w:tcW w:w="1803" w:type="dxa"/>
            <w:tcBorders>
              <w:top w:val="nil"/>
              <w:left w:val="nil"/>
              <w:bottom w:val="single" w:sz="4" w:space="0" w:color="auto"/>
              <w:right w:val="single" w:sz="4" w:space="0" w:color="auto"/>
            </w:tcBorders>
            <w:shd w:val="clear" w:color="000000" w:fill="FFFF00"/>
            <w:noWrap/>
            <w:vAlign w:val="bottom"/>
            <w:hideMark/>
          </w:tcPr>
          <w:p w14:paraId="4FC403D5"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6%</w:t>
            </w:r>
          </w:p>
        </w:tc>
        <w:tc>
          <w:tcPr>
            <w:tcW w:w="1971" w:type="dxa"/>
            <w:tcBorders>
              <w:top w:val="nil"/>
              <w:left w:val="nil"/>
              <w:bottom w:val="single" w:sz="4" w:space="0" w:color="auto"/>
              <w:right w:val="single" w:sz="4" w:space="0" w:color="auto"/>
            </w:tcBorders>
            <w:shd w:val="clear" w:color="000000" w:fill="FFFF00"/>
            <w:noWrap/>
            <w:vAlign w:val="bottom"/>
            <w:hideMark/>
          </w:tcPr>
          <w:p w14:paraId="2DD3EE34"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-28%</w:t>
            </w:r>
          </w:p>
        </w:tc>
        <w:tc>
          <w:tcPr>
            <w:tcW w:w="1051" w:type="dxa"/>
            <w:tcBorders>
              <w:top w:val="nil"/>
              <w:left w:val="nil"/>
              <w:bottom w:val="single" w:sz="4" w:space="0" w:color="auto"/>
              <w:right w:val="single" w:sz="4" w:space="0" w:color="auto"/>
            </w:tcBorders>
            <w:shd w:val="clear" w:color="000000" w:fill="FFFF00"/>
            <w:noWrap/>
            <w:vAlign w:val="bottom"/>
            <w:hideMark/>
          </w:tcPr>
          <w:p w14:paraId="366602FA"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12%</w:t>
            </w:r>
          </w:p>
        </w:tc>
      </w:tr>
      <w:tr w:rsidR="00956134" w:rsidRPr="00D57A96" w14:paraId="1E97738F" w14:textId="77777777" w:rsidTr="009B0D10">
        <w:trPr>
          <w:trHeight w:val="398"/>
        </w:trPr>
        <w:tc>
          <w:tcPr>
            <w:tcW w:w="1908" w:type="dxa"/>
            <w:tcBorders>
              <w:top w:val="nil"/>
              <w:left w:val="single" w:sz="4" w:space="0" w:color="auto"/>
              <w:bottom w:val="single" w:sz="4" w:space="0" w:color="auto"/>
              <w:right w:val="single" w:sz="4" w:space="0" w:color="auto"/>
            </w:tcBorders>
            <w:shd w:val="clear" w:color="000000" w:fill="9BC2E6"/>
            <w:noWrap/>
            <w:vAlign w:val="bottom"/>
            <w:hideMark/>
          </w:tcPr>
          <w:p w14:paraId="790F795B" w14:textId="77777777" w:rsidR="00956134" w:rsidRPr="00D57A96" w:rsidRDefault="00956134" w:rsidP="009B0D10">
            <w:pPr>
              <w:spacing w:after="0" w:line="240" w:lineRule="auto"/>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LLOYDS</w:t>
            </w:r>
          </w:p>
        </w:tc>
        <w:tc>
          <w:tcPr>
            <w:tcW w:w="1006" w:type="dxa"/>
            <w:tcBorders>
              <w:top w:val="nil"/>
              <w:left w:val="nil"/>
              <w:bottom w:val="single" w:sz="4" w:space="0" w:color="auto"/>
              <w:right w:val="single" w:sz="4" w:space="0" w:color="auto"/>
            </w:tcBorders>
            <w:shd w:val="clear" w:color="000000" w:fill="FFFF00"/>
            <w:noWrap/>
            <w:vAlign w:val="bottom"/>
            <w:hideMark/>
          </w:tcPr>
          <w:p w14:paraId="61AF88FA"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-13%</w:t>
            </w:r>
          </w:p>
        </w:tc>
        <w:tc>
          <w:tcPr>
            <w:tcW w:w="1006" w:type="dxa"/>
            <w:tcBorders>
              <w:top w:val="nil"/>
              <w:left w:val="nil"/>
              <w:bottom w:val="single" w:sz="4" w:space="0" w:color="auto"/>
              <w:right w:val="single" w:sz="4" w:space="0" w:color="auto"/>
            </w:tcBorders>
            <w:shd w:val="clear" w:color="000000" w:fill="FFFF00"/>
            <w:noWrap/>
            <w:vAlign w:val="bottom"/>
            <w:hideMark/>
          </w:tcPr>
          <w:p w14:paraId="2626C566"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-9%</w:t>
            </w:r>
          </w:p>
        </w:tc>
        <w:tc>
          <w:tcPr>
            <w:tcW w:w="1006" w:type="dxa"/>
            <w:tcBorders>
              <w:top w:val="nil"/>
              <w:left w:val="nil"/>
              <w:bottom w:val="single" w:sz="4" w:space="0" w:color="auto"/>
              <w:right w:val="single" w:sz="4" w:space="0" w:color="auto"/>
            </w:tcBorders>
            <w:shd w:val="clear" w:color="000000" w:fill="FFFF00"/>
            <w:noWrap/>
            <w:vAlign w:val="bottom"/>
            <w:hideMark/>
          </w:tcPr>
          <w:p w14:paraId="386FA715"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62%</w:t>
            </w:r>
          </w:p>
        </w:tc>
        <w:tc>
          <w:tcPr>
            <w:tcW w:w="1803" w:type="dxa"/>
            <w:tcBorders>
              <w:top w:val="nil"/>
              <w:left w:val="nil"/>
              <w:bottom w:val="single" w:sz="4" w:space="0" w:color="auto"/>
              <w:right w:val="single" w:sz="4" w:space="0" w:color="auto"/>
            </w:tcBorders>
            <w:shd w:val="clear" w:color="000000" w:fill="FFFF00"/>
            <w:noWrap/>
            <w:vAlign w:val="bottom"/>
            <w:hideMark/>
          </w:tcPr>
          <w:p w14:paraId="2E699FFB"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-57%</w:t>
            </w:r>
          </w:p>
        </w:tc>
        <w:tc>
          <w:tcPr>
            <w:tcW w:w="1971" w:type="dxa"/>
            <w:tcBorders>
              <w:top w:val="nil"/>
              <w:left w:val="nil"/>
              <w:bottom w:val="single" w:sz="4" w:space="0" w:color="auto"/>
              <w:right w:val="single" w:sz="4" w:space="0" w:color="auto"/>
            </w:tcBorders>
            <w:shd w:val="clear" w:color="000000" w:fill="FFFF00"/>
            <w:noWrap/>
            <w:vAlign w:val="bottom"/>
            <w:hideMark/>
          </w:tcPr>
          <w:p w14:paraId="252B2160"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-95%</w:t>
            </w:r>
          </w:p>
        </w:tc>
        <w:tc>
          <w:tcPr>
            <w:tcW w:w="1051" w:type="dxa"/>
            <w:tcBorders>
              <w:top w:val="nil"/>
              <w:left w:val="nil"/>
              <w:bottom w:val="single" w:sz="4" w:space="0" w:color="auto"/>
              <w:right w:val="single" w:sz="4" w:space="0" w:color="auto"/>
            </w:tcBorders>
            <w:shd w:val="clear" w:color="000000" w:fill="FFFF00"/>
            <w:noWrap/>
            <w:vAlign w:val="bottom"/>
            <w:hideMark/>
          </w:tcPr>
          <w:p w14:paraId="02AC1467"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-47%</w:t>
            </w:r>
          </w:p>
        </w:tc>
      </w:tr>
      <w:tr w:rsidR="00956134" w:rsidRPr="00D57A96" w14:paraId="1D3325E7" w14:textId="77777777" w:rsidTr="009B0D10">
        <w:trPr>
          <w:trHeight w:val="398"/>
        </w:trPr>
        <w:tc>
          <w:tcPr>
            <w:tcW w:w="1908" w:type="dxa"/>
            <w:tcBorders>
              <w:top w:val="nil"/>
              <w:left w:val="single" w:sz="4" w:space="0" w:color="auto"/>
              <w:bottom w:val="single" w:sz="4" w:space="0" w:color="auto"/>
              <w:right w:val="single" w:sz="4" w:space="0" w:color="auto"/>
            </w:tcBorders>
            <w:shd w:val="clear" w:color="000000" w:fill="9BC2E6"/>
            <w:noWrap/>
            <w:vAlign w:val="bottom"/>
            <w:hideMark/>
          </w:tcPr>
          <w:p w14:paraId="3338FB03" w14:textId="77777777" w:rsidR="00956134" w:rsidRPr="00D57A96" w:rsidRDefault="00956134" w:rsidP="009B0D10">
            <w:pPr>
              <w:spacing w:after="0" w:line="240" w:lineRule="auto"/>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STC</w:t>
            </w:r>
          </w:p>
        </w:tc>
        <w:tc>
          <w:tcPr>
            <w:tcW w:w="1006" w:type="dxa"/>
            <w:tcBorders>
              <w:top w:val="nil"/>
              <w:left w:val="nil"/>
              <w:bottom w:val="single" w:sz="4" w:space="0" w:color="auto"/>
              <w:right w:val="single" w:sz="4" w:space="0" w:color="auto"/>
            </w:tcBorders>
            <w:shd w:val="clear" w:color="000000" w:fill="FFFF00"/>
            <w:noWrap/>
            <w:vAlign w:val="bottom"/>
            <w:hideMark/>
          </w:tcPr>
          <w:p w14:paraId="2C026634"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-2%</w:t>
            </w:r>
          </w:p>
        </w:tc>
        <w:tc>
          <w:tcPr>
            <w:tcW w:w="1006" w:type="dxa"/>
            <w:tcBorders>
              <w:top w:val="nil"/>
              <w:left w:val="nil"/>
              <w:bottom w:val="single" w:sz="4" w:space="0" w:color="auto"/>
              <w:right w:val="single" w:sz="4" w:space="0" w:color="auto"/>
            </w:tcBorders>
            <w:shd w:val="clear" w:color="000000" w:fill="FFFF00"/>
            <w:noWrap/>
            <w:vAlign w:val="bottom"/>
            <w:hideMark/>
          </w:tcPr>
          <w:p w14:paraId="731790A2"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81%</w:t>
            </w:r>
          </w:p>
        </w:tc>
        <w:tc>
          <w:tcPr>
            <w:tcW w:w="1006" w:type="dxa"/>
            <w:tcBorders>
              <w:top w:val="nil"/>
              <w:left w:val="nil"/>
              <w:bottom w:val="single" w:sz="4" w:space="0" w:color="auto"/>
              <w:right w:val="single" w:sz="4" w:space="0" w:color="auto"/>
            </w:tcBorders>
            <w:shd w:val="clear" w:color="000000" w:fill="FFFF00"/>
            <w:noWrap/>
            <w:vAlign w:val="bottom"/>
            <w:hideMark/>
          </w:tcPr>
          <w:p w14:paraId="6A149C72"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-71%</w:t>
            </w:r>
          </w:p>
        </w:tc>
        <w:tc>
          <w:tcPr>
            <w:tcW w:w="1803" w:type="dxa"/>
            <w:tcBorders>
              <w:top w:val="nil"/>
              <w:left w:val="nil"/>
              <w:bottom w:val="single" w:sz="4" w:space="0" w:color="auto"/>
              <w:right w:val="single" w:sz="4" w:space="0" w:color="auto"/>
            </w:tcBorders>
            <w:shd w:val="clear" w:color="000000" w:fill="FFFF00"/>
            <w:noWrap/>
            <w:vAlign w:val="bottom"/>
            <w:hideMark/>
          </w:tcPr>
          <w:p w14:paraId="33C2BC86"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86%</w:t>
            </w:r>
          </w:p>
        </w:tc>
        <w:tc>
          <w:tcPr>
            <w:tcW w:w="1971" w:type="dxa"/>
            <w:tcBorders>
              <w:top w:val="nil"/>
              <w:left w:val="nil"/>
              <w:bottom w:val="single" w:sz="4" w:space="0" w:color="auto"/>
              <w:right w:val="single" w:sz="4" w:space="0" w:color="auto"/>
            </w:tcBorders>
            <w:shd w:val="clear" w:color="000000" w:fill="FFFF00"/>
            <w:noWrap/>
            <w:vAlign w:val="bottom"/>
            <w:hideMark/>
          </w:tcPr>
          <w:p w14:paraId="50C724DD"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45%</w:t>
            </w:r>
          </w:p>
        </w:tc>
        <w:tc>
          <w:tcPr>
            <w:tcW w:w="1051" w:type="dxa"/>
            <w:tcBorders>
              <w:top w:val="nil"/>
              <w:left w:val="nil"/>
              <w:bottom w:val="single" w:sz="4" w:space="0" w:color="auto"/>
              <w:right w:val="single" w:sz="4" w:space="0" w:color="auto"/>
            </w:tcBorders>
            <w:shd w:val="clear" w:color="000000" w:fill="FFFF00"/>
            <w:noWrap/>
            <w:vAlign w:val="bottom"/>
            <w:hideMark/>
          </w:tcPr>
          <w:p w14:paraId="02DE175E" w14:textId="77777777" w:rsidR="00956134" w:rsidRPr="00D57A96" w:rsidRDefault="00956134" w:rsidP="009B0D10">
            <w:pPr>
              <w:spacing w:after="0" w:line="240" w:lineRule="auto"/>
              <w:jc w:val="right"/>
              <w:rPr>
                <w:rFonts w:ascii="Calibri" w:eastAsia="Times New Roman" w:hAnsi="Calibri" w:cs="Times New Roman"/>
                <w:color w:val="000000"/>
                <w:lang w:eastAsia="en-GB"/>
              </w:rPr>
            </w:pPr>
            <w:r w:rsidRPr="00D57A96">
              <w:rPr>
                <w:rFonts w:ascii="Calibri" w:eastAsia="Times New Roman" w:hAnsi="Calibri" w:cs="Times New Roman"/>
                <w:color w:val="000000"/>
                <w:lang w:eastAsia="en-GB"/>
              </w:rPr>
              <w:t>59%</w:t>
            </w:r>
          </w:p>
        </w:tc>
      </w:tr>
    </w:tbl>
    <w:p w14:paraId="4E41BD9A" w14:textId="77777777" w:rsidR="00956134" w:rsidRDefault="00956134" w:rsidP="00956134">
      <w:pPr>
        <w:rPr>
          <w:rFonts w:ascii="Times New Roman" w:hAnsi="Times New Roman" w:cs="Times New Roman"/>
          <w:sz w:val="24"/>
          <w:szCs w:val="24"/>
        </w:rPr>
      </w:pPr>
    </w:p>
    <w:p w14:paraId="4B138DA5" w14:textId="77777777" w:rsidR="00956134" w:rsidRPr="002307CE"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w:t>
      </w:r>
    </w:p>
    <w:p w14:paraId="482DBE78"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Conclusion:</w:t>
      </w:r>
    </w:p>
    <w:p w14:paraId="1DF0DF08"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This paper has shown the risks that affect the banks and the importance of the financial system, has stressed the importance of regulations and has brought arguments and concerns of the negative effects that a highly regulated financial system migh encounter. The author of this paper believes that there is still not enough convincing evidence to take a stance in rapport with the benefits or the negative effects of high degree of regulations that the financial sector has, inclines to the idea that if financial institutions would be let to manage the risks internally as some authors propose the probability of them taking high risks in pursuit for high return is very high, but since the banking and financial system ass a whole and the whole economy are highly interdependet the need for strong regulations becomes evident.       </w:t>
      </w:r>
    </w:p>
    <w:p w14:paraId="3CA8FCCA"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w:t>
      </w:r>
    </w:p>
    <w:p w14:paraId="39F6A4C7" w14:textId="77777777" w:rsidR="00956134" w:rsidRDefault="00956134" w:rsidP="00956134">
      <w:pPr>
        <w:spacing w:before="240"/>
        <w:rPr>
          <w:rFonts w:ascii="Times New Roman" w:hAnsi="Times New Roman" w:cs="Times New Roman"/>
          <w:sz w:val="24"/>
          <w:szCs w:val="24"/>
        </w:rPr>
      </w:pPr>
    </w:p>
    <w:p w14:paraId="461C4680"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w:t>
      </w:r>
    </w:p>
    <w:p w14:paraId="45C97F08" w14:textId="77777777" w:rsidR="00956134"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w:t>
      </w:r>
    </w:p>
    <w:p w14:paraId="5E1B2A46" w14:textId="77777777" w:rsidR="00956134" w:rsidRPr="00094056" w:rsidRDefault="00956134" w:rsidP="00956134">
      <w:pPr>
        <w:spacing w:before="240"/>
        <w:rPr>
          <w:rFonts w:ascii="Times New Roman" w:hAnsi="Times New Roman" w:cs="Times New Roman"/>
          <w:sz w:val="24"/>
          <w:szCs w:val="24"/>
        </w:rPr>
      </w:pPr>
      <w:r>
        <w:rPr>
          <w:rFonts w:ascii="Times New Roman" w:hAnsi="Times New Roman" w:cs="Times New Roman"/>
          <w:sz w:val="24"/>
          <w:szCs w:val="24"/>
        </w:rPr>
        <w:t xml:space="preserve"> </w:t>
      </w:r>
    </w:p>
    <w:p w14:paraId="5331AD80"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w:t>
      </w:r>
    </w:p>
    <w:p w14:paraId="33D9DAD2" w14:textId="77777777" w:rsidR="00956134" w:rsidRDefault="00956134" w:rsidP="00956134">
      <w:pPr>
        <w:rPr>
          <w:rFonts w:ascii="Times New Roman" w:hAnsi="Times New Roman" w:cs="Times New Roman"/>
          <w:sz w:val="24"/>
          <w:szCs w:val="24"/>
        </w:rPr>
      </w:pPr>
    </w:p>
    <w:p w14:paraId="47AC8387" w14:textId="77777777" w:rsidR="00956134" w:rsidRDefault="00956134" w:rsidP="00956134">
      <w:pPr>
        <w:rPr>
          <w:rFonts w:ascii="Times New Roman" w:hAnsi="Times New Roman" w:cs="Times New Roman"/>
          <w:sz w:val="24"/>
          <w:szCs w:val="24"/>
        </w:rPr>
      </w:pPr>
    </w:p>
    <w:p w14:paraId="403EB8B2" w14:textId="77777777" w:rsidR="00956134" w:rsidRDefault="00956134" w:rsidP="00956134">
      <w:pPr>
        <w:rPr>
          <w:rFonts w:ascii="Times New Roman" w:hAnsi="Times New Roman" w:cs="Times New Roman"/>
          <w:sz w:val="24"/>
          <w:szCs w:val="24"/>
        </w:rPr>
      </w:pPr>
    </w:p>
    <w:p w14:paraId="414058A9" w14:textId="77777777" w:rsidR="00956134" w:rsidRDefault="00956134" w:rsidP="00956134">
      <w:pPr>
        <w:rPr>
          <w:rFonts w:ascii="Times New Roman" w:hAnsi="Times New Roman" w:cs="Times New Roman"/>
          <w:sz w:val="24"/>
          <w:szCs w:val="24"/>
        </w:rPr>
      </w:pPr>
    </w:p>
    <w:p w14:paraId="5C96169F" w14:textId="77777777" w:rsidR="00956134" w:rsidRDefault="00956134" w:rsidP="00956134">
      <w:pPr>
        <w:rPr>
          <w:rFonts w:ascii="Times New Roman" w:hAnsi="Times New Roman" w:cs="Times New Roman"/>
          <w:sz w:val="24"/>
          <w:szCs w:val="24"/>
        </w:rPr>
      </w:pPr>
    </w:p>
    <w:p w14:paraId="04EEB9B1" w14:textId="77777777" w:rsidR="00956134" w:rsidRDefault="00956134" w:rsidP="00956134">
      <w:pPr>
        <w:rPr>
          <w:rFonts w:ascii="Times New Roman" w:hAnsi="Times New Roman" w:cs="Times New Roman"/>
          <w:sz w:val="24"/>
          <w:szCs w:val="24"/>
        </w:rPr>
      </w:pPr>
    </w:p>
    <w:p w14:paraId="55566C4E" w14:textId="77777777" w:rsidR="00956134" w:rsidRDefault="00956134" w:rsidP="00956134">
      <w:pPr>
        <w:rPr>
          <w:rFonts w:ascii="Times New Roman" w:hAnsi="Times New Roman" w:cs="Times New Roman"/>
          <w:sz w:val="24"/>
          <w:szCs w:val="24"/>
        </w:rPr>
      </w:pPr>
    </w:p>
    <w:p w14:paraId="6F85BE3B"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lastRenderedPageBreak/>
        <w:t>References:</w:t>
      </w:r>
    </w:p>
    <w:p w14:paraId="78DFCBBA" w14:textId="77777777" w:rsidR="00956134" w:rsidRDefault="00956134" w:rsidP="00956134">
      <w:pPr>
        <w:rPr>
          <w:rFonts w:ascii="Times New Roman" w:hAnsi="Times New Roman" w:cs="Times New Roman"/>
          <w:sz w:val="24"/>
          <w:szCs w:val="24"/>
        </w:rPr>
      </w:pPr>
      <w:r w:rsidRPr="0065329A">
        <w:rPr>
          <w:rFonts w:ascii="Times New Roman" w:hAnsi="Times New Roman" w:cs="Times New Roman"/>
          <w:sz w:val="24"/>
          <w:szCs w:val="24"/>
        </w:rPr>
        <w:t xml:space="preserve">Goldsmith-Pinkham, P. and Yorulmazer, T., </w:t>
      </w:r>
      <w:r>
        <w:rPr>
          <w:rFonts w:ascii="Times New Roman" w:hAnsi="Times New Roman" w:cs="Times New Roman"/>
          <w:sz w:val="24"/>
          <w:szCs w:val="24"/>
        </w:rPr>
        <w:t>(</w:t>
      </w:r>
      <w:r w:rsidRPr="0065329A">
        <w:rPr>
          <w:rFonts w:ascii="Times New Roman" w:hAnsi="Times New Roman" w:cs="Times New Roman"/>
          <w:sz w:val="24"/>
          <w:szCs w:val="24"/>
        </w:rPr>
        <w:t>2010</w:t>
      </w:r>
      <w:r>
        <w:rPr>
          <w:rFonts w:ascii="Times New Roman" w:hAnsi="Times New Roman" w:cs="Times New Roman"/>
          <w:sz w:val="24"/>
          <w:szCs w:val="24"/>
        </w:rPr>
        <w:t>)</w:t>
      </w:r>
      <w:r w:rsidRPr="0065329A">
        <w:rPr>
          <w:rFonts w:ascii="Times New Roman" w:hAnsi="Times New Roman" w:cs="Times New Roman"/>
          <w:sz w:val="24"/>
          <w:szCs w:val="24"/>
        </w:rPr>
        <w:t>. Liquidity, bank runs, and bailouts: spillover effects during the Northern Rock episode. Journal of Financial Services Research, 37(2-3), pp.83-98.</w:t>
      </w:r>
    </w:p>
    <w:p w14:paraId="3C9786CC" w14:textId="77777777" w:rsidR="00956134" w:rsidRDefault="00956134" w:rsidP="00956134">
      <w:pPr>
        <w:rPr>
          <w:rFonts w:ascii="Times New Roman" w:hAnsi="Times New Roman" w:cs="Times New Roman"/>
          <w:sz w:val="24"/>
          <w:szCs w:val="24"/>
        </w:rPr>
      </w:pPr>
      <w:r w:rsidRPr="003639A8">
        <w:rPr>
          <w:rFonts w:ascii="Times New Roman" w:hAnsi="Times New Roman" w:cs="Times New Roman"/>
          <w:sz w:val="24"/>
          <w:szCs w:val="24"/>
        </w:rPr>
        <w:t xml:space="preserve">Faure, A.P., </w:t>
      </w:r>
      <w:r>
        <w:rPr>
          <w:rFonts w:ascii="Times New Roman" w:hAnsi="Times New Roman" w:cs="Times New Roman"/>
          <w:sz w:val="24"/>
          <w:szCs w:val="24"/>
        </w:rPr>
        <w:t>(</w:t>
      </w:r>
      <w:r w:rsidRPr="003639A8">
        <w:rPr>
          <w:rFonts w:ascii="Times New Roman" w:hAnsi="Times New Roman" w:cs="Times New Roman"/>
          <w:sz w:val="24"/>
          <w:szCs w:val="24"/>
        </w:rPr>
        <w:t>2016</w:t>
      </w:r>
      <w:r>
        <w:rPr>
          <w:rFonts w:ascii="Times New Roman" w:hAnsi="Times New Roman" w:cs="Times New Roman"/>
          <w:sz w:val="24"/>
          <w:szCs w:val="24"/>
        </w:rPr>
        <w:t>)</w:t>
      </w:r>
      <w:r w:rsidRPr="003639A8">
        <w:rPr>
          <w:rFonts w:ascii="Times New Roman" w:hAnsi="Times New Roman" w:cs="Times New Roman"/>
          <w:sz w:val="24"/>
          <w:szCs w:val="24"/>
        </w:rPr>
        <w:t>. Banking an Introduction.</w:t>
      </w:r>
    </w:p>
    <w:p w14:paraId="1C1B0D10" w14:textId="77777777" w:rsidR="00956134" w:rsidRDefault="00956134" w:rsidP="00956134">
      <w:pPr>
        <w:rPr>
          <w:rFonts w:ascii="Times New Roman" w:hAnsi="Times New Roman" w:cs="Times New Roman"/>
          <w:sz w:val="24"/>
          <w:szCs w:val="24"/>
        </w:rPr>
      </w:pPr>
      <w:r w:rsidRPr="000840F0">
        <w:rPr>
          <w:rFonts w:ascii="Times New Roman" w:hAnsi="Times New Roman" w:cs="Times New Roman"/>
          <w:sz w:val="24"/>
          <w:szCs w:val="24"/>
        </w:rPr>
        <w:t xml:space="preserve">Yorulmazer T, Goldsmith-Pinkham </w:t>
      </w:r>
      <w:r>
        <w:rPr>
          <w:rFonts w:ascii="Times New Roman" w:hAnsi="Times New Roman" w:cs="Times New Roman"/>
          <w:sz w:val="24"/>
          <w:szCs w:val="24"/>
        </w:rPr>
        <w:t>P.(2009)</w:t>
      </w:r>
      <w:r w:rsidRPr="000840F0">
        <w:rPr>
          <w:rFonts w:ascii="Times New Roman" w:hAnsi="Times New Roman" w:cs="Times New Roman"/>
          <w:sz w:val="24"/>
          <w:szCs w:val="24"/>
        </w:rPr>
        <w:t>. Liquidity, Bank Runs, and Bailouts: Spillover Effects During the Northern Rock Episode.</w:t>
      </w:r>
      <w:r>
        <w:rPr>
          <w:rFonts w:ascii="Times New Roman" w:hAnsi="Times New Roman" w:cs="Times New Roman"/>
          <w:sz w:val="24"/>
          <w:szCs w:val="24"/>
        </w:rPr>
        <w:t xml:space="preserve"> </w:t>
      </w:r>
      <w:r w:rsidRPr="000840F0">
        <w:rPr>
          <w:rFonts w:ascii="Times New Roman" w:hAnsi="Times New Roman" w:cs="Times New Roman"/>
          <w:sz w:val="24"/>
          <w:szCs w:val="24"/>
        </w:rPr>
        <w:t>Journal of Financial Services Research</w:t>
      </w:r>
      <w:r>
        <w:rPr>
          <w:rFonts w:ascii="Times New Roman" w:hAnsi="Times New Roman" w:cs="Times New Roman"/>
          <w:sz w:val="24"/>
          <w:szCs w:val="24"/>
        </w:rPr>
        <w:t xml:space="preserve">. </w:t>
      </w:r>
    </w:p>
    <w:p w14:paraId="54D0E731" w14:textId="77777777" w:rsidR="00956134" w:rsidRDefault="00956134" w:rsidP="00956134">
      <w:pPr>
        <w:rPr>
          <w:rFonts w:ascii="Times New Roman" w:hAnsi="Times New Roman" w:cs="Times New Roman"/>
          <w:sz w:val="24"/>
          <w:szCs w:val="24"/>
        </w:rPr>
      </w:pPr>
      <w:r w:rsidRPr="0093528C">
        <w:rPr>
          <w:rFonts w:ascii="Times New Roman" w:hAnsi="Times New Roman" w:cs="Times New Roman"/>
          <w:sz w:val="24"/>
          <w:szCs w:val="24"/>
        </w:rPr>
        <w:t xml:space="preserve">D'Hulster, K. and Ötker-Robe, I., </w:t>
      </w:r>
      <w:r>
        <w:rPr>
          <w:rFonts w:ascii="Times New Roman" w:hAnsi="Times New Roman" w:cs="Times New Roman"/>
          <w:sz w:val="24"/>
          <w:szCs w:val="24"/>
        </w:rPr>
        <w:t>(</w:t>
      </w:r>
      <w:r w:rsidRPr="0093528C">
        <w:rPr>
          <w:rFonts w:ascii="Times New Roman" w:hAnsi="Times New Roman" w:cs="Times New Roman"/>
          <w:sz w:val="24"/>
          <w:szCs w:val="24"/>
        </w:rPr>
        <w:t>2015</w:t>
      </w:r>
      <w:r>
        <w:rPr>
          <w:rFonts w:ascii="Times New Roman" w:hAnsi="Times New Roman" w:cs="Times New Roman"/>
          <w:sz w:val="24"/>
          <w:szCs w:val="24"/>
        </w:rPr>
        <w:t>)</w:t>
      </w:r>
      <w:r w:rsidRPr="0093528C">
        <w:rPr>
          <w:rFonts w:ascii="Times New Roman" w:hAnsi="Times New Roman" w:cs="Times New Roman"/>
          <w:sz w:val="24"/>
          <w:szCs w:val="24"/>
        </w:rPr>
        <w:t>. Ring-fencing cross-border banks: An effective supervisory response? Journal of Banking Regulation, 16(3), pp.169-187.</w:t>
      </w:r>
    </w:p>
    <w:p w14:paraId="6D422E78" w14:textId="77777777" w:rsidR="00956134" w:rsidRDefault="00956134" w:rsidP="00956134">
      <w:pPr>
        <w:rPr>
          <w:rFonts w:ascii="Times New Roman" w:hAnsi="Times New Roman" w:cs="Times New Roman"/>
          <w:sz w:val="24"/>
          <w:szCs w:val="24"/>
        </w:rPr>
      </w:pPr>
      <w:r w:rsidRPr="0027654F">
        <w:rPr>
          <w:rFonts w:ascii="Times New Roman" w:hAnsi="Times New Roman" w:cs="Times New Roman"/>
          <w:sz w:val="24"/>
          <w:szCs w:val="24"/>
        </w:rPr>
        <w:t xml:space="preserve">us, A. (2020). What does the Bank of England do? [online] Bankofengland.co.uk. Available at: </w:t>
      </w:r>
      <w:hyperlink r:id="rId11" w:anchor="anchor_1510759697010" w:history="1">
        <w:r w:rsidRPr="00ED4217">
          <w:rPr>
            <w:rStyle w:val="Hyperlink"/>
            <w:rFonts w:ascii="Times New Roman" w:hAnsi="Times New Roman" w:cs="Times New Roman"/>
            <w:sz w:val="24"/>
            <w:szCs w:val="24"/>
          </w:rPr>
          <w:t>https://www.bankofengland.co.uk/about#anchor_1510759697010</w:t>
        </w:r>
      </w:hyperlink>
      <w:r w:rsidRPr="0027654F">
        <w:rPr>
          <w:rFonts w:ascii="Times New Roman" w:hAnsi="Times New Roman" w:cs="Times New Roman"/>
          <w:sz w:val="24"/>
          <w:szCs w:val="24"/>
        </w:rPr>
        <w:t>.</w:t>
      </w:r>
    </w:p>
    <w:p w14:paraId="1EFDB279" w14:textId="77777777" w:rsidR="00956134" w:rsidRDefault="00956134" w:rsidP="00956134">
      <w:pPr>
        <w:rPr>
          <w:rFonts w:ascii="Times New Roman" w:hAnsi="Times New Roman" w:cs="Times New Roman"/>
          <w:sz w:val="24"/>
          <w:szCs w:val="24"/>
        </w:rPr>
      </w:pPr>
      <w:r w:rsidRPr="00BB160D">
        <w:rPr>
          <w:rFonts w:ascii="Times New Roman" w:hAnsi="Times New Roman" w:cs="Times New Roman"/>
          <w:sz w:val="24"/>
          <w:szCs w:val="24"/>
        </w:rPr>
        <w:t>Pacces, A.M. and Heremans, D., 2</w:t>
      </w:r>
      <w:r>
        <w:rPr>
          <w:rFonts w:ascii="Times New Roman" w:hAnsi="Times New Roman" w:cs="Times New Roman"/>
          <w:sz w:val="24"/>
          <w:szCs w:val="24"/>
        </w:rPr>
        <w:t>(</w:t>
      </w:r>
      <w:r w:rsidRPr="00BB160D">
        <w:rPr>
          <w:rFonts w:ascii="Times New Roman" w:hAnsi="Times New Roman" w:cs="Times New Roman"/>
          <w:sz w:val="24"/>
          <w:szCs w:val="24"/>
        </w:rPr>
        <w:t>012</w:t>
      </w:r>
      <w:r>
        <w:rPr>
          <w:rFonts w:ascii="Times New Roman" w:hAnsi="Times New Roman" w:cs="Times New Roman"/>
          <w:sz w:val="24"/>
          <w:szCs w:val="24"/>
        </w:rPr>
        <w:t>)</w:t>
      </w:r>
      <w:r w:rsidRPr="00BB160D">
        <w:rPr>
          <w:rFonts w:ascii="Times New Roman" w:hAnsi="Times New Roman" w:cs="Times New Roman"/>
          <w:sz w:val="24"/>
          <w:szCs w:val="24"/>
        </w:rPr>
        <w:t>. Regulation of banking and financial markets. ENCYCLOPEDIA OF LAW AND ECONOMICS: REGULATION AND ECONOMICS, 2nd Edition, AM Pacces and RJ Van den Bergh, eds., Elgar.</w:t>
      </w:r>
    </w:p>
    <w:p w14:paraId="05B48F9F" w14:textId="77777777" w:rsidR="00956134" w:rsidRDefault="00956134" w:rsidP="00956134">
      <w:pPr>
        <w:rPr>
          <w:rFonts w:ascii="Times New Roman" w:hAnsi="Times New Roman" w:cs="Times New Roman"/>
          <w:sz w:val="24"/>
          <w:szCs w:val="24"/>
        </w:rPr>
      </w:pPr>
      <w:r w:rsidRPr="00492F2E">
        <w:rPr>
          <w:rFonts w:ascii="Times New Roman" w:hAnsi="Times New Roman" w:cs="Times New Roman"/>
          <w:sz w:val="24"/>
          <w:szCs w:val="24"/>
        </w:rPr>
        <w:t xml:space="preserve">Allen, B., Chan, K.K., Milne, A. and Thomas, S., </w:t>
      </w:r>
      <w:r>
        <w:rPr>
          <w:rFonts w:ascii="Times New Roman" w:hAnsi="Times New Roman" w:cs="Times New Roman"/>
          <w:sz w:val="24"/>
          <w:szCs w:val="24"/>
        </w:rPr>
        <w:t>(</w:t>
      </w:r>
      <w:r w:rsidRPr="00492F2E">
        <w:rPr>
          <w:rFonts w:ascii="Times New Roman" w:hAnsi="Times New Roman" w:cs="Times New Roman"/>
          <w:sz w:val="24"/>
          <w:szCs w:val="24"/>
        </w:rPr>
        <w:t>2012</w:t>
      </w:r>
      <w:r>
        <w:rPr>
          <w:rFonts w:ascii="Times New Roman" w:hAnsi="Times New Roman" w:cs="Times New Roman"/>
          <w:sz w:val="24"/>
          <w:szCs w:val="24"/>
        </w:rPr>
        <w:t>)</w:t>
      </w:r>
      <w:r w:rsidRPr="00492F2E">
        <w:rPr>
          <w:rFonts w:ascii="Times New Roman" w:hAnsi="Times New Roman" w:cs="Times New Roman"/>
          <w:sz w:val="24"/>
          <w:szCs w:val="24"/>
        </w:rPr>
        <w:t>.</w:t>
      </w:r>
      <w:r>
        <w:rPr>
          <w:rFonts w:ascii="Times New Roman" w:hAnsi="Times New Roman" w:cs="Times New Roman"/>
          <w:sz w:val="24"/>
          <w:szCs w:val="24"/>
        </w:rPr>
        <w:t xml:space="preserve">- </w:t>
      </w:r>
      <w:r w:rsidRPr="00492F2E">
        <w:rPr>
          <w:rFonts w:ascii="Times New Roman" w:hAnsi="Times New Roman" w:cs="Times New Roman"/>
          <w:sz w:val="24"/>
          <w:szCs w:val="24"/>
        </w:rPr>
        <w:t xml:space="preserve"> Basel III: Is the cure worse than the disease?. International Review of Financial Analysis</w:t>
      </w:r>
    </w:p>
    <w:p w14:paraId="7AF67B0F" w14:textId="77777777" w:rsidR="00956134" w:rsidRDefault="00956134" w:rsidP="00956134">
      <w:pPr>
        <w:rPr>
          <w:rFonts w:ascii="Times New Roman" w:hAnsi="Times New Roman" w:cs="Times New Roman"/>
          <w:sz w:val="24"/>
          <w:szCs w:val="24"/>
        </w:rPr>
      </w:pPr>
      <w:r w:rsidRPr="00525ECD">
        <w:rPr>
          <w:rFonts w:ascii="Times New Roman" w:hAnsi="Times New Roman" w:cs="Times New Roman"/>
          <w:sz w:val="24"/>
          <w:szCs w:val="24"/>
        </w:rPr>
        <w:t xml:space="preserve">Barth, J.R., Lin, C., Ma, Y., Seade, J. and Song, F.M., </w:t>
      </w:r>
      <w:r>
        <w:rPr>
          <w:rFonts w:ascii="Times New Roman" w:hAnsi="Times New Roman" w:cs="Times New Roman"/>
          <w:sz w:val="24"/>
          <w:szCs w:val="24"/>
        </w:rPr>
        <w:t>(</w:t>
      </w:r>
      <w:r w:rsidRPr="00525ECD">
        <w:rPr>
          <w:rFonts w:ascii="Times New Roman" w:hAnsi="Times New Roman" w:cs="Times New Roman"/>
          <w:sz w:val="24"/>
          <w:szCs w:val="24"/>
        </w:rPr>
        <w:t>2013</w:t>
      </w:r>
      <w:r>
        <w:rPr>
          <w:rFonts w:ascii="Times New Roman" w:hAnsi="Times New Roman" w:cs="Times New Roman"/>
          <w:sz w:val="24"/>
          <w:szCs w:val="24"/>
        </w:rPr>
        <w:t>)</w:t>
      </w:r>
      <w:r w:rsidRPr="00525ECD">
        <w:rPr>
          <w:rFonts w:ascii="Times New Roman" w:hAnsi="Times New Roman" w:cs="Times New Roman"/>
          <w:sz w:val="24"/>
          <w:szCs w:val="24"/>
        </w:rPr>
        <w:t>. Do bank regulation, supervision and monitoring enhance or impede bank efficiency?. Journal of Banking &amp; Finance, 37(8), pp.2879-2892.</w:t>
      </w:r>
    </w:p>
    <w:p w14:paraId="5CDBE668" w14:textId="77777777" w:rsidR="00956134" w:rsidRDefault="00956134" w:rsidP="00956134">
      <w:pPr>
        <w:rPr>
          <w:rFonts w:ascii="Times New Roman" w:hAnsi="Times New Roman" w:cs="Times New Roman"/>
          <w:sz w:val="24"/>
          <w:szCs w:val="24"/>
        </w:rPr>
      </w:pPr>
      <w:r w:rsidRPr="00AF6252">
        <w:rPr>
          <w:rFonts w:ascii="Times New Roman" w:hAnsi="Times New Roman" w:cs="Times New Roman"/>
          <w:sz w:val="24"/>
          <w:szCs w:val="24"/>
        </w:rPr>
        <w:t xml:space="preserve">Friedrichsen, G.W.S., Burchfield, R.W. and Onions, C.T. eds., </w:t>
      </w:r>
      <w:r>
        <w:rPr>
          <w:rFonts w:ascii="Times New Roman" w:hAnsi="Times New Roman" w:cs="Times New Roman"/>
          <w:sz w:val="24"/>
          <w:szCs w:val="24"/>
        </w:rPr>
        <w:t>(</w:t>
      </w:r>
      <w:r w:rsidRPr="00AF6252">
        <w:rPr>
          <w:rFonts w:ascii="Times New Roman" w:hAnsi="Times New Roman" w:cs="Times New Roman"/>
          <w:sz w:val="24"/>
          <w:szCs w:val="24"/>
        </w:rPr>
        <w:t>1966</w:t>
      </w:r>
      <w:r>
        <w:rPr>
          <w:rFonts w:ascii="Times New Roman" w:hAnsi="Times New Roman" w:cs="Times New Roman"/>
          <w:sz w:val="24"/>
          <w:szCs w:val="24"/>
        </w:rPr>
        <w:t>)</w:t>
      </w:r>
      <w:r w:rsidRPr="00AF6252">
        <w:rPr>
          <w:rFonts w:ascii="Times New Roman" w:hAnsi="Times New Roman" w:cs="Times New Roman"/>
          <w:sz w:val="24"/>
          <w:szCs w:val="24"/>
        </w:rPr>
        <w:t>. The Oxford dictionary of English etymology. Clarendon Press.</w:t>
      </w:r>
    </w:p>
    <w:p w14:paraId="7B231CA3" w14:textId="77777777" w:rsidR="00956134" w:rsidRDefault="00956134" w:rsidP="00956134">
      <w:pPr>
        <w:rPr>
          <w:rFonts w:ascii="Times New Roman" w:hAnsi="Times New Roman" w:cs="Times New Roman"/>
          <w:sz w:val="24"/>
          <w:szCs w:val="24"/>
        </w:rPr>
      </w:pPr>
      <w:r w:rsidRPr="0021088C">
        <w:rPr>
          <w:rFonts w:ascii="Times New Roman" w:hAnsi="Times New Roman" w:cs="Times New Roman"/>
          <w:sz w:val="24"/>
          <w:szCs w:val="24"/>
        </w:rPr>
        <w:t>McInish, T.H., 1982. Individual investors and risk-taking. Journal of economic psychology, 2(2), pp.125-136.</w:t>
      </w:r>
    </w:p>
    <w:p w14:paraId="0D0E98E5" w14:textId="77777777" w:rsidR="00956134" w:rsidRDefault="00956134" w:rsidP="00956134">
      <w:pPr>
        <w:rPr>
          <w:rFonts w:ascii="Times New Roman" w:hAnsi="Times New Roman" w:cs="Times New Roman"/>
          <w:color w:val="222222"/>
          <w:sz w:val="24"/>
          <w:szCs w:val="24"/>
          <w:shd w:val="clear" w:color="auto" w:fill="FFFFFF"/>
        </w:rPr>
      </w:pPr>
      <w:r w:rsidRPr="00397DD7">
        <w:rPr>
          <w:rFonts w:ascii="Times New Roman" w:hAnsi="Times New Roman" w:cs="Times New Roman"/>
          <w:color w:val="222222"/>
          <w:sz w:val="24"/>
          <w:szCs w:val="24"/>
          <w:shd w:val="clear" w:color="auto" w:fill="FFFFFF"/>
        </w:rPr>
        <w:t>Stern, G.H. and Feldman, R.J., 2004. </w:t>
      </w:r>
      <w:r w:rsidRPr="00397DD7">
        <w:rPr>
          <w:rFonts w:ascii="Times New Roman" w:hAnsi="Times New Roman" w:cs="Times New Roman"/>
          <w:i/>
          <w:iCs/>
          <w:color w:val="222222"/>
          <w:sz w:val="24"/>
          <w:szCs w:val="24"/>
          <w:shd w:val="clear" w:color="auto" w:fill="FFFFFF"/>
        </w:rPr>
        <w:t>Too big to fail: The hazards of bank bailouts</w:t>
      </w:r>
      <w:r w:rsidRPr="00397DD7">
        <w:rPr>
          <w:rFonts w:ascii="Times New Roman" w:hAnsi="Times New Roman" w:cs="Times New Roman"/>
          <w:color w:val="222222"/>
          <w:sz w:val="24"/>
          <w:szCs w:val="24"/>
          <w:shd w:val="clear" w:color="auto" w:fill="FFFFFF"/>
        </w:rPr>
        <w:t>. Brookings Institution Press.</w:t>
      </w:r>
    </w:p>
    <w:p w14:paraId="040C5074" w14:textId="77777777" w:rsidR="00956134" w:rsidRDefault="00956134" w:rsidP="00956134">
      <w:pPr>
        <w:rPr>
          <w:rFonts w:ascii="Times New Roman" w:hAnsi="Times New Roman" w:cs="Times New Roman"/>
          <w:sz w:val="24"/>
          <w:szCs w:val="24"/>
        </w:rPr>
      </w:pPr>
      <w:r w:rsidRPr="007A6862">
        <w:rPr>
          <w:rFonts w:ascii="Times New Roman" w:hAnsi="Times New Roman" w:cs="Times New Roman"/>
          <w:sz w:val="24"/>
          <w:szCs w:val="24"/>
        </w:rPr>
        <w:t>Rasmusen, E., 1987. Moral hazard in risk-averse teams. The RAND Journal of Economics, pp.428-435.</w:t>
      </w:r>
    </w:p>
    <w:p w14:paraId="67771BA6" w14:textId="77777777" w:rsidR="00956134" w:rsidRDefault="00956134" w:rsidP="00956134">
      <w:pPr>
        <w:rPr>
          <w:rFonts w:ascii="Times New Roman" w:hAnsi="Times New Roman" w:cs="Times New Roman"/>
          <w:sz w:val="24"/>
          <w:szCs w:val="24"/>
        </w:rPr>
      </w:pPr>
      <w:r w:rsidRPr="00E216E0">
        <w:rPr>
          <w:rFonts w:ascii="Times New Roman" w:hAnsi="Times New Roman" w:cs="Times New Roman"/>
          <w:sz w:val="24"/>
          <w:szCs w:val="24"/>
        </w:rPr>
        <w:t>Balin, B.J., 2008. Basel I, Basel II, and emerging markets: A nontechnical analysis. Available at SSRN 1477712.</w:t>
      </w:r>
    </w:p>
    <w:p w14:paraId="5F6CA145"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w:t>
      </w:r>
      <w:r w:rsidRPr="002B431C">
        <w:rPr>
          <w:rFonts w:ascii="Times New Roman" w:hAnsi="Times New Roman" w:cs="Times New Roman"/>
          <w:sz w:val="24"/>
          <w:szCs w:val="24"/>
        </w:rPr>
        <w:t xml:space="preserve">Blundell-Wignall, A. and Atkinson, P., 2010. Thinking beyond basel </w:t>
      </w:r>
      <w:r>
        <w:rPr>
          <w:rFonts w:ascii="Times New Roman" w:hAnsi="Times New Roman" w:cs="Times New Roman"/>
          <w:sz w:val="24"/>
          <w:szCs w:val="24"/>
        </w:rPr>
        <w:t>III</w:t>
      </w:r>
      <w:r w:rsidRPr="002B431C">
        <w:rPr>
          <w:rFonts w:ascii="Times New Roman" w:hAnsi="Times New Roman" w:cs="Times New Roman"/>
          <w:sz w:val="24"/>
          <w:szCs w:val="24"/>
        </w:rPr>
        <w:t>. OECD Journal: Financial Market Trends, 2010(1), pp.9-33.</w:t>
      </w:r>
    </w:p>
    <w:p w14:paraId="6573B878"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w:t>
      </w:r>
      <w:r w:rsidRPr="00107D15">
        <w:rPr>
          <w:rFonts w:ascii="Times New Roman" w:hAnsi="Times New Roman" w:cs="Times New Roman"/>
          <w:sz w:val="24"/>
          <w:szCs w:val="24"/>
        </w:rPr>
        <w:t>Fidrmuc, J. and Lind, R., 2018. Macroeconomic impact of Basel III: Evidence from a meta-analysis. Journal of Banking &amp; Finance, p.105359.</w:t>
      </w:r>
    </w:p>
    <w:p w14:paraId="2378BCB8"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AB4DD2">
        <w:rPr>
          <w:rFonts w:ascii="Times New Roman" w:hAnsi="Times New Roman" w:cs="Times New Roman"/>
          <w:sz w:val="24"/>
          <w:szCs w:val="24"/>
        </w:rPr>
        <w:t>Rahman, M.M., Ashraf, B.N., Zheng, C. and Begum, M., 2017. Impact of cost efficiency on bank capital and the cost of financial intermediation: Evidence from BRICS countries. International Journal of Financial Studies, 5(4), p.32.</w:t>
      </w:r>
    </w:p>
    <w:p w14:paraId="69ECB29D" w14:textId="77777777" w:rsidR="00956134" w:rsidRDefault="00956134" w:rsidP="00956134">
      <w:pPr>
        <w:rPr>
          <w:rFonts w:ascii="Times New Roman" w:hAnsi="Times New Roman" w:cs="Times New Roman"/>
          <w:sz w:val="24"/>
          <w:szCs w:val="24"/>
        </w:rPr>
      </w:pPr>
      <w:r>
        <w:rPr>
          <w:rFonts w:ascii="Times New Roman" w:hAnsi="Times New Roman" w:cs="Times New Roman"/>
          <w:sz w:val="24"/>
          <w:szCs w:val="24"/>
        </w:rPr>
        <w:t xml:space="preserve"> </w:t>
      </w:r>
      <w:r w:rsidRPr="009474A5">
        <w:rPr>
          <w:rFonts w:ascii="Times New Roman" w:hAnsi="Times New Roman" w:cs="Times New Roman"/>
          <w:sz w:val="24"/>
          <w:szCs w:val="24"/>
        </w:rPr>
        <w:t>Zheng, C., Rahman, M.M., Begum, M. and Ashraf, B.N., 2017. Capital regulation, the cost of financial intermediation and bank profitability: evidence from Bangladesh. Journal of Risk and Financial Management, 10(2), p.9.</w:t>
      </w:r>
    </w:p>
    <w:p w14:paraId="388D0DB9" w14:textId="77777777" w:rsidR="00956134" w:rsidRDefault="00956134" w:rsidP="00956134">
      <w:pPr>
        <w:rPr>
          <w:rFonts w:ascii="Times New Roman" w:hAnsi="Times New Roman" w:cs="Times New Roman"/>
          <w:sz w:val="24"/>
          <w:szCs w:val="24"/>
        </w:rPr>
      </w:pPr>
      <w:r w:rsidRPr="00E11EFD">
        <w:rPr>
          <w:rFonts w:ascii="Times New Roman" w:hAnsi="Times New Roman" w:cs="Times New Roman"/>
          <w:sz w:val="24"/>
          <w:szCs w:val="24"/>
        </w:rPr>
        <w:t>Bruno, B., Onali, E. and Schaeck, K., 2018. Market reaction to bank liquidity regulation. Journal of Financial and Quantitative Analysis, 53(2), pp.899-935.</w:t>
      </w:r>
    </w:p>
    <w:p w14:paraId="16544023" w14:textId="77777777" w:rsidR="00956134" w:rsidRPr="00397DD7" w:rsidRDefault="00956134" w:rsidP="00956134">
      <w:pPr>
        <w:rPr>
          <w:rFonts w:ascii="Times New Roman" w:hAnsi="Times New Roman" w:cs="Times New Roman"/>
          <w:sz w:val="24"/>
          <w:szCs w:val="24"/>
        </w:rPr>
      </w:pPr>
    </w:p>
    <w:p w14:paraId="392D2E98" w14:textId="77777777" w:rsidR="00956134" w:rsidRDefault="00956134" w:rsidP="00956134">
      <w:pPr>
        <w:rPr>
          <w:rFonts w:ascii="Times New Roman" w:hAnsi="Times New Roman" w:cs="Times New Roman"/>
          <w:sz w:val="24"/>
          <w:szCs w:val="24"/>
        </w:rPr>
      </w:pPr>
    </w:p>
    <w:p w14:paraId="156159AF" w14:textId="77777777" w:rsidR="00956134" w:rsidRPr="00593C09" w:rsidRDefault="00956134" w:rsidP="00956134">
      <w:pPr>
        <w:rPr>
          <w:rFonts w:ascii="Times New Roman" w:hAnsi="Times New Roman" w:cs="Times New Roman"/>
          <w:sz w:val="24"/>
          <w:szCs w:val="24"/>
        </w:rPr>
      </w:pPr>
    </w:p>
    <w:p w14:paraId="249816C4" w14:textId="77777777" w:rsidR="00462D25" w:rsidRDefault="00462D25"/>
    <w:sectPr w:rsidR="00462D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3E56C3"/>
    <w:multiLevelType w:val="hybridMultilevel"/>
    <w:tmpl w:val="9F90F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B3A"/>
    <w:rsid w:val="00462D25"/>
    <w:rsid w:val="0085345E"/>
    <w:rsid w:val="00956134"/>
    <w:rsid w:val="00A62C08"/>
    <w:rsid w:val="00AD2B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8DCC1"/>
  <w15:chartTrackingRefBased/>
  <w15:docId w15:val="{A51F59CA-1D30-407E-8DC1-B1AC7D714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56134"/>
    <w:pPr>
      <w:spacing w:after="200" w:line="276"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956134"/>
    <w:rPr>
      <w:color w:val="0000FF" w:themeColor="hyperlink"/>
      <w:u w:val="single"/>
    </w:rPr>
  </w:style>
  <w:style w:type="character" w:styleId="MeniuneNerezolvat">
    <w:name w:val="Unresolved Mention"/>
    <w:basedOn w:val="Fontdeparagrafimplicit"/>
    <w:uiPriority w:val="99"/>
    <w:semiHidden/>
    <w:unhideWhenUsed/>
    <w:rsid w:val="00956134"/>
    <w:rPr>
      <w:color w:val="605E5C"/>
      <w:shd w:val="clear" w:color="auto" w:fill="E1DFDD"/>
    </w:rPr>
  </w:style>
  <w:style w:type="paragraph" w:styleId="Listparagraf">
    <w:name w:val="List Paragraph"/>
    <w:basedOn w:val="Normal"/>
    <w:uiPriority w:val="34"/>
    <w:qFormat/>
    <w:rsid w:val="00956134"/>
    <w:pPr>
      <w:ind w:left="720"/>
      <w:contextualSpacing/>
    </w:pPr>
  </w:style>
  <w:style w:type="paragraph" w:styleId="Legend">
    <w:name w:val="caption"/>
    <w:basedOn w:val="Normal"/>
    <w:next w:val="Normal"/>
    <w:uiPriority w:val="35"/>
    <w:unhideWhenUsed/>
    <w:qFormat/>
    <w:rsid w:val="00956134"/>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ankofengland.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ankofengland.co.uk" TargetMode="External"/><Relationship Id="rId11" Type="http://schemas.openxmlformats.org/officeDocument/2006/relationships/hyperlink" Target="https://www.bankofengland.co.uk/about" TargetMode="External"/><Relationship Id="rId5" Type="http://schemas.openxmlformats.org/officeDocument/2006/relationships/image" Target="media/image1.jpeg"/><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RISTY\Desktop\UNI\Banking%20&amp;%20Financial%20Markets\YES!%20(version%201).xls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RISTY\Desktop\UNI\Banking%20&amp;%20Financial%20Markets\YES!%20(version%201).xlsb.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RISTY\Desktop\UNI\Banking%20&amp;%20Financial%20Markets\YES!%20(version%201).xlsb.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HSBC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Sheet1!$C$1</c:f>
              <c:strCache>
                <c:ptCount val="1"/>
                <c:pt idx="0">
                  <c:v>TIER1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Sheet1!$A$2:$A$6</c:f>
              <c:numCache>
                <c:formatCode>General</c:formatCode>
                <c:ptCount val="5"/>
                <c:pt idx="0">
                  <c:v>2014</c:v>
                </c:pt>
                <c:pt idx="1">
                  <c:v>2015</c:v>
                </c:pt>
                <c:pt idx="2">
                  <c:v>2016</c:v>
                </c:pt>
                <c:pt idx="3">
                  <c:v>2017</c:v>
                </c:pt>
                <c:pt idx="4">
                  <c:v>2018</c:v>
                </c:pt>
              </c:numCache>
            </c:numRef>
          </c:cat>
          <c:val>
            <c:numRef>
              <c:f>Sheet1!$C$2:$C$6</c:f>
              <c:numCache>
                <c:formatCode>General</c:formatCode>
                <c:ptCount val="5"/>
                <c:pt idx="0">
                  <c:v>10.9</c:v>
                </c:pt>
                <c:pt idx="1">
                  <c:v>11.9</c:v>
                </c:pt>
                <c:pt idx="2">
                  <c:v>13.6</c:v>
                </c:pt>
                <c:pt idx="3">
                  <c:v>14.5</c:v>
                </c:pt>
                <c:pt idx="4">
                  <c:v>14</c:v>
                </c:pt>
              </c:numCache>
            </c:numRef>
          </c:val>
          <c:smooth val="0"/>
          <c:extLst>
            <c:ext xmlns:c16="http://schemas.microsoft.com/office/drawing/2014/chart" uri="{C3380CC4-5D6E-409C-BE32-E72D297353CC}">
              <c16:uniqueId val="{00000000-4F71-4BFE-8B43-218085080305}"/>
            </c:ext>
          </c:extLst>
        </c:ser>
        <c:ser>
          <c:idx val="1"/>
          <c:order val="1"/>
          <c:tx>
            <c:strRef>
              <c:f>Sheet1!$D$1</c:f>
              <c:strCache>
                <c:ptCount val="1"/>
                <c:pt idx="0">
                  <c:v>L/D Ratio</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Sheet1!$A$2:$A$6</c:f>
              <c:numCache>
                <c:formatCode>General</c:formatCode>
                <c:ptCount val="5"/>
                <c:pt idx="0">
                  <c:v>2014</c:v>
                </c:pt>
                <c:pt idx="1">
                  <c:v>2015</c:v>
                </c:pt>
                <c:pt idx="2">
                  <c:v>2016</c:v>
                </c:pt>
                <c:pt idx="3">
                  <c:v>2017</c:v>
                </c:pt>
                <c:pt idx="4">
                  <c:v>2018</c:v>
                </c:pt>
              </c:numCache>
            </c:numRef>
          </c:cat>
          <c:val>
            <c:numRef>
              <c:f>Sheet1!$D$2:$D$6</c:f>
              <c:numCache>
                <c:formatCode>General</c:formatCode>
                <c:ptCount val="5"/>
                <c:pt idx="0">
                  <c:v>73.8</c:v>
                </c:pt>
                <c:pt idx="1">
                  <c:v>73.400000000000006</c:v>
                </c:pt>
                <c:pt idx="2">
                  <c:v>71.3</c:v>
                </c:pt>
                <c:pt idx="3">
                  <c:v>75.5</c:v>
                </c:pt>
                <c:pt idx="4">
                  <c:v>76.099999999999994</c:v>
                </c:pt>
              </c:numCache>
            </c:numRef>
          </c:val>
          <c:smooth val="0"/>
          <c:extLst>
            <c:ext xmlns:c16="http://schemas.microsoft.com/office/drawing/2014/chart" uri="{C3380CC4-5D6E-409C-BE32-E72D297353CC}">
              <c16:uniqueId val="{00000001-4F71-4BFE-8B43-218085080305}"/>
            </c:ext>
          </c:extLst>
        </c:ser>
        <c:ser>
          <c:idx val="2"/>
          <c:order val="2"/>
          <c:tx>
            <c:strRef>
              <c:f>Sheet1!$E$1</c:f>
              <c:strCache>
                <c:ptCount val="1"/>
                <c:pt idx="0">
                  <c:v>LCR</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Sheet1!$A$2:$A$6</c:f>
              <c:numCache>
                <c:formatCode>General</c:formatCode>
                <c:ptCount val="5"/>
                <c:pt idx="0">
                  <c:v>2014</c:v>
                </c:pt>
                <c:pt idx="1">
                  <c:v>2015</c:v>
                </c:pt>
                <c:pt idx="2">
                  <c:v>2016</c:v>
                </c:pt>
                <c:pt idx="3">
                  <c:v>2017</c:v>
                </c:pt>
                <c:pt idx="4">
                  <c:v>2018</c:v>
                </c:pt>
              </c:numCache>
            </c:numRef>
          </c:cat>
          <c:val>
            <c:numRef>
              <c:f>Sheet1!$E$2:$E$6</c:f>
              <c:numCache>
                <c:formatCode>General</c:formatCode>
                <c:ptCount val="5"/>
                <c:pt idx="1">
                  <c:v>107</c:v>
                </c:pt>
                <c:pt idx="2">
                  <c:v>123</c:v>
                </c:pt>
                <c:pt idx="3">
                  <c:v>142</c:v>
                </c:pt>
                <c:pt idx="4">
                  <c:v>154</c:v>
                </c:pt>
              </c:numCache>
            </c:numRef>
          </c:val>
          <c:smooth val="0"/>
          <c:extLst>
            <c:ext xmlns:c16="http://schemas.microsoft.com/office/drawing/2014/chart" uri="{C3380CC4-5D6E-409C-BE32-E72D297353CC}">
              <c16:uniqueId val="{00000002-4F71-4BFE-8B43-218085080305}"/>
            </c:ext>
          </c:extLst>
        </c:ser>
        <c:ser>
          <c:idx val="3"/>
          <c:order val="3"/>
          <c:tx>
            <c:strRef>
              <c:f>Sheet1!$F$1</c:f>
              <c:strCache>
                <c:ptCount val="1"/>
                <c:pt idx="0">
                  <c:v>C-I RATIO</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Sheet1!$A$2:$A$6</c:f>
              <c:numCache>
                <c:formatCode>General</c:formatCode>
                <c:ptCount val="5"/>
                <c:pt idx="0">
                  <c:v>2014</c:v>
                </c:pt>
                <c:pt idx="1">
                  <c:v>2015</c:v>
                </c:pt>
                <c:pt idx="2">
                  <c:v>2016</c:v>
                </c:pt>
                <c:pt idx="3">
                  <c:v>2017</c:v>
                </c:pt>
                <c:pt idx="4">
                  <c:v>2018</c:v>
                </c:pt>
              </c:numCache>
            </c:numRef>
          </c:cat>
          <c:val>
            <c:numRef>
              <c:f>Sheet1!$F$2:$F$6</c:f>
              <c:numCache>
                <c:formatCode>0.0</c:formatCode>
                <c:ptCount val="5"/>
                <c:pt idx="0">
                  <c:v>55.298754574826056</c:v>
                </c:pt>
                <c:pt idx="1">
                  <c:v>55.93878354807854</c:v>
                </c:pt>
                <c:pt idx="2">
                  <c:v>66.528511264121931</c:v>
                </c:pt>
                <c:pt idx="3">
                  <c:v>54.697691921726047</c:v>
                </c:pt>
                <c:pt idx="4">
                  <c:v>59.957066696022771</c:v>
                </c:pt>
              </c:numCache>
            </c:numRef>
          </c:val>
          <c:smooth val="0"/>
          <c:extLst>
            <c:ext xmlns:c16="http://schemas.microsoft.com/office/drawing/2014/chart" uri="{C3380CC4-5D6E-409C-BE32-E72D297353CC}">
              <c16:uniqueId val="{00000003-4F71-4BFE-8B43-218085080305}"/>
            </c:ext>
          </c:extLst>
        </c:ser>
        <c:ser>
          <c:idx val="4"/>
          <c:order val="4"/>
          <c:tx>
            <c:strRef>
              <c:f>Sheet1!$G$1</c:f>
              <c:strCache>
                <c:ptCount val="1"/>
                <c:pt idx="0">
                  <c:v>ROE</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Sheet1!$A$2:$A$6</c:f>
              <c:numCache>
                <c:formatCode>General</c:formatCode>
                <c:ptCount val="5"/>
                <c:pt idx="0">
                  <c:v>2014</c:v>
                </c:pt>
                <c:pt idx="1">
                  <c:v>2015</c:v>
                </c:pt>
                <c:pt idx="2">
                  <c:v>2016</c:v>
                </c:pt>
                <c:pt idx="3">
                  <c:v>2017</c:v>
                </c:pt>
                <c:pt idx="4">
                  <c:v>2018</c:v>
                </c:pt>
              </c:numCache>
            </c:numRef>
          </c:cat>
          <c:val>
            <c:numRef>
              <c:f>Sheet1!$G$2:$G$6</c:f>
              <c:numCache>
                <c:formatCode>General</c:formatCode>
                <c:ptCount val="5"/>
                <c:pt idx="0">
                  <c:v>7.3</c:v>
                </c:pt>
                <c:pt idx="1">
                  <c:v>7.2</c:v>
                </c:pt>
                <c:pt idx="2">
                  <c:v>2.6</c:v>
                </c:pt>
                <c:pt idx="3">
                  <c:v>6.8</c:v>
                </c:pt>
                <c:pt idx="4">
                  <c:v>8.6</c:v>
                </c:pt>
              </c:numCache>
            </c:numRef>
          </c:val>
          <c:smooth val="0"/>
          <c:extLst>
            <c:ext xmlns:c16="http://schemas.microsoft.com/office/drawing/2014/chart" uri="{C3380CC4-5D6E-409C-BE32-E72D297353CC}">
              <c16:uniqueId val="{00000004-4F71-4BFE-8B43-218085080305}"/>
            </c:ext>
          </c:extLst>
        </c:ser>
        <c:dLbls>
          <c:showLegendKey val="0"/>
          <c:showVal val="0"/>
          <c:showCatName val="0"/>
          <c:showSerName val="0"/>
          <c:showPercent val="0"/>
          <c:showBubbleSize val="0"/>
        </c:dLbls>
        <c:marker val="1"/>
        <c:smooth val="0"/>
        <c:axId val="1801762367"/>
        <c:axId val="1802511759"/>
      </c:lineChart>
      <c:catAx>
        <c:axId val="18017623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2511759"/>
        <c:crosses val="autoZero"/>
        <c:auto val="1"/>
        <c:lblAlgn val="ctr"/>
        <c:lblOffset val="100"/>
        <c:noMultiLvlLbl val="0"/>
      </c:catAx>
      <c:valAx>
        <c:axId val="1802511759"/>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8017623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LLOYDS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Foaie1!$Q$2</c:f>
              <c:strCache>
                <c:ptCount val="1"/>
                <c:pt idx="0">
                  <c:v>TIER1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Foaie1!$P$3:$P$7</c:f>
              <c:numCache>
                <c:formatCode>General</c:formatCode>
                <c:ptCount val="5"/>
                <c:pt idx="0">
                  <c:v>2014</c:v>
                </c:pt>
                <c:pt idx="1">
                  <c:v>2015</c:v>
                </c:pt>
                <c:pt idx="2">
                  <c:v>2016</c:v>
                </c:pt>
                <c:pt idx="3">
                  <c:v>2017</c:v>
                </c:pt>
                <c:pt idx="4">
                  <c:v>2018</c:v>
                </c:pt>
              </c:numCache>
            </c:numRef>
          </c:cat>
          <c:val>
            <c:numRef>
              <c:f>Foaie1!$Q$3:$Q$7</c:f>
              <c:numCache>
                <c:formatCode>General</c:formatCode>
                <c:ptCount val="5"/>
                <c:pt idx="0">
                  <c:v>16.5</c:v>
                </c:pt>
                <c:pt idx="1">
                  <c:v>16.399999999999999</c:v>
                </c:pt>
                <c:pt idx="2">
                  <c:v>17</c:v>
                </c:pt>
                <c:pt idx="3">
                  <c:v>17.2</c:v>
                </c:pt>
                <c:pt idx="4">
                  <c:v>18.2</c:v>
                </c:pt>
              </c:numCache>
            </c:numRef>
          </c:val>
          <c:smooth val="0"/>
          <c:extLst>
            <c:ext xmlns:c16="http://schemas.microsoft.com/office/drawing/2014/chart" uri="{C3380CC4-5D6E-409C-BE32-E72D297353CC}">
              <c16:uniqueId val="{00000000-44B6-4F67-B461-5DB2537BEFD7}"/>
            </c:ext>
          </c:extLst>
        </c:ser>
        <c:ser>
          <c:idx val="1"/>
          <c:order val="1"/>
          <c:tx>
            <c:strRef>
              <c:f>Foaie1!$R$2</c:f>
              <c:strCache>
                <c:ptCount val="1"/>
                <c:pt idx="0">
                  <c:v>L/D Ratio</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Foaie1!$P$3:$P$7</c:f>
              <c:numCache>
                <c:formatCode>General</c:formatCode>
                <c:ptCount val="5"/>
                <c:pt idx="0">
                  <c:v>2014</c:v>
                </c:pt>
                <c:pt idx="1">
                  <c:v>2015</c:v>
                </c:pt>
                <c:pt idx="2">
                  <c:v>2016</c:v>
                </c:pt>
                <c:pt idx="3">
                  <c:v>2017</c:v>
                </c:pt>
                <c:pt idx="4">
                  <c:v>2018</c:v>
                </c:pt>
              </c:numCache>
            </c:numRef>
          </c:cat>
          <c:val>
            <c:numRef>
              <c:f>Foaie1!$R$3:$R$7</c:f>
              <c:numCache>
                <c:formatCode>General</c:formatCode>
                <c:ptCount val="5"/>
                <c:pt idx="0">
                  <c:v>107</c:v>
                </c:pt>
                <c:pt idx="1">
                  <c:v>107</c:v>
                </c:pt>
                <c:pt idx="2">
                  <c:v>109</c:v>
                </c:pt>
                <c:pt idx="3">
                  <c:v>109</c:v>
                </c:pt>
                <c:pt idx="4">
                  <c:v>107</c:v>
                </c:pt>
              </c:numCache>
            </c:numRef>
          </c:val>
          <c:smooth val="0"/>
          <c:extLst>
            <c:ext xmlns:c16="http://schemas.microsoft.com/office/drawing/2014/chart" uri="{C3380CC4-5D6E-409C-BE32-E72D297353CC}">
              <c16:uniqueId val="{00000001-44B6-4F67-B461-5DB2537BEFD7}"/>
            </c:ext>
          </c:extLst>
        </c:ser>
        <c:ser>
          <c:idx val="2"/>
          <c:order val="2"/>
          <c:tx>
            <c:strRef>
              <c:f>Foaie1!$S$2</c:f>
              <c:strCache>
                <c:ptCount val="1"/>
                <c:pt idx="0">
                  <c:v>LCR</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Foaie1!$P$3:$P$7</c:f>
              <c:numCache>
                <c:formatCode>General</c:formatCode>
                <c:ptCount val="5"/>
                <c:pt idx="0">
                  <c:v>2014</c:v>
                </c:pt>
                <c:pt idx="1">
                  <c:v>2015</c:v>
                </c:pt>
                <c:pt idx="2">
                  <c:v>2016</c:v>
                </c:pt>
                <c:pt idx="3">
                  <c:v>2017</c:v>
                </c:pt>
                <c:pt idx="4">
                  <c:v>2018</c:v>
                </c:pt>
              </c:numCache>
            </c:numRef>
          </c:cat>
          <c:val>
            <c:numRef>
              <c:f>Foaie1!$S$3:$S$7</c:f>
              <c:numCache>
                <c:formatCode>General</c:formatCode>
                <c:ptCount val="5"/>
                <c:pt idx="1">
                  <c:v>123</c:v>
                </c:pt>
                <c:pt idx="2">
                  <c:v>121</c:v>
                </c:pt>
                <c:pt idx="3">
                  <c:v>127</c:v>
                </c:pt>
                <c:pt idx="4">
                  <c:v>130</c:v>
                </c:pt>
              </c:numCache>
            </c:numRef>
          </c:val>
          <c:smooth val="0"/>
          <c:extLst>
            <c:ext xmlns:c16="http://schemas.microsoft.com/office/drawing/2014/chart" uri="{C3380CC4-5D6E-409C-BE32-E72D297353CC}">
              <c16:uniqueId val="{00000002-44B6-4F67-B461-5DB2537BEFD7}"/>
            </c:ext>
          </c:extLst>
        </c:ser>
        <c:ser>
          <c:idx val="3"/>
          <c:order val="3"/>
          <c:tx>
            <c:strRef>
              <c:f>Foaie1!$T$2</c:f>
              <c:strCache>
                <c:ptCount val="1"/>
                <c:pt idx="0">
                  <c:v>C-I RATIO</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Foaie1!$P$3:$P$7</c:f>
              <c:numCache>
                <c:formatCode>General</c:formatCode>
                <c:ptCount val="5"/>
                <c:pt idx="0">
                  <c:v>2014</c:v>
                </c:pt>
                <c:pt idx="1">
                  <c:v>2015</c:v>
                </c:pt>
                <c:pt idx="2">
                  <c:v>2016</c:v>
                </c:pt>
                <c:pt idx="3">
                  <c:v>2017</c:v>
                </c:pt>
                <c:pt idx="4">
                  <c:v>2018</c:v>
                </c:pt>
              </c:numCache>
            </c:numRef>
          </c:cat>
          <c:val>
            <c:numRef>
              <c:f>Foaie1!$T$3:$T$7</c:f>
              <c:numCache>
                <c:formatCode>General</c:formatCode>
                <c:ptCount val="5"/>
                <c:pt idx="0">
                  <c:v>55.3</c:v>
                </c:pt>
                <c:pt idx="1">
                  <c:v>54.2</c:v>
                </c:pt>
                <c:pt idx="2">
                  <c:v>55.3</c:v>
                </c:pt>
                <c:pt idx="3">
                  <c:v>51.8</c:v>
                </c:pt>
                <c:pt idx="4">
                  <c:v>49.3</c:v>
                </c:pt>
              </c:numCache>
            </c:numRef>
          </c:val>
          <c:smooth val="0"/>
          <c:extLst>
            <c:ext xmlns:c16="http://schemas.microsoft.com/office/drawing/2014/chart" uri="{C3380CC4-5D6E-409C-BE32-E72D297353CC}">
              <c16:uniqueId val="{00000003-44B6-4F67-B461-5DB2537BEFD7}"/>
            </c:ext>
          </c:extLst>
        </c:ser>
        <c:ser>
          <c:idx val="4"/>
          <c:order val="4"/>
          <c:tx>
            <c:strRef>
              <c:f>Foaie1!$U$2</c:f>
              <c:strCache>
                <c:ptCount val="1"/>
                <c:pt idx="0">
                  <c:v>ROE</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Foaie1!$P$3:$P$7</c:f>
              <c:numCache>
                <c:formatCode>General</c:formatCode>
                <c:ptCount val="5"/>
                <c:pt idx="0">
                  <c:v>2014</c:v>
                </c:pt>
                <c:pt idx="1">
                  <c:v>2015</c:v>
                </c:pt>
                <c:pt idx="2">
                  <c:v>2016</c:v>
                </c:pt>
                <c:pt idx="3">
                  <c:v>2017</c:v>
                </c:pt>
                <c:pt idx="4">
                  <c:v>2018</c:v>
                </c:pt>
              </c:numCache>
            </c:numRef>
          </c:cat>
          <c:val>
            <c:numRef>
              <c:f>Foaie1!$U$3:$U$7</c:f>
              <c:numCache>
                <c:formatCode>General</c:formatCode>
                <c:ptCount val="5"/>
                <c:pt idx="0">
                  <c:v>3</c:v>
                </c:pt>
                <c:pt idx="1">
                  <c:v>2.0299999999999998</c:v>
                </c:pt>
                <c:pt idx="2">
                  <c:v>4.47</c:v>
                </c:pt>
                <c:pt idx="3">
                  <c:v>7.93</c:v>
                </c:pt>
                <c:pt idx="4">
                  <c:v>8.77</c:v>
                </c:pt>
              </c:numCache>
            </c:numRef>
          </c:val>
          <c:smooth val="0"/>
          <c:extLst>
            <c:ext xmlns:c16="http://schemas.microsoft.com/office/drawing/2014/chart" uri="{C3380CC4-5D6E-409C-BE32-E72D297353CC}">
              <c16:uniqueId val="{00000004-44B6-4F67-B461-5DB2537BEFD7}"/>
            </c:ext>
          </c:extLst>
        </c:ser>
        <c:dLbls>
          <c:showLegendKey val="0"/>
          <c:showVal val="0"/>
          <c:showCatName val="0"/>
          <c:showSerName val="0"/>
          <c:showPercent val="0"/>
          <c:showBubbleSize val="0"/>
        </c:dLbls>
        <c:marker val="1"/>
        <c:smooth val="0"/>
        <c:axId val="1785970991"/>
        <c:axId val="1751627999"/>
      </c:lineChart>
      <c:catAx>
        <c:axId val="17859709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1627999"/>
        <c:crosses val="autoZero"/>
        <c:auto val="1"/>
        <c:lblAlgn val="ctr"/>
        <c:lblOffset val="100"/>
        <c:noMultiLvlLbl val="0"/>
      </c:catAx>
      <c:valAx>
        <c:axId val="1751627999"/>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7859709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Foaie1!$Q$11</c:f>
              <c:strCache>
                <c:ptCount val="1"/>
                <c:pt idx="0">
                  <c:v>TIER1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Foaie1!$P$12:$P$16</c:f>
              <c:numCache>
                <c:formatCode>General</c:formatCode>
                <c:ptCount val="5"/>
                <c:pt idx="0">
                  <c:v>2014</c:v>
                </c:pt>
                <c:pt idx="1">
                  <c:v>2015</c:v>
                </c:pt>
                <c:pt idx="2">
                  <c:v>2016</c:v>
                </c:pt>
                <c:pt idx="3">
                  <c:v>2017</c:v>
                </c:pt>
                <c:pt idx="4">
                  <c:v>2018</c:v>
                </c:pt>
              </c:numCache>
            </c:numRef>
          </c:cat>
          <c:val>
            <c:numRef>
              <c:f>Foaie1!$Q$12:$Q$16</c:f>
              <c:numCache>
                <c:formatCode>General</c:formatCode>
                <c:ptCount val="5"/>
                <c:pt idx="0">
                  <c:v>10.7</c:v>
                </c:pt>
                <c:pt idx="1">
                  <c:v>12.6</c:v>
                </c:pt>
                <c:pt idx="2">
                  <c:v>13.6</c:v>
                </c:pt>
                <c:pt idx="3">
                  <c:v>13.6</c:v>
                </c:pt>
                <c:pt idx="4">
                  <c:v>14.2</c:v>
                </c:pt>
              </c:numCache>
            </c:numRef>
          </c:val>
          <c:smooth val="0"/>
          <c:extLst>
            <c:ext xmlns:c16="http://schemas.microsoft.com/office/drawing/2014/chart" uri="{C3380CC4-5D6E-409C-BE32-E72D297353CC}">
              <c16:uniqueId val="{00000000-0174-443D-BF18-B08F244667A3}"/>
            </c:ext>
          </c:extLst>
        </c:ser>
        <c:ser>
          <c:idx val="1"/>
          <c:order val="1"/>
          <c:tx>
            <c:strRef>
              <c:f>Foaie1!$R$11</c:f>
              <c:strCache>
                <c:ptCount val="1"/>
                <c:pt idx="0">
                  <c:v>L/D Ratio</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Foaie1!$P$12:$P$16</c:f>
              <c:numCache>
                <c:formatCode>General</c:formatCode>
                <c:ptCount val="5"/>
                <c:pt idx="0">
                  <c:v>2014</c:v>
                </c:pt>
                <c:pt idx="1">
                  <c:v>2015</c:v>
                </c:pt>
                <c:pt idx="2">
                  <c:v>2016</c:v>
                </c:pt>
                <c:pt idx="3">
                  <c:v>2017</c:v>
                </c:pt>
                <c:pt idx="4">
                  <c:v>2018</c:v>
                </c:pt>
              </c:numCache>
            </c:numRef>
          </c:cat>
          <c:val>
            <c:numRef>
              <c:f>Foaie1!$R$12:$R$16</c:f>
              <c:numCache>
                <c:formatCode>General</c:formatCode>
                <c:ptCount val="5"/>
                <c:pt idx="0">
                  <c:v>75.599999999999994</c:v>
                </c:pt>
                <c:pt idx="1">
                  <c:v>89.8</c:v>
                </c:pt>
                <c:pt idx="2">
                  <c:v>64.900000000000006</c:v>
                </c:pt>
                <c:pt idx="3">
                  <c:v>82.9</c:v>
                </c:pt>
                <c:pt idx="4">
                  <c:v>80.2</c:v>
                </c:pt>
              </c:numCache>
            </c:numRef>
          </c:val>
          <c:smooth val="0"/>
          <c:extLst>
            <c:ext xmlns:c16="http://schemas.microsoft.com/office/drawing/2014/chart" uri="{C3380CC4-5D6E-409C-BE32-E72D297353CC}">
              <c16:uniqueId val="{00000001-0174-443D-BF18-B08F244667A3}"/>
            </c:ext>
          </c:extLst>
        </c:ser>
        <c:ser>
          <c:idx val="2"/>
          <c:order val="2"/>
          <c:tx>
            <c:strRef>
              <c:f>Foaie1!$S$11</c:f>
              <c:strCache>
                <c:ptCount val="1"/>
                <c:pt idx="0">
                  <c:v>LCR</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Foaie1!$P$12:$P$16</c:f>
              <c:numCache>
                <c:formatCode>General</c:formatCode>
                <c:ptCount val="5"/>
                <c:pt idx="0">
                  <c:v>2014</c:v>
                </c:pt>
                <c:pt idx="1">
                  <c:v>2015</c:v>
                </c:pt>
                <c:pt idx="2">
                  <c:v>2016</c:v>
                </c:pt>
                <c:pt idx="3">
                  <c:v>2017</c:v>
                </c:pt>
                <c:pt idx="4">
                  <c:v>2018</c:v>
                </c:pt>
              </c:numCache>
            </c:numRef>
          </c:cat>
          <c:val>
            <c:numRef>
              <c:f>Foaie1!$S$12:$S$16</c:f>
              <c:numCache>
                <c:formatCode>General</c:formatCode>
                <c:ptCount val="5"/>
                <c:pt idx="1">
                  <c:v>154</c:v>
                </c:pt>
                <c:pt idx="2">
                  <c:v>138</c:v>
                </c:pt>
                <c:pt idx="3">
                  <c:v>146</c:v>
                </c:pt>
                <c:pt idx="4">
                  <c:v>154</c:v>
                </c:pt>
              </c:numCache>
            </c:numRef>
          </c:val>
          <c:smooth val="0"/>
          <c:extLst>
            <c:ext xmlns:c16="http://schemas.microsoft.com/office/drawing/2014/chart" uri="{C3380CC4-5D6E-409C-BE32-E72D297353CC}">
              <c16:uniqueId val="{00000002-0174-443D-BF18-B08F244667A3}"/>
            </c:ext>
          </c:extLst>
        </c:ser>
        <c:ser>
          <c:idx val="3"/>
          <c:order val="3"/>
          <c:tx>
            <c:strRef>
              <c:f>Foaie1!$T$11</c:f>
              <c:strCache>
                <c:ptCount val="1"/>
                <c:pt idx="0">
                  <c:v>C-I RATIO</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Foaie1!$P$12:$P$16</c:f>
              <c:numCache>
                <c:formatCode>General</c:formatCode>
                <c:ptCount val="5"/>
                <c:pt idx="0">
                  <c:v>2014</c:v>
                </c:pt>
                <c:pt idx="1">
                  <c:v>2015</c:v>
                </c:pt>
                <c:pt idx="2">
                  <c:v>2016</c:v>
                </c:pt>
                <c:pt idx="3">
                  <c:v>2017</c:v>
                </c:pt>
                <c:pt idx="4">
                  <c:v>2018</c:v>
                </c:pt>
              </c:numCache>
            </c:numRef>
          </c:cat>
          <c:val>
            <c:numRef>
              <c:f>Foaie1!$T$12:$T$16</c:f>
              <c:numCache>
                <c:formatCode>0.0</c:formatCode>
                <c:ptCount val="5"/>
                <c:pt idx="0">
                  <c:v>60.243263881313403</c:v>
                </c:pt>
                <c:pt idx="1">
                  <c:v>73.078684021191705</c:v>
                </c:pt>
                <c:pt idx="2">
                  <c:v>72.624466571834986</c:v>
                </c:pt>
                <c:pt idx="3">
                  <c:v>72.214904679376076</c:v>
                </c:pt>
                <c:pt idx="4">
                  <c:v>78.754479680843872</c:v>
                </c:pt>
              </c:numCache>
            </c:numRef>
          </c:val>
          <c:smooth val="0"/>
          <c:extLst>
            <c:ext xmlns:c16="http://schemas.microsoft.com/office/drawing/2014/chart" uri="{C3380CC4-5D6E-409C-BE32-E72D297353CC}">
              <c16:uniqueId val="{00000003-0174-443D-BF18-B08F244667A3}"/>
            </c:ext>
          </c:extLst>
        </c:ser>
        <c:ser>
          <c:idx val="4"/>
          <c:order val="4"/>
          <c:tx>
            <c:strRef>
              <c:f>Foaie1!$U$11</c:f>
              <c:strCache>
                <c:ptCount val="1"/>
                <c:pt idx="0">
                  <c:v>ROE</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Foaie1!$P$12:$P$16</c:f>
              <c:numCache>
                <c:formatCode>General</c:formatCode>
                <c:ptCount val="5"/>
                <c:pt idx="0">
                  <c:v>2014</c:v>
                </c:pt>
                <c:pt idx="1">
                  <c:v>2015</c:v>
                </c:pt>
                <c:pt idx="2">
                  <c:v>2016</c:v>
                </c:pt>
                <c:pt idx="3">
                  <c:v>2017</c:v>
                </c:pt>
                <c:pt idx="4">
                  <c:v>2018</c:v>
                </c:pt>
              </c:numCache>
            </c:numRef>
          </c:cat>
          <c:val>
            <c:numRef>
              <c:f>Foaie1!$U$12:$U$16</c:f>
              <c:numCache>
                <c:formatCode>General</c:formatCode>
                <c:ptCount val="5"/>
                <c:pt idx="0">
                  <c:v>7.8</c:v>
                </c:pt>
                <c:pt idx="1">
                  <c:v>0.4</c:v>
                </c:pt>
                <c:pt idx="2">
                  <c:v>0.3</c:v>
                </c:pt>
                <c:pt idx="3">
                  <c:v>3.5</c:v>
                </c:pt>
                <c:pt idx="4">
                  <c:v>4.5999999999999996</c:v>
                </c:pt>
              </c:numCache>
            </c:numRef>
          </c:val>
          <c:smooth val="0"/>
          <c:extLst>
            <c:ext xmlns:c16="http://schemas.microsoft.com/office/drawing/2014/chart" uri="{C3380CC4-5D6E-409C-BE32-E72D297353CC}">
              <c16:uniqueId val="{00000004-0174-443D-BF18-B08F244667A3}"/>
            </c:ext>
          </c:extLst>
        </c:ser>
        <c:dLbls>
          <c:showLegendKey val="0"/>
          <c:showVal val="0"/>
          <c:showCatName val="0"/>
          <c:showSerName val="0"/>
          <c:showPercent val="0"/>
          <c:showBubbleSize val="0"/>
        </c:dLbls>
        <c:marker val="1"/>
        <c:smooth val="0"/>
        <c:axId val="1782229615"/>
        <c:axId val="1802562095"/>
      </c:lineChart>
      <c:catAx>
        <c:axId val="1782229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2562095"/>
        <c:crosses val="autoZero"/>
        <c:auto val="1"/>
        <c:lblAlgn val="ctr"/>
        <c:lblOffset val="100"/>
        <c:noMultiLvlLbl val="0"/>
      </c:catAx>
      <c:valAx>
        <c:axId val="1802562095"/>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78222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4225</Words>
  <Characters>24088</Characters>
  <Application>Microsoft Office Word</Application>
  <DocSecurity>0</DocSecurity>
  <Lines>200</Lines>
  <Paragraphs>56</Paragraphs>
  <ScaleCrop>false</ScaleCrop>
  <Company/>
  <LinksUpToDate>false</LinksUpToDate>
  <CharactersWithSpaces>28257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CRISTY</dc:creator>
  <cp:keywords/>
  <dc:description/>
  <cp:lastModifiedBy>CRISTY</cp:lastModifiedBy>
  <cp:revision>3</cp:revision>
  <dcterms:created xsi:type="dcterms:W3CDTF">2020-01-02T10:50:00Z</dcterms:created>
  <dcterms:modified xsi:type="dcterms:W3CDTF">2020-01-09T23:55:00Z</dcterms:modified>
</cp:coreProperties>
</file>