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F145D" w14:textId="77777777" w:rsidR="00142624" w:rsidRDefault="00142624" w:rsidP="00142624">
      <w:pPr>
        <w:spacing w:after="0" w:line="480" w:lineRule="auto"/>
        <w:jc w:val="center"/>
        <w:rPr>
          <w:rFonts w:ascii="Times New Roman" w:hAnsi="Times New Roman" w:cs="Times New Roman"/>
          <w:b/>
          <w:bCs/>
          <w:sz w:val="24"/>
          <w:szCs w:val="24"/>
        </w:rPr>
      </w:pPr>
    </w:p>
    <w:p w14:paraId="4436A5F6" w14:textId="77777777" w:rsidR="00142624" w:rsidRDefault="00142624" w:rsidP="00142624">
      <w:pPr>
        <w:spacing w:after="0" w:line="480" w:lineRule="auto"/>
        <w:jc w:val="center"/>
        <w:rPr>
          <w:rFonts w:ascii="Times New Roman" w:hAnsi="Times New Roman" w:cs="Times New Roman"/>
          <w:b/>
          <w:bCs/>
          <w:sz w:val="24"/>
          <w:szCs w:val="24"/>
        </w:rPr>
      </w:pPr>
    </w:p>
    <w:p w14:paraId="5EC4ADE6" w14:textId="77777777" w:rsidR="00142624" w:rsidRDefault="00142624" w:rsidP="00142624">
      <w:pPr>
        <w:spacing w:after="0" w:line="480" w:lineRule="auto"/>
        <w:jc w:val="center"/>
        <w:rPr>
          <w:rFonts w:ascii="Times New Roman" w:hAnsi="Times New Roman" w:cs="Times New Roman"/>
          <w:b/>
          <w:bCs/>
          <w:sz w:val="24"/>
          <w:szCs w:val="24"/>
        </w:rPr>
      </w:pPr>
    </w:p>
    <w:p w14:paraId="1BF194A9" w14:textId="2C37750E" w:rsidR="00142624" w:rsidRDefault="00801AE7" w:rsidP="00801AE7">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DC15E6" w:rsidRPr="00142624">
        <w:rPr>
          <w:rFonts w:ascii="Times New Roman" w:hAnsi="Times New Roman" w:cs="Times New Roman"/>
          <w:b/>
          <w:bCs/>
          <w:sz w:val="24"/>
          <w:szCs w:val="24"/>
        </w:rPr>
        <w:t>JURYS INN RATIO ANALYSIS</w:t>
      </w:r>
    </w:p>
    <w:p w14:paraId="586FCA06" w14:textId="6F993536" w:rsidR="00142624" w:rsidRDefault="00801AE7" w:rsidP="00801AE7">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DC15E6">
        <w:rPr>
          <w:rFonts w:ascii="Times New Roman" w:hAnsi="Times New Roman" w:cs="Times New Roman"/>
          <w:b/>
          <w:bCs/>
          <w:sz w:val="24"/>
          <w:szCs w:val="24"/>
        </w:rPr>
        <w:t>By</w:t>
      </w:r>
    </w:p>
    <w:p w14:paraId="7579E435" w14:textId="0521737A" w:rsidR="00335D6F" w:rsidRPr="00142624" w:rsidRDefault="00801AE7" w:rsidP="00801AE7">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                                                               </w:t>
      </w:r>
      <w:r w:rsidR="00335D6F">
        <w:rPr>
          <w:rFonts w:ascii="Times New Roman" w:hAnsi="Times New Roman" w:cs="Times New Roman"/>
          <w:b/>
          <w:bCs/>
          <w:sz w:val="24"/>
          <w:szCs w:val="24"/>
        </w:rPr>
        <w:t>Ramona Hincean</w:t>
      </w:r>
    </w:p>
    <w:p w14:paraId="169C297B" w14:textId="77777777" w:rsidR="00801AE7" w:rsidRDefault="00801AE7" w:rsidP="00142624">
      <w:pPr>
        <w:spacing w:after="0" w:line="480" w:lineRule="auto"/>
        <w:jc w:val="center"/>
        <w:rPr>
          <w:rFonts w:ascii="Times New Roman" w:hAnsi="Times New Roman" w:cs="Times New Roman"/>
          <w:sz w:val="24"/>
          <w:szCs w:val="24"/>
        </w:rPr>
      </w:pPr>
    </w:p>
    <w:p w14:paraId="64486E2F" w14:textId="7FF00BF3" w:rsidR="00335D6F" w:rsidRDefault="00335D6F" w:rsidP="0014262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ID Number</w:t>
      </w:r>
      <w:r w:rsidR="00801AE7">
        <w:rPr>
          <w:rFonts w:ascii="Times New Roman" w:hAnsi="Times New Roman" w:cs="Times New Roman"/>
          <w:sz w:val="24"/>
          <w:szCs w:val="24"/>
        </w:rPr>
        <w:t>:</w:t>
      </w:r>
      <w:r>
        <w:rPr>
          <w:rFonts w:ascii="Times New Roman" w:hAnsi="Times New Roman" w:cs="Times New Roman"/>
          <w:sz w:val="24"/>
          <w:szCs w:val="24"/>
        </w:rPr>
        <w:t xml:space="preserve"> 1919291</w:t>
      </w:r>
    </w:p>
    <w:p w14:paraId="1C2EA5A2" w14:textId="3707794A" w:rsidR="005373B5" w:rsidRDefault="005373B5" w:rsidP="0014262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Title</w:t>
      </w:r>
      <w:r w:rsidR="00801AE7">
        <w:rPr>
          <w:rFonts w:ascii="Times New Roman" w:hAnsi="Times New Roman" w:cs="Times New Roman"/>
          <w:sz w:val="24"/>
          <w:szCs w:val="24"/>
        </w:rPr>
        <w:t>:</w:t>
      </w:r>
      <w:r>
        <w:rPr>
          <w:rFonts w:ascii="Times New Roman" w:hAnsi="Times New Roman" w:cs="Times New Roman"/>
          <w:sz w:val="24"/>
          <w:szCs w:val="24"/>
        </w:rPr>
        <w:t xml:space="preserve"> Financial Management </w:t>
      </w:r>
      <w:proofErr w:type="gramStart"/>
      <w:r>
        <w:rPr>
          <w:rFonts w:ascii="Times New Roman" w:hAnsi="Times New Roman" w:cs="Times New Roman"/>
          <w:sz w:val="24"/>
          <w:szCs w:val="24"/>
        </w:rPr>
        <w:t>For</w:t>
      </w:r>
      <w:proofErr w:type="gramEnd"/>
      <w:r>
        <w:rPr>
          <w:rFonts w:ascii="Times New Roman" w:hAnsi="Times New Roman" w:cs="Times New Roman"/>
          <w:sz w:val="24"/>
          <w:szCs w:val="24"/>
        </w:rPr>
        <w:t xml:space="preserve"> The Hotel Industry </w:t>
      </w:r>
    </w:p>
    <w:p w14:paraId="5A231E15" w14:textId="77777777" w:rsidR="005373B5" w:rsidRDefault="005373B5" w:rsidP="0014262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(BMIH5007)</w:t>
      </w:r>
    </w:p>
    <w:p w14:paraId="585F3D26" w14:textId="7C8E5190" w:rsidR="00142624" w:rsidRPr="00142624" w:rsidRDefault="005373B5" w:rsidP="0014262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Lectures Nam</w:t>
      </w:r>
      <w:r w:rsidR="00801AE7">
        <w:rPr>
          <w:rFonts w:ascii="Times New Roman" w:hAnsi="Times New Roman" w:cs="Times New Roman"/>
          <w:sz w:val="24"/>
          <w:szCs w:val="24"/>
        </w:rPr>
        <w:t>e</w:t>
      </w:r>
      <w:r>
        <w:rPr>
          <w:rFonts w:ascii="Times New Roman" w:hAnsi="Times New Roman" w:cs="Times New Roman"/>
          <w:sz w:val="24"/>
          <w:szCs w:val="24"/>
          <w:lang w:val="en-GB"/>
        </w:rPr>
        <w:t>:</w:t>
      </w:r>
      <w:r w:rsidR="00DC15E6" w:rsidRPr="00142624">
        <w:rPr>
          <w:rFonts w:ascii="Times New Roman" w:hAnsi="Times New Roman" w:cs="Times New Roman"/>
          <w:sz w:val="24"/>
          <w:szCs w:val="24"/>
        </w:rPr>
        <w:t xml:space="preserve"> </w:t>
      </w:r>
      <w:r w:rsidR="009C37ED">
        <w:rPr>
          <w:rFonts w:ascii="Times New Roman" w:hAnsi="Times New Roman" w:cs="Times New Roman"/>
          <w:sz w:val="24"/>
          <w:szCs w:val="24"/>
        </w:rPr>
        <w:t>Dale Clarke</w:t>
      </w:r>
    </w:p>
    <w:p w14:paraId="2CD2541D" w14:textId="77777777" w:rsidR="00142624" w:rsidRDefault="00142624" w:rsidP="00142624">
      <w:pPr>
        <w:spacing w:after="0" w:line="480" w:lineRule="auto"/>
        <w:jc w:val="center"/>
        <w:rPr>
          <w:rFonts w:ascii="Times New Roman" w:hAnsi="Times New Roman" w:cs="Times New Roman"/>
          <w:b/>
          <w:bCs/>
          <w:sz w:val="24"/>
          <w:szCs w:val="24"/>
        </w:rPr>
      </w:pPr>
    </w:p>
    <w:p w14:paraId="764BDDF0" w14:textId="77777777" w:rsidR="00142624" w:rsidRDefault="00DC15E6">
      <w:pPr>
        <w:rPr>
          <w:rFonts w:ascii="Times New Roman" w:hAnsi="Times New Roman" w:cs="Times New Roman"/>
          <w:b/>
          <w:bCs/>
          <w:sz w:val="24"/>
          <w:szCs w:val="24"/>
        </w:rPr>
      </w:pPr>
      <w:r>
        <w:rPr>
          <w:rFonts w:ascii="Times New Roman" w:hAnsi="Times New Roman" w:cs="Times New Roman"/>
          <w:b/>
          <w:bCs/>
          <w:sz w:val="24"/>
          <w:szCs w:val="24"/>
        </w:rPr>
        <w:br w:type="page"/>
      </w:r>
    </w:p>
    <w:p w14:paraId="57BEF8D9" w14:textId="43DFA864" w:rsidR="00142624" w:rsidRPr="00142624" w:rsidRDefault="00DC15E6" w:rsidP="00142624">
      <w:pPr>
        <w:spacing w:after="0" w:line="480" w:lineRule="auto"/>
        <w:jc w:val="center"/>
        <w:rPr>
          <w:rFonts w:ascii="Times New Roman" w:hAnsi="Times New Roman" w:cs="Times New Roman"/>
          <w:b/>
          <w:bCs/>
          <w:sz w:val="24"/>
          <w:szCs w:val="24"/>
        </w:rPr>
      </w:pPr>
      <w:bookmarkStart w:id="0" w:name="_Hlk95818139"/>
      <w:r w:rsidRPr="00142624">
        <w:rPr>
          <w:rFonts w:ascii="Times New Roman" w:hAnsi="Times New Roman" w:cs="Times New Roman"/>
          <w:b/>
          <w:bCs/>
          <w:sz w:val="24"/>
          <w:szCs w:val="24"/>
        </w:rPr>
        <w:lastRenderedPageBreak/>
        <w:t>Jurys Inn Ratio Analysis</w:t>
      </w:r>
    </w:p>
    <w:bookmarkEnd w:id="0"/>
    <w:p w14:paraId="0F41753C" w14:textId="01453997" w:rsidR="00A43CF0" w:rsidRPr="00142624" w:rsidRDefault="00DC15E6" w:rsidP="00142624">
      <w:pPr>
        <w:spacing w:after="0" w:line="480" w:lineRule="auto"/>
        <w:rPr>
          <w:rFonts w:ascii="Times New Roman" w:hAnsi="Times New Roman" w:cs="Times New Roman"/>
          <w:sz w:val="24"/>
          <w:szCs w:val="24"/>
        </w:rPr>
      </w:pPr>
      <w:r w:rsidRPr="00142624">
        <w:rPr>
          <w:rFonts w:ascii="Times New Roman" w:hAnsi="Times New Roman" w:cs="Times New Roman"/>
          <w:b/>
          <w:bCs/>
          <w:sz w:val="24"/>
          <w:szCs w:val="24"/>
        </w:rPr>
        <w:t>Introduction</w:t>
      </w:r>
    </w:p>
    <w:p w14:paraId="17E92D7A" w14:textId="289CA50E" w:rsidR="00F453BA"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In the market, businesses operate in competitive industries; thus, calling for sound decisions. For the company to remain competitive in the industry, different factors need to be evaluated. Business always prepares financial statements annually to aid in determining the overall performance. However, the financial statements are believed to be inadequate in providing useful information on the company's performance to third parties such as investors, government, and employees. Therefore, in providing a better understanding, it is advisable to carry out a financial statement analysis. According to</w:t>
      </w:r>
      <w:r w:rsidR="00E45D67" w:rsidRPr="00142624">
        <w:rPr>
          <w:rFonts w:ascii="Times New Roman" w:hAnsi="Times New Roman" w:cs="Times New Roman"/>
          <w:sz w:val="24"/>
          <w:szCs w:val="24"/>
        </w:rPr>
        <w:t xml:space="preserve"> </w:t>
      </w:r>
      <w:r w:rsidR="00E45D67" w:rsidRPr="00142624">
        <w:rPr>
          <w:rFonts w:ascii="Times New Roman" w:hAnsi="Times New Roman" w:cs="Times New Roman"/>
          <w:color w:val="222222"/>
          <w:sz w:val="24"/>
          <w:szCs w:val="24"/>
          <w:shd w:val="clear" w:color="auto" w:fill="FFFFFF"/>
        </w:rPr>
        <w:t>Sutopo et al. (2018)</w:t>
      </w:r>
      <w:r w:rsidR="00E45D67" w:rsidRPr="00142624">
        <w:rPr>
          <w:rFonts w:ascii="Times New Roman" w:hAnsi="Times New Roman" w:cs="Times New Roman"/>
          <w:sz w:val="24"/>
          <w:szCs w:val="24"/>
        </w:rPr>
        <w:t xml:space="preserve">, </w:t>
      </w:r>
      <w:r w:rsidRPr="00142624">
        <w:rPr>
          <w:rFonts w:ascii="Times New Roman" w:hAnsi="Times New Roman" w:cs="Times New Roman"/>
          <w:sz w:val="24"/>
          <w:szCs w:val="24"/>
        </w:rPr>
        <w:t xml:space="preserve">the financial statement </w:t>
      </w:r>
      <w:r w:rsidR="006212B0">
        <w:rPr>
          <w:rFonts w:ascii="Times New Roman" w:hAnsi="Times New Roman" w:cs="Times New Roman"/>
          <w:sz w:val="24"/>
          <w:szCs w:val="24"/>
        </w:rPr>
        <w:t xml:space="preserve">analysis </w:t>
      </w:r>
      <w:r w:rsidRPr="00142624">
        <w:rPr>
          <w:rFonts w:ascii="Times New Roman" w:hAnsi="Times New Roman" w:cs="Times New Roman"/>
          <w:sz w:val="24"/>
          <w:szCs w:val="24"/>
        </w:rPr>
        <w:t>refers to the process through which a company's financial statements are evaluated and analyzed to understand the overall risk and profitability</w:t>
      </w:r>
      <w:r w:rsidR="00E45D67" w:rsidRPr="00142624">
        <w:rPr>
          <w:rFonts w:ascii="Times New Roman" w:hAnsi="Times New Roman" w:cs="Times New Roman"/>
          <w:sz w:val="24"/>
          <w:szCs w:val="24"/>
        </w:rPr>
        <w:t xml:space="preserve"> (2)</w:t>
      </w:r>
      <w:r w:rsidRPr="00142624">
        <w:rPr>
          <w:rFonts w:ascii="Times New Roman" w:hAnsi="Times New Roman" w:cs="Times New Roman"/>
          <w:sz w:val="24"/>
          <w:szCs w:val="24"/>
        </w:rPr>
        <w:t xml:space="preserve">. The financial statement analysis is always about the ratio analysis. Similarly, in understanding Jurys Inn's overall performance, it is vital to carry out a ratio analysis. This report seeks to provide a critical evaluation of Jurys </w:t>
      </w:r>
      <w:r w:rsidR="003959D5" w:rsidRPr="00142624">
        <w:rPr>
          <w:rFonts w:ascii="Times New Roman" w:hAnsi="Times New Roman" w:cs="Times New Roman"/>
          <w:sz w:val="24"/>
          <w:szCs w:val="24"/>
        </w:rPr>
        <w:t>Inn’s performance</w:t>
      </w:r>
      <w:r w:rsidRPr="00142624">
        <w:rPr>
          <w:rFonts w:ascii="Times New Roman" w:hAnsi="Times New Roman" w:cs="Times New Roman"/>
          <w:sz w:val="24"/>
          <w:szCs w:val="24"/>
        </w:rPr>
        <w:t xml:space="preserve"> by determining its profitability, liquidity, and gearing ratios. </w:t>
      </w:r>
    </w:p>
    <w:p w14:paraId="6481BC8D" w14:textId="58DE9761" w:rsidR="00C4130A"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Profitability</w:t>
      </w:r>
      <w:r w:rsidRPr="00142624">
        <w:rPr>
          <w:rFonts w:ascii="Times New Roman" w:hAnsi="Times New Roman" w:cs="Times New Roman"/>
          <w:sz w:val="24"/>
          <w:szCs w:val="24"/>
        </w:rPr>
        <w:t xml:space="preserve"> </w:t>
      </w:r>
      <w:r w:rsidRPr="00142624">
        <w:rPr>
          <w:rFonts w:ascii="Times New Roman" w:hAnsi="Times New Roman" w:cs="Times New Roman"/>
          <w:b/>
          <w:bCs/>
          <w:sz w:val="24"/>
          <w:szCs w:val="24"/>
        </w:rPr>
        <w:t>ratios</w:t>
      </w:r>
    </w:p>
    <w:p w14:paraId="6E623ED3" w14:textId="6BC3C4E0" w:rsidR="00017EB2"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According t</w:t>
      </w:r>
      <w:r w:rsidR="00C4221B" w:rsidRPr="00142624">
        <w:rPr>
          <w:rFonts w:ascii="Times New Roman" w:hAnsi="Times New Roman" w:cs="Times New Roman"/>
          <w:sz w:val="24"/>
          <w:szCs w:val="24"/>
        </w:rPr>
        <w:t>o</w:t>
      </w:r>
      <w:r w:rsidR="00C4221B" w:rsidRPr="00142624">
        <w:rPr>
          <w:rFonts w:ascii="Times New Roman" w:hAnsi="Times New Roman" w:cs="Times New Roman"/>
          <w:color w:val="222222"/>
          <w:sz w:val="24"/>
          <w:szCs w:val="24"/>
          <w:shd w:val="clear" w:color="auto" w:fill="FFFFFF"/>
        </w:rPr>
        <w:t xml:space="preserve"> Morales Díaz and Zamora Ramírez (2018)</w:t>
      </w:r>
      <w:r w:rsidRPr="00142624">
        <w:rPr>
          <w:rFonts w:ascii="Times New Roman" w:hAnsi="Times New Roman" w:cs="Times New Roman"/>
          <w:sz w:val="24"/>
          <w:szCs w:val="24"/>
        </w:rPr>
        <w:t>, profitability ratios refer to the financial metrics that help in determining the company's ability to generate profits from its operations</w:t>
      </w:r>
      <w:r w:rsidR="00C4221B" w:rsidRPr="00142624">
        <w:rPr>
          <w:rFonts w:ascii="Times New Roman" w:hAnsi="Times New Roman" w:cs="Times New Roman"/>
          <w:sz w:val="24"/>
          <w:szCs w:val="24"/>
        </w:rPr>
        <w:t xml:space="preserve"> (67)</w:t>
      </w:r>
      <w:r w:rsidRPr="00142624">
        <w:rPr>
          <w:rFonts w:ascii="Times New Roman" w:hAnsi="Times New Roman" w:cs="Times New Roman"/>
          <w:sz w:val="24"/>
          <w:szCs w:val="24"/>
        </w:rPr>
        <w:t xml:space="preserve">. Generally, the profitability ratios help in determining the company's efficiency in generating profits from its assets and inventory. In determining the company's profitability, it is advisable to conduct gross margin ratio, profits margin, return on asset, or return on equity. Overall, the profitability ratios </w:t>
      </w:r>
      <w:r w:rsidR="00DA0587" w:rsidRPr="00142624">
        <w:rPr>
          <w:rFonts w:ascii="Times New Roman" w:hAnsi="Times New Roman" w:cs="Times New Roman"/>
          <w:sz w:val="24"/>
          <w:szCs w:val="24"/>
        </w:rPr>
        <w:t>help</w:t>
      </w:r>
      <w:r w:rsidRPr="00142624">
        <w:rPr>
          <w:rFonts w:ascii="Times New Roman" w:hAnsi="Times New Roman" w:cs="Times New Roman"/>
          <w:sz w:val="24"/>
          <w:szCs w:val="24"/>
        </w:rPr>
        <w:t xml:space="preserve"> in determining the company's efficiency in generating profits and improving the shareholder's value. </w:t>
      </w:r>
      <w:r w:rsidR="00DA0587" w:rsidRPr="00142624">
        <w:rPr>
          <w:rFonts w:ascii="Times New Roman" w:hAnsi="Times New Roman" w:cs="Times New Roman"/>
          <w:sz w:val="24"/>
          <w:szCs w:val="24"/>
        </w:rPr>
        <w:t xml:space="preserve">In all the profitability ratios, it can be established that the </w:t>
      </w:r>
      <w:r w:rsidR="00DA0587" w:rsidRPr="00142624">
        <w:rPr>
          <w:rFonts w:ascii="Times New Roman" w:hAnsi="Times New Roman" w:cs="Times New Roman"/>
          <w:sz w:val="24"/>
          <w:szCs w:val="24"/>
        </w:rPr>
        <w:lastRenderedPageBreak/>
        <w:t xml:space="preserve">higher the profitability ratios, the more favorable the business. In other words, a higher </w:t>
      </w:r>
      <w:r w:rsidR="006212B0">
        <w:rPr>
          <w:rFonts w:ascii="Times New Roman" w:hAnsi="Times New Roman" w:cs="Times New Roman"/>
          <w:sz w:val="24"/>
          <w:szCs w:val="24"/>
        </w:rPr>
        <w:t xml:space="preserve">profitability </w:t>
      </w:r>
      <w:r w:rsidR="00DA0587" w:rsidRPr="00142624">
        <w:rPr>
          <w:rFonts w:ascii="Times New Roman" w:hAnsi="Times New Roman" w:cs="Times New Roman"/>
          <w:sz w:val="24"/>
          <w:szCs w:val="24"/>
        </w:rPr>
        <w:t xml:space="preserve">level implies that the business is more efficient in generating profits and improving the shareholder's value. </w:t>
      </w:r>
    </w:p>
    <w:p w14:paraId="09E6D491" w14:textId="58844A43" w:rsidR="00017EB2" w:rsidRPr="00142624" w:rsidRDefault="00DC15E6" w:rsidP="00142624">
      <w:pPr>
        <w:pStyle w:val="ListParagraph"/>
        <w:numPr>
          <w:ilvl w:val="0"/>
          <w:numId w:val="2"/>
        </w:num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Gross profits margin ratios</w:t>
      </w:r>
    </w:p>
    <w:p w14:paraId="2D7B637F" w14:textId="6F8F47E0" w:rsidR="00017EB2"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 xml:space="preserve">Gross profits margin ratios </w:t>
      </w:r>
      <w:r w:rsidR="006226AC" w:rsidRPr="00142624">
        <w:rPr>
          <w:rFonts w:ascii="Times New Roman" w:hAnsi="Times New Roman" w:cs="Times New Roman"/>
          <w:sz w:val="24"/>
          <w:szCs w:val="24"/>
        </w:rPr>
        <w:t>refer</w:t>
      </w:r>
      <w:r w:rsidRPr="00142624">
        <w:rPr>
          <w:rFonts w:ascii="Times New Roman" w:hAnsi="Times New Roman" w:cs="Times New Roman"/>
          <w:sz w:val="24"/>
          <w:szCs w:val="24"/>
        </w:rPr>
        <w:t xml:space="preserve"> to the accounting metrics that help in measuring the company's ability to generate profits from its inventory. </w:t>
      </w:r>
      <w:r w:rsidR="006226AC" w:rsidRPr="00142624">
        <w:rPr>
          <w:rFonts w:ascii="Times New Roman" w:hAnsi="Times New Roman" w:cs="Times New Roman"/>
          <w:sz w:val="24"/>
          <w:szCs w:val="24"/>
        </w:rPr>
        <w:t>In other words, the gross margin ratio helps in determining the performance percentage after deduction of the Cost of Goods sold—generally, the higher the gross profit margin, the better the business. According to</w:t>
      </w:r>
      <w:r w:rsidR="00E45D67" w:rsidRPr="00142624">
        <w:rPr>
          <w:rFonts w:ascii="Times New Roman" w:hAnsi="Times New Roman" w:cs="Times New Roman"/>
          <w:color w:val="222222"/>
          <w:sz w:val="24"/>
          <w:szCs w:val="24"/>
          <w:shd w:val="clear" w:color="auto" w:fill="FFFFFF"/>
        </w:rPr>
        <w:t xml:space="preserve"> Sanad and Al-Sartawi (2021)</w:t>
      </w:r>
      <w:r w:rsidR="006226AC" w:rsidRPr="00142624">
        <w:rPr>
          <w:rFonts w:ascii="Times New Roman" w:hAnsi="Times New Roman" w:cs="Times New Roman"/>
          <w:sz w:val="24"/>
          <w:szCs w:val="24"/>
        </w:rPr>
        <w:t xml:space="preserve">, a company is believed to have a healthy gross margin if the ratios </w:t>
      </w:r>
      <w:r w:rsidR="00C4221B" w:rsidRPr="00142624">
        <w:rPr>
          <w:rFonts w:ascii="Times New Roman" w:hAnsi="Times New Roman" w:cs="Times New Roman"/>
          <w:sz w:val="24"/>
          <w:szCs w:val="24"/>
        </w:rPr>
        <w:t>range</w:t>
      </w:r>
      <w:r w:rsidR="006226AC" w:rsidRPr="00142624">
        <w:rPr>
          <w:rFonts w:ascii="Times New Roman" w:hAnsi="Times New Roman" w:cs="Times New Roman"/>
          <w:sz w:val="24"/>
          <w:szCs w:val="24"/>
        </w:rPr>
        <w:t xml:space="preserve"> between 50% to 70%</w:t>
      </w:r>
      <w:r w:rsidR="00E45D67" w:rsidRPr="00142624">
        <w:rPr>
          <w:rFonts w:ascii="Times New Roman" w:hAnsi="Times New Roman" w:cs="Times New Roman"/>
          <w:sz w:val="24"/>
          <w:szCs w:val="24"/>
        </w:rPr>
        <w:t xml:space="preserve"> (412)</w:t>
      </w:r>
      <w:r w:rsidR="006226AC" w:rsidRPr="00142624">
        <w:rPr>
          <w:rFonts w:ascii="Times New Roman" w:hAnsi="Times New Roman" w:cs="Times New Roman"/>
          <w:sz w:val="24"/>
          <w:szCs w:val="24"/>
        </w:rPr>
        <w:t xml:space="preserve">. For the Jurys Inn, the gross profit margin is as follows; </w:t>
      </w:r>
    </w:p>
    <w:p w14:paraId="544B1625" w14:textId="51741F5B" w:rsidR="006226AC"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Gross Profit Margin ratio=</m:t>
          </m:r>
          <m:f>
            <m:fPr>
              <m:ctrlPr>
                <w:rPr>
                  <w:rFonts w:ascii="Cambria Math" w:hAnsi="Cambria Math" w:cs="Times New Roman"/>
                  <w:i/>
                  <w:sz w:val="24"/>
                  <w:szCs w:val="24"/>
                </w:rPr>
              </m:ctrlPr>
            </m:fPr>
            <m:num>
              <m:r>
                <w:rPr>
                  <w:rFonts w:ascii="Cambria Math" w:hAnsi="Cambria Math" w:cs="Times New Roman"/>
                  <w:sz w:val="24"/>
                  <w:szCs w:val="24"/>
                </w:rPr>
                <m:t>Gross Profits</m:t>
              </m:r>
            </m:num>
            <m:den>
              <m:r>
                <w:rPr>
                  <w:rFonts w:ascii="Cambria Math" w:hAnsi="Cambria Math" w:cs="Times New Roman"/>
                  <w:sz w:val="24"/>
                  <w:szCs w:val="24"/>
                </w:rPr>
                <m:t>Net sales</m:t>
              </m:r>
            </m:den>
          </m:f>
          <m:r>
            <w:rPr>
              <w:rFonts w:ascii="Cambria Math" w:eastAsiaTheme="minorEastAsia" w:hAnsi="Cambria Math" w:cs="Times New Roman"/>
              <w:sz w:val="24"/>
              <w:szCs w:val="24"/>
            </w:rPr>
            <m:t>×100</m:t>
          </m:r>
        </m:oMath>
      </m:oMathPara>
    </w:p>
    <w:p w14:paraId="7030C3FD" w14:textId="2F7C9F42" w:rsidR="006226AC"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Gross Profits margin ratio </m:t>
          </m:r>
          <m:d>
            <m:dPr>
              <m:ctrlPr>
                <w:rPr>
                  <w:rFonts w:ascii="Cambria Math" w:hAnsi="Cambria Math" w:cs="Times New Roman"/>
                  <w:i/>
                  <w:sz w:val="24"/>
                  <w:szCs w:val="24"/>
                </w:rPr>
              </m:ctrlPr>
            </m:dPr>
            <m:e>
              <m:r>
                <w:rPr>
                  <w:rFonts w:ascii="Cambria Math" w:hAnsi="Cambria Math" w:cs="Times New Roman"/>
                  <w:sz w:val="24"/>
                  <w:szCs w:val="24"/>
                </w:rPr>
                <m:t>2019</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5,050,000</m:t>
              </m:r>
            </m:num>
            <m:den>
              <m:r>
                <w:rPr>
                  <w:rFonts w:ascii="Cambria Math" w:hAnsi="Cambria Math" w:cs="Times New Roman"/>
                  <w:sz w:val="24"/>
                  <w:szCs w:val="24"/>
                </w:rPr>
                <m:t>5,500,000</m:t>
              </m:r>
            </m:den>
          </m:f>
          <m:r>
            <w:rPr>
              <w:rFonts w:ascii="Cambria Math" w:hAnsi="Cambria Math" w:cs="Times New Roman"/>
              <w:sz w:val="24"/>
              <w:szCs w:val="24"/>
            </w:rPr>
            <m:t>×100</m:t>
          </m:r>
        </m:oMath>
      </m:oMathPara>
    </w:p>
    <w:p w14:paraId="7D1D5C04" w14:textId="491A0FE9" w:rsidR="006226AC"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=91.81%</m:t>
          </m:r>
        </m:oMath>
      </m:oMathPara>
    </w:p>
    <w:p w14:paraId="6119346E" w14:textId="16686DB0" w:rsidR="001519F8"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Gross Profits margin ratio </m:t>
          </m:r>
          <m:d>
            <m:dPr>
              <m:ctrlPr>
                <w:rPr>
                  <w:rFonts w:ascii="Cambria Math" w:hAnsi="Cambria Math" w:cs="Times New Roman"/>
                  <w:i/>
                  <w:sz w:val="24"/>
                  <w:szCs w:val="24"/>
                </w:rPr>
              </m:ctrlPr>
            </m:dPr>
            <m:e>
              <m:r>
                <w:rPr>
                  <w:rFonts w:ascii="Cambria Math" w:hAnsi="Cambria Math" w:cs="Times New Roman"/>
                  <w:sz w:val="24"/>
                  <w:szCs w:val="24"/>
                </w:rPr>
                <m:t>2020</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5,150,000</m:t>
              </m:r>
            </m:num>
            <m:den>
              <m:r>
                <w:rPr>
                  <w:rFonts w:ascii="Cambria Math" w:hAnsi="Cambria Math" w:cs="Times New Roman"/>
                  <w:sz w:val="24"/>
                  <w:szCs w:val="24"/>
                </w:rPr>
                <m:t>6,000,000</m:t>
              </m:r>
            </m:den>
          </m:f>
          <m:r>
            <w:rPr>
              <w:rFonts w:ascii="Cambria Math" w:hAnsi="Cambria Math" w:cs="Times New Roman"/>
              <w:sz w:val="24"/>
              <w:szCs w:val="24"/>
            </w:rPr>
            <m:t>×100</m:t>
          </m:r>
        </m:oMath>
      </m:oMathPara>
    </w:p>
    <w:p w14:paraId="1EFD5C0B" w14:textId="31E6064E" w:rsidR="001519F8" w:rsidRPr="00142624" w:rsidRDefault="00DC15E6" w:rsidP="00142624">
      <w:pPr>
        <w:spacing w:after="0" w:line="480" w:lineRule="auto"/>
        <w:rPr>
          <w:rFonts w:ascii="Times New Roman" w:hAnsi="Times New Roman" w:cs="Times New Roman"/>
          <w:b/>
          <w:bCs/>
          <w:sz w:val="24"/>
          <w:szCs w:val="24"/>
        </w:rPr>
      </w:pPr>
      <m:oMathPara>
        <m:oMath>
          <m:r>
            <m:rPr>
              <m:sty m:val="bi"/>
            </m:rPr>
            <w:rPr>
              <w:rFonts w:ascii="Cambria Math" w:hAnsi="Cambria Math" w:cs="Times New Roman"/>
              <w:sz w:val="24"/>
              <w:szCs w:val="24"/>
            </w:rPr>
            <m:t>=85.83%</m:t>
          </m:r>
        </m:oMath>
      </m:oMathPara>
    </w:p>
    <w:p w14:paraId="11A0CF76" w14:textId="77777777" w:rsidR="00E90B41" w:rsidRPr="00142624" w:rsidRDefault="00DC15E6" w:rsidP="00142624">
      <w:pPr>
        <w:spacing w:after="0" w:line="480" w:lineRule="auto"/>
        <w:rPr>
          <w:rFonts w:ascii="Times New Roman" w:hAnsi="Times New Roman" w:cs="Times New Roman"/>
          <w:b/>
          <w:bCs/>
          <w:sz w:val="24"/>
          <w:szCs w:val="24"/>
        </w:rPr>
      </w:pPr>
      <w:r w:rsidRPr="00142624">
        <w:rPr>
          <w:rFonts w:ascii="Times New Roman" w:eastAsiaTheme="minorEastAsia" w:hAnsi="Times New Roman" w:cs="Times New Roman"/>
          <w:b/>
          <w:bCs/>
          <w:sz w:val="24"/>
          <w:szCs w:val="24"/>
        </w:rPr>
        <w:t xml:space="preserve">Analysis and implication </w:t>
      </w:r>
    </w:p>
    <w:p w14:paraId="07E12880" w14:textId="2D987DBA" w:rsidR="001519F8"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From the above calculation, it can be established that the Jurys Inn gross profit margin ratio in 2019 and 2020 was 91.81% and 85.83%, respectively. This implies a decline in the gross profit margin. However, it can be established that the gross margin ratio exceeds the healthy mark. From this perspective, Jurys Inn is believed to be perfectly performing, but its efficiency declined in 2020. Determining the gross margin ratio fluctuation is vital since it helps in determining where the business should improve. According to</w:t>
      </w:r>
      <w:r w:rsidR="00E45D67" w:rsidRPr="00142624">
        <w:rPr>
          <w:rFonts w:ascii="Times New Roman" w:hAnsi="Times New Roman" w:cs="Times New Roman"/>
          <w:color w:val="222222"/>
          <w:sz w:val="24"/>
          <w:szCs w:val="24"/>
          <w:shd w:val="clear" w:color="auto" w:fill="FFFFFF"/>
        </w:rPr>
        <w:t xml:space="preserve"> Hasanaj and Kuqi (2019)</w:t>
      </w:r>
      <w:r w:rsidRPr="00142624">
        <w:rPr>
          <w:rFonts w:ascii="Times New Roman" w:hAnsi="Times New Roman" w:cs="Times New Roman"/>
          <w:sz w:val="24"/>
          <w:szCs w:val="24"/>
        </w:rPr>
        <w:t xml:space="preserve">, a firm's </w:t>
      </w:r>
      <w:r w:rsidRPr="00142624">
        <w:rPr>
          <w:rFonts w:ascii="Times New Roman" w:hAnsi="Times New Roman" w:cs="Times New Roman"/>
          <w:sz w:val="24"/>
          <w:szCs w:val="24"/>
        </w:rPr>
        <w:lastRenderedPageBreak/>
        <w:t xml:space="preserve">gross margin decline could be as a result of the increasingly higher cost of </w:t>
      </w:r>
      <w:r w:rsidR="00E45D67" w:rsidRPr="00142624">
        <w:rPr>
          <w:rFonts w:ascii="Times New Roman" w:hAnsi="Times New Roman" w:cs="Times New Roman"/>
          <w:sz w:val="24"/>
          <w:szCs w:val="24"/>
        </w:rPr>
        <w:t>goods</w:t>
      </w:r>
      <w:r w:rsidRPr="00142624">
        <w:rPr>
          <w:rFonts w:ascii="Times New Roman" w:hAnsi="Times New Roman" w:cs="Times New Roman"/>
          <w:sz w:val="24"/>
          <w:szCs w:val="24"/>
        </w:rPr>
        <w:t xml:space="preserve"> sold</w:t>
      </w:r>
      <w:r w:rsidR="00E45D67" w:rsidRPr="00142624">
        <w:rPr>
          <w:rFonts w:ascii="Times New Roman" w:hAnsi="Times New Roman" w:cs="Times New Roman"/>
          <w:sz w:val="24"/>
          <w:szCs w:val="24"/>
        </w:rPr>
        <w:t xml:space="preserve"> (24)</w:t>
      </w:r>
      <w:r w:rsidRPr="00142624">
        <w:rPr>
          <w:rFonts w:ascii="Times New Roman" w:hAnsi="Times New Roman" w:cs="Times New Roman"/>
          <w:sz w:val="24"/>
          <w:szCs w:val="24"/>
        </w:rPr>
        <w:t xml:space="preserve">. Like other businesses, the suppliers focus on increasing their revenue and margin; therefore, the cost of producing </w:t>
      </w:r>
      <w:r w:rsidR="006212B0">
        <w:rPr>
          <w:rFonts w:ascii="Times New Roman" w:hAnsi="Times New Roman" w:cs="Times New Roman"/>
          <w:sz w:val="24"/>
          <w:szCs w:val="24"/>
        </w:rPr>
        <w:t xml:space="preserve">goods </w:t>
      </w:r>
      <w:r w:rsidRPr="00142624">
        <w:rPr>
          <w:rFonts w:ascii="Times New Roman" w:hAnsi="Times New Roman" w:cs="Times New Roman"/>
          <w:sz w:val="24"/>
          <w:szCs w:val="24"/>
        </w:rPr>
        <w:t>could go up. Th</w:t>
      </w:r>
      <w:r w:rsidR="006212B0">
        <w:rPr>
          <w:rFonts w:ascii="Times New Roman" w:hAnsi="Times New Roman" w:cs="Times New Roman"/>
          <w:sz w:val="24"/>
          <w:szCs w:val="24"/>
        </w:rPr>
        <w:t xml:space="preserve">e </w:t>
      </w:r>
      <w:r w:rsidRPr="00142624">
        <w:rPr>
          <w:rFonts w:ascii="Times New Roman" w:hAnsi="Times New Roman" w:cs="Times New Roman"/>
          <w:sz w:val="24"/>
          <w:szCs w:val="24"/>
        </w:rPr>
        <w:t>company</w:t>
      </w:r>
      <w:r w:rsidR="006212B0">
        <w:rPr>
          <w:rFonts w:ascii="Times New Roman" w:hAnsi="Times New Roman" w:cs="Times New Roman"/>
          <w:sz w:val="24"/>
          <w:szCs w:val="24"/>
        </w:rPr>
        <w:t>’s failure</w:t>
      </w:r>
      <w:r w:rsidRPr="00142624">
        <w:rPr>
          <w:rFonts w:ascii="Times New Roman" w:hAnsi="Times New Roman" w:cs="Times New Roman"/>
          <w:sz w:val="24"/>
          <w:szCs w:val="24"/>
        </w:rPr>
        <w:t xml:space="preserve"> to control the cost of goods could lead to a higher cost of goods sold</w:t>
      </w:r>
      <w:r w:rsidR="006212B0">
        <w:rPr>
          <w:rFonts w:ascii="Times New Roman" w:hAnsi="Times New Roman" w:cs="Times New Roman"/>
          <w:sz w:val="24"/>
          <w:szCs w:val="24"/>
        </w:rPr>
        <w:t>; reducing the gross profit</w:t>
      </w:r>
      <w:r w:rsidRPr="00142624">
        <w:rPr>
          <w:rFonts w:ascii="Times New Roman" w:hAnsi="Times New Roman" w:cs="Times New Roman"/>
          <w:sz w:val="24"/>
          <w:szCs w:val="24"/>
        </w:rPr>
        <w:t xml:space="preserve">. For Jurys Inn, the decline in the Gross profit margin results from the increase in the cost of goods sold. For instance, in 2019, the cost of goods sold was $450, 000 and in 2020, it increased to $900,000. This implies that the COGS increased at a relatively higher rate compared to the revenue generated. </w:t>
      </w:r>
      <w:r w:rsidR="00DB3CB2" w:rsidRPr="00142624">
        <w:rPr>
          <w:rFonts w:ascii="Times New Roman" w:hAnsi="Times New Roman" w:cs="Times New Roman"/>
          <w:sz w:val="24"/>
          <w:szCs w:val="24"/>
        </w:rPr>
        <w:t>Overall, through the gross margin ratio analysis, Jurys Inn management has understood that its COGS are increased at a higher rate; therefore, they need to negotiate with their suppliers or increase their sales rate.</w:t>
      </w:r>
      <w:r w:rsidR="00E748B6" w:rsidRPr="00142624">
        <w:rPr>
          <w:rFonts w:ascii="Times New Roman" w:hAnsi="Times New Roman" w:cs="Times New Roman"/>
          <w:sz w:val="24"/>
          <w:szCs w:val="24"/>
        </w:rPr>
        <w:t xml:space="preserve"> Lastly, with a healthy gross margin, Jurys Inn is capable of paying for its operating and other expenditures during operation. </w:t>
      </w:r>
    </w:p>
    <w:p w14:paraId="2403FA60" w14:textId="60AB22B5" w:rsidR="00017EB2" w:rsidRPr="00142624" w:rsidRDefault="00DC15E6" w:rsidP="00142624">
      <w:pPr>
        <w:pStyle w:val="ListParagraph"/>
        <w:numPr>
          <w:ilvl w:val="0"/>
          <w:numId w:val="2"/>
        </w:numPr>
        <w:spacing w:after="0" w:line="480" w:lineRule="auto"/>
        <w:rPr>
          <w:rFonts w:ascii="Times New Roman" w:hAnsi="Times New Roman" w:cs="Times New Roman"/>
          <w:sz w:val="24"/>
          <w:szCs w:val="24"/>
        </w:rPr>
      </w:pPr>
      <w:r w:rsidRPr="00142624">
        <w:rPr>
          <w:rFonts w:ascii="Times New Roman" w:hAnsi="Times New Roman" w:cs="Times New Roman"/>
          <w:b/>
          <w:bCs/>
          <w:sz w:val="24"/>
          <w:szCs w:val="24"/>
        </w:rPr>
        <w:t>Net profit</w:t>
      </w:r>
      <w:r w:rsidRPr="00142624">
        <w:rPr>
          <w:rFonts w:ascii="Times New Roman" w:hAnsi="Times New Roman" w:cs="Times New Roman"/>
          <w:sz w:val="24"/>
          <w:szCs w:val="24"/>
        </w:rPr>
        <w:t xml:space="preserve"> </w:t>
      </w:r>
      <w:r w:rsidRPr="00142624">
        <w:rPr>
          <w:rFonts w:ascii="Times New Roman" w:hAnsi="Times New Roman" w:cs="Times New Roman"/>
          <w:b/>
          <w:bCs/>
          <w:sz w:val="24"/>
          <w:szCs w:val="24"/>
        </w:rPr>
        <w:t>margin</w:t>
      </w:r>
    </w:p>
    <w:p w14:paraId="4F0120C2" w14:textId="7DD85AAF" w:rsidR="00E90B41" w:rsidRPr="00142624" w:rsidRDefault="00C559E1" w:rsidP="00142624">
      <w:pPr>
        <w:spacing w:after="0" w:line="480" w:lineRule="auto"/>
        <w:rPr>
          <w:rFonts w:ascii="Times New Roman" w:hAnsi="Times New Roman" w:cs="Times New Roman"/>
          <w:sz w:val="24"/>
          <w:szCs w:val="24"/>
        </w:rPr>
      </w:pPr>
      <w:r w:rsidRPr="00142624">
        <w:rPr>
          <w:rFonts w:ascii="Times New Roman" w:hAnsi="Times New Roman" w:cs="Times New Roman"/>
          <w:sz w:val="24"/>
          <w:szCs w:val="24"/>
        </w:rPr>
        <w:t>According to</w:t>
      </w:r>
      <w:r w:rsidR="00142624" w:rsidRPr="00142624">
        <w:rPr>
          <w:rFonts w:ascii="Times New Roman" w:hAnsi="Times New Roman" w:cs="Times New Roman"/>
          <w:color w:val="222222"/>
          <w:sz w:val="24"/>
          <w:szCs w:val="24"/>
          <w:shd w:val="clear" w:color="auto" w:fill="FFFFFF"/>
        </w:rPr>
        <w:t xml:space="preserve"> </w:t>
      </w:r>
      <w:proofErr w:type="spellStart"/>
      <w:r w:rsidR="00142624" w:rsidRPr="00142624">
        <w:rPr>
          <w:rFonts w:ascii="Times New Roman" w:hAnsi="Times New Roman" w:cs="Times New Roman"/>
          <w:color w:val="222222"/>
          <w:sz w:val="24"/>
          <w:szCs w:val="24"/>
          <w:shd w:val="clear" w:color="auto" w:fill="FFFFFF"/>
        </w:rPr>
        <w:t>Hasanaj</w:t>
      </w:r>
      <w:proofErr w:type="spellEnd"/>
      <w:r w:rsidR="00142624" w:rsidRPr="00142624">
        <w:rPr>
          <w:rFonts w:ascii="Times New Roman" w:hAnsi="Times New Roman" w:cs="Times New Roman"/>
          <w:color w:val="222222"/>
          <w:sz w:val="24"/>
          <w:szCs w:val="24"/>
          <w:shd w:val="clear" w:color="auto" w:fill="FFFFFF"/>
        </w:rPr>
        <w:t xml:space="preserve"> and </w:t>
      </w:r>
      <w:proofErr w:type="spellStart"/>
      <w:r w:rsidR="00142624" w:rsidRPr="00142624">
        <w:rPr>
          <w:rFonts w:ascii="Times New Roman" w:hAnsi="Times New Roman" w:cs="Times New Roman"/>
          <w:color w:val="222222"/>
          <w:sz w:val="24"/>
          <w:szCs w:val="24"/>
          <w:shd w:val="clear" w:color="auto" w:fill="FFFFFF"/>
        </w:rPr>
        <w:t>Kuqi</w:t>
      </w:r>
      <w:proofErr w:type="spellEnd"/>
      <w:r w:rsidR="00142624" w:rsidRPr="00142624">
        <w:rPr>
          <w:rFonts w:ascii="Times New Roman" w:hAnsi="Times New Roman" w:cs="Times New Roman"/>
          <w:color w:val="222222"/>
          <w:sz w:val="24"/>
          <w:szCs w:val="24"/>
          <w:shd w:val="clear" w:color="auto" w:fill="FFFFFF"/>
        </w:rPr>
        <w:t xml:space="preserve"> (2019)</w:t>
      </w:r>
      <w:r w:rsidRPr="00142624">
        <w:rPr>
          <w:rFonts w:ascii="Times New Roman" w:hAnsi="Times New Roman" w:cs="Times New Roman"/>
          <w:sz w:val="24"/>
          <w:szCs w:val="24"/>
        </w:rPr>
        <w:t xml:space="preserve">, the net profit margin ratios </w:t>
      </w:r>
      <w:r w:rsidR="00DC15E6" w:rsidRPr="00142624">
        <w:rPr>
          <w:rFonts w:ascii="Times New Roman" w:hAnsi="Times New Roman" w:cs="Times New Roman"/>
          <w:sz w:val="24"/>
          <w:szCs w:val="24"/>
        </w:rPr>
        <w:t>help</w:t>
      </w:r>
      <w:r w:rsidRPr="00142624">
        <w:rPr>
          <w:rFonts w:ascii="Times New Roman" w:hAnsi="Times New Roman" w:cs="Times New Roman"/>
          <w:sz w:val="24"/>
          <w:szCs w:val="24"/>
        </w:rPr>
        <w:t xml:space="preserve"> in measuring the percentage of the income which remains for the company after paying its expenses</w:t>
      </w:r>
      <w:r w:rsidR="00142624">
        <w:rPr>
          <w:rFonts w:ascii="Times New Roman" w:hAnsi="Times New Roman" w:cs="Times New Roman"/>
          <w:sz w:val="24"/>
          <w:szCs w:val="24"/>
        </w:rPr>
        <w:t xml:space="preserve"> (27)</w:t>
      </w:r>
      <w:r w:rsidRPr="00142624">
        <w:rPr>
          <w:rFonts w:ascii="Times New Roman" w:hAnsi="Times New Roman" w:cs="Times New Roman"/>
          <w:sz w:val="24"/>
          <w:szCs w:val="24"/>
        </w:rPr>
        <w:t xml:space="preserve">. </w:t>
      </w:r>
      <w:r w:rsidR="00DC15E6" w:rsidRPr="00142624">
        <w:rPr>
          <w:rFonts w:ascii="Times New Roman" w:hAnsi="Times New Roman" w:cs="Times New Roman"/>
          <w:sz w:val="24"/>
          <w:szCs w:val="24"/>
        </w:rPr>
        <w:t>Generally, the higher the net profit margin ratio, the better the business performance in the industry. A study conducted by</w:t>
      </w:r>
      <w:r w:rsidR="00C4221B" w:rsidRPr="00142624">
        <w:rPr>
          <w:rFonts w:ascii="Times New Roman" w:hAnsi="Times New Roman" w:cs="Times New Roman"/>
          <w:color w:val="222222"/>
          <w:sz w:val="24"/>
          <w:szCs w:val="24"/>
          <w:shd w:val="clear" w:color="auto" w:fill="FFFFFF"/>
        </w:rPr>
        <w:t xml:space="preserve"> Husain and Sunardi (2020)</w:t>
      </w:r>
      <w:r w:rsidR="00DC15E6" w:rsidRPr="00142624">
        <w:rPr>
          <w:rFonts w:ascii="Times New Roman" w:hAnsi="Times New Roman" w:cs="Times New Roman"/>
          <w:sz w:val="24"/>
          <w:szCs w:val="24"/>
        </w:rPr>
        <w:t xml:space="preserve"> indicated that the general rule of thumb accepts that 10% ratio as the ideal net profit margin ratio</w:t>
      </w:r>
      <w:r w:rsidR="00C4221B" w:rsidRPr="00142624">
        <w:rPr>
          <w:rFonts w:ascii="Times New Roman" w:hAnsi="Times New Roman" w:cs="Times New Roman"/>
          <w:sz w:val="24"/>
          <w:szCs w:val="24"/>
        </w:rPr>
        <w:t xml:space="preserve"> (15)</w:t>
      </w:r>
      <w:r w:rsidR="00DC15E6" w:rsidRPr="00142624">
        <w:rPr>
          <w:rFonts w:ascii="Times New Roman" w:hAnsi="Times New Roman" w:cs="Times New Roman"/>
          <w:sz w:val="24"/>
          <w:szCs w:val="24"/>
        </w:rPr>
        <w:t xml:space="preserve">. Further, any ratio above 20 % is believed to be high, and ratios below 5% are believed to be below. </w:t>
      </w:r>
    </w:p>
    <w:p w14:paraId="12A434C5" w14:textId="701BF597" w:rsidR="00E90B41" w:rsidRPr="00084C35"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Net Profit Margin ratio=</m:t>
          </m:r>
          <m:f>
            <m:fPr>
              <m:ctrlPr>
                <w:rPr>
                  <w:rFonts w:ascii="Cambria Math" w:hAnsi="Cambria Math" w:cs="Times New Roman"/>
                  <w:i/>
                  <w:sz w:val="24"/>
                  <w:szCs w:val="24"/>
                </w:rPr>
              </m:ctrlPr>
            </m:fPr>
            <m:num>
              <m:r>
                <w:rPr>
                  <w:rFonts w:ascii="Cambria Math" w:hAnsi="Cambria Math" w:cs="Times New Roman"/>
                  <w:sz w:val="24"/>
                  <w:szCs w:val="24"/>
                </w:rPr>
                <m:t>Net Profits</m:t>
              </m:r>
            </m:num>
            <m:den>
              <m:r>
                <w:rPr>
                  <w:rFonts w:ascii="Cambria Math" w:hAnsi="Cambria Math" w:cs="Times New Roman"/>
                  <w:sz w:val="24"/>
                  <w:szCs w:val="24"/>
                </w:rPr>
                <m:t>Net sales</m:t>
              </m:r>
            </m:den>
          </m:f>
          <m:r>
            <w:rPr>
              <w:rFonts w:ascii="Cambria Math" w:eastAsiaTheme="minorEastAsia" w:hAnsi="Cambria Math" w:cs="Times New Roman"/>
              <w:sz w:val="24"/>
              <w:szCs w:val="24"/>
            </w:rPr>
            <m:t>×100</m:t>
          </m:r>
        </m:oMath>
      </m:oMathPara>
    </w:p>
    <w:p w14:paraId="7BA9922B" w14:textId="77777777" w:rsidR="00084C35" w:rsidRPr="00142624" w:rsidRDefault="00084C35" w:rsidP="00142624">
      <w:pPr>
        <w:spacing w:after="0" w:line="480" w:lineRule="auto"/>
        <w:rPr>
          <w:rFonts w:ascii="Times New Roman" w:eastAsiaTheme="minorEastAsia" w:hAnsi="Times New Roman" w:cs="Times New Roman"/>
          <w:sz w:val="24"/>
          <w:szCs w:val="24"/>
        </w:rPr>
      </w:pPr>
    </w:p>
    <w:p w14:paraId="40892429" w14:textId="4139F8BB" w:rsidR="00E90B41"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Net Profit Margin ratio </m:t>
          </m:r>
          <m:d>
            <m:dPr>
              <m:ctrlPr>
                <w:rPr>
                  <w:rFonts w:ascii="Cambria Math" w:hAnsi="Cambria Math" w:cs="Times New Roman"/>
                  <w:i/>
                  <w:sz w:val="24"/>
                  <w:szCs w:val="24"/>
                </w:rPr>
              </m:ctrlPr>
            </m:dPr>
            <m:e>
              <m:r>
                <w:rPr>
                  <w:rFonts w:ascii="Cambria Math" w:hAnsi="Cambria Math" w:cs="Times New Roman"/>
                  <w:sz w:val="24"/>
                  <w:szCs w:val="24"/>
                </w:rPr>
                <m:t>2019</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4,008,000</m:t>
              </m:r>
            </m:num>
            <m:den>
              <m:r>
                <w:rPr>
                  <w:rFonts w:ascii="Cambria Math" w:hAnsi="Cambria Math" w:cs="Times New Roman"/>
                  <w:sz w:val="24"/>
                  <w:szCs w:val="24"/>
                </w:rPr>
                <m:t>5,500,000</m:t>
              </m:r>
            </m:den>
          </m:f>
          <m:r>
            <w:rPr>
              <w:rFonts w:ascii="Cambria Math" w:hAnsi="Cambria Math" w:cs="Times New Roman"/>
              <w:sz w:val="24"/>
              <w:szCs w:val="24"/>
            </w:rPr>
            <m:t>×100</m:t>
          </m:r>
        </m:oMath>
      </m:oMathPara>
    </w:p>
    <w:p w14:paraId="683D1461" w14:textId="5B3E42CB" w:rsidR="00E90B41"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=72.87%</m:t>
          </m:r>
        </m:oMath>
      </m:oMathPara>
    </w:p>
    <w:p w14:paraId="0A43C521" w14:textId="3A392AB5" w:rsidR="00E90B41"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w:lastRenderedPageBreak/>
            <m:t xml:space="preserve">Net Profit Margin ratio </m:t>
          </m:r>
          <m:d>
            <m:dPr>
              <m:ctrlPr>
                <w:rPr>
                  <w:rFonts w:ascii="Cambria Math" w:hAnsi="Cambria Math" w:cs="Times New Roman"/>
                  <w:i/>
                  <w:sz w:val="24"/>
                  <w:szCs w:val="24"/>
                </w:rPr>
              </m:ctrlPr>
            </m:dPr>
            <m:e>
              <m:r>
                <w:rPr>
                  <w:rFonts w:ascii="Cambria Math" w:hAnsi="Cambria Math" w:cs="Times New Roman"/>
                  <w:sz w:val="24"/>
                  <w:szCs w:val="24"/>
                </w:rPr>
                <m:t>2020</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4,073,000</m:t>
              </m:r>
            </m:num>
            <m:den>
              <m:r>
                <w:rPr>
                  <w:rFonts w:ascii="Cambria Math" w:hAnsi="Cambria Math" w:cs="Times New Roman"/>
                  <w:sz w:val="24"/>
                  <w:szCs w:val="24"/>
                </w:rPr>
                <m:t>6,000,000</m:t>
              </m:r>
            </m:den>
          </m:f>
          <m:r>
            <w:rPr>
              <w:rFonts w:ascii="Cambria Math" w:hAnsi="Cambria Math" w:cs="Times New Roman"/>
              <w:sz w:val="24"/>
              <w:szCs w:val="24"/>
            </w:rPr>
            <m:t>×100</m:t>
          </m:r>
        </m:oMath>
      </m:oMathPara>
    </w:p>
    <w:p w14:paraId="64EE2813" w14:textId="288064B6" w:rsidR="00E90B41"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=67.88%</m:t>
          </m:r>
        </m:oMath>
      </m:oMathPara>
    </w:p>
    <w:p w14:paraId="60A47275" w14:textId="04AADDDA" w:rsidR="00E90B41" w:rsidRPr="00142624" w:rsidRDefault="00DC15E6" w:rsidP="00142624">
      <w:pPr>
        <w:spacing w:after="0" w:line="480" w:lineRule="auto"/>
        <w:rPr>
          <w:rFonts w:ascii="Times New Roman" w:hAnsi="Times New Roman" w:cs="Times New Roman"/>
          <w:b/>
          <w:bCs/>
          <w:sz w:val="24"/>
          <w:szCs w:val="24"/>
        </w:rPr>
      </w:pPr>
      <w:r w:rsidRPr="00142624">
        <w:rPr>
          <w:rFonts w:ascii="Times New Roman" w:eastAsiaTheme="minorEastAsia" w:hAnsi="Times New Roman" w:cs="Times New Roman"/>
          <w:b/>
          <w:bCs/>
          <w:sz w:val="24"/>
          <w:szCs w:val="24"/>
        </w:rPr>
        <w:t xml:space="preserve">Analysis and implication </w:t>
      </w:r>
    </w:p>
    <w:p w14:paraId="388E3D67" w14:textId="774B2F23" w:rsidR="00E90B41"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From the above calculations, it can be established that there is a decline in the net profit margin from 72.87% in 2019 to 67.88% in 2020. The decline signals that the company's ability to settle its expenses is lowered over the period. Generally, looking closely at the 2019 and 2020 ratios, it can be concluded that even though the Jurys Inn capability is settling its expenses has declined, the company is high performing. From the high net profit margin, it can be concluded that Jurys Inn is more efficient in converting its revenues into actual profits. The net profit margin ratio helps the Jurys Inn management to understand the areas of improvement to improve the company's efficiency. According to</w:t>
      </w:r>
      <w:r w:rsidR="00C4221B" w:rsidRPr="00142624">
        <w:rPr>
          <w:rFonts w:ascii="Times New Roman" w:hAnsi="Times New Roman" w:cs="Times New Roman"/>
          <w:color w:val="222222"/>
          <w:sz w:val="24"/>
          <w:szCs w:val="24"/>
          <w:shd w:val="clear" w:color="auto" w:fill="FFFFFF"/>
        </w:rPr>
        <w:t xml:space="preserve"> Haralayya (2021)</w:t>
      </w:r>
      <w:r w:rsidRPr="00142624">
        <w:rPr>
          <w:rFonts w:ascii="Times New Roman" w:hAnsi="Times New Roman" w:cs="Times New Roman"/>
          <w:sz w:val="24"/>
          <w:szCs w:val="24"/>
        </w:rPr>
        <w:t xml:space="preserve"> company's net profit margin could be increased through an increase in revenue which is achieved either through increasing the number of goods sold or increasing the prices of the products</w:t>
      </w:r>
      <w:r w:rsidR="00C4221B" w:rsidRPr="00142624">
        <w:rPr>
          <w:rFonts w:ascii="Times New Roman" w:hAnsi="Times New Roman" w:cs="Times New Roman"/>
          <w:sz w:val="24"/>
          <w:szCs w:val="24"/>
        </w:rPr>
        <w:t xml:space="preserve"> (177)</w:t>
      </w:r>
      <w:r w:rsidRPr="00142624">
        <w:rPr>
          <w:rFonts w:ascii="Times New Roman" w:hAnsi="Times New Roman" w:cs="Times New Roman"/>
          <w:sz w:val="24"/>
          <w:szCs w:val="24"/>
        </w:rPr>
        <w:t xml:space="preserve">. In improving Jurys Inn's effectiveness, the management should consider either increasing the product prices or increasing the number of sales. Again, in improving the net profit margin ratio, Jurys Inn management should consider reducing its expenses and cost. For instance, it should source relatively affordable raw materials and minimize other expenses costs. </w:t>
      </w:r>
    </w:p>
    <w:p w14:paraId="7CF0BF62" w14:textId="3DE6F037" w:rsidR="00DB3CB2" w:rsidRPr="00142624" w:rsidRDefault="00DC15E6" w:rsidP="00142624">
      <w:pPr>
        <w:pStyle w:val="ListParagraph"/>
        <w:numPr>
          <w:ilvl w:val="0"/>
          <w:numId w:val="2"/>
        </w:num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Return on assets (ROA)</w:t>
      </w:r>
    </w:p>
    <w:p w14:paraId="76C9FC74" w14:textId="4C140A19" w:rsidR="001D7878"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 xml:space="preserve">Return on assets (ROA) refers to the profitability metrics that help in determining the company's abilities in generating income through the use of the available assets. In other words, it implies the company's effectiveness in utilizing the assets to generate profit. </w:t>
      </w:r>
      <w:r w:rsidR="00145E9F" w:rsidRPr="00142624">
        <w:rPr>
          <w:rFonts w:ascii="Times New Roman" w:hAnsi="Times New Roman" w:cs="Times New Roman"/>
          <w:sz w:val="24"/>
          <w:szCs w:val="24"/>
        </w:rPr>
        <w:t xml:space="preserve">As per,.., the ROA plays a vital role, especially on the investors and business management team, since it helps in determining how the company can utilize the investment to generate profits. In the market, a </w:t>
      </w:r>
      <w:r w:rsidR="00145E9F" w:rsidRPr="00142624">
        <w:rPr>
          <w:rFonts w:ascii="Times New Roman" w:hAnsi="Times New Roman" w:cs="Times New Roman"/>
          <w:sz w:val="24"/>
          <w:szCs w:val="24"/>
        </w:rPr>
        <w:lastRenderedPageBreak/>
        <w:t xml:space="preserve">company is believed to have a good ROA when it is 5%. On the other side, ROA is believed to be great with it 20% and above. Generally, an increase in ROA implies that the company is becoming more effective in generating its profits through the invested assets. </w:t>
      </w:r>
    </w:p>
    <w:p w14:paraId="465DD529" w14:textId="77777777" w:rsidR="00145E9F"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Return on Asset </m:t>
          </m:r>
          <m:d>
            <m:dPr>
              <m:ctrlPr>
                <w:rPr>
                  <w:rFonts w:ascii="Cambria Math" w:hAnsi="Cambria Math" w:cs="Times New Roman"/>
                  <w:i/>
                  <w:sz w:val="24"/>
                  <w:szCs w:val="24"/>
                </w:rPr>
              </m:ctrlPr>
            </m:dPr>
            <m:e>
              <m:r>
                <w:rPr>
                  <w:rFonts w:ascii="Cambria Math" w:hAnsi="Cambria Math" w:cs="Times New Roman"/>
                  <w:sz w:val="24"/>
                  <w:szCs w:val="24"/>
                </w:rPr>
                <m:t>ROA</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 xml:space="preserve">Net Income </m:t>
              </m:r>
            </m:num>
            <m:den>
              <m:r>
                <w:rPr>
                  <w:rFonts w:ascii="Cambria Math" w:hAnsi="Cambria Math" w:cs="Times New Roman"/>
                  <w:sz w:val="24"/>
                  <w:szCs w:val="24"/>
                </w:rPr>
                <m:t>Average total assets</m:t>
              </m:r>
            </m:den>
          </m:f>
        </m:oMath>
      </m:oMathPara>
    </w:p>
    <w:p w14:paraId="4EE0F1C5" w14:textId="77777777" w:rsidR="00145E9F"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ROA=</m:t>
          </m:r>
          <m:f>
            <m:fPr>
              <m:ctrlPr>
                <w:rPr>
                  <w:rFonts w:ascii="Cambria Math" w:hAnsi="Cambria Math" w:cs="Times New Roman"/>
                  <w:i/>
                  <w:sz w:val="24"/>
                  <w:szCs w:val="24"/>
                </w:rPr>
              </m:ctrlPr>
            </m:fPr>
            <m:num>
              <m:r>
                <w:rPr>
                  <w:rFonts w:ascii="Cambria Math" w:hAnsi="Cambria Math" w:cs="Times New Roman"/>
                  <w:sz w:val="24"/>
                  <w:szCs w:val="24"/>
                </w:rPr>
                <m:t>4,073,000</m:t>
              </m:r>
            </m:num>
            <m:den>
              <m:d>
                <m:dPr>
                  <m:ctrlPr>
                    <w:rPr>
                      <w:rFonts w:ascii="Cambria Math" w:hAnsi="Cambria Math" w:cs="Times New Roman"/>
                      <w:i/>
                      <w:sz w:val="24"/>
                      <w:szCs w:val="24"/>
                    </w:rPr>
                  </m:ctrlPr>
                </m:dPr>
                <m:e>
                  <m:f>
                    <m:fPr>
                      <m:ctrlPr>
                        <w:rPr>
                          <w:rFonts w:ascii="Cambria Math" w:hAnsi="Cambria Math" w:cs="Times New Roman"/>
                          <w:i/>
                          <w:sz w:val="24"/>
                          <w:szCs w:val="24"/>
                        </w:rPr>
                      </m:ctrlPr>
                    </m:fPr>
                    <m:num>
                      <m:r>
                        <w:rPr>
                          <w:rFonts w:ascii="Cambria Math" w:hAnsi="Cambria Math" w:cs="Times New Roman"/>
                          <w:sz w:val="24"/>
                          <w:szCs w:val="24"/>
                        </w:rPr>
                        <m:t>7,565,000+7,890,000</m:t>
                      </m:r>
                    </m:num>
                    <m:den>
                      <m:r>
                        <w:rPr>
                          <w:rFonts w:ascii="Cambria Math" w:hAnsi="Cambria Math" w:cs="Times New Roman"/>
                          <w:sz w:val="24"/>
                          <w:szCs w:val="24"/>
                        </w:rPr>
                        <m:t>2</m:t>
                      </m:r>
                    </m:den>
                  </m:f>
                </m:e>
              </m:d>
            </m:den>
          </m:f>
        </m:oMath>
      </m:oMathPara>
    </w:p>
    <w:p w14:paraId="0EE38710" w14:textId="77777777" w:rsidR="00145E9F" w:rsidRPr="00142624" w:rsidRDefault="00DC15E6" w:rsidP="00142624">
      <w:pPr>
        <w:spacing w:after="0" w:line="480" w:lineRule="auto"/>
        <w:rPr>
          <w:rFonts w:ascii="Times New Roman" w:eastAsiaTheme="minorEastAsia" w:hAnsi="Times New Roman" w:cs="Times New Roman"/>
          <w:sz w:val="24"/>
          <w:szCs w:val="24"/>
        </w:rPr>
      </w:pPr>
      <w:bookmarkStart w:id="1" w:name="_Hlk95544073"/>
      <m:oMathPara>
        <m:oMath>
          <m:r>
            <w:rPr>
              <w:rFonts w:ascii="Cambria Math" w:hAnsi="Cambria Math" w:cs="Times New Roman"/>
              <w:sz w:val="24"/>
              <w:szCs w:val="24"/>
            </w:rPr>
            <m:t>=</m:t>
          </m:r>
          <w:bookmarkEnd w:id="1"/>
          <m:f>
            <m:fPr>
              <m:ctrlPr>
                <w:rPr>
                  <w:rFonts w:ascii="Cambria Math" w:hAnsi="Cambria Math" w:cs="Times New Roman"/>
                  <w:i/>
                  <w:sz w:val="24"/>
                  <w:szCs w:val="24"/>
                </w:rPr>
              </m:ctrlPr>
            </m:fPr>
            <m:num>
              <m:r>
                <w:rPr>
                  <w:rFonts w:ascii="Cambria Math" w:hAnsi="Cambria Math" w:cs="Times New Roman"/>
                  <w:sz w:val="24"/>
                  <w:szCs w:val="24"/>
                </w:rPr>
                <m:t>4,073,000</m:t>
              </m:r>
            </m:num>
            <m:den>
              <m:r>
                <w:rPr>
                  <w:rFonts w:ascii="Cambria Math" w:hAnsi="Cambria Math" w:cs="Times New Roman"/>
                  <w:sz w:val="24"/>
                  <w:szCs w:val="24"/>
                </w:rPr>
                <m:t>7,727,500</m:t>
              </m:r>
            </m:den>
          </m:f>
        </m:oMath>
      </m:oMathPara>
    </w:p>
    <w:p w14:paraId="37D43CB8" w14:textId="6019EB7B" w:rsidR="00145E9F"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=52.71%</m:t>
          </m:r>
        </m:oMath>
      </m:oMathPara>
    </w:p>
    <w:p w14:paraId="5CCB9BA1" w14:textId="77777777" w:rsidR="00145E9F" w:rsidRPr="00142624" w:rsidRDefault="00DC15E6" w:rsidP="00142624">
      <w:pPr>
        <w:spacing w:after="0" w:line="480" w:lineRule="auto"/>
        <w:rPr>
          <w:rFonts w:ascii="Times New Roman" w:hAnsi="Times New Roman" w:cs="Times New Roman"/>
          <w:b/>
          <w:bCs/>
          <w:sz w:val="24"/>
          <w:szCs w:val="24"/>
        </w:rPr>
      </w:pPr>
      <w:r w:rsidRPr="00142624">
        <w:rPr>
          <w:rFonts w:ascii="Times New Roman" w:eastAsiaTheme="minorEastAsia" w:hAnsi="Times New Roman" w:cs="Times New Roman"/>
          <w:b/>
          <w:bCs/>
          <w:sz w:val="24"/>
          <w:szCs w:val="24"/>
        </w:rPr>
        <w:t xml:space="preserve">Analysis and implication </w:t>
      </w:r>
    </w:p>
    <w:p w14:paraId="5D6BA8A5" w14:textId="06DD5A78" w:rsidR="00145E9F"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 xml:space="preserve">Based on the above analysis, it can be established that Jurys Inn has generated a ROA of 52.71% in 2020. The generated ROA signal a positive performance for Jurys Inn on handling the investment of its assets to generate income. The Jurys Inn ROA is above the average, and it indicates great management of the company's resources to generate income. Even though the company is fairly performing, it is possible for Jurys Inn to improve its ROA. For instance, it should focus on boosting its revenues net profits and increasing its asset efficiency. </w:t>
      </w:r>
    </w:p>
    <w:p w14:paraId="3F1CF6B7" w14:textId="74E45F91" w:rsidR="00145E9F"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Liquidity</w:t>
      </w:r>
      <w:r w:rsidRPr="00142624">
        <w:rPr>
          <w:rFonts w:ascii="Times New Roman" w:hAnsi="Times New Roman" w:cs="Times New Roman"/>
          <w:sz w:val="24"/>
          <w:szCs w:val="24"/>
        </w:rPr>
        <w:t xml:space="preserve"> </w:t>
      </w:r>
      <w:r w:rsidRPr="00142624">
        <w:rPr>
          <w:rFonts w:ascii="Times New Roman" w:hAnsi="Times New Roman" w:cs="Times New Roman"/>
          <w:b/>
          <w:bCs/>
          <w:sz w:val="24"/>
          <w:szCs w:val="24"/>
        </w:rPr>
        <w:t>ratios</w:t>
      </w:r>
    </w:p>
    <w:p w14:paraId="584E6EC1" w14:textId="026BFC1F" w:rsidR="00470FD4"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According to</w:t>
      </w:r>
      <w:r w:rsidR="00786742" w:rsidRPr="00142624">
        <w:rPr>
          <w:rFonts w:ascii="Times New Roman" w:hAnsi="Times New Roman" w:cs="Times New Roman"/>
          <w:color w:val="222222"/>
          <w:sz w:val="24"/>
          <w:szCs w:val="24"/>
          <w:shd w:val="clear" w:color="auto" w:fill="FFFFFF"/>
        </w:rPr>
        <w:t xml:space="preserve"> Baraja and Yosya (2019),</w:t>
      </w:r>
      <w:r w:rsidRPr="00142624">
        <w:rPr>
          <w:rFonts w:ascii="Times New Roman" w:hAnsi="Times New Roman" w:cs="Times New Roman"/>
          <w:sz w:val="24"/>
          <w:szCs w:val="24"/>
        </w:rPr>
        <w:t xml:space="preserve"> liquidity ratios refer to the financial metrics that help in determining the company's ability to meet its obligations through the use of the available resources</w:t>
      </w:r>
      <w:r w:rsidR="00786742" w:rsidRPr="00142624">
        <w:rPr>
          <w:rFonts w:ascii="Times New Roman" w:hAnsi="Times New Roman" w:cs="Times New Roman"/>
          <w:sz w:val="24"/>
          <w:szCs w:val="24"/>
        </w:rPr>
        <w:t xml:space="preserve"> (5)</w:t>
      </w:r>
      <w:r w:rsidRPr="00142624">
        <w:rPr>
          <w:rFonts w:ascii="Times New Roman" w:hAnsi="Times New Roman" w:cs="Times New Roman"/>
          <w:sz w:val="24"/>
          <w:szCs w:val="24"/>
        </w:rPr>
        <w:t xml:space="preserve">. A company is believed to fairly perform in the industry only if it is capable of meeting its obligating; therefore, the higher the liquidity ratios, the better the business performance. In determining Jurys Inn's ability to settle its obligation through the use of available resources, the current ratio and </w:t>
      </w:r>
      <w:r w:rsidR="00680AE9" w:rsidRPr="00142624">
        <w:rPr>
          <w:rFonts w:ascii="Times New Roman" w:hAnsi="Times New Roman" w:cs="Times New Roman"/>
          <w:sz w:val="24"/>
          <w:szCs w:val="24"/>
        </w:rPr>
        <w:t xml:space="preserve">quick </w:t>
      </w:r>
      <w:r w:rsidRPr="00142624">
        <w:rPr>
          <w:rFonts w:ascii="Times New Roman" w:hAnsi="Times New Roman" w:cs="Times New Roman"/>
          <w:sz w:val="24"/>
          <w:szCs w:val="24"/>
        </w:rPr>
        <w:t>ratio analysis was evaluated.</w:t>
      </w:r>
    </w:p>
    <w:p w14:paraId="724730B5" w14:textId="6A4C3C99" w:rsidR="00470FD4" w:rsidRPr="00142624" w:rsidRDefault="00DC15E6" w:rsidP="00142624">
      <w:pPr>
        <w:pStyle w:val="ListParagraph"/>
        <w:numPr>
          <w:ilvl w:val="0"/>
          <w:numId w:val="6"/>
        </w:numPr>
        <w:spacing w:after="0" w:line="480" w:lineRule="auto"/>
        <w:rPr>
          <w:rFonts w:ascii="Times New Roman" w:hAnsi="Times New Roman" w:cs="Times New Roman"/>
          <w:sz w:val="24"/>
          <w:szCs w:val="24"/>
        </w:rPr>
      </w:pPr>
      <w:r w:rsidRPr="00142624">
        <w:rPr>
          <w:rFonts w:ascii="Times New Roman" w:hAnsi="Times New Roman" w:cs="Times New Roman"/>
          <w:b/>
          <w:bCs/>
          <w:sz w:val="24"/>
          <w:szCs w:val="24"/>
        </w:rPr>
        <w:lastRenderedPageBreak/>
        <w:t>Current</w:t>
      </w:r>
      <w:r w:rsidRPr="00142624">
        <w:rPr>
          <w:rFonts w:ascii="Times New Roman" w:hAnsi="Times New Roman" w:cs="Times New Roman"/>
          <w:sz w:val="24"/>
          <w:szCs w:val="24"/>
        </w:rPr>
        <w:t xml:space="preserve"> </w:t>
      </w:r>
      <w:r w:rsidRPr="00142624">
        <w:rPr>
          <w:rFonts w:ascii="Times New Roman" w:hAnsi="Times New Roman" w:cs="Times New Roman"/>
          <w:b/>
          <w:bCs/>
          <w:sz w:val="24"/>
          <w:szCs w:val="24"/>
        </w:rPr>
        <w:t>ratio</w:t>
      </w:r>
    </w:p>
    <w:p w14:paraId="09BDADE0" w14:textId="24BD7757" w:rsidR="00470FD4"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 xml:space="preserve">The current ratio is defined as a type of liquidity ratio that helps in determining the abilities of the company to settle its </w:t>
      </w:r>
      <w:r w:rsidR="003A4DD8" w:rsidRPr="00142624">
        <w:rPr>
          <w:rFonts w:ascii="Times New Roman" w:hAnsi="Times New Roman" w:cs="Times New Roman"/>
          <w:sz w:val="24"/>
          <w:szCs w:val="24"/>
        </w:rPr>
        <w:t>short-term</w:t>
      </w:r>
      <w:r w:rsidRPr="00142624">
        <w:rPr>
          <w:rFonts w:ascii="Times New Roman" w:hAnsi="Times New Roman" w:cs="Times New Roman"/>
          <w:sz w:val="24"/>
          <w:szCs w:val="24"/>
        </w:rPr>
        <w:t xml:space="preserve"> obligations using the current assets. </w:t>
      </w:r>
      <w:r w:rsidR="000B1970" w:rsidRPr="00142624">
        <w:rPr>
          <w:rFonts w:ascii="Times New Roman" w:hAnsi="Times New Roman" w:cs="Times New Roman"/>
          <w:sz w:val="24"/>
          <w:szCs w:val="24"/>
        </w:rPr>
        <w:t>According to</w:t>
      </w:r>
      <w:r w:rsidR="00E45D67" w:rsidRPr="00142624">
        <w:rPr>
          <w:rFonts w:ascii="Times New Roman" w:hAnsi="Times New Roman" w:cs="Times New Roman"/>
          <w:color w:val="222222"/>
          <w:sz w:val="24"/>
          <w:szCs w:val="24"/>
          <w:shd w:val="clear" w:color="auto" w:fill="FFFFFF"/>
        </w:rPr>
        <w:t xml:space="preserve"> Hasanaj and Kuqi (2019)</w:t>
      </w:r>
      <w:r w:rsidR="000B1970" w:rsidRPr="00142624">
        <w:rPr>
          <w:rFonts w:ascii="Times New Roman" w:hAnsi="Times New Roman" w:cs="Times New Roman"/>
          <w:sz w:val="24"/>
          <w:szCs w:val="24"/>
        </w:rPr>
        <w:t>, the current ratio plays a vital role, especially to the creditors and the investors, since it helps in evaluating the company's liquidity status</w:t>
      </w:r>
      <w:r w:rsidR="00E45D67" w:rsidRPr="00142624">
        <w:rPr>
          <w:rFonts w:ascii="Times New Roman" w:hAnsi="Times New Roman" w:cs="Times New Roman"/>
          <w:sz w:val="24"/>
          <w:szCs w:val="24"/>
        </w:rPr>
        <w:t xml:space="preserve"> (22)</w:t>
      </w:r>
      <w:r w:rsidR="000B1970" w:rsidRPr="00142624">
        <w:rPr>
          <w:rFonts w:ascii="Times New Roman" w:hAnsi="Times New Roman" w:cs="Times New Roman"/>
          <w:sz w:val="24"/>
          <w:szCs w:val="24"/>
        </w:rPr>
        <w:t xml:space="preserve">. Generally, a company with a current ratio that is greater than one implies that the company is capable of paying its current liabilities using the available current assets. Generally, the higher the current ratio, the better the business; however, the most acceptable current ratio ranges between 1.5 to 3. Below is Jurys Inn's current ratio. </w:t>
      </w:r>
    </w:p>
    <w:p w14:paraId="527EDCF2" w14:textId="5BE02707" w:rsidR="003C7957"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Current Ratio=</m:t>
          </m:r>
          <m:f>
            <m:fPr>
              <m:ctrlPr>
                <w:rPr>
                  <w:rFonts w:ascii="Cambria Math" w:hAnsi="Cambria Math" w:cs="Times New Roman"/>
                  <w:i/>
                  <w:sz w:val="24"/>
                  <w:szCs w:val="24"/>
                </w:rPr>
              </m:ctrlPr>
            </m:fPr>
            <m:num>
              <m:r>
                <w:rPr>
                  <w:rFonts w:ascii="Cambria Math" w:hAnsi="Cambria Math" w:cs="Times New Roman"/>
                  <w:sz w:val="24"/>
                  <w:szCs w:val="24"/>
                </w:rPr>
                <m:t>Current Assets</m:t>
              </m:r>
            </m:num>
            <m:den>
              <m:r>
                <w:rPr>
                  <w:rFonts w:ascii="Cambria Math" w:hAnsi="Cambria Math" w:cs="Times New Roman"/>
                  <w:sz w:val="24"/>
                  <w:szCs w:val="24"/>
                </w:rPr>
                <m:t>Current Liabilities</m:t>
              </m:r>
            </m:den>
          </m:f>
        </m:oMath>
      </m:oMathPara>
    </w:p>
    <w:p w14:paraId="3E6BC3C4" w14:textId="77777777" w:rsidR="003C7957"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Current ratio </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2019</m:t>
              </m:r>
            </m:e>
          </m:d>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3,065,000</m:t>
              </m:r>
            </m:num>
            <m:den>
              <m:r>
                <w:rPr>
                  <w:rFonts w:ascii="Cambria Math" w:eastAsiaTheme="minorEastAsia" w:hAnsi="Cambria Math" w:cs="Times New Roman"/>
                  <w:sz w:val="24"/>
                  <w:szCs w:val="24"/>
                </w:rPr>
                <m:t>1,339,000</m:t>
              </m:r>
            </m:den>
          </m:f>
        </m:oMath>
      </m:oMathPara>
    </w:p>
    <w:p w14:paraId="057FF433" w14:textId="00D6C5D4" w:rsidR="003C7957"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eastAsiaTheme="minorEastAsia" w:hAnsi="Cambria Math" w:cs="Times New Roman"/>
              <w:sz w:val="24"/>
              <w:szCs w:val="24"/>
            </w:rPr>
            <m:t xml:space="preserve">Current Ratio </m:t>
          </m:r>
          <m:d>
            <m:dPr>
              <m:ctrlPr>
                <w:rPr>
                  <w:rFonts w:ascii="Cambria Math" w:eastAsiaTheme="minorEastAsia" w:hAnsi="Cambria Math" w:cs="Times New Roman"/>
                  <w:b/>
                  <w:bCs/>
                  <w:i/>
                  <w:sz w:val="24"/>
                  <w:szCs w:val="24"/>
                </w:rPr>
              </m:ctrlPr>
            </m:dPr>
            <m:e>
              <m:r>
                <m:rPr>
                  <m:sty m:val="bi"/>
                </m:rPr>
                <w:rPr>
                  <w:rFonts w:ascii="Cambria Math" w:eastAsiaTheme="minorEastAsia" w:hAnsi="Cambria Math" w:cs="Times New Roman"/>
                  <w:sz w:val="24"/>
                  <w:szCs w:val="24"/>
                </w:rPr>
                <m:t>2019</m:t>
              </m:r>
            </m:e>
          </m:d>
          <m:r>
            <m:rPr>
              <m:sty m:val="bi"/>
            </m:rPr>
            <w:rPr>
              <w:rFonts w:ascii="Cambria Math" w:eastAsiaTheme="minorEastAsia" w:hAnsi="Cambria Math" w:cs="Times New Roman"/>
              <w:sz w:val="24"/>
              <w:szCs w:val="24"/>
            </w:rPr>
            <m:t>=2.29</m:t>
          </m:r>
        </m:oMath>
      </m:oMathPara>
    </w:p>
    <w:p w14:paraId="49D09A67" w14:textId="19166A3A" w:rsidR="003C7957"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 Current ratio </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2020</m:t>
              </m:r>
            </m:e>
          </m:d>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3,240,000</m:t>
              </m:r>
            </m:num>
            <m:den>
              <m:r>
                <w:rPr>
                  <w:rFonts w:ascii="Cambria Math" w:eastAsiaTheme="minorEastAsia" w:hAnsi="Cambria Math" w:cs="Times New Roman"/>
                  <w:sz w:val="24"/>
                  <w:szCs w:val="24"/>
                </w:rPr>
                <m:t>1,616,000</m:t>
              </m:r>
            </m:den>
          </m:f>
        </m:oMath>
      </m:oMathPara>
    </w:p>
    <w:p w14:paraId="62C0461F" w14:textId="6E226AD5" w:rsidR="003C7957"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eastAsiaTheme="minorEastAsia" w:hAnsi="Cambria Math" w:cs="Times New Roman"/>
              <w:sz w:val="24"/>
              <w:szCs w:val="24"/>
            </w:rPr>
            <m:t xml:space="preserve">Current Ratio </m:t>
          </m:r>
          <m:d>
            <m:dPr>
              <m:ctrlPr>
                <w:rPr>
                  <w:rFonts w:ascii="Cambria Math" w:eastAsiaTheme="minorEastAsia" w:hAnsi="Cambria Math" w:cs="Times New Roman"/>
                  <w:b/>
                  <w:bCs/>
                  <w:i/>
                  <w:sz w:val="24"/>
                  <w:szCs w:val="24"/>
                </w:rPr>
              </m:ctrlPr>
            </m:dPr>
            <m:e>
              <m:r>
                <m:rPr>
                  <m:sty m:val="bi"/>
                </m:rPr>
                <w:rPr>
                  <w:rFonts w:ascii="Cambria Math" w:eastAsiaTheme="minorEastAsia" w:hAnsi="Cambria Math" w:cs="Times New Roman"/>
                  <w:sz w:val="24"/>
                  <w:szCs w:val="24"/>
                </w:rPr>
                <m:t>2020</m:t>
              </m:r>
            </m:e>
          </m:d>
          <m:r>
            <m:rPr>
              <m:sty m:val="bi"/>
            </m:rPr>
            <w:rPr>
              <w:rFonts w:ascii="Cambria Math" w:eastAsiaTheme="minorEastAsia" w:hAnsi="Cambria Math" w:cs="Times New Roman"/>
              <w:sz w:val="24"/>
              <w:szCs w:val="24"/>
            </w:rPr>
            <m:t>=2.00</m:t>
          </m:r>
        </m:oMath>
      </m:oMathPara>
    </w:p>
    <w:p w14:paraId="7C2AB720" w14:textId="77777777" w:rsidR="003C7957" w:rsidRPr="00142624" w:rsidRDefault="00DC15E6" w:rsidP="00142624">
      <w:pPr>
        <w:spacing w:after="0" w:line="480" w:lineRule="auto"/>
        <w:rPr>
          <w:rFonts w:ascii="Times New Roman" w:hAnsi="Times New Roman" w:cs="Times New Roman"/>
          <w:b/>
          <w:bCs/>
          <w:sz w:val="24"/>
          <w:szCs w:val="24"/>
        </w:rPr>
      </w:pPr>
      <w:r w:rsidRPr="00142624">
        <w:rPr>
          <w:rFonts w:ascii="Times New Roman" w:eastAsiaTheme="minorEastAsia" w:hAnsi="Times New Roman" w:cs="Times New Roman"/>
          <w:b/>
          <w:bCs/>
          <w:sz w:val="24"/>
          <w:szCs w:val="24"/>
        </w:rPr>
        <w:t xml:space="preserve">Analysis and implication </w:t>
      </w:r>
    </w:p>
    <w:p w14:paraId="69E7C984" w14:textId="3359869D" w:rsidR="003C7957" w:rsidRDefault="00DC15E6" w:rsidP="00142624">
      <w:pPr>
        <w:spacing w:after="0" w:line="480" w:lineRule="auto"/>
        <w:ind w:firstLine="720"/>
        <w:rPr>
          <w:rFonts w:ascii="Times New Roman" w:hAnsi="Times New Roman" w:cs="Times New Roman"/>
          <w:sz w:val="24"/>
          <w:szCs w:val="24"/>
        </w:rPr>
      </w:pPr>
      <w:r w:rsidRPr="00142624">
        <w:rPr>
          <w:rFonts w:ascii="Times New Roman" w:eastAsiaTheme="minorEastAsia" w:hAnsi="Times New Roman" w:cs="Times New Roman"/>
          <w:sz w:val="24"/>
          <w:szCs w:val="24"/>
        </w:rPr>
        <w:t xml:space="preserve">Based on the above </w:t>
      </w:r>
      <w:r w:rsidR="00275207">
        <w:rPr>
          <w:rFonts w:ascii="Times New Roman" w:eastAsiaTheme="minorEastAsia" w:hAnsi="Times New Roman" w:cs="Times New Roman"/>
          <w:sz w:val="24"/>
          <w:szCs w:val="24"/>
        </w:rPr>
        <w:t>calculations</w:t>
      </w:r>
      <w:r w:rsidRPr="00142624">
        <w:rPr>
          <w:rFonts w:ascii="Times New Roman" w:eastAsiaTheme="minorEastAsia" w:hAnsi="Times New Roman" w:cs="Times New Roman"/>
          <w:sz w:val="24"/>
          <w:szCs w:val="24"/>
        </w:rPr>
        <w:t xml:space="preserve">, it can be established that </w:t>
      </w:r>
      <w:r w:rsidRPr="00142624">
        <w:rPr>
          <w:rFonts w:ascii="Times New Roman" w:hAnsi="Times New Roman" w:cs="Times New Roman"/>
          <w:sz w:val="24"/>
          <w:szCs w:val="24"/>
        </w:rPr>
        <w:t xml:space="preserve">Jurys Inn's current ratio declined from 2.29 in 2019 to 2.00 in 2020. This implies that the company's ability to settle its current obligations using the current assets is slowly declining. Despite the decline, it can be established that Jurys Inn is average performing since the ratios are within the acceptable ranges. In improving the current ratio, Jurys Inn should </w:t>
      </w:r>
      <w:r w:rsidR="00680AE9" w:rsidRPr="00142624">
        <w:rPr>
          <w:rFonts w:ascii="Times New Roman" w:hAnsi="Times New Roman" w:cs="Times New Roman"/>
          <w:sz w:val="24"/>
          <w:szCs w:val="24"/>
        </w:rPr>
        <w:t>focus</w:t>
      </w:r>
      <w:r w:rsidRPr="00142624">
        <w:rPr>
          <w:rFonts w:ascii="Times New Roman" w:hAnsi="Times New Roman" w:cs="Times New Roman"/>
          <w:sz w:val="24"/>
          <w:szCs w:val="24"/>
        </w:rPr>
        <w:t xml:space="preserve"> on paying off its liabilities such as the trade creditors, accruals, and bank overdraft. </w:t>
      </w:r>
    </w:p>
    <w:p w14:paraId="0C8E0CC8" w14:textId="77777777" w:rsidR="00084C35" w:rsidRPr="00142624" w:rsidRDefault="00084C35" w:rsidP="00142624">
      <w:pPr>
        <w:spacing w:after="0" w:line="480" w:lineRule="auto"/>
        <w:ind w:firstLine="720"/>
        <w:rPr>
          <w:rFonts w:ascii="Times New Roman" w:eastAsiaTheme="minorEastAsia" w:hAnsi="Times New Roman" w:cs="Times New Roman"/>
          <w:sz w:val="24"/>
          <w:szCs w:val="24"/>
        </w:rPr>
      </w:pPr>
    </w:p>
    <w:p w14:paraId="60AB7CAE" w14:textId="44CC5B08" w:rsidR="00470FD4" w:rsidRPr="00142624" w:rsidRDefault="00DC15E6" w:rsidP="00142624">
      <w:pPr>
        <w:pStyle w:val="ListParagraph"/>
        <w:numPr>
          <w:ilvl w:val="0"/>
          <w:numId w:val="6"/>
        </w:numPr>
        <w:spacing w:after="0" w:line="480" w:lineRule="auto"/>
        <w:rPr>
          <w:rFonts w:ascii="Times New Roman" w:hAnsi="Times New Roman" w:cs="Times New Roman"/>
          <w:sz w:val="24"/>
          <w:szCs w:val="24"/>
        </w:rPr>
      </w:pPr>
      <w:r w:rsidRPr="00142624">
        <w:rPr>
          <w:rFonts w:ascii="Times New Roman" w:hAnsi="Times New Roman" w:cs="Times New Roman"/>
          <w:b/>
          <w:bCs/>
          <w:sz w:val="24"/>
          <w:szCs w:val="24"/>
        </w:rPr>
        <w:lastRenderedPageBreak/>
        <w:t>Quick</w:t>
      </w:r>
      <w:r w:rsidR="003A4DD8" w:rsidRPr="00142624">
        <w:rPr>
          <w:rFonts w:ascii="Times New Roman" w:hAnsi="Times New Roman" w:cs="Times New Roman"/>
          <w:sz w:val="24"/>
          <w:szCs w:val="24"/>
        </w:rPr>
        <w:t xml:space="preserve"> </w:t>
      </w:r>
      <w:r w:rsidR="003A4DD8" w:rsidRPr="00142624">
        <w:rPr>
          <w:rFonts w:ascii="Times New Roman" w:hAnsi="Times New Roman" w:cs="Times New Roman"/>
          <w:b/>
          <w:bCs/>
          <w:sz w:val="24"/>
          <w:szCs w:val="24"/>
        </w:rPr>
        <w:t>ratio</w:t>
      </w:r>
      <w:r w:rsidRPr="00142624">
        <w:rPr>
          <w:rFonts w:ascii="Times New Roman" w:hAnsi="Times New Roman" w:cs="Times New Roman"/>
          <w:b/>
          <w:bCs/>
          <w:sz w:val="24"/>
          <w:szCs w:val="24"/>
        </w:rPr>
        <w:t>/ Acid test ratio</w:t>
      </w:r>
    </w:p>
    <w:p w14:paraId="6ECD0C02" w14:textId="11C37C3F" w:rsidR="00D076B5"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The quick ratio refers to a type of liquidity ratio that helps in measuring the company's ability to settle its short-term obligation using the quickest available assets. According to</w:t>
      </w:r>
      <w:r w:rsidR="00C4221B" w:rsidRPr="00142624">
        <w:rPr>
          <w:rFonts w:ascii="Times New Roman" w:hAnsi="Times New Roman" w:cs="Times New Roman"/>
          <w:color w:val="222222"/>
          <w:sz w:val="24"/>
          <w:szCs w:val="24"/>
          <w:shd w:val="clear" w:color="auto" w:fill="FFFFFF"/>
        </w:rPr>
        <w:t xml:space="preserve"> Madushanka and Jathurika (2018)</w:t>
      </w:r>
      <w:r w:rsidRPr="00142624">
        <w:rPr>
          <w:rFonts w:ascii="Times New Roman" w:hAnsi="Times New Roman" w:cs="Times New Roman"/>
          <w:sz w:val="24"/>
          <w:szCs w:val="24"/>
        </w:rPr>
        <w:t>, the quick assets include all other current assets except the inventory and prepaid expenses</w:t>
      </w:r>
      <w:r w:rsidR="00C4221B" w:rsidRPr="00142624">
        <w:rPr>
          <w:rFonts w:ascii="Times New Roman" w:hAnsi="Times New Roman" w:cs="Times New Roman"/>
          <w:sz w:val="24"/>
          <w:szCs w:val="24"/>
        </w:rPr>
        <w:t xml:space="preserve"> (159)</w:t>
      </w:r>
      <w:r w:rsidRPr="00142624">
        <w:rPr>
          <w:rFonts w:ascii="Times New Roman" w:hAnsi="Times New Roman" w:cs="Times New Roman"/>
          <w:sz w:val="24"/>
          <w:szCs w:val="24"/>
        </w:rPr>
        <w:t xml:space="preserve">. Often, the quick ratio is known as the acid test ratio since it shows the company's ability to convert its assets to cash and pay its short-term obligation. Overall, the higher the quick ratio, the better the company's performance. The Jurys Inn's quick ratio is as follows; </w:t>
      </w:r>
    </w:p>
    <w:p w14:paraId="7626BAB5" w14:textId="135F148B" w:rsidR="003804B5"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Quick Ratio=</m:t>
          </m:r>
          <m:f>
            <m:fPr>
              <m:ctrlPr>
                <w:rPr>
                  <w:rFonts w:ascii="Cambria Math" w:hAnsi="Cambria Math" w:cs="Times New Roman"/>
                  <w:i/>
                  <w:sz w:val="24"/>
                  <w:szCs w:val="24"/>
                </w:rPr>
              </m:ctrlPr>
            </m:fPr>
            <m:num>
              <m:r>
                <w:rPr>
                  <w:rFonts w:ascii="Cambria Math" w:hAnsi="Cambria Math" w:cs="Times New Roman"/>
                  <w:sz w:val="24"/>
                  <w:szCs w:val="24"/>
                </w:rPr>
                <m:t>Current Assets-Invetory-Prepaid expense</m:t>
              </m:r>
            </m:num>
            <m:den>
              <m:r>
                <w:rPr>
                  <w:rFonts w:ascii="Cambria Math" w:hAnsi="Cambria Math" w:cs="Times New Roman"/>
                  <w:sz w:val="24"/>
                  <w:szCs w:val="24"/>
                </w:rPr>
                <m:t>Current Liabilities</m:t>
              </m:r>
            </m:den>
          </m:f>
        </m:oMath>
      </m:oMathPara>
    </w:p>
    <w:p w14:paraId="3C66B33B" w14:textId="2094FB88" w:rsidR="003804B5"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Quick Ratio </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2019</m:t>
              </m:r>
            </m:e>
          </m:d>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3,065,000-1,450,000</m:t>
                  </m:r>
                </m:e>
              </m:d>
            </m:num>
            <m:den>
              <m:r>
                <w:rPr>
                  <w:rFonts w:ascii="Cambria Math" w:eastAsiaTheme="minorEastAsia" w:hAnsi="Cambria Math" w:cs="Times New Roman"/>
                  <w:sz w:val="24"/>
                  <w:szCs w:val="24"/>
                </w:rPr>
                <m:t>1,339,000</m:t>
              </m:r>
            </m:den>
          </m:f>
        </m:oMath>
      </m:oMathPara>
    </w:p>
    <w:p w14:paraId="46D5987B" w14:textId="666F0762" w:rsidR="003804B5"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Quick Ratio (2019)</m:t>
          </m:r>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1,615,000</m:t>
              </m:r>
            </m:num>
            <m:den>
              <m:r>
                <w:rPr>
                  <w:rFonts w:ascii="Cambria Math" w:eastAsiaTheme="minorEastAsia" w:hAnsi="Cambria Math" w:cs="Times New Roman"/>
                  <w:sz w:val="24"/>
                  <w:szCs w:val="24"/>
                </w:rPr>
                <m:t>1,339,000</m:t>
              </m:r>
            </m:den>
          </m:f>
        </m:oMath>
      </m:oMathPara>
    </w:p>
    <w:p w14:paraId="0B4781BA" w14:textId="4CB7A80F" w:rsidR="003804B5"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Quick Ratio</m:t>
          </m:r>
          <m:r>
            <m:rPr>
              <m:sty m:val="bi"/>
            </m:rPr>
            <w:rPr>
              <w:rFonts w:ascii="Cambria Math" w:eastAsiaTheme="minorEastAsia" w:hAnsi="Cambria Math" w:cs="Times New Roman"/>
              <w:sz w:val="24"/>
              <w:szCs w:val="24"/>
            </w:rPr>
            <m:t xml:space="preserve"> </m:t>
          </m:r>
          <m:d>
            <m:dPr>
              <m:ctrlPr>
                <w:rPr>
                  <w:rFonts w:ascii="Cambria Math" w:eastAsiaTheme="minorEastAsia" w:hAnsi="Cambria Math" w:cs="Times New Roman"/>
                  <w:b/>
                  <w:bCs/>
                  <w:i/>
                  <w:sz w:val="24"/>
                  <w:szCs w:val="24"/>
                </w:rPr>
              </m:ctrlPr>
            </m:dPr>
            <m:e>
              <m:r>
                <m:rPr>
                  <m:sty m:val="bi"/>
                </m:rPr>
                <w:rPr>
                  <w:rFonts w:ascii="Cambria Math" w:eastAsiaTheme="minorEastAsia" w:hAnsi="Cambria Math" w:cs="Times New Roman"/>
                  <w:sz w:val="24"/>
                  <w:szCs w:val="24"/>
                </w:rPr>
                <m:t>2019</m:t>
              </m:r>
            </m:e>
          </m:d>
          <m:r>
            <m:rPr>
              <m:sty m:val="bi"/>
            </m:rPr>
            <w:rPr>
              <w:rFonts w:ascii="Cambria Math" w:eastAsiaTheme="minorEastAsia" w:hAnsi="Cambria Math" w:cs="Times New Roman"/>
              <w:sz w:val="24"/>
              <w:szCs w:val="24"/>
            </w:rPr>
            <m:t>=1.21</m:t>
          </m:r>
        </m:oMath>
      </m:oMathPara>
    </w:p>
    <w:p w14:paraId="51486448" w14:textId="6F848021" w:rsidR="003804B5"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 </m:t>
          </m:r>
          <m:r>
            <w:rPr>
              <w:rFonts w:ascii="Cambria Math" w:hAnsi="Cambria Math" w:cs="Times New Roman"/>
              <w:sz w:val="24"/>
              <w:szCs w:val="24"/>
            </w:rPr>
            <m:t>Quick Ratio</m:t>
          </m:r>
          <m:r>
            <w:rPr>
              <w:rFonts w:ascii="Cambria Math" w:eastAsiaTheme="minorEastAsia" w:hAnsi="Cambria Math" w:cs="Times New Roman"/>
              <w:sz w:val="24"/>
              <w:szCs w:val="24"/>
            </w:rPr>
            <m:t xml:space="preserve"> </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2020</m:t>
              </m:r>
            </m:e>
          </m:d>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3,240,000-1,420,000</m:t>
                  </m:r>
                </m:e>
              </m:d>
            </m:num>
            <m:den>
              <m:r>
                <w:rPr>
                  <w:rFonts w:ascii="Cambria Math" w:eastAsiaTheme="minorEastAsia" w:hAnsi="Cambria Math" w:cs="Times New Roman"/>
                  <w:sz w:val="24"/>
                  <w:szCs w:val="24"/>
                </w:rPr>
                <m:t>1,616,000</m:t>
              </m:r>
            </m:den>
          </m:f>
        </m:oMath>
      </m:oMathPara>
    </w:p>
    <w:p w14:paraId="2838D8F4" w14:textId="21B07ED9" w:rsidR="003804B5" w:rsidRPr="00142624" w:rsidRDefault="00DC15E6" w:rsidP="00142624">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Quick Ratio (2020)</m:t>
          </m:r>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1,820,000</m:t>
              </m:r>
            </m:num>
            <m:den>
              <m:r>
                <w:rPr>
                  <w:rFonts w:ascii="Cambria Math" w:eastAsiaTheme="minorEastAsia" w:hAnsi="Cambria Math" w:cs="Times New Roman"/>
                  <w:sz w:val="24"/>
                  <w:szCs w:val="24"/>
                </w:rPr>
                <m:t>1,616,000</m:t>
              </m:r>
            </m:den>
          </m:f>
        </m:oMath>
      </m:oMathPara>
    </w:p>
    <w:p w14:paraId="613C0255" w14:textId="56E8157F" w:rsidR="003804B5" w:rsidRPr="00142624" w:rsidRDefault="00DC15E6" w:rsidP="00142624">
      <w:pPr>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Quick Ratio</m:t>
          </m:r>
          <m:r>
            <m:rPr>
              <m:sty m:val="bi"/>
            </m:rPr>
            <w:rPr>
              <w:rFonts w:ascii="Cambria Math" w:eastAsiaTheme="minorEastAsia" w:hAnsi="Cambria Math" w:cs="Times New Roman"/>
              <w:sz w:val="24"/>
              <w:szCs w:val="24"/>
            </w:rPr>
            <m:t xml:space="preserve"> </m:t>
          </m:r>
          <m:d>
            <m:dPr>
              <m:ctrlPr>
                <w:rPr>
                  <w:rFonts w:ascii="Cambria Math" w:eastAsiaTheme="minorEastAsia" w:hAnsi="Cambria Math" w:cs="Times New Roman"/>
                  <w:b/>
                  <w:bCs/>
                  <w:i/>
                  <w:sz w:val="24"/>
                  <w:szCs w:val="24"/>
                </w:rPr>
              </m:ctrlPr>
            </m:dPr>
            <m:e>
              <m:r>
                <m:rPr>
                  <m:sty m:val="bi"/>
                </m:rPr>
                <w:rPr>
                  <w:rFonts w:ascii="Cambria Math" w:eastAsiaTheme="minorEastAsia" w:hAnsi="Cambria Math" w:cs="Times New Roman"/>
                  <w:sz w:val="24"/>
                  <w:szCs w:val="24"/>
                </w:rPr>
                <m:t>2020</m:t>
              </m:r>
            </m:e>
          </m:d>
          <m:r>
            <m:rPr>
              <m:sty m:val="bi"/>
            </m:rPr>
            <w:rPr>
              <w:rFonts w:ascii="Cambria Math" w:eastAsiaTheme="minorEastAsia" w:hAnsi="Cambria Math" w:cs="Times New Roman"/>
              <w:sz w:val="24"/>
              <w:szCs w:val="24"/>
            </w:rPr>
            <m:t>=1.13</m:t>
          </m:r>
        </m:oMath>
      </m:oMathPara>
    </w:p>
    <w:p w14:paraId="04B5866C" w14:textId="77777777" w:rsidR="003804B5" w:rsidRPr="00142624" w:rsidRDefault="00DC15E6" w:rsidP="00142624">
      <w:pPr>
        <w:spacing w:after="0" w:line="480" w:lineRule="auto"/>
        <w:rPr>
          <w:rFonts w:ascii="Times New Roman" w:hAnsi="Times New Roman" w:cs="Times New Roman"/>
          <w:b/>
          <w:bCs/>
          <w:sz w:val="24"/>
          <w:szCs w:val="24"/>
        </w:rPr>
      </w:pPr>
      <w:r w:rsidRPr="00142624">
        <w:rPr>
          <w:rFonts w:ascii="Times New Roman" w:eastAsiaTheme="minorEastAsia" w:hAnsi="Times New Roman" w:cs="Times New Roman"/>
          <w:b/>
          <w:bCs/>
          <w:sz w:val="24"/>
          <w:szCs w:val="24"/>
        </w:rPr>
        <w:t xml:space="preserve">Analysis and implication </w:t>
      </w:r>
    </w:p>
    <w:p w14:paraId="7606FA19" w14:textId="1F8A116C" w:rsidR="003804B5"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 xml:space="preserve">From the above calculations, it can be established that Jurys Inn's quick ratio is greater than one in both 2019 and 2020; thus, implying that it is possible for Jurys Inn to settle its </w:t>
      </w:r>
      <w:r w:rsidR="008336DA" w:rsidRPr="00142624">
        <w:rPr>
          <w:rFonts w:ascii="Times New Roman" w:hAnsi="Times New Roman" w:cs="Times New Roman"/>
          <w:sz w:val="24"/>
          <w:szCs w:val="24"/>
        </w:rPr>
        <w:t>short-term</w:t>
      </w:r>
      <w:r w:rsidRPr="00142624">
        <w:rPr>
          <w:rFonts w:ascii="Times New Roman" w:hAnsi="Times New Roman" w:cs="Times New Roman"/>
          <w:sz w:val="24"/>
          <w:szCs w:val="24"/>
        </w:rPr>
        <w:t xml:space="preserve"> obligations using the quick assets. </w:t>
      </w:r>
      <w:r w:rsidR="008336DA" w:rsidRPr="00142624">
        <w:rPr>
          <w:rFonts w:ascii="Times New Roman" w:hAnsi="Times New Roman" w:cs="Times New Roman"/>
          <w:sz w:val="24"/>
          <w:szCs w:val="24"/>
        </w:rPr>
        <w:t>A decline in the quick ratio is a bad signal to the investors and creditors since it implies that the company's capabilities are continuously declining</w:t>
      </w:r>
      <w:r w:rsidR="00C4221B" w:rsidRPr="00142624">
        <w:rPr>
          <w:rFonts w:ascii="Times New Roman" w:hAnsi="Times New Roman" w:cs="Times New Roman"/>
          <w:sz w:val="24"/>
          <w:szCs w:val="24"/>
        </w:rPr>
        <w:t xml:space="preserve"> </w:t>
      </w:r>
      <w:r w:rsidR="00C4221B" w:rsidRPr="00142624">
        <w:rPr>
          <w:rFonts w:ascii="Times New Roman" w:hAnsi="Times New Roman" w:cs="Times New Roman"/>
          <w:sz w:val="24"/>
          <w:szCs w:val="24"/>
        </w:rPr>
        <w:lastRenderedPageBreak/>
        <w:t>(</w:t>
      </w:r>
      <w:r w:rsidR="00C4221B" w:rsidRPr="00142624">
        <w:rPr>
          <w:rFonts w:ascii="Times New Roman" w:hAnsi="Times New Roman" w:cs="Times New Roman"/>
          <w:color w:val="222222"/>
          <w:sz w:val="24"/>
          <w:szCs w:val="24"/>
          <w:shd w:val="clear" w:color="auto" w:fill="FFFFFF"/>
        </w:rPr>
        <w:t>Haralayya 2021, p175)</w:t>
      </w:r>
      <w:r w:rsidR="008336DA" w:rsidRPr="00142624">
        <w:rPr>
          <w:rFonts w:ascii="Times New Roman" w:hAnsi="Times New Roman" w:cs="Times New Roman"/>
          <w:sz w:val="24"/>
          <w:szCs w:val="24"/>
        </w:rPr>
        <w:t>. Therefore, it is vital for Jurys Inn management to consider reducing its liabilities by settling the account payable, accrual and overdrafts.</w:t>
      </w:r>
    </w:p>
    <w:p w14:paraId="6F82A104" w14:textId="188E02F7" w:rsidR="007A741C"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Gearing</w:t>
      </w:r>
      <w:r w:rsidRPr="00142624">
        <w:rPr>
          <w:rFonts w:ascii="Times New Roman" w:hAnsi="Times New Roman" w:cs="Times New Roman"/>
          <w:sz w:val="24"/>
          <w:szCs w:val="24"/>
        </w:rPr>
        <w:t xml:space="preserve"> </w:t>
      </w:r>
      <w:r w:rsidRPr="00142624">
        <w:rPr>
          <w:rFonts w:ascii="Times New Roman" w:hAnsi="Times New Roman" w:cs="Times New Roman"/>
          <w:b/>
          <w:bCs/>
          <w:sz w:val="24"/>
          <w:szCs w:val="24"/>
        </w:rPr>
        <w:t>ratios</w:t>
      </w:r>
    </w:p>
    <w:p w14:paraId="615253FB" w14:textId="0F38D4DE" w:rsidR="008F36D1"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Gearing ratios are defined as the financial metrics that help in measuring the company's financial leverage. According to</w:t>
      </w:r>
      <w:r w:rsidR="00786742" w:rsidRPr="00142624">
        <w:rPr>
          <w:rFonts w:ascii="Times New Roman" w:hAnsi="Times New Roman" w:cs="Times New Roman"/>
          <w:color w:val="222222"/>
          <w:sz w:val="24"/>
          <w:szCs w:val="24"/>
          <w:shd w:val="clear" w:color="auto" w:fill="FFFFFF"/>
        </w:rPr>
        <w:t xml:space="preserve"> Baraja and Yosya (2019)</w:t>
      </w:r>
      <w:r w:rsidRPr="00142624">
        <w:rPr>
          <w:rFonts w:ascii="Times New Roman" w:hAnsi="Times New Roman" w:cs="Times New Roman"/>
          <w:sz w:val="24"/>
          <w:szCs w:val="24"/>
        </w:rPr>
        <w:t>, the gearing ratios help in determining the source of financing for the business</w:t>
      </w:r>
      <w:r w:rsidR="00786742" w:rsidRPr="00142624">
        <w:rPr>
          <w:rFonts w:ascii="Times New Roman" w:hAnsi="Times New Roman" w:cs="Times New Roman"/>
          <w:sz w:val="24"/>
          <w:szCs w:val="24"/>
        </w:rPr>
        <w:t>, which</w:t>
      </w:r>
      <w:r w:rsidRPr="00142624">
        <w:rPr>
          <w:rFonts w:ascii="Times New Roman" w:hAnsi="Times New Roman" w:cs="Times New Roman"/>
          <w:sz w:val="24"/>
          <w:szCs w:val="24"/>
        </w:rPr>
        <w:t xml:space="preserve"> is either financed through debt or equity financing. Gearing ratios are also known as solvency ratios</w:t>
      </w:r>
      <w:r w:rsidR="00786742" w:rsidRPr="00142624">
        <w:rPr>
          <w:rFonts w:ascii="Times New Roman" w:hAnsi="Times New Roman" w:cs="Times New Roman"/>
          <w:sz w:val="24"/>
          <w:szCs w:val="24"/>
        </w:rPr>
        <w:t xml:space="preserve"> (5)</w:t>
      </w:r>
      <w:r w:rsidRPr="00142624">
        <w:rPr>
          <w:rFonts w:ascii="Times New Roman" w:hAnsi="Times New Roman" w:cs="Times New Roman"/>
          <w:sz w:val="24"/>
          <w:szCs w:val="24"/>
        </w:rPr>
        <w:t xml:space="preserve">. Overall, the gearing ratio determines the company's ability to set its long-term obligations using the available assets. In determining the long-term sustainability for Jurys Inn, the equity ratio and debt ratio were calculated. </w:t>
      </w:r>
    </w:p>
    <w:p w14:paraId="28C1DF41" w14:textId="77777777" w:rsidR="008F3379" w:rsidRPr="00142624" w:rsidRDefault="00DC15E6" w:rsidP="00142624">
      <w:pPr>
        <w:pStyle w:val="ListParagraph"/>
        <w:numPr>
          <w:ilvl w:val="0"/>
          <w:numId w:val="9"/>
        </w:numPr>
        <w:spacing w:after="0" w:line="480" w:lineRule="auto"/>
        <w:rPr>
          <w:rFonts w:ascii="Times New Roman" w:hAnsi="Times New Roman" w:cs="Times New Roman"/>
          <w:sz w:val="24"/>
          <w:szCs w:val="24"/>
        </w:rPr>
      </w:pPr>
      <w:r w:rsidRPr="00142624">
        <w:rPr>
          <w:rFonts w:ascii="Times New Roman" w:hAnsi="Times New Roman" w:cs="Times New Roman"/>
          <w:b/>
          <w:bCs/>
          <w:sz w:val="24"/>
          <w:szCs w:val="24"/>
        </w:rPr>
        <w:t>Equity ratio</w:t>
      </w:r>
    </w:p>
    <w:p w14:paraId="40CC6CC1" w14:textId="72CB5A15" w:rsidR="005D1D19" w:rsidRPr="00142624" w:rsidRDefault="00DC15E6" w:rsidP="00142624">
      <w:pPr>
        <w:tabs>
          <w:tab w:val="left" w:pos="1018"/>
        </w:tabs>
        <w:spacing w:after="0" w:line="480" w:lineRule="auto"/>
        <w:ind w:firstLine="1022"/>
        <w:rPr>
          <w:rFonts w:ascii="Times New Roman" w:hAnsi="Times New Roman" w:cs="Times New Roman"/>
          <w:sz w:val="24"/>
          <w:szCs w:val="24"/>
        </w:rPr>
      </w:pPr>
      <w:r w:rsidRPr="00142624">
        <w:rPr>
          <w:rFonts w:ascii="Times New Roman" w:hAnsi="Times New Roman" w:cs="Times New Roman"/>
          <w:sz w:val="24"/>
          <w:szCs w:val="24"/>
        </w:rPr>
        <w:t xml:space="preserve"> </w:t>
      </w:r>
      <w:r w:rsidR="00670B29" w:rsidRPr="00142624">
        <w:rPr>
          <w:rFonts w:ascii="Times New Roman" w:hAnsi="Times New Roman" w:cs="Times New Roman"/>
          <w:sz w:val="24"/>
          <w:szCs w:val="24"/>
        </w:rPr>
        <w:t>The equity ratio refers to financial metrics that help in measuring the company's ability to generate income using the owner's equity. According to</w:t>
      </w:r>
      <w:r w:rsidR="00CA243D" w:rsidRPr="00142624">
        <w:rPr>
          <w:rFonts w:ascii="Times New Roman" w:hAnsi="Times New Roman" w:cs="Times New Roman"/>
          <w:color w:val="222222"/>
          <w:sz w:val="24"/>
          <w:szCs w:val="24"/>
          <w:shd w:val="clear" w:color="auto" w:fill="FFFFFF"/>
        </w:rPr>
        <w:t xml:space="preserve"> Subalakshmi and Manikandan (2018)</w:t>
      </w:r>
      <w:r w:rsidR="00670B29" w:rsidRPr="00142624">
        <w:rPr>
          <w:rFonts w:ascii="Times New Roman" w:hAnsi="Times New Roman" w:cs="Times New Roman"/>
          <w:sz w:val="24"/>
          <w:szCs w:val="24"/>
        </w:rPr>
        <w:t>, the key objective of the equity ratio is to measure the company’s solvency and sustainability</w:t>
      </w:r>
      <w:r w:rsidR="00CA243D" w:rsidRPr="00142624">
        <w:rPr>
          <w:rFonts w:ascii="Times New Roman" w:hAnsi="Times New Roman" w:cs="Times New Roman"/>
          <w:sz w:val="24"/>
          <w:szCs w:val="24"/>
        </w:rPr>
        <w:t xml:space="preserve"> (702)</w:t>
      </w:r>
      <w:r w:rsidR="00670B29" w:rsidRPr="00142624">
        <w:rPr>
          <w:rFonts w:ascii="Times New Roman" w:hAnsi="Times New Roman" w:cs="Times New Roman"/>
          <w:sz w:val="24"/>
          <w:szCs w:val="24"/>
        </w:rPr>
        <w:t xml:space="preserve">. For instance, through the equity ratio, we are able to determine if the company could pay its liabilities using equity. Again, it </w:t>
      </w:r>
      <w:r w:rsidRPr="00142624">
        <w:rPr>
          <w:rFonts w:ascii="Times New Roman" w:hAnsi="Times New Roman" w:cs="Times New Roman"/>
          <w:sz w:val="24"/>
          <w:szCs w:val="24"/>
        </w:rPr>
        <w:t>determines</w:t>
      </w:r>
      <w:r w:rsidR="00670B29" w:rsidRPr="00142624">
        <w:rPr>
          <w:rFonts w:ascii="Times New Roman" w:hAnsi="Times New Roman" w:cs="Times New Roman"/>
          <w:sz w:val="24"/>
          <w:szCs w:val="24"/>
        </w:rPr>
        <w:t xml:space="preserve"> if </w:t>
      </w:r>
      <w:r w:rsidRPr="00142624">
        <w:rPr>
          <w:rFonts w:ascii="Times New Roman" w:hAnsi="Times New Roman" w:cs="Times New Roman"/>
          <w:sz w:val="24"/>
          <w:szCs w:val="24"/>
        </w:rPr>
        <w:t>most of the assets are financed by debt or owner equity. The equity ratio is calculated as follows;</w:t>
      </w:r>
    </w:p>
    <w:p w14:paraId="3F4E004B" w14:textId="77777777" w:rsidR="005D1D19" w:rsidRPr="00142624" w:rsidRDefault="00DC15E6" w:rsidP="00142624">
      <w:pPr>
        <w:tabs>
          <w:tab w:val="left" w:pos="1018"/>
        </w:tabs>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Equity ratio=</m:t>
          </m:r>
          <m:f>
            <m:fPr>
              <m:ctrlPr>
                <w:rPr>
                  <w:rFonts w:ascii="Cambria Math" w:hAnsi="Cambria Math" w:cs="Times New Roman"/>
                  <w:i/>
                  <w:sz w:val="24"/>
                  <w:szCs w:val="24"/>
                </w:rPr>
              </m:ctrlPr>
            </m:fPr>
            <m:num>
              <m:r>
                <w:rPr>
                  <w:rFonts w:ascii="Cambria Math" w:hAnsi="Cambria Math" w:cs="Times New Roman"/>
                  <w:sz w:val="24"/>
                  <w:szCs w:val="24"/>
                </w:rPr>
                <m:t>Total Equity</m:t>
              </m:r>
            </m:num>
            <m:den>
              <m:r>
                <w:rPr>
                  <w:rFonts w:ascii="Cambria Math" w:hAnsi="Cambria Math" w:cs="Times New Roman"/>
                  <w:sz w:val="24"/>
                  <w:szCs w:val="24"/>
                </w:rPr>
                <m:t>Total Assets</m:t>
              </m:r>
            </m:den>
          </m:f>
        </m:oMath>
      </m:oMathPara>
    </w:p>
    <w:p w14:paraId="1D4EF720" w14:textId="77777777" w:rsidR="005D1D19" w:rsidRPr="00142624" w:rsidRDefault="00DC15E6" w:rsidP="00142624">
      <w:pPr>
        <w:tabs>
          <w:tab w:val="left" w:pos="1018"/>
        </w:tabs>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Equity ratio </m:t>
          </m:r>
          <m:d>
            <m:dPr>
              <m:ctrlPr>
                <w:rPr>
                  <w:rFonts w:ascii="Cambria Math" w:hAnsi="Cambria Math" w:cs="Times New Roman"/>
                  <w:i/>
                  <w:sz w:val="24"/>
                  <w:szCs w:val="24"/>
                </w:rPr>
              </m:ctrlPr>
            </m:dPr>
            <m:e>
              <m:r>
                <w:rPr>
                  <w:rFonts w:ascii="Cambria Math" w:hAnsi="Cambria Math" w:cs="Times New Roman"/>
                  <w:sz w:val="24"/>
                  <w:szCs w:val="24"/>
                </w:rPr>
                <m:t>2019</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2,068,000</m:t>
              </m:r>
            </m:num>
            <m:den>
              <m:r>
                <w:rPr>
                  <w:rFonts w:ascii="Cambria Math" w:hAnsi="Cambria Math" w:cs="Times New Roman"/>
                  <w:sz w:val="24"/>
                  <w:szCs w:val="24"/>
                </w:rPr>
                <m:t>7,565,000</m:t>
              </m:r>
            </m:den>
          </m:f>
        </m:oMath>
      </m:oMathPara>
    </w:p>
    <w:p w14:paraId="44DCE2B0" w14:textId="79ABB74E" w:rsidR="005D1D19" w:rsidRPr="00142624" w:rsidRDefault="00DC15E6" w:rsidP="00142624">
      <w:pPr>
        <w:tabs>
          <w:tab w:val="left" w:pos="1018"/>
        </w:tabs>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=0.2733</m:t>
          </m:r>
        </m:oMath>
      </m:oMathPara>
    </w:p>
    <w:p w14:paraId="017138D1" w14:textId="1C343A61" w:rsidR="005D1D19" w:rsidRPr="00142624" w:rsidRDefault="00DC15E6" w:rsidP="00142624">
      <w:pPr>
        <w:tabs>
          <w:tab w:val="left" w:pos="1018"/>
        </w:tabs>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 xml:space="preserve">Equity ratio </m:t>
          </m:r>
          <m:d>
            <m:dPr>
              <m:ctrlPr>
                <w:rPr>
                  <w:rFonts w:ascii="Cambria Math" w:hAnsi="Cambria Math" w:cs="Times New Roman"/>
                  <w:i/>
                  <w:sz w:val="24"/>
                  <w:szCs w:val="24"/>
                </w:rPr>
              </m:ctrlPr>
            </m:dPr>
            <m:e>
              <m:r>
                <w:rPr>
                  <w:rFonts w:ascii="Cambria Math" w:hAnsi="Cambria Math" w:cs="Times New Roman"/>
                  <w:sz w:val="24"/>
                  <w:szCs w:val="24"/>
                </w:rPr>
                <m:t>2020</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2,056,000</m:t>
              </m:r>
            </m:num>
            <m:den>
              <m:r>
                <w:rPr>
                  <w:rFonts w:ascii="Cambria Math" w:hAnsi="Cambria Math" w:cs="Times New Roman"/>
                  <w:sz w:val="24"/>
                  <w:szCs w:val="24"/>
                </w:rPr>
                <m:t>7,890,000</m:t>
              </m:r>
            </m:den>
          </m:f>
        </m:oMath>
      </m:oMathPara>
    </w:p>
    <w:p w14:paraId="4BA41FD9" w14:textId="207A62F4" w:rsidR="005D1D19" w:rsidRPr="00142624" w:rsidRDefault="00DC15E6" w:rsidP="00142624">
      <w:pPr>
        <w:tabs>
          <w:tab w:val="left" w:pos="1018"/>
        </w:tabs>
        <w:spacing w:after="0" w:line="480" w:lineRule="auto"/>
        <w:rPr>
          <w:rFonts w:ascii="Times New Roman" w:eastAsiaTheme="minorEastAsia" w:hAnsi="Times New Roman" w:cs="Times New Roman"/>
          <w:b/>
          <w:bCs/>
          <w:sz w:val="24"/>
          <w:szCs w:val="24"/>
        </w:rPr>
      </w:pPr>
      <m:oMathPara>
        <m:oMath>
          <m:r>
            <m:rPr>
              <m:sty m:val="bi"/>
            </m:rPr>
            <w:rPr>
              <w:rFonts w:ascii="Cambria Math" w:hAnsi="Cambria Math" w:cs="Times New Roman"/>
              <w:sz w:val="24"/>
              <w:szCs w:val="24"/>
            </w:rPr>
            <m:t>=0.2606</m:t>
          </m:r>
        </m:oMath>
      </m:oMathPara>
    </w:p>
    <w:p w14:paraId="45D3274F" w14:textId="77777777" w:rsidR="005D1D19" w:rsidRPr="00142624" w:rsidRDefault="00DC15E6" w:rsidP="00142624">
      <w:pPr>
        <w:spacing w:after="0" w:line="480" w:lineRule="auto"/>
        <w:rPr>
          <w:rFonts w:ascii="Times New Roman" w:hAnsi="Times New Roman" w:cs="Times New Roman"/>
          <w:b/>
          <w:bCs/>
          <w:sz w:val="24"/>
          <w:szCs w:val="24"/>
        </w:rPr>
      </w:pPr>
      <w:r w:rsidRPr="00142624">
        <w:rPr>
          <w:rFonts w:ascii="Times New Roman" w:eastAsiaTheme="minorEastAsia" w:hAnsi="Times New Roman" w:cs="Times New Roman"/>
          <w:b/>
          <w:bCs/>
          <w:sz w:val="24"/>
          <w:szCs w:val="24"/>
        </w:rPr>
        <w:lastRenderedPageBreak/>
        <w:t xml:space="preserve">Analysis and implication </w:t>
      </w:r>
    </w:p>
    <w:p w14:paraId="5194B2C1" w14:textId="33CC7633" w:rsidR="008F3379"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According to</w:t>
      </w:r>
      <w:r w:rsidR="00CA243D" w:rsidRPr="00142624">
        <w:rPr>
          <w:rFonts w:ascii="Times New Roman" w:hAnsi="Times New Roman" w:cs="Times New Roman"/>
          <w:color w:val="222222"/>
          <w:sz w:val="24"/>
          <w:szCs w:val="24"/>
          <w:shd w:val="clear" w:color="auto" w:fill="FFFFFF"/>
        </w:rPr>
        <w:t xml:space="preserve"> McCosker (2021)</w:t>
      </w:r>
      <w:r w:rsidRPr="00142624">
        <w:rPr>
          <w:rFonts w:ascii="Times New Roman" w:hAnsi="Times New Roman" w:cs="Times New Roman"/>
          <w:sz w:val="24"/>
          <w:szCs w:val="24"/>
        </w:rPr>
        <w:t xml:space="preserve">, the higher the equity ratio, the more favorable the business. From the above calculations, it can be established that the Jurys Inn equity ratio has declined from 0.27 in 2019 to 0.26 in 2020. A decline in the equity ratio implies that Jurys Inn is slightly shifting in financing its operations to the use of debt financing. </w:t>
      </w:r>
      <w:r w:rsidR="005C3B37" w:rsidRPr="00142624">
        <w:rPr>
          <w:rFonts w:ascii="Times New Roman" w:hAnsi="Times New Roman" w:cs="Times New Roman"/>
          <w:sz w:val="24"/>
          <w:szCs w:val="24"/>
        </w:rPr>
        <w:t xml:space="preserve">An ideal equity ratio is always believed to be 0.5 since it signals that half of the business is financed by shareholders. However, for Jurys Inn, the equity ratio is less than 50%; therefore, it can </w:t>
      </w:r>
      <w:r w:rsidR="00104219" w:rsidRPr="00142624">
        <w:rPr>
          <w:rFonts w:ascii="Times New Roman" w:hAnsi="Times New Roman" w:cs="Times New Roman"/>
          <w:sz w:val="24"/>
          <w:szCs w:val="24"/>
        </w:rPr>
        <w:t>be concluded</w:t>
      </w:r>
      <w:r w:rsidR="005C3B37" w:rsidRPr="00142624">
        <w:rPr>
          <w:rFonts w:ascii="Times New Roman" w:hAnsi="Times New Roman" w:cs="Times New Roman"/>
          <w:sz w:val="24"/>
          <w:szCs w:val="24"/>
        </w:rPr>
        <w:t xml:space="preserve"> that the management needs to improve the ownership by clearing the liabilities. </w:t>
      </w:r>
    </w:p>
    <w:p w14:paraId="2291B0F2" w14:textId="4438FB67" w:rsidR="005D1D19"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Benefits and limitations of financial ratios</w:t>
      </w:r>
    </w:p>
    <w:p w14:paraId="59116E84" w14:textId="2B980D5C" w:rsidR="005D1D19"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Benefits</w:t>
      </w:r>
    </w:p>
    <w:p w14:paraId="03454723" w14:textId="628839B2" w:rsidR="000E243F" w:rsidRPr="00142624" w:rsidRDefault="00104219"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The ratio analysis</w:t>
      </w:r>
      <w:r w:rsidR="00DC15E6" w:rsidRPr="00142624">
        <w:rPr>
          <w:rFonts w:ascii="Times New Roman" w:hAnsi="Times New Roman" w:cs="Times New Roman"/>
          <w:sz w:val="24"/>
          <w:szCs w:val="24"/>
        </w:rPr>
        <w:t xml:space="preserve"> technique is</w:t>
      </w:r>
      <w:r w:rsidRPr="00142624">
        <w:rPr>
          <w:rFonts w:ascii="Times New Roman" w:hAnsi="Times New Roman" w:cs="Times New Roman"/>
          <w:sz w:val="24"/>
          <w:szCs w:val="24"/>
        </w:rPr>
        <w:t xml:space="preserve"> believed to be a vital tool in determining the business performance against the competitors and industry performance through quantitative data analysis. </w:t>
      </w:r>
      <w:r w:rsidR="00DC15E6" w:rsidRPr="00142624">
        <w:rPr>
          <w:rFonts w:ascii="Times New Roman" w:hAnsi="Times New Roman" w:cs="Times New Roman"/>
          <w:sz w:val="24"/>
          <w:szCs w:val="24"/>
        </w:rPr>
        <w:t>In the hotel industry, ratio analysis plays a vital role in depicting the true picture of the company. For instance, through ratio analysis, the company is able to determine its efficiency and its performance in comparison to industry and other competitors; thus, influencing sound decisions.</w:t>
      </w:r>
      <w:r w:rsidR="00142624" w:rsidRPr="00142624">
        <w:rPr>
          <w:rFonts w:ascii="Times New Roman" w:hAnsi="Times New Roman" w:cs="Times New Roman"/>
          <w:sz w:val="24"/>
          <w:szCs w:val="24"/>
        </w:rPr>
        <w:t xml:space="preserve"> </w:t>
      </w:r>
      <w:r w:rsidR="00142624" w:rsidRPr="00142624">
        <w:rPr>
          <w:rFonts w:ascii="Times New Roman" w:hAnsi="Times New Roman" w:cs="Times New Roman"/>
          <w:color w:val="222222"/>
          <w:sz w:val="24"/>
          <w:szCs w:val="24"/>
          <w:shd w:val="clear" w:color="auto" w:fill="FFFFFF"/>
        </w:rPr>
        <w:t>(Jan 2019).</w:t>
      </w:r>
      <w:r w:rsidR="00DC15E6" w:rsidRPr="00142624">
        <w:rPr>
          <w:rFonts w:ascii="Times New Roman" w:hAnsi="Times New Roman" w:cs="Times New Roman"/>
          <w:sz w:val="24"/>
          <w:szCs w:val="24"/>
        </w:rPr>
        <w:t xml:space="preserve"> </w:t>
      </w:r>
      <w:r w:rsidR="00142624" w:rsidRPr="00142624">
        <w:rPr>
          <w:rFonts w:ascii="Times New Roman" w:hAnsi="Times New Roman" w:cs="Times New Roman"/>
          <w:sz w:val="24"/>
          <w:szCs w:val="24"/>
        </w:rPr>
        <w:t>T</w:t>
      </w:r>
      <w:r w:rsidR="00DC15E6" w:rsidRPr="00142624">
        <w:rPr>
          <w:rFonts w:ascii="Times New Roman" w:hAnsi="Times New Roman" w:cs="Times New Roman"/>
          <w:sz w:val="24"/>
          <w:szCs w:val="24"/>
        </w:rPr>
        <w:t>he profitability ratios help the business in determining its efficiency in generating profits, while liquidity ratios determine the company's ability to settle its short-term obligation using current assets</w:t>
      </w:r>
      <w:r w:rsidR="00CA243D" w:rsidRPr="00142624">
        <w:rPr>
          <w:rFonts w:ascii="Times New Roman" w:hAnsi="Times New Roman" w:cs="Times New Roman"/>
          <w:sz w:val="24"/>
          <w:szCs w:val="24"/>
        </w:rPr>
        <w:t xml:space="preserve"> (</w:t>
      </w:r>
      <w:r w:rsidR="00CA243D" w:rsidRPr="00142624">
        <w:rPr>
          <w:rFonts w:ascii="Times New Roman" w:hAnsi="Times New Roman" w:cs="Times New Roman"/>
          <w:color w:val="222222"/>
          <w:sz w:val="24"/>
          <w:szCs w:val="24"/>
          <w:shd w:val="clear" w:color="auto" w:fill="FFFFFF"/>
        </w:rPr>
        <w:t>Pant, 2018)</w:t>
      </w:r>
      <w:r w:rsidR="00DC15E6" w:rsidRPr="00142624">
        <w:rPr>
          <w:rFonts w:ascii="Times New Roman" w:hAnsi="Times New Roman" w:cs="Times New Roman"/>
          <w:sz w:val="24"/>
          <w:szCs w:val="24"/>
        </w:rPr>
        <w:t xml:space="preserve">. Lastly, the solvency ratio helps in determining the company's sustainability and ability to settle obligations using assets. </w:t>
      </w:r>
      <w:r w:rsidR="002F3E5A" w:rsidRPr="00142624">
        <w:rPr>
          <w:rFonts w:ascii="Times New Roman" w:hAnsi="Times New Roman" w:cs="Times New Roman"/>
          <w:sz w:val="24"/>
          <w:szCs w:val="24"/>
        </w:rPr>
        <w:t xml:space="preserve">Again, financial ratio analysis helps the hotel industry in </w:t>
      </w:r>
      <w:r w:rsidR="00452932" w:rsidRPr="00142624">
        <w:rPr>
          <w:rFonts w:ascii="Times New Roman" w:hAnsi="Times New Roman" w:cs="Times New Roman"/>
          <w:sz w:val="24"/>
          <w:szCs w:val="24"/>
        </w:rPr>
        <w:t xml:space="preserve">estimating the possible trends on the hotel industry firms; thus, making it to forecast and plan for the future. For example, during the quarter analysis, it is possible to understand the peak period for tourism depending on the tourists. Therefore, it helps hotel and tourism firms to plan effectively to avoid any loopholes. </w:t>
      </w:r>
    </w:p>
    <w:p w14:paraId="47D3CF51" w14:textId="3594697D" w:rsidR="000E243F"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lastRenderedPageBreak/>
        <w:t xml:space="preserve">Limitations </w:t>
      </w:r>
    </w:p>
    <w:p w14:paraId="199FA4E6" w14:textId="2F610EB8" w:rsidR="00452932"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Despite the benefits, the financial ratios are characterized by numerous limitations. For instance, all the financial ratio analyses are always based on historical data in analyzing a company's performance. This approach is believed to be inconsistent since the majority of the users prefer current and future information. Again, the financial statements are complicated and included by hypotheses; thus, making it difficult to compare the ratios for different companies since no standard pattern has been used</w:t>
      </w:r>
      <w:r w:rsidR="00142624" w:rsidRPr="00142624">
        <w:rPr>
          <w:rFonts w:ascii="Times New Roman" w:hAnsi="Times New Roman" w:cs="Times New Roman"/>
          <w:color w:val="222222"/>
          <w:sz w:val="24"/>
          <w:szCs w:val="24"/>
          <w:shd w:val="clear" w:color="auto" w:fill="FFFFFF"/>
        </w:rPr>
        <w:t xml:space="preserve"> (Jan 2019)</w:t>
      </w:r>
      <w:r w:rsidRPr="00142624">
        <w:rPr>
          <w:rFonts w:ascii="Times New Roman" w:hAnsi="Times New Roman" w:cs="Times New Roman"/>
          <w:sz w:val="24"/>
          <w:szCs w:val="24"/>
        </w:rPr>
        <w:t xml:space="preserve">. Lastly, in the hotel industry, different firms are working in different environments; therefore, the performance of the business is influenced by other factors such as regulation and market structure; thus, making it difficult to compare companies in the same industry. </w:t>
      </w:r>
    </w:p>
    <w:p w14:paraId="42E95C21" w14:textId="6690A2EE" w:rsidR="009D2746"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t>Conclusion</w:t>
      </w:r>
    </w:p>
    <w:p w14:paraId="55C77394" w14:textId="6E6010B6" w:rsidR="009D2746" w:rsidRPr="00142624" w:rsidRDefault="00DC15E6" w:rsidP="00142624">
      <w:pPr>
        <w:spacing w:after="0" w:line="480" w:lineRule="auto"/>
        <w:ind w:firstLine="720"/>
        <w:rPr>
          <w:rFonts w:ascii="Times New Roman" w:hAnsi="Times New Roman" w:cs="Times New Roman"/>
          <w:sz w:val="24"/>
          <w:szCs w:val="24"/>
        </w:rPr>
      </w:pPr>
      <w:r w:rsidRPr="00142624">
        <w:rPr>
          <w:rFonts w:ascii="Times New Roman" w:hAnsi="Times New Roman" w:cs="Times New Roman"/>
          <w:sz w:val="24"/>
          <w:szCs w:val="24"/>
        </w:rPr>
        <w:t>From the above discussion, it can be concluded</w:t>
      </w:r>
      <w:r w:rsidR="00B553BF" w:rsidRPr="00142624">
        <w:rPr>
          <w:rFonts w:ascii="Times New Roman" w:hAnsi="Times New Roman" w:cs="Times New Roman"/>
          <w:sz w:val="24"/>
          <w:szCs w:val="24"/>
        </w:rPr>
        <w:t xml:space="preserve"> </w:t>
      </w:r>
      <w:r w:rsidRPr="00142624">
        <w:rPr>
          <w:rFonts w:ascii="Times New Roman" w:hAnsi="Times New Roman" w:cs="Times New Roman"/>
          <w:sz w:val="24"/>
          <w:szCs w:val="24"/>
        </w:rPr>
        <w:t xml:space="preserve">that </w:t>
      </w:r>
      <w:r w:rsidR="00B553BF" w:rsidRPr="00142624">
        <w:rPr>
          <w:rFonts w:ascii="Times New Roman" w:hAnsi="Times New Roman" w:cs="Times New Roman"/>
          <w:sz w:val="24"/>
          <w:szCs w:val="24"/>
        </w:rPr>
        <w:t xml:space="preserve">Jurys Inn has been fairly performing in the hotel and tourism industry. From the provided financial information, it can be concluded that 2019 was a better year for Jurys Inn compared to 2020. This could be a result of the COVID-19 emergency, which hardly hit the hotel and tourism industry. </w:t>
      </w:r>
      <w:r w:rsidR="005D6804" w:rsidRPr="00142624">
        <w:rPr>
          <w:rFonts w:ascii="Times New Roman" w:hAnsi="Times New Roman" w:cs="Times New Roman"/>
          <w:sz w:val="24"/>
          <w:szCs w:val="24"/>
        </w:rPr>
        <w:t xml:space="preserve">Despite the declined performance in 2020, Jurys Inn is performing above average. </w:t>
      </w:r>
    </w:p>
    <w:p w14:paraId="3F170890" w14:textId="77777777" w:rsidR="00C26762" w:rsidRPr="00142624" w:rsidRDefault="00DC15E6" w:rsidP="00142624">
      <w:pPr>
        <w:spacing w:after="0" w:line="480" w:lineRule="auto"/>
        <w:rPr>
          <w:rFonts w:ascii="Times New Roman" w:hAnsi="Times New Roman" w:cs="Times New Roman"/>
          <w:b/>
          <w:bCs/>
          <w:sz w:val="24"/>
          <w:szCs w:val="24"/>
        </w:rPr>
      </w:pPr>
      <w:r w:rsidRPr="00142624">
        <w:rPr>
          <w:rFonts w:ascii="Times New Roman" w:hAnsi="Times New Roman" w:cs="Times New Roman"/>
          <w:b/>
          <w:bCs/>
          <w:sz w:val="24"/>
          <w:szCs w:val="24"/>
        </w:rPr>
        <w:br w:type="page"/>
      </w:r>
    </w:p>
    <w:p w14:paraId="766E127F" w14:textId="0F643E4C" w:rsidR="00C26762" w:rsidRPr="00142624" w:rsidRDefault="00DC15E6" w:rsidP="00142624">
      <w:pPr>
        <w:spacing w:after="0" w:line="480" w:lineRule="auto"/>
        <w:jc w:val="center"/>
        <w:rPr>
          <w:rFonts w:ascii="Times New Roman" w:hAnsi="Times New Roman" w:cs="Times New Roman"/>
          <w:b/>
          <w:bCs/>
          <w:sz w:val="24"/>
          <w:szCs w:val="24"/>
        </w:rPr>
      </w:pPr>
      <w:r w:rsidRPr="00142624">
        <w:rPr>
          <w:rFonts w:ascii="Times New Roman" w:hAnsi="Times New Roman" w:cs="Times New Roman"/>
          <w:b/>
          <w:bCs/>
          <w:sz w:val="24"/>
          <w:szCs w:val="24"/>
        </w:rPr>
        <w:lastRenderedPageBreak/>
        <w:t>Reference Lists</w:t>
      </w:r>
    </w:p>
    <w:p w14:paraId="732518AA"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Hasanaj, P. and Kuqi, B., 2019. Analysis of financial statements. </w:t>
      </w:r>
      <w:r w:rsidRPr="00142624">
        <w:rPr>
          <w:rFonts w:ascii="Times New Roman" w:hAnsi="Times New Roman" w:cs="Times New Roman"/>
          <w:i/>
          <w:iCs/>
          <w:color w:val="222222"/>
          <w:sz w:val="24"/>
          <w:szCs w:val="24"/>
          <w:shd w:val="clear" w:color="auto" w:fill="FFFFFF"/>
        </w:rPr>
        <w:t>Humanities and Social Science Research</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2</w:t>
      </w:r>
      <w:r w:rsidRPr="00142624">
        <w:rPr>
          <w:rFonts w:ascii="Times New Roman" w:hAnsi="Times New Roman" w:cs="Times New Roman"/>
          <w:color w:val="222222"/>
          <w:sz w:val="24"/>
          <w:szCs w:val="24"/>
          <w:shd w:val="clear" w:color="auto" w:fill="FFFFFF"/>
        </w:rPr>
        <w:t>(2), p17-27.</w:t>
      </w:r>
    </w:p>
    <w:p w14:paraId="71301616"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Sutopo, B., Kot, S., Adiati, A.K. and Ardila, L.N., 2018. Sustainability Reporting and value relevance of financial statements. </w:t>
      </w:r>
      <w:r w:rsidRPr="00142624">
        <w:rPr>
          <w:rFonts w:ascii="Times New Roman" w:hAnsi="Times New Roman" w:cs="Times New Roman"/>
          <w:i/>
          <w:iCs/>
          <w:color w:val="222222"/>
          <w:sz w:val="24"/>
          <w:szCs w:val="24"/>
          <w:shd w:val="clear" w:color="auto" w:fill="FFFFFF"/>
        </w:rPr>
        <w:t>Sustainability</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10</w:t>
      </w:r>
      <w:r w:rsidRPr="00142624">
        <w:rPr>
          <w:rFonts w:ascii="Times New Roman" w:hAnsi="Times New Roman" w:cs="Times New Roman"/>
          <w:color w:val="222222"/>
          <w:sz w:val="24"/>
          <w:szCs w:val="24"/>
          <w:shd w:val="clear" w:color="auto" w:fill="FFFFFF"/>
        </w:rPr>
        <w:t>(3), p.1-14.</w:t>
      </w:r>
    </w:p>
    <w:p w14:paraId="5CCC2C39" w14:textId="77777777" w:rsidR="00142624" w:rsidRPr="00142624" w:rsidRDefault="00DC15E6" w:rsidP="00142624">
      <w:pPr>
        <w:spacing w:after="0" w:line="480" w:lineRule="auto"/>
        <w:ind w:left="720" w:hanging="720"/>
        <w:rPr>
          <w:rFonts w:ascii="Times New Roman" w:hAnsi="Times New Roman" w:cs="Times New Roman"/>
          <w:i/>
          <w:iCs/>
          <w:color w:val="222222"/>
          <w:sz w:val="24"/>
          <w:szCs w:val="24"/>
          <w:shd w:val="clear" w:color="auto" w:fill="FFFFFF"/>
        </w:rPr>
      </w:pPr>
      <w:r w:rsidRPr="00142624">
        <w:rPr>
          <w:rFonts w:ascii="Times New Roman" w:hAnsi="Times New Roman" w:cs="Times New Roman"/>
          <w:color w:val="222222"/>
          <w:sz w:val="24"/>
          <w:szCs w:val="24"/>
          <w:shd w:val="clear" w:color="auto" w:fill="FFFFFF"/>
        </w:rPr>
        <w:t>Morales Díaz, J. and Zamora Ramírez, C., 2018. IFRS 16 (leases) implementation: Impact of entities’ decisions on financial statements. </w:t>
      </w:r>
      <w:r w:rsidRPr="00142624">
        <w:rPr>
          <w:rFonts w:ascii="Times New Roman" w:hAnsi="Times New Roman" w:cs="Times New Roman"/>
          <w:i/>
          <w:iCs/>
          <w:color w:val="222222"/>
          <w:sz w:val="24"/>
          <w:szCs w:val="24"/>
          <w:shd w:val="clear" w:color="auto" w:fill="FFFFFF"/>
        </w:rPr>
        <w:t>Aestimatio: The IEB International Journal of Finance, 17, 60-97.</w:t>
      </w:r>
    </w:p>
    <w:p w14:paraId="1FC965A5"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Husain, T. and Sunardi, N., 2020. Firm's Value Prediction Based on Profitability Ratios and Dividend Policy. </w:t>
      </w:r>
      <w:r w:rsidRPr="00142624">
        <w:rPr>
          <w:rFonts w:ascii="Times New Roman" w:hAnsi="Times New Roman" w:cs="Times New Roman"/>
          <w:i/>
          <w:iCs/>
          <w:color w:val="222222"/>
          <w:sz w:val="24"/>
          <w:szCs w:val="24"/>
          <w:shd w:val="clear" w:color="auto" w:fill="FFFFFF"/>
        </w:rPr>
        <w:t>Finance &amp; Economics Review</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2</w:t>
      </w:r>
      <w:r w:rsidRPr="00142624">
        <w:rPr>
          <w:rFonts w:ascii="Times New Roman" w:hAnsi="Times New Roman" w:cs="Times New Roman"/>
          <w:color w:val="222222"/>
          <w:sz w:val="24"/>
          <w:szCs w:val="24"/>
          <w:shd w:val="clear" w:color="auto" w:fill="FFFFFF"/>
        </w:rPr>
        <w:t>(2), pp.13-26.</w:t>
      </w:r>
    </w:p>
    <w:p w14:paraId="0C4D23BE"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Madushanka, K.H.I. and Jathurika, M., 2018. The impact of liquidity ratios on profitability. </w:t>
      </w:r>
      <w:r w:rsidRPr="00142624">
        <w:rPr>
          <w:rFonts w:ascii="Times New Roman" w:hAnsi="Times New Roman" w:cs="Times New Roman"/>
          <w:i/>
          <w:iCs/>
          <w:color w:val="222222"/>
          <w:sz w:val="24"/>
          <w:szCs w:val="24"/>
          <w:shd w:val="clear" w:color="auto" w:fill="FFFFFF"/>
        </w:rPr>
        <w:t>International Research Journal of Advanced Engineering and Science</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3</w:t>
      </w:r>
      <w:r w:rsidRPr="00142624">
        <w:rPr>
          <w:rFonts w:ascii="Times New Roman" w:hAnsi="Times New Roman" w:cs="Times New Roman"/>
          <w:color w:val="222222"/>
          <w:sz w:val="24"/>
          <w:szCs w:val="24"/>
          <w:shd w:val="clear" w:color="auto" w:fill="FFFFFF"/>
        </w:rPr>
        <w:t>(4), pp.157-161.</w:t>
      </w:r>
    </w:p>
    <w:p w14:paraId="0660D75D"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Haralayya, B., 2021. Ratio Analysis at NSSK, Bidar. </w:t>
      </w:r>
      <w:r w:rsidRPr="00142624">
        <w:rPr>
          <w:rFonts w:ascii="Times New Roman" w:hAnsi="Times New Roman" w:cs="Times New Roman"/>
          <w:i/>
          <w:iCs/>
          <w:color w:val="222222"/>
          <w:sz w:val="24"/>
          <w:szCs w:val="24"/>
          <w:shd w:val="clear" w:color="auto" w:fill="FFFFFF"/>
        </w:rPr>
        <w:t>Iconic Research And Engineering Journals</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4</w:t>
      </w:r>
      <w:r w:rsidRPr="00142624">
        <w:rPr>
          <w:rFonts w:ascii="Times New Roman" w:hAnsi="Times New Roman" w:cs="Times New Roman"/>
          <w:color w:val="222222"/>
          <w:sz w:val="24"/>
          <w:szCs w:val="24"/>
          <w:shd w:val="clear" w:color="auto" w:fill="FFFFFF"/>
        </w:rPr>
        <w:t>(12), pp.170-182.</w:t>
      </w:r>
    </w:p>
    <w:p w14:paraId="4C32CC1F"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 xml:space="preserve">Baraja, L. and Yosya, E.A., 2019. Analysis of the impact of liquidity, profitability, activity, and solvency ratio on change in earnings. </w:t>
      </w:r>
      <w:r w:rsidRPr="00142624">
        <w:rPr>
          <w:rFonts w:ascii="Times New Roman" w:hAnsi="Times New Roman" w:cs="Times New Roman"/>
          <w:i/>
          <w:iCs/>
          <w:color w:val="222222"/>
          <w:sz w:val="24"/>
          <w:szCs w:val="24"/>
          <w:shd w:val="clear" w:color="auto" w:fill="FFFFFF"/>
        </w:rPr>
        <w:t>Indonesian Management and Accounting Research</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17</w:t>
      </w:r>
      <w:r w:rsidRPr="00142624">
        <w:rPr>
          <w:rFonts w:ascii="Times New Roman" w:hAnsi="Times New Roman" w:cs="Times New Roman"/>
          <w:color w:val="222222"/>
          <w:sz w:val="24"/>
          <w:szCs w:val="24"/>
          <w:shd w:val="clear" w:color="auto" w:fill="FFFFFF"/>
        </w:rPr>
        <w:t>(1), pp.1-17.</w:t>
      </w:r>
    </w:p>
    <w:p w14:paraId="53CDAA16"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Subalakshmi, S. and Manikandan, M., 2018. Financial Ratio Analysis of SBI [2009-2016]. </w:t>
      </w:r>
      <w:r w:rsidRPr="00142624">
        <w:rPr>
          <w:rFonts w:ascii="Times New Roman" w:hAnsi="Times New Roman" w:cs="Times New Roman"/>
          <w:i/>
          <w:iCs/>
          <w:color w:val="222222"/>
          <w:sz w:val="24"/>
          <w:szCs w:val="24"/>
          <w:shd w:val="clear" w:color="auto" w:fill="FFFFFF"/>
        </w:rPr>
        <w:t>ICTACT Journal on Management Studies</w:t>
      </w:r>
      <w:r w:rsidRPr="00142624">
        <w:rPr>
          <w:rFonts w:ascii="Times New Roman" w:hAnsi="Times New Roman" w:cs="Times New Roman"/>
          <w:color w:val="222222"/>
          <w:sz w:val="24"/>
          <w:szCs w:val="24"/>
          <w:shd w:val="clear" w:color="auto" w:fill="FFFFFF"/>
        </w:rPr>
        <w:t>, </w:t>
      </w:r>
      <w:r w:rsidRPr="00142624">
        <w:rPr>
          <w:rFonts w:ascii="Times New Roman" w:hAnsi="Times New Roman" w:cs="Times New Roman"/>
          <w:i/>
          <w:iCs/>
          <w:color w:val="222222"/>
          <w:sz w:val="24"/>
          <w:szCs w:val="24"/>
          <w:shd w:val="clear" w:color="auto" w:fill="FFFFFF"/>
        </w:rPr>
        <w:t>4</w:t>
      </w:r>
      <w:r w:rsidRPr="00142624">
        <w:rPr>
          <w:rFonts w:ascii="Times New Roman" w:hAnsi="Times New Roman" w:cs="Times New Roman"/>
          <w:color w:val="222222"/>
          <w:sz w:val="24"/>
          <w:szCs w:val="24"/>
          <w:shd w:val="clear" w:color="auto" w:fill="FFFFFF"/>
        </w:rPr>
        <w:t>(01), pp.698-704</w:t>
      </w:r>
    </w:p>
    <w:p w14:paraId="1402EC41"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McCosker, P., 2021. Interpretation of Financial Statements. In </w:t>
      </w:r>
      <w:r w:rsidRPr="00142624">
        <w:rPr>
          <w:rFonts w:ascii="Times New Roman" w:hAnsi="Times New Roman" w:cs="Times New Roman"/>
          <w:i/>
          <w:iCs/>
          <w:color w:val="222222"/>
          <w:sz w:val="24"/>
          <w:szCs w:val="24"/>
          <w:shd w:val="clear" w:color="auto" w:fill="FFFFFF"/>
        </w:rPr>
        <w:t>Financial and Managerial Aspects in Human Resource Management: A Practical Guide</w:t>
      </w:r>
      <w:r w:rsidRPr="00142624">
        <w:rPr>
          <w:rFonts w:ascii="Times New Roman" w:hAnsi="Times New Roman" w:cs="Times New Roman"/>
          <w:color w:val="222222"/>
          <w:sz w:val="24"/>
          <w:szCs w:val="24"/>
          <w:shd w:val="clear" w:color="auto" w:fill="FFFFFF"/>
        </w:rPr>
        <w:t>. Emerald Publishing Limited.</w:t>
      </w:r>
    </w:p>
    <w:p w14:paraId="4F2E406B"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lastRenderedPageBreak/>
        <w:t xml:space="preserve">Pant, S., 2018. Ratio Analysis: Meaning, Advantages, and Limitations | Accounting. Retrieved from </w:t>
      </w:r>
      <w:hyperlink r:id="rId8" w:history="1">
        <w:r w:rsidRPr="00142624">
          <w:rPr>
            <w:rStyle w:val="Hyperlink"/>
            <w:rFonts w:ascii="Times New Roman" w:hAnsi="Times New Roman" w:cs="Times New Roman"/>
            <w:sz w:val="24"/>
            <w:szCs w:val="24"/>
            <w:shd w:val="clear" w:color="auto" w:fill="FFFFFF"/>
          </w:rPr>
          <w:t>https://www.yourarticlelibrary.com/accounting/ratio-analysis/ratio-analysis-meaning-advantages-and-limitations-accounting/65204</w:t>
        </w:r>
      </w:hyperlink>
    </w:p>
    <w:p w14:paraId="3C6A3BA9"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 xml:space="preserve">Jan, O., 2019. Advantages and Limitations of Ratio Analysis. Retrieved from </w:t>
      </w:r>
      <w:hyperlink r:id="rId9" w:anchor=":~:text=Financial%20ratio%20analysis%20is%20useful,companies%20from%20the%20same%20industries.&amp;text=Ratio%20analysis%20explains%20relationships%20between,different%20ratios%20is%20not%20standardized" w:history="1">
        <w:r w:rsidRPr="00142624">
          <w:rPr>
            <w:rStyle w:val="Hyperlink"/>
            <w:rFonts w:ascii="Times New Roman" w:hAnsi="Times New Roman" w:cs="Times New Roman"/>
            <w:sz w:val="24"/>
            <w:szCs w:val="24"/>
            <w:shd w:val="clear" w:color="auto" w:fill="FFFFFF"/>
          </w:rPr>
          <w:t>https://xplaind.com/425487/advantages-limitations#:~:text=Financial%20ratio%20analysis%20is%20useful,companies%20from%20the%20same%20industries.&amp;text=Ratio%20analysis%20explains%20relationships%20between,different%20ratios%20is%20not%20standardized</w:t>
        </w:r>
      </w:hyperlink>
      <w:r w:rsidRPr="00142624">
        <w:rPr>
          <w:rFonts w:ascii="Times New Roman" w:hAnsi="Times New Roman" w:cs="Times New Roman"/>
          <w:color w:val="222222"/>
          <w:sz w:val="24"/>
          <w:szCs w:val="24"/>
          <w:shd w:val="clear" w:color="auto" w:fill="FFFFFF"/>
        </w:rPr>
        <w:t>.</w:t>
      </w:r>
    </w:p>
    <w:p w14:paraId="527FA6B9" w14:textId="77777777" w:rsidR="00142624" w:rsidRPr="00142624" w:rsidRDefault="00DC15E6" w:rsidP="00142624">
      <w:pPr>
        <w:spacing w:after="0" w:line="480" w:lineRule="auto"/>
        <w:ind w:left="720" w:hanging="720"/>
        <w:rPr>
          <w:rFonts w:ascii="Times New Roman" w:hAnsi="Times New Roman" w:cs="Times New Roman"/>
          <w:color w:val="222222"/>
          <w:sz w:val="24"/>
          <w:szCs w:val="24"/>
          <w:shd w:val="clear" w:color="auto" w:fill="FFFFFF"/>
        </w:rPr>
      </w:pPr>
      <w:r w:rsidRPr="00142624">
        <w:rPr>
          <w:rFonts w:ascii="Times New Roman" w:hAnsi="Times New Roman" w:cs="Times New Roman"/>
          <w:color w:val="222222"/>
          <w:sz w:val="24"/>
          <w:szCs w:val="24"/>
          <w:shd w:val="clear" w:color="auto" w:fill="FFFFFF"/>
        </w:rPr>
        <w:t>Sanad, Z. and Al-Sartawi, A., 2021, March. Financial statements fraud and data mining: a review. In </w:t>
      </w:r>
      <w:r w:rsidRPr="00142624">
        <w:rPr>
          <w:rFonts w:ascii="Times New Roman" w:hAnsi="Times New Roman" w:cs="Times New Roman"/>
          <w:i/>
          <w:iCs/>
          <w:color w:val="222222"/>
          <w:sz w:val="24"/>
          <w:szCs w:val="24"/>
          <w:shd w:val="clear" w:color="auto" w:fill="FFFFFF"/>
        </w:rPr>
        <w:t>European, Asian, Middle Eastern, North African Conference on Management &amp; Information Systems</w:t>
      </w:r>
      <w:r w:rsidRPr="00142624">
        <w:rPr>
          <w:rFonts w:ascii="Times New Roman" w:hAnsi="Times New Roman" w:cs="Times New Roman"/>
          <w:color w:val="222222"/>
          <w:sz w:val="24"/>
          <w:szCs w:val="24"/>
          <w:shd w:val="clear" w:color="auto" w:fill="FFFFFF"/>
        </w:rPr>
        <w:t> (pp. 407-414). Springer, Cham.</w:t>
      </w:r>
    </w:p>
    <w:p w14:paraId="5EF12C6C" w14:textId="77777777" w:rsidR="00142624" w:rsidRPr="00142624" w:rsidRDefault="00142624" w:rsidP="00142624">
      <w:pPr>
        <w:spacing w:after="0" w:line="480" w:lineRule="auto"/>
        <w:ind w:left="720" w:hanging="720"/>
        <w:rPr>
          <w:rFonts w:ascii="Times New Roman" w:hAnsi="Times New Roman" w:cs="Times New Roman"/>
          <w:color w:val="222222"/>
          <w:sz w:val="24"/>
          <w:szCs w:val="24"/>
          <w:shd w:val="clear" w:color="auto" w:fill="FFFFFF"/>
        </w:rPr>
      </w:pPr>
    </w:p>
    <w:sectPr w:rsidR="00142624" w:rsidRPr="00142624">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D359E" w14:textId="77777777" w:rsidR="005539D7" w:rsidRDefault="005539D7">
      <w:pPr>
        <w:spacing w:after="0" w:line="240" w:lineRule="auto"/>
      </w:pPr>
      <w:r>
        <w:separator/>
      </w:r>
    </w:p>
  </w:endnote>
  <w:endnote w:type="continuationSeparator" w:id="0">
    <w:p w14:paraId="5D4545B8" w14:textId="77777777" w:rsidR="005539D7" w:rsidRDefault="00553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45BA5" w14:textId="77777777" w:rsidR="005539D7" w:rsidRDefault="005539D7">
      <w:pPr>
        <w:spacing w:after="0" w:line="240" w:lineRule="auto"/>
      </w:pPr>
      <w:r>
        <w:separator/>
      </w:r>
    </w:p>
  </w:footnote>
  <w:footnote w:type="continuationSeparator" w:id="0">
    <w:p w14:paraId="2240DB39" w14:textId="77777777" w:rsidR="005539D7" w:rsidRDefault="00553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E2A1F" w14:textId="41BCC40E" w:rsidR="00142624" w:rsidRPr="00142624" w:rsidRDefault="00DC15E6" w:rsidP="00142624">
    <w:pPr>
      <w:pStyle w:val="Header"/>
      <w:spacing w:line="480" w:lineRule="auto"/>
      <w:jc w:val="right"/>
      <w:rPr>
        <w:rFonts w:ascii="Times New Roman" w:hAnsi="Times New Roman" w:cs="Times New Roman"/>
        <w:sz w:val="24"/>
        <w:szCs w:val="24"/>
      </w:rPr>
    </w:pPr>
    <w:r w:rsidRPr="00142624">
      <w:rPr>
        <w:rFonts w:ascii="Times New Roman" w:hAnsi="Times New Roman" w:cs="Times New Roman"/>
        <w:sz w:val="24"/>
        <w:szCs w:val="24"/>
      </w:rPr>
      <w:t xml:space="preserve">Jurys Inn ratio analysis  </w:t>
    </w:r>
    <w:sdt>
      <w:sdtPr>
        <w:rPr>
          <w:rFonts w:ascii="Times New Roman" w:hAnsi="Times New Roman" w:cs="Times New Roman"/>
          <w:sz w:val="24"/>
          <w:szCs w:val="24"/>
        </w:rPr>
        <w:id w:val="2048096076"/>
        <w:docPartObj>
          <w:docPartGallery w:val="Page Numbers (Top of Page)"/>
          <w:docPartUnique/>
        </w:docPartObj>
      </w:sdtPr>
      <w:sdtEndPr>
        <w:rPr>
          <w:noProof/>
        </w:rPr>
      </w:sdtEndPr>
      <w:sdtContent>
        <w:r w:rsidRPr="00142624">
          <w:rPr>
            <w:rFonts w:ascii="Times New Roman" w:hAnsi="Times New Roman" w:cs="Times New Roman"/>
            <w:sz w:val="24"/>
            <w:szCs w:val="24"/>
          </w:rPr>
          <w:fldChar w:fldCharType="begin"/>
        </w:r>
        <w:r w:rsidRPr="00142624">
          <w:rPr>
            <w:rFonts w:ascii="Times New Roman" w:hAnsi="Times New Roman" w:cs="Times New Roman"/>
            <w:sz w:val="24"/>
            <w:szCs w:val="24"/>
          </w:rPr>
          <w:instrText xml:space="preserve"> PAGE   \* MERGEFORMAT </w:instrText>
        </w:r>
        <w:r w:rsidRPr="00142624">
          <w:rPr>
            <w:rFonts w:ascii="Times New Roman" w:hAnsi="Times New Roman" w:cs="Times New Roman"/>
            <w:sz w:val="24"/>
            <w:szCs w:val="24"/>
          </w:rPr>
          <w:fldChar w:fldCharType="separate"/>
        </w:r>
        <w:r w:rsidRPr="00142624">
          <w:rPr>
            <w:rFonts w:ascii="Times New Roman" w:hAnsi="Times New Roman" w:cs="Times New Roman"/>
            <w:noProof/>
            <w:sz w:val="24"/>
            <w:szCs w:val="24"/>
          </w:rPr>
          <w:t>2</w:t>
        </w:r>
        <w:r w:rsidRPr="00142624">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E3FFD"/>
    <w:multiLevelType w:val="hybridMultilevel"/>
    <w:tmpl w:val="B97EB2A2"/>
    <w:lvl w:ilvl="0" w:tplc="29EA80BE">
      <w:start w:val="1"/>
      <w:numFmt w:val="upperLetter"/>
      <w:lvlText w:val="%1."/>
      <w:lvlJc w:val="left"/>
      <w:pPr>
        <w:ind w:left="-720" w:hanging="360"/>
      </w:pPr>
      <w:rPr>
        <w:rFonts w:hint="default"/>
      </w:rPr>
    </w:lvl>
    <w:lvl w:ilvl="1" w:tplc="63C293B2" w:tentative="1">
      <w:start w:val="1"/>
      <w:numFmt w:val="lowerLetter"/>
      <w:lvlText w:val="%2."/>
      <w:lvlJc w:val="left"/>
      <w:pPr>
        <w:ind w:left="0" w:hanging="360"/>
      </w:pPr>
    </w:lvl>
    <w:lvl w:ilvl="2" w:tplc="A510D160" w:tentative="1">
      <w:start w:val="1"/>
      <w:numFmt w:val="lowerRoman"/>
      <w:lvlText w:val="%3."/>
      <w:lvlJc w:val="right"/>
      <w:pPr>
        <w:ind w:left="720" w:hanging="180"/>
      </w:pPr>
    </w:lvl>
    <w:lvl w:ilvl="3" w:tplc="ECE23216" w:tentative="1">
      <w:start w:val="1"/>
      <w:numFmt w:val="decimal"/>
      <w:lvlText w:val="%4."/>
      <w:lvlJc w:val="left"/>
      <w:pPr>
        <w:ind w:left="1440" w:hanging="360"/>
      </w:pPr>
    </w:lvl>
    <w:lvl w:ilvl="4" w:tplc="DA2A0FEE" w:tentative="1">
      <w:start w:val="1"/>
      <w:numFmt w:val="lowerLetter"/>
      <w:lvlText w:val="%5."/>
      <w:lvlJc w:val="left"/>
      <w:pPr>
        <w:ind w:left="2160" w:hanging="360"/>
      </w:pPr>
    </w:lvl>
    <w:lvl w:ilvl="5" w:tplc="93B294BA" w:tentative="1">
      <w:start w:val="1"/>
      <w:numFmt w:val="lowerRoman"/>
      <w:lvlText w:val="%6."/>
      <w:lvlJc w:val="right"/>
      <w:pPr>
        <w:ind w:left="2880" w:hanging="180"/>
      </w:pPr>
    </w:lvl>
    <w:lvl w:ilvl="6" w:tplc="381ACEB8" w:tentative="1">
      <w:start w:val="1"/>
      <w:numFmt w:val="decimal"/>
      <w:lvlText w:val="%7."/>
      <w:lvlJc w:val="left"/>
      <w:pPr>
        <w:ind w:left="3600" w:hanging="360"/>
      </w:pPr>
    </w:lvl>
    <w:lvl w:ilvl="7" w:tplc="FB7EBD0E" w:tentative="1">
      <w:start w:val="1"/>
      <w:numFmt w:val="lowerLetter"/>
      <w:lvlText w:val="%8."/>
      <w:lvlJc w:val="left"/>
      <w:pPr>
        <w:ind w:left="4320" w:hanging="360"/>
      </w:pPr>
    </w:lvl>
    <w:lvl w:ilvl="8" w:tplc="5CF83300" w:tentative="1">
      <w:start w:val="1"/>
      <w:numFmt w:val="lowerRoman"/>
      <w:lvlText w:val="%9."/>
      <w:lvlJc w:val="right"/>
      <w:pPr>
        <w:ind w:left="5040" w:hanging="180"/>
      </w:pPr>
    </w:lvl>
  </w:abstractNum>
  <w:abstractNum w:abstractNumId="1" w15:restartNumberingAfterBreak="0">
    <w:nsid w:val="1FD74577"/>
    <w:multiLevelType w:val="hybridMultilevel"/>
    <w:tmpl w:val="E6F4DABA"/>
    <w:lvl w:ilvl="0" w:tplc="FE28ED0E">
      <w:start w:val="1"/>
      <w:numFmt w:val="lowerLetter"/>
      <w:lvlText w:val="%1."/>
      <w:lvlJc w:val="left"/>
      <w:pPr>
        <w:ind w:left="360" w:hanging="360"/>
      </w:pPr>
      <w:rPr>
        <w:rFonts w:hint="default"/>
        <w:b/>
        <w:bCs/>
      </w:rPr>
    </w:lvl>
    <w:lvl w:ilvl="1" w:tplc="E03609D2" w:tentative="1">
      <w:start w:val="1"/>
      <w:numFmt w:val="lowerLetter"/>
      <w:lvlText w:val="%2."/>
      <w:lvlJc w:val="left"/>
      <w:pPr>
        <w:ind w:left="1080" w:hanging="360"/>
      </w:pPr>
    </w:lvl>
    <w:lvl w:ilvl="2" w:tplc="32B240F4" w:tentative="1">
      <w:start w:val="1"/>
      <w:numFmt w:val="lowerRoman"/>
      <w:lvlText w:val="%3."/>
      <w:lvlJc w:val="right"/>
      <w:pPr>
        <w:ind w:left="1800" w:hanging="180"/>
      </w:pPr>
    </w:lvl>
    <w:lvl w:ilvl="3" w:tplc="292CDE64" w:tentative="1">
      <w:start w:val="1"/>
      <w:numFmt w:val="decimal"/>
      <w:lvlText w:val="%4."/>
      <w:lvlJc w:val="left"/>
      <w:pPr>
        <w:ind w:left="2520" w:hanging="360"/>
      </w:pPr>
    </w:lvl>
    <w:lvl w:ilvl="4" w:tplc="591AA280" w:tentative="1">
      <w:start w:val="1"/>
      <w:numFmt w:val="lowerLetter"/>
      <w:lvlText w:val="%5."/>
      <w:lvlJc w:val="left"/>
      <w:pPr>
        <w:ind w:left="3240" w:hanging="360"/>
      </w:pPr>
    </w:lvl>
    <w:lvl w:ilvl="5" w:tplc="B91297E6" w:tentative="1">
      <w:start w:val="1"/>
      <w:numFmt w:val="lowerRoman"/>
      <w:lvlText w:val="%6."/>
      <w:lvlJc w:val="right"/>
      <w:pPr>
        <w:ind w:left="3960" w:hanging="180"/>
      </w:pPr>
    </w:lvl>
    <w:lvl w:ilvl="6" w:tplc="FE687A76" w:tentative="1">
      <w:start w:val="1"/>
      <w:numFmt w:val="decimal"/>
      <w:lvlText w:val="%7."/>
      <w:lvlJc w:val="left"/>
      <w:pPr>
        <w:ind w:left="4680" w:hanging="360"/>
      </w:pPr>
    </w:lvl>
    <w:lvl w:ilvl="7" w:tplc="91CA5A1A" w:tentative="1">
      <w:start w:val="1"/>
      <w:numFmt w:val="lowerLetter"/>
      <w:lvlText w:val="%8."/>
      <w:lvlJc w:val="left"/>
      <w:pPr>
        <w:ind w:left="5400" w:hanging="360"/>
      </w:pPr>
    </w:lvl>
    <w:lvl w:ilvl="8" w:tplc="F7D2C88E" w:tentative="1">
      <w:start w:val="1"/>
      <w:numFmt w:val="lowerRoman"/>
      <w:lvlText w:val="%9."/>
      <w:lvlJc w:val="right"/>
      <w:pPr>
        <w:ind w:left="6120" w:hanging="180"/>
      </w:pPr>
    </w:lvl>
  </w:abstractNum>
  <w:abstractNum w:abstractNumId="2" w15:restartNumberingAfterBreak="0">
    <w:nsid w:val="298E77AF"/>
    <w:multiLevelType w:val="hybridMultilevel"/>
    <w:tmpl w:val="433EF376"/>
    <w:lvl w:ilvl="0" w:tplc="631463F8">
      <w:start w:val="1"/>
      <w:numFmt w:val="upperLetter"/>
      <w:lvlText w:val="%1."/>
      <w:lvlJc w:val="left"/>
      <w:pPr>
        <w:ind w:left="720" w:hanging="360"/>
      </w:pPr>
      <w:rPr>
        <w:rFonts w:hint="default"/>
      </w:rPr>
    </w:lvl>
    <w:lvl w:ilvl="1" w:tplc="91608112" w:tentative="1">
      <w:start w:val="1"/>
      <w:numFmt w:val="lowerLetter"/>
      <w:lvlText w:val="%2."/>
      <w:lvlJc w:val="left"/>
      <w:pPr>
        <w:ind w:left="1440" w:hanging="360"/>
      </w:pPr>
    </w:lvl>
    <w:lvl w:ilvl="2" w:tplc="2916B958" w:tentative="1">
      <w:start w:val="1"/>
      <w:numFmt w:val="lowerRoman"/>
      <w:lvlText w:val="%3."/>
      <w:lvlJc w:val="right"/>
      <w:pPr>
        <w:ind w:left="2160" w:hanging="180"/>
      </w:pPr>
    </w:lvl>
    <w:lvl w:ilvl="3" w:tplc="D9D45A00" w:tentative="1">
      <w:start w:val="1"/>
      <w:numFmt w:val="decimal"/>
      <w:lvlText w:val="%4."/>
      <w:lvlJc w:val="left"/>
      <w:pPr>
        <w:ind w:left="2880" w:hanging="360"/>
      </w:pPr>
    </w:lvl>
    <w:lvl w:ilvl="4" w:tplc="156C1020" w:tentative="1">
      <w:start w:val="1"/>
      <w:numFmt w:val="lowerLetter"/>
      <w:lvlText w:val="%5."/>
      <w:lvlJc w:val="left"/>
      <w:pPr>
        <w:ind w:left="3600" w:hanging="360"/>
      </w:pPr>
    </w:lvl>
    <w:lvl w:ilvl="5" w:tplc="EFEE1DE8" w:tentative="1">
      <w:start w:val="1"/>
      <w:numFmt w:val="lowerRoman"/>
      <w:lvlText w:val="%6."/>
      <w:lvlJc w:val="right"/>
      <w:pPr>
        <w:ind w:left="4320" w:hanging="180"/>
      </w:pPr>
    </w:lvl>
    <w:lvl w:ilvl="6" w:tplc="BEA8AEA6" w:tentative="1">
      <w:start w:val="1"/>
      <w:numFmt w:val="decimal"/>
      <w:lvlText w:val="%7."/>
      <w:lvlJc w:val="left"/>
      <w:pPr>
        <w:ind w:left="5040" w:hanging="360"/>
      </w:pPr>
    </w:lvl>
    <w:lvl w:ilvl="7" w:tplc="932EBA88" w:tentative="1">
      <w:start w:val="1"/>
      <w:numFmt w:val="lowerLetter"/>
      <w:lvlText w:val="%8."/>
      <w:lvlJc w:val="left"/>
      <w:pPr>
        <w:ind w:left="5760" w:hanging="360"/>
      </w:pPr>
    </w:lvl>
    <w:lvl w:ilvl="8" w:tplc="8CE0F238" w:tentative="1">
      <w:start w:val="1"/>
      <w:numFmt w:val="lowerRoman"/>
      <w:lvlText w:val="%9."/>
      <w:lvlJc w:val="right"/>
      <w:pPr>
        <w:ind w:left="6480" w:hanging="180"/>
      </w:pPr>
    </w:lvl>
  </w:abstractNum>
  <w:abstractNum w:abstractNumId="3" w15:restartNumberingAfterBreak="0">
    <w:nsid w:val="39A943E0"/>
    <w:multiLevelType w:val="hybridMultilevel"/>
    <w:tmpl w:val="AD92502E"/>
    <w:lvl w:ilvl="0" w:tplc="9F982CC0">
      <w:start w:val="1"/>
      <w:numFmt w:val="upperLetter"/>
      <w:lvlText w:val="%1."/>
      <w:lvlJc w:val="left"/>
      <w:pPr>
        <w:ind w:left="720" w:hanging="360"/>
      </w:pPr>
      <w:rPr>
        <w:rFonts w:hint="default"/>
      </w:rPr>
    </w:lvl>
    <w:lvl w:ilvl="1" w:tplc="3294E08A" w:tentative="1">
      <w:start w:val="1"/>
      <w:numFmt w:val="lowerLetter"/>
      <w:lvlText w:val="%2."/>
      <w:lvlJc w:val="left"/>
      <w:pPr>
        <w:ind w:left="1440" w:hanging="360"/>
      </w:pPr>
    </w:lvl>
    <w:lvl w:ilvl="2" w:tplc="B32E8270" w:tentative="1">
      <w:start w:val="1"/>
      <w:numFmt w:val="lowerRoman"/>
      <w:lvlText w:val="%3."/>
      <w:lvlJc w:val="right"/>
      <w:pPr>
        <w:ind w:left="2160" w:hanging="180"/>
      </w:pPr>
    </w:lvl>
    <w:lvl w:ilvl="3" w:tplc="9ED0377C" w:tentative="1">
      <w:start w:val="1"/>
      <w:numFmt w:val="decimal"/>
      <w:lvlText w:val="%4."/>
      <w:lvlJc w:val="left"/>
      <w:pPr>
        <w:ind w:left="2880" w:hanging="360"/>
      </w:pPr>
    </w:lvl>
    <w:lvl w:ilvl="4" w:tplc="222C449A" w:tentative="1">
      <w:start w:val="1"/>
      <w:numFmt w:val="lowerLetter"/>
      <w:lvlText w:val="%5."/>
      <w:lvlJc w:val="left"/>
      <w:pPr>
        <w:ind w:left="3600" w:hanging="360"/>
      </w:pPr>
    </w:lvl>
    <w:lvl w:ilvl="5" w:tplc="523E7792" w:tentative="1">
      <w:start w:val="1"/>
      <w:numFmt w:val="lowerRoman"/>
      <w:lvlText w:val="%6."/>
      <w:lvlJc w:val="right"/>
      <w:pPr>
        <w:ind w:left="4320" w:hanging="180"/>
      </w:pPr>
    </w:lvl>
    <w:lvl w:ilvl="6" w:tplc="991E8C5E" w:tentative="1">
      <w:start w:val="1"/>
      <w:numFmt w:val="decimal"/>
      <w:lvlText w:val="%7."/>
      <w:lvlJc w:val="left"/>
      <w:pPr>
        <w:ind w:left="5040" w:hanging="360"/>
      </w:pPr>
    </w:lvl>
    <w:lvl w:ilvl="7" w:tplc="548CDE16" w:tentative="1">
      <w:start w:val="1"/>
      <w:numFmt w:val="lowerLetter"/>
      <w:lvlText w:val="%8."/>
      <w:lvlJc w:val="left"/>
      <w:pPr>
        <w:ind w:left="5760" w:hanging="360"/>
      </w:pPr>
    </w:lvl>
    <w:lvl w:ilvl="8" w:tplc="81CAA1CC" w:tentative="1">
      <w:start w:val="1"/>
      <w:numFmt w:val="lowerRoman"/>
      <w:lvlText w:val="%9."/>
      <w:lvlJc w:val="right"/>
      <w:pPr>
        <w:ind w:left="6480" w:hanging="180"/>
      </w:pPr>
    </w:lvl>
  </w:abstractNum>
  <w:abstractNum w:abstractNumId="4" w15:restartNumberingAfterBreak="0">
    <w:nsid w:val="3B416355"/>
    <w:multiLevelType w:val="hybridMultilevel"/>
    <w:tmpl w:val="DA24590C"/>
    <w:lvl w:ilvl="0" w:tplc="162E5EFE">
      <w:start w:val="1"/>
      <w:numFmt w:val="lowerLetter"/>
      <w:lvlText w:val="%1."/>
      <w:lvlJc w:val="left"/>
      <w:pPr>
        <w:ind w:left="360" w:hanging="360"/>
      </w:pPr>
      <w:rPr>
        <w:rFonts w:hint="default"/>
      </w:rPr>
    </w:lvl>
    <w:lvl w:ilvl="1" w:tplc="9A38D684" w:tentative="1">
      <w:start w:val="1"/>
      <w:numFmt w:val="lowerLetter"/>
      <w:lvlText w:val="%2."/>
      <w:lvlJc w:val="left"/>
      <w:pPr>
        <w:ind w:left="1080" w:hanging="360"/>
      </w:pPr>
    </w:lvl>
    <w:lvl w:ilvl="2" w:tplc="29D664F8" w:tentative="1">
      <w:start w:val="1"/>
      <w:numFmt w:val="lowerRoman"/>
      <w:lvlText w:val="%3."/>
      <w:lvlJc w:val="right"/>
      <w:pPr>
        <w:ind w:left="1800" w:hanging="180"/>
      </w:pPr>
    </w:lvl>
    <w:lvl w:ilvl="3" w:tplc="03E84C66" w:tentative="1">
      <w:start w:val="1"/>
      <w:numFmt w:val="decimal"/>
      <w:lvlText w:val="%4."/>
      <w:lvlJc w:val="left"/>
      <w:pPr>
        <w:ind w:left="2520" w:hanging="360"/>
      </w:pPr>
    </w:lvl>
    <w:lvl w:ilvl="4" w:tplc="6E02B888" w:tentative="1">
      <w:start w:val="1"/>
      <w:numFmt w:val="lowerLetter"/>
      <w:lvlText w:val="%5."/>
      <w:lvlJc w:val="left"/>
      <w:pPr>
        <w:ind w:left="3240" w:hanging="360"/>
      </w:pPr>
    </w:lvl>
    <w:lvl w:ilvl="5" w:tplc="B97C3E20" w:tentative="1">
      <w:start w:val="1"/>
      <w:numFmt w:val="lowerRoman"/>
      <w:lvlText w:val="%6."/>
      <w:lvlJc w:val="right"/>
      <w:pPr>
        <w:ind w:left="3960" w:hanging="180"/>
      </w:pPr>
    </w:lvl>
    <w:lvl w:ilvl="6" w:tplc="AF8AB268" w:tentative="1">
      <w:start w:val="1"/>
      <w:numFmt w:val="decimal"/>
      <w:lvlText w:val="%7."/>
      <w:lvlJc w:val="left"/>
      <w:pPr>
        <w:ind w:left="4680" w:hanging="360"/>
      </w:pPr>
    </w:lvl>
    <w:lvl w:ilvl="7" w:tplc="CB004C22" w:tentative="1">
      <w:start w:val="1"/>
      <w:numFmt w:val="lowerLetter"/>
      <w:lvlText w:val="%8."/>
      <w:lvlJc w:val="left"/>
      <w:pPr>
        <w:ind w:left="5400" w:hanging="360"/>
      </w:pPr>
    </w:lvl>
    <w:lvl w:ilvl="8" w:tplc="4570513E" w:tentative="1">
      <w:start w:val="1"/>
      <w:numFmt w:val="lowerRoman"/>
      <w:lvlText w:val="%9."/>
      <w:lvlJc w:val="right"/>
      <w:pPr>
        <w:ind w:left="6120" w:hanging="180"/>
      </w:pPr>
    </w:lvl>
  </w:abstractNum>
  <w:abstractNum w:abstractNumId="5" w15:restartNumberingAfterBreak="0">
    <w:nsid w:val="5F6B4629"/>
    <w:multiLevelType w:val="hybridMultilevel"/>
    <w:tmpl w:val="BCF0D6A4"/>
    <w:lvl w:ilvl="0" w:tplc="F93E489A">
      <w:start w:val="1"/>
      <w:numFmt w:val="lowerLetter"/>
      <w:lvlText w:val="%1."/>
      <w:lvlJc w:val="left"/>
      <w:pPr>
        <w:ind w:left="360" w:hanging="360"/>
      </w:pPr>
      <w:rPr>
        <w:rFonts w:hint="default"/>
        <w:b/>
        <w:bCs/>
      </w:rPr>
    </w:lvl>
    <w:lvl w:ilvl="1" w:tplc="96E6810C" w:tentative="1">
      <w:start w:val="1"/>
      <w:numFmt w:val="lowerLetter"/>
      <w:lvlText w:val="%2."/>
      <w:lvlJc w:val="left"/>
      <w:pPr>
        <w:ind w:left="1080" w:hanging="360"/>
      </w:pPr>
    </w:lvl>
    <w:lvl w:ilvl="2" w:tplc="395E549A" w:tentative="1">
      <w:start w:val="1"/>
      <w:numFmt w:val="lowerRoman"/>
      <w:lvlText w:val="%3."/>
      <w:lvlJc w:val="right"/>
      <w:pPr>
        <w:ind w:left="1800" w:hanging="180"/>
      </w:pPr>
    </w:lvl>
    <w:lvl w:ilvl="3" w:tplc="06564D4A" w:tentative="1">
      <w:start w:val="1"/>
      <w:numFmt w:val="decimal"/>
      <w:lvlText w:val="%4."/>
      <w:lvlJc w:val="left"/>
      <w:pPr>
        <w:ind w:left="2520" w:hanging="360"/>
      </w:pPr>
    </w:lvl>
    <w:lvl w:ilvl="4" w:tplc="A0B84618" w:tentative="1">
      <w:start w:val="1"/>
      <w:numFmt w:val="lowerLetter"/>
      <w:lvlText w:val="%5."/>
      <w:lvlJc w:val="left"/>
      <w:pPr>
        <w:ind w:left="3240" w:hanging="360"/>
      </w:pPr>
    </w:lvl>
    <w:lvl w:ilvl="5" w:tplc="94DC45A8" w:tentative="1">
      <w:start w:val="1"/>
      <w:numFmt w:val="lowerRoman"/>
      <w:lvlText w:val="%6."/>
      <w:lvlJc w:val="right"/>
      <w:pPr>
        <w:ind w:left="3960" w:hanging="180"/>
      </w:pPr>
    </w:lvl>
    <w:lvl w:ilvl="6" w:tplc="A35451F6" w:tentative="1">
      <w:start w:val="1"/>
      <w:numFmt w:val="decimal"/>
      <w:lvlText w:val="%7."/>
      <w:lvlJc w:val="left"/>
      <w:pPr>
        <w:ind w:left="4680" w:hanging="360"/>
      </w:pPr>
    </w:lvl>
    <w:lvl w:ilvl="7" w:tplc="CC3CCCBC" w:tentative="1">
      <w:start w:val="1"/>
      <w:numFmt w:val="lowerLetter"/>
      <w:lvlText w:val="%8."/>
      <w:lvlJc w:val="left"/>
      <w:pPr>
        <w:ind w:left="5400" w:hanging="360"/>
      </w:pPr>
    </w:lvl>
    <w:lvl w:ilvl="8" w:tplc="02E2042A" w:tentative="1">
      <w:start w:val="1"/>
      <w:numFmt w:val="lowerRoman"/>
      <w:lvlText w:val="%9."/>
      <w:lvlJc w:val="right"/>
      <w:pPr>
        <w:ind w:left="6120" w:hanging="180"/>
      </w:pPr>
    </w:lvl>
  </w:abstractNum>
  <w:abstractNum w:abstractNumId="6" w15:restartNumberingAfterBreak="0">
    <w:nsid w:val="5FAB70E5"/>
    <w:multiLevelType w:val="hybridMultilevel"/>
    <w:tmpl w:val="AA480A7C"/>
    <w:lvl w:ilvl="0" w:tplc="230E2C60">
      <w:start w:val="1"/>
      <w:numFmt w:val="upperLetter"/>
      <w:lvlText w:val="%1."/>
      <w:lvlJc w:val="left"/>
      <w:pPr>
        <w:ind w:left="720" w:hanging="360"/>
      </w:pPr>
      <w:rPr>
        <w:rFonts w:hint="default"/>
      </w:rPr>
    </w:lvl>
    <w:lvl w:ilvl="1" w:tplc="D53E41AC" w:tentative="1">
      <w:start w:val="1"/>
      <w:numFmt w:val="lowerLetter"/>
      <w:lvlText w:val="%2."/>
      <w:lvlJc w:val="left"/>
      <w:pPr>
        <w:ind w:left="1440" w:hanging="360"/>
      </w:pPr>
    </w:lvl>
    <w:lvl w:ilvl="2" w:tplc="D62AA7F8" w:tentative="1">
      <w:start w:val="1"/>
      <w:numFmt w:val="lowerRoman"/>
      <w:lvlText w:val="%3."/>
      <w:lvlJc w:val="right"/>
      <w:pPr>
        <w:ind w:left="2160" w:hanging="180"/>
      </w:pPr>
    </w:lvl>
    <w:lvl w:ilvl="3" w:tplc="5934A514" w:tentative="1">
      <w:start w:val="1"/>
      <w:numFmt w:val="decimal"/>
      <w:lvlText w:val="%4."/>
      <w:lvlJc w:val="left"/>
      <w:pPr>
        <w:ind w:left="2880" w:hanging="360"/>
      </w:pPr>
    </w:lvl>
    <w:lvl w:ilvl="4" w:tplc="9B02273C" w:tentative="1">
      <w:start w:val="1"/>
      <w:numFmt w:val="lowerLetter"/>
      <w:lvlText w:val="%5."/>
      <w:lvlJc w:val="left"/>
      <w:pPr>
        <w:ind w:left="3600" w:hanging="360"/>
      </w:pPr>
    </w:lvl>
    <w:lvl w:ilvl="5" w:tplc="B1DCDE0A" w:tentative="1">
      <w:start w:val="1"/>
      <w:numFmt w:val="lowerRoman"/>
      <w:lvlText w:val="%6."/>
      <w:lvlJc w:val="right"/>
      <w:pPr>
        <w:ind w:left="4320" w:hanging="180"/>
      </w:pPr>
    </w:lvl>
    <w:lvl w:ilvl="6" w:tplc="BEC88118" w:tentative="1">
      <w:start w:val="1"/>
      <w:numFmt w:val="decimal"/>
      <w:lvlText w:val="%7."/>
      <w:lvlJc w:val="left"/>
      <w:pPr>
        <w:ind w:left="5040" w:hanging="360"/>
      </w:pPr>
    </w:lvl>
    <w:lvl w:ilvl="7" w:tplc="E39C6694" w:tentative="1">
      <w:start w:val="1"/>
      <w:numFmt w:val="lowerLetter"/>
      <w:lvlText w:val="%8."/>
      <w:lvlJc w:val="left"/>
      <w:pPr>
        <w:ind w:left="5760" w:hanging="360"/>
      </w:pPr>
    </w:lvl>
    <w:lvl w:ilvl="8" w:tplc="9122369A" w:tentative="1">
      <w:start w:val="1"/>
      <w:numFmt w:val="lowerRoman"/>
      <w:lvlText w:val="%9."/>
      <w:lvlJc w:val="right"/>
      <w:pPr>
        <w:ind w:left="6480" w:hanging="180"/>
      </w:pPr>
    </w:lvl>
  </w:abstractNum>
  <w:abstractNum w:abstractNumId="7" w15:restartNumberingAfterBreak="0">
    <w:nsid w:val="62547C71"/>
    <w:multiLevelType w:val="hybridMultilevel"/>
    <w:tmpl w:val="75B075A8"/>
    <w:lvl w:ilvl="0" w:tplc="8FBCB3A2">
      <w:start w:val="1"/>
      <w:numFmt w:val="upperLetter"/>
      <w:lvlText w:val="%1."/>
      <w:lvlJc w:val="left"/>
      <w:pPr>
        <w:ind w:left="720" w:hanging="360"/>
      </w:pPr>
      <w:rPr>
        <w:rFonts w:hint="default"/>
      </w:rPr>
    </w:lvl>
    <w:lvl w:ilvl="1" w:tplc="C33C5FF4" w:tentative="1">
      <w:start w:val="1"/>
      <w:numFmt w:val="lowerLetter"/>
      <w:lvlText w:val="%2."/>
      <w:lvlJc w:val="left"/>
      <w:pPr>
        <w:ind w:left="1440" w:hanging="360"/>
      </w:pPr>
    </w:lvl>
    <w:lvl w:ilvl="2" w:tplc="A0FECF04" w:tentative="1">
      <w:start w:val="1"/>
      <w:numFmt w:val="lowerRoman"/>
      <w:lvlText w:val="%3."/>
      <w:lvlJc w:val="right"/>
      <w:pPr>
        <w:ind w:left="2160" w:hanging="180"/>
      </w:pPr>
    </w:lvl>
    <w:lvl w:ilvl="3" w:tplc="566AAC88" w:tentative="1">
      <w:start w:val="1"/>
      <w:numFmt w:val="decimal"/>
      <w:lvlText w:val="%4."/>
      <w:lvlJc w:val="left"/>
      <w:pPr>
        <w:ind w:left="2880" w:hanging="360"/>
      </w:pPr>
    </w:lvl>
    <w:lvl w:ilvl="4" w:tplc="7AC8C730" w:tentative="1">
      <w:start w:val="1"/>
      <w:numFmt w:val="lowerLetter"/>
      <w:lvlText w:val="%5."/>
      <w:lvlJc w:val="left"/>
      <w:pPr>
        <w:ind w:left="3600" w:hanging="360"/>
      </w:pPr>
    </w:lvl>
    <w:lvl w:ilvl="5" w:tplc="19D42866" w:tentative="1">
      <w:start w:val="1"/>
      <w:numFmt w:val="lowerRoman"/>
      <w:lvlText w:val="%6."/>
      <w:lvlJc w:val="right"/>
      <w:pPr>
        <w:ind w:left="4320" w:hanging="180"/>
      </w:pPr>
    </w:lvl>
    <w:lvl w:ilvl="6" w:tplc="3B84A02E" w:tentative="1">
      <w:start w:val="1"/>
      <w:numFmt w:val="decimal"/>
      <w:lvlText w:val="%7."/>
      <w:lvlJc w:val="left"/>
      <w:pPr>
        <w:ind w:left="5040" w:hanging="360"/>
      </w:pPr>
    </w:lvl>
    <w:lvl w:ilvl="7" w:tplc="B4F243D2" w:tentative="1">
      <w:start w:val="1"/>
      <w:numFmt w:val="lowerLetter"/>
      <w:lvlText w:val="%8."/>
      <w:lvlJc w:val="left"/>
      <w:pPr>
        <w:ind w:left="5760" w:hanging="360"/>
      </w:pPr>
    </w:lvl>
    <w:lvl w:ilvl="8" w:tplc="1F50AC9C" w:tentative="1">
      <w:start w:val="1"/>
      <w:numFmt w:val="lowerRoman"/>
      <w:lvlText w:val="%9."/>
      <w:lvlJc w:val="right"/>
      <w:pPr>
        <w:ind w:left="6480" w:hanging="180"/>
      </w:pPr>
    </w:lvl>
  </w:abstractNum>
  <w:abstractNum w:abstractNumId="8" w15:restartNumberingAfterBreak="0">
    <w:nsid w:val="78B7519D"/>
    <w:multiLevelType w:val="hybridMultilevel"/>
    <w:tmpl w:val="15FCDD28"/>
    <w:lvl w:ilvl="0" w:tplc="6A082F0E">
      <w:start w:val="1"/>
      <w:numFmt w:val="upperLetter"/>
      <w:lvlText w:val="%1."/>
      <w:lvlJc w:val="left"/>
      <w:pPr>
        <w:ind w:left="720" w:hanging="360"/>
      </w:pPr>
      <w:rPr>
        <w:rFonts w:hint="default"/>
      </w:rPr>
    </w:lvl>
    <w:lvl w:ilvl="1" w:tplc="7C1CBFDE" w:tentative="1">
      <w:start w:val="1"/>
      <w:numFmt w:val="lowerLetter"/>
      <w:lvlText w:val="%2."/>
      <w:lvlJc w:val="left"/>
      <w:pPr>
        <w:ind w:left="1440" w:hanging="360"/>
      </w:pPr>
    </w:lvl>
    <w:lvl w:ilvl="2" w:tplc="556811CC" w:tentative="1">
      <w:start w:val="1"/>
      <w:numFmt w:val="lowerRoman"/>
      <w:lvlText w:val="%3."/>
      <w:lvlJc w:val="right"/>
      <w:pPr>
        <w:ind w:left="2160" w:hanging="180"/>
      </w:pPr>
    </w:lvl>
    <w:lvl w:ilvl="3" w:tplc="0846B87C" w:tentative="1">
      <w:start w:val="1"/>
      <w:numFmt w:val="decimal"/>
      <w:lvlText w:val="%4."/>
      <w:lvlJc w:val="left"/>
      <w:pPr>
        <w:ind w:left="2880" w:hanging="360"/>
      </w:pPr>
    </w:lvl>
    <w:lvl w:ilvl="4" w:tplc="18BEB7F8" w:tentative="1">
      <w:start w:val="1"/>
      <w:numFmt w:val="lowerLetter"/>
      <w:lvlText w:val="%5."/>
      <w:lvlJc w:val="left"/>
      <w:pPr>
        <w:ind w:left="3600" w:hanging="360"/>
      </w:pPr>
    </w:lvl>
    <w:lvl w:ilvl="5" w:tplc="1D6066FC" w:tentative="1">
      <w:start w:val="1"/>
      <w:numFmt w:val="lowerRoman"/>
      <w:lvlText w:val="%6."/>
      <w:lvlJc w:val="right"/>
      <w:pPr>
        <w:ind w:left="4320" w:hanging="180"/>
      </w:pPr>
    </w:lvl>
    <w:lvl w:ilvl="6" w:tplc="39D4F492" w:tentative="1">
      <w:start w:val="1"/>
      <w:numFmt w:val="decimal"/>
      <w:lvlText w:val="%7."/>
      <w:lvlJc w:val="left"/>
      <w:pPr>
        <w:ind w:left="5040" w:hanging="360"/>
      </w:pPr>
    </w:lvl>
    <w:lvl w:ilvl="7" w:tplc="1B6C3FEA" w:tentative="1">
      <w:start w:val="1"/>
      <w:numFmt w:val="lowerLetter"/>
      <w:lvlText w:val="%8."/>
      <w:lvlJc w:val="left"/>
      <w:pPr>
        <w:ind w:left="5760" w:hanging="360"/>
      </w:pPr>
    </w:lvl>
    <w:lvl w:ilvl="8" w:tplc="851E5D7E"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8"/>
  </w:num>
  <w:num w:numId="5">
    <w:abstractNumId w:val="3"/>
  </w:num>
  <w:num w:numId="6">
    <w:abstractNumId w:val="1"/>
  </w:num>
  <w:num w:numId="7">
    <w:abstractNumId w:val="6"/>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CF0"/>
    <w:rsid w:val="00017EB2"/>
    <w:rsid w:val="00084C35"/>
    <w:rsid w:val="000B1970"/>
    <w:rsid w:val="000E243F"/>
    <w:rsid w:val="00104219"/>
    <w:rsid w:val="00132378"/>
    <w:rsid w:val="00142624"/>
    <w:rsid w:val="00145E9F"/>
    <w:rsid w:val="001519F8"/>
    <w:rsid w:val="001838A8"/>
    <w:rsid w:val="001D7878"/>
    <w:rsid w:val="001F3357"/>
    <w:rsid w:val="00275207"/>
    <w:rsid w:val="002F3E5A"/>
    <w:rsid w:val="00335D6F"/>
    <w:rsid w:val="003804B5"/>
    <w:rsid w:val="003959D5"/>
    <w:rsid w:val="003A4DD8"/>
    <w:rsid w:val="003C7957"/>
    <w:rsid w:val="00452932"/>
    <w:rsid w:val="00470FD4"/>
    <w:rsid w:val="005373B5"/>
    <w:rsid w:val="005539D7"/>
    <w:rsid w:val="005C3B37"/>
    <w:rsid w:val="005D1D19"/>
    <w:rsid w:val="005D6804"/>
    <w:rsid w:val="006212B0"/>
    <w:rsid w:val="006226AC"/>
    <w:rsid w:val="00670B29"/>
    <w:rsid w:val="00680AE9"/>
    <w:rsid w:val="006A2B90"/>
    <w:rsid w:val="00786742"/>
    <w:rsid w:val="007A741C"/>
    <w:rsid w:val="00801AE7"/>
    <w:rsid w:val="008336DA"/>
    <w:rsid w:val="008F3379"/>
    <w:rsid w:val="008F36D1"/>
    <w:rsid w:val="009B7D89"/>
    <w:rsid w:val="009C37ED"/>
    <w:rsid w:val="009D2746"/>
    <w:rsid w:val="00A43CF0"/>
    <w:rsid w:val="00A5147A"/>
    <w:rsid w:val="00A7307C"/>
    <w:rsid w:val="00AD0129"/>
    <w:rsid w:val="00B553BF"/>
    <w:rsid w:val="00B71B09"/>
    <w:rsid w:val="00BA3265"/>
    <w:rsid w:val="00C26762"/>
    <w:rsid w:val="00C31427"/>
    <w:rsid w:val="00C4130A"/>
    <w:rsid w:val="00C4221B"/>
    <w:rsid w:val="00C559E1"/>
    <w:rsid w:val="00C70841"/>
    <w:rsid w:val="00CA243D"/>
    <w:rsid w:val="00CA34ED"/>
    <w:rsid w:val="00D076B5"/>
    <w:rsid w:val="00DA0587"/>
    <w:rsid w:val="00DB026D"/>
    <w:rsid w:val="00DB3CB2"/>
    <w:rsid w:val="00DC15E6"/>
    <w:rsid w:val="00E45D67"/>
    <w:rsid w:val="00E748B6"/>
    <w:rsid w:val="00E90B41"/>
    <w:rsid w:val="00F453BA"/>
    <w:rsid w:val="00FB085B"/>
    <w:rsid w:val="00FF1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EC9EA"/>
  <w15:chartTrackingRefBased/>
  <w15:docId w15:val="{F85EEC98-8A49-4102-A903-FA761F1B0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EB2"/>
    <w:pPr>
      <w:ind w:left="720"/>
      <w:contextualSpacing/>
    </w:pPr>
  </w:style>
  <w:style w:type="character" w:styleId="PlaceholderText">
    <w:name w:val="Placeholder Text"/>
    <w:basedOn w:val="DefaultParagraphFont"/>
    <w:uiPriority w:val="99"/>
    <w:semiHidden/>
    <w:rsid w:val="006226AC"/>
    <w:rPr>
      <w:color w:val="808080"/>
    </w:rPr>
  </w:style>
  <w:style w:type="character" w:styleId="Hyperlink">
    <w:name w:val="Hyperlink"/>
    <w:basedOn w:val="DefaultParagraphFont"/>
    <w:uiPriority w:val="99"/>
    <w:unhideWhenUsed/>
    <w:rsid w:val="00CA243D"/>
    <w:rPr>
      <w:color w:val="0563C1" w:themeColor="hyperlink"/>
      <w:u w:val="single"/>
    </w:rPr>
  </w:style>
  <w:style w:type="character" w:customStyle="1" w:styleId="UnresolvedMention1">
    <w:name w:val="Unresolved Mention1"/>
    <w:basedOn w:val="DefaultParagraphFont"/>
    <w:uiPriority w:val="99"/>
    <w:semiHidden/>
    <w:unhideWhenUsed/>
    <w:rsid w:val="00CA243D"/>
    <w:rPr>
      <w:color w:val="605E5C"/>
      <w:shd w:val="clear" w:color="auto" w:fill="E1DFDD"/>
    </w:rPr>
  </w:style>
  <w:style w:type="paragraph" w:styleId="Header">
    <w:name w:val="header"/>
    <w:basedOn w:val="Normal"/>
    <w:link w:val="HeaderChar"/>
    <w:uiPriority w:val="99"/>
    <w:unhideWhenUsed/>
    <w:rsid w:val="001426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624"/>
  </w:style>
  <w:style w:type="paragraph" w:styleId="Footer">
    <w:name w:val="footer"/>
    <w:basedOn w:val="Normal"/>
    <w:link w:val="FooterChar"/>
    <w:uiPriority w:val="99"/>
    <w:unhideWhenUsed/>
    <w:rsid w:val="001426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6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rarticlelibrary.com/accounting/ratio-analysis/ratio-analysis-meaning-advantages-and-limitations-accounting/652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xplaind.com/425487/advantages-limi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34594-8EF0-4766-8AFF-48F3B9151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2912</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Ramona</cp:lastModifiedBy>
  <cp:revision>3</cp:revision>
  <dcterms:created xsi:type="dcterms:W3CDTF">2022-02-15T12:04:00Z</dcterms:created>
  <dcterms:modified xsi:type="dcterms:W3CDTF">2022-02-15T12:24:00Z</dcterms:modified>
</cp:coreProperties>
</file>