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A8DE9" w14:textId="3552E6CD" w:rsidR="004D262E" w:rsidRDefault="004D262E" w:rsidP="004D262E">
      <w:pPr>
        <w:pStyle w:val="Heading1"/>
        <w:jc w:val="center"/>
        <w:rPr>
          <w:color w:val="000000" w:themeColor="text1"/>
          <w:u w:val="single"/>
        </w:rPr>
      </w:pPr>
      <w:r w:rsidRPr="004D262E">
        <w:rPr>
          <w:color w:val="000000" w:themeColor="text1"/>
          <w:u w:val="single"/>
        </w:rPr>
        <w:t>Byblos Site Report</w:t>
      </w:r>
    </w:p>
    <w:p w14:paraId="7F5C39C4" w14:textId="77777777" w:rsidR="004D262E" w:rsidRPr="004D262E" w:rsidRDefault="004D262E" w:rsidP="004D262E"/>
    <w:p w14:paraId="45AFE1BF" w14:textId="7D939726" w:rsidR="00431EA4" w:rsidRDefault="00005CE6">
      <w:r>
        <w:t>Byblos, on the modern Lebanese coast, is often described as one of the oldest towns to remain inhabited for thousands of years. During the Bronze Age (c. 3000-1200 BC), it grew into an important settlement in the Eastern Mediterranean</w:t>
      </w:r>
      <w:r>
        <w:fldChar w:fldCharType="begin"/>
      </w:r>
      <w:r>
        <w:instrText xml:space="preserve"> ADDIN ZOTERO_ITEM CSL_CITATION {"citationID":"0ZOwBaUF","properties":{"formattedCitation":"(Aubet and Turton, 2001)","plainCitation":"(Aubet and Turton, 2001)","noteIndex":0},"citationItems":[{"id":257,"uris":["http://zotero.org/users/local/yKBDKBHn/items/66X5JJY4"],"itemData":{"id":257,"type":"book","edition":"2. ed","event-place":"Cambridge New York, NY Oakleigh, VIC Madrid Cape Town","ISBN":"978-0-521-79161-8","language":"en","number-of-pages":"432","publisher":"Cambridge University Press","publisher-place":"Cambridge New York, NY Oakleigh, VIC Madrid Cape Town","source":"K10plus ISBN","title":"The Phoenicians and the West: politics, colonies and trade","title-short":"The Phoenicians and the West","author":[{"family":"Aubet","given":"María Eugenia"},{"family":"Turton","given":"Mary"}],"issued":{"date-parts":[["2001"]]}}}],"schema":"https://github.com/citation-style-language/schema/raw/master/csl-citation.json"} </w:instrText>
      </w:r>
      <w:r>
        <w:fldChar w:fldCharType="separate"/>
      </w:r>
      <w:r w:rsidRPr="00005CE6">
        <w:rPr>
          <w:rFonts w:ascii="Calibri" w:hAnsi="Calibri" w:cs="Calibri"/>
        </w:rPr>
        <w:t>(Aubet and Turton, 2001)</w:t>
      </w:r>
      <w:r>
        <w:fldChar w:fldCharType="end"/>
      </w:r>
      <w:r>
        <w:t>. Its position on the Levantine shore, close to a small natural harbour, meant that ships could more easily between Byblos and other coastal communities. At the same time, routes running inland from the coast connected the town to the Beqaa Valley and other parts of the near east</w:t>
      </w:r>
      <w:r w:rsidR="007C674C">
        <w:fldChar w:fldCharType="begin"/>
      </w:r>
      <w:r w:rsidR="007C674C">
        <w:instrText xml:space="preserve"> ADDIN ZOTERO_ITEM CSL_CITATION {"citationID":"SwTtOvHi","properties":{"formattedCitation":"(Knapp, 2015)","plainCitation":"(Knapp, 2015)","noteIndex":0},"citationItems":[{"id":260,"uris":["http://zotero.org/users/local/yKBDKBHn/items/3UMCVUC4"],"itemData":{"id":260,"type":"article-journal","abstract":"//static.cambridge.org/content/id/urn%3Acambridge.org%3Aid%3Aarticle%3AS1461957100002941/resource/name/firstPage-S1461957100002941a.jpg","container-title":"European Journal of Archaeology","DOI":"10.1179/1461957115Z.000000000121","ISSN":"1461-9571, 1741-2722","issue":"2","language":"en","page":"361-365","source":"Cambridge University Press","title":"The Archaeology of Cyprus from the Earliest Prehistory Through the Bronze Age","title-short":"A. Bernard Knapp. The Archaeology of Cyprus from the Earliest Prehistory Through the Bronze Age (Cambridge","volume":"18","author":[{"family":"Knapp","given":"A. B"}],"issued":{"date-parts":[["2015",1]]}}}],"schema":"https://github.com/citation-style-language/schema/raw/master/csl-citation.json"} </w:instrText>
      </w:r>
      <w:r w:rsidR="007C674C">
        <w:fldChar w:fldCharType="separate"/>
      </w:r>
      <w:r w:rsidR="007C674C" w:rsidRPr="007C674C">
        <w:rPr>
          <w:rFonts w:ascii="Calibri" w:hAnsi="Calibri" w:cs="Calibri"/>
        </w:rPr>
        <w:t>(Knapp, 2015)</w:t>
      </w:r>
      <w:r w:rsidR="007C674C">
        <w:fldChar w:fldCharType="end"/>
      </w:r>
      <w:r w:rsidR="007C674C">
        <w:t>. Because of this mix of sea and land links, Byblos became a place where different groups could meet and exchange goods and ideas.</w:t>
      </w:r>
    </w:p>
    <w:p w14:paraId="722D053B" w14:textId="3680AEB7" w:rsidR="00546AFD" w:rsidRDefault="007C674C">
      <w:r>
        <w:t>Archaeologists use the term connectivity to describe how places are linked through movement, communication, and shared activities</w:t>
      </w:r>
      <w:r w:rsidR="003E58DB">
        <w:fldChar w:fldCharType="begin"/>
      </w:r>
      <w:r w:rsidR="003E58DB">
        <w:instrText xml:space="preserve"> ADDIN ZOTERO_ITEM CSL_CITATION {"citationID":"wTpao2t9","properties":{"formattedCitation":"(Horden and Purcell, 2002)","plainCitation":"(Horden and Purcell, 2002)","noteIndex":0},"citationItems":[{"id":263,"uris":["http://zotero.org/users/local/yKBDKBHn/items/3ECGHGYM"],"itemData":{"id":263,"type":"article-journal","abstract":"//static.cambridge.org/content/id/urn%3Acambridge.org%3Aid%3Aarticle%3AS0075435800032238/resource/name/firstPage-S0075435800032238a.jpg","container-title":"The Journal of Roman Studies","DOI":"10.2307/3184867","ISSN":"1753-528X, 0075-4358","language":"en","page":"195-197","source":"Cambridge University Press","title":"The Corrupting Sea. A Study of Mediterranean History.","title-short":"P. Horden and N. Purcell, The Corrupting Sea. A Study of Mediterranean History. Oxford","volume":"92","author":[{"family":"Horden","given":"P."},{"family":"Purcell","given":"N."}],"issued":{"date-parts":[["2002",11]]}}}],"schema":"https://github.com/citation-style-language/schema/raw/master/csl-citation.json"} </w:instrText>
      </w:r>
      <w:r w:rsidR="003E58DB">
        <w:fldChar w:fldCharType="separate"/>
      </w:r>
      <w:r w:rsidR="003E58DB" w:rsidRPr="003E58DB">
        <w:rPr>
          <w:rFonts w:ascii="Calibri" w:hAnsi="Calibri" w:cs="Calibri"/>
        </w:rPr>
        <w:t>(Horden and Purcell, 2002)</w:t>
      </w:r>
      <w:r w:rsidR="003E58DB">
        <w:fldChar w:fldCharType="end"/>
      </w:r>
      <w:r w:rsidR="003E58DB">
        <w:t>. Trade usually refers to the movement of goods such as wood, metals, or pottery, while exchange is a wider idea that includes trade but also gifts, shared cultural practices, and even technological ideas</w:t>
      </w:r>
      <w:r w:rsidR="00546AFD">
        <w:fldChar w:fldCharType="begin"/>
      </w:r>
      <w:r w:rsidR="00546AFD">
        <w:instrText xml:space="preserve"> ADDIN ZOTERO_ITEM CSL_CITATION {"citationID":"Ia2B9IPO","properties":{"formattedCitation":"(Renfrew, 1975)","plainCitation":"(Renfrew, 1975)","noteIndex":0},"citationItems":[{"id":266,"uris":["http://zotero.org/users/local/yKBDKBHn/items/A29LMBTE"],"itemData":{"id":266,"type":"book","collection-title":"School of American Research","event-place":"Albuquerque","ISBN":"978-0-8263-0345-5","note":"page: 3-60","publisher":"University of New Mexico Press","publisher-place":"Albuquerque","source":"COinS","title":"Ancient Civilization and Trade","author":[{"family":"Renfrew","given":"Colin"}],"issued":{"date-parts":[["1975"]]}}}],"schema":"https://github.com/citation-style-language/schema/raw/master/csl-citation.json"} </w:instrText>
      </w:r>
      <w:r w:rsidR="00546AFD">
        <w:fldChar w:fldCharType="separate"/>
      </w:r>
      <w:r w:rsidR="00546AFD" w:rsidRPr="00546AFD">
        <w:rPr>
          <w:rFonts w:ascii="Calibri" w:hAnsi="Calibri" w:cs="Calibri"/>
        </w:rPr>
        <w:t>(Renfrew, 1975)</w:t>
      </w:r>
      <w:r w:rsidR="00546AFD">
        <w:fldChar w:fldCharType="end"/>
      </w:r>
      <w:r w:rsidR="00546AFD">
        <w:t>. These ideas are useful for explaining why some Bronze age towns, such as Byblos, became important.</w:t>
      </w:r>
    </w:p>
    <w:p w14:paraId="0EEB1AFE" w14:textId="5F90FAF0" w:rsidR="00546AFD" w:rsidRDefault="00B52B3D">
      <w:r>
        <w:rPr>
          <w:noProof/>
        </w:rPr>
        <mc:AlternateContent>
          <mc:Choice Requires="wps">
            <w:drawing>
              <wp:anchor distT="0" distB="0" distL="114300" distR="114300" simplePos="0" relativeHeight="251660288" behindDoc="0" locked="0" layoutInCell="1" allowOverlap="1" wp14:anchorId="57F7B6A8" wp14:editId="6914A316">
                <wp:simplePos x="0" y="0"/>
                <wp:positionH relativeFrom="column">
                  <wp:posOffset>374650</wp:posOffset>
                </wp:positionH>
                <wp:positionV relativeFrom="paragraph">
                  <wp:posOffset>3418205</wp:posOffset>
                </wp:positionV>
                <wp:extent cx="4908550" cy="635"/>
                <wp:effectExtent l="0" t="0" r="0" b="0"/>
                <wp:wrapTopAndBottom/>
                <wp:docPr id="529101193" name="Text Box 1"/>
                <wp:cNvGraphicFramePr/>
                <a:graphic xmlns:a="http://schemas.openxmlformats.org/drawingml/2006/main">
                  <a:graphicData uri="http://schemas.microsoft.com/office/word/2010/wordprocessingShape">
                    <wps:wsp>
                      <wps:cNvSpPr txBox="1"/>
                      <wps:spPr>
                        <a:xfrm>
                          <a:off x="0" y="0"/>
                          <a:ext cx="4908550" cy="635"/>
                        </a:xfrm>
                        <a:prstGeom prst="rect">
                          <a:avLst/>
                        </a:prstGeom>
                        <a:solidFill>
                          <a:prstClr val="white"/>
                        </a:solidFill>
                        <a:ln>
                          <a:noFill/>
                        </a:ln>
                      </wps:spPr>
                      <wps:txbx>
                        <w:txbxContent>
                          <w:p w14:paraId="27503329" w14:textId="666EEC0D" w:rsidR="00B52B3D" w:rsidRPr="00C24E36" w:rsidRDefault="00B52B3D" w:rsidP="00B52B3D">
                            <w:pPr>
                              <w:pStyle w:val="Caption"/>
                              <w:rPr>
                                <w:noProof/>
                                <w:sz w:val="22"/>
                                <w:szCs w:val="22"/>
                              </w:rPr>
                            </w:pPr>
                            <w:r>
                              <w:t xml:space="preserve">Figure </w:t>
                            </w:r>
                            <w:fldSimple w:instr=" SEQ Figure \* ARABIC ">
                              <w:r w:rsidR="009E07EC">
                                <w:rPr>
                                  <w:noProof/>
                                </w:rPr>
                                <w:t>1</w:t>
                              </w:r>
                            </w:fldSimple>
                            <w:r>
                              <w:t xml:space="preserve"> - Location of Byblos on a map</w:t>
                            </w:r>
                            <w:r w:rsidR="009E5B7E">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F7B6A8" id="_x0000_t202" coordsize="21600,21600" o:spt="202" path="m,l,21600r21600,l21600,xe">
                <v:stroke joinstyle="miter"/>
                <v:path gradientshapeok="t" o:connecttype="rect"/>
              </v:shapetype>
              <v:shape id="Text Box 1" o:spid="_x0000_s1026" type="#_x0000_t202" style="position:absolute;margin-left:29.5pt;margin-top:269.15pt;width:386.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" stroked="f">
                <v:textbox style="mso-fit-shape-to-text:t" inset="0,0,0,0">
                  <w:txbxContent>
                    <w:p w14:paraId="27503329" w14:textId="666EEC0D" w:rsidR="00B52B3D" w:rsidRPr="00C24E36" w:rsidRDefault="00B52B3D" w:rsidP="00B52B3D">
                      <w:pPr>
                        <w:pStyle w:val="Caption"/>
                        <w:rPr>
                          <w:noProof/>
                          <w:sz w:val="22"/>
                          <w:szCs w:val="22"/>
                        </w:rPr>
                      </w:pPr>
                      <w:r>
                        <w:t xml:space="preserve">Figure </w:t>
                      </w:r>
                      <w:fldSimple w:instr=" SEQ Figure \* ARABIC ">
                        <w:r w:rsidR="009E07EC">
                          <w:rPr>
                            <w:noProof/>
                          </w:rPr>
                          <w:t>1</w:t>
                        </w:r>
                      </w:fldSimple>
                      <w:r>
                        <w:t xml:space="preserve"> - Location of Byblos on a map</w:t>
                      </w:r>
                      <w:r w:rsidR="009E5B7E">
                        <w:t xml:space="preserve"> </w:t>
                      </w:r>
                    </w:p>
                  </w:txbxContent>
                </v:textbox>
                <w10:wrap type="topAndBottom"/>
              </v:shape>
            </w:pict>
          </mc:Fallback>
        </mc:AlternateContent>
      </w:r>
      <w:r>
        <w:rPr>
          <w:noProof/>
        </w:rPr>
        <w:drawing>
          <wp:anchor distT="0" distB="0" distL="114300" distR="114300" simplePos="0" relativeHeight="251658240" behindDoc="0" locked="0" layoutInCell="1" allowOverlap="1" wp14:anchorId="0EEF02E5" wp14:editId="7A731BA0">
            <wp:simplePos x="0" y="0"/>
            <wp:positionH relativeFrom="column">
              <wp:posOffset>374650</wp:posOffset>
            </wp:positionH>
            <wp:positionV relativeFrom="paragraph">
              <wp:posOffset>415925</wp:posOffset>
            </wp:positionV>
            <wp:extent cx="4908550" cy="2945130"/>
            <wp:effectExtent l="0" t="0" r="6350" b="7620"/>
            <wp:wrapTopAndBottom/>
            <wp:docPr id="980381316" name="Picture 1" descr="Byblos | Ancient Phoenician City, Leban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yblos | Ancient Phoenician City, Lebanon | Britannic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08550" cy="2945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6AFD">
        <w:t xml:space="preserve">This essay will look at the economic, cultural, and political connections that shaped Byblos during the Bronze Age. </w:t>
      </w:r>
    </w:p>
    <w:p w14:paraId="462AD406" w14:textId="5B1A796D" w:rsidR="00827053" w:rsidRDefault="001974A7">
      <w:r>
        <w:t>The location of Byblos on the</w:t>
      </w:r>
      <w:r w:rsidR="00B67019">
        <w:t xml:space="preserve"> Lebanese coast played a major roll in its development</w:t>
      </w:r>
      <w:r w:rsidR="00174E1D">
        <w:t xml:space="preserve"> during the Bronze Age. The site sits next to a</w:t>
      </w:r>
      <w:r w:rsidR="00180EE4">
        <w:t xml:space="preserve"> small but sheltered natural harbour </w:t>
      </w:r>
      <w:r w:rsidR="00FD0946">
        <w:t>created by rocky outcrops along the</w:t>
      </w:r>
      <w:r w:rsidR="009109E2">
        <w:t xml:space="preserve"> shoreline. </w:t>
      </w:r>
      <w:r w:rsidR="00082575">
        <w:t>This harbour was suitable for th</w:t>
      </w:r>
      <w:r w:rsidR="00AD3589">
        <w:t>e</w:t>
      </w:r>
      <w:r w:rsidR="00082575">
        <w:t xml:space="preserve"> types of boats</w:t>
      </w:r>
      <w:r w:rsidR="00400499">
        <w:t xml:space="preserve"> used in the early and middle Bronze Age</w:t>
      </w:r>
      <w:r w:rsidR="00440422">
        <w:t xml:space="preserve">, and offered a safe point for </w:t>
      </w:r>
      <w:r w:rsidR="000D56A4">
        <w:t xml:space="preserve">ships travelling along the </w:t>
      </w:r>
      <w:r w:rsidR="001C1C03">
        <w:t xml:space="preserve">Levantine coast </w:t>
      </w:r>
      <w:r w:rsidR="001C1C03">
        <w:fldChar w:fldCharType="begin"/>
      </w:r>
      <w:r w:rsidR="001C1C03">
        <w:instrText xml:space="preserve"> ADDIN ZOTERO_ITEM CSL_CITATION {"citationID":"mDawvpTA","properties":{"formattedCitation":"(Aubet and Turton, 2001)","plainCitation":"(Aubet and Turton, 2001)","noteIndex":0},"citationItems":[{"id":257,"uris":["http://zotero.org/users/local/yKBDKBHn/items/66X5JJY4"],"itemData":{"id":257,"type":"book","edition":"2. ed","event-place":"Cambridge New York, NY Oakleigh, VIC Madrid Cape Town","ISBN":"978-0-521-79161-8","language":"en","number-of-pages":"432","publisher":"Cambridge University Press","publisher-place":"Cambridge New York, NY Oakleigh, VIC Madrid Cape Town","source":"K10plus ISBN","title":"The Phoenicians and the West: politics, colonies and trade","title-short":"The Phoenicians and the West","author":[{"family":"Aubet","given":"María Eugenia"},{"family":"Turton","given":"Mary"}],"issued":{"date-parts":[["2001"]]}}}],"schema":"https://github.com/citation-style-language/schema/raw/master/csl-citation.json"} </w:instrText>
      </w:r>
      <w:r w:rsidR="001C1C03">
        <w:fldChar w:fldCharType="separate"/>
      </w:r>
      <w:r w:rsidR="001C1C03" w:rsidRPr="001C1C03">
        <w:rPr>
          <w:rFonts w:ascii="Calibri" w:hAnsi="Calibri" w:cs="Calibri"/>
        </w:rPr>
        <w:t>(Aubet and Turton, 2001)</w:t>
      </w:r>
      <w:r w:rsidR="001C1C03">
        <w:fldChar w:fldCharType="end"/>
      </w:r>
      <w:r w:rsidR="004F3AE5">
        <w:t>. This made Byblos a</w:t>
      </w:r>
      <w:r w:rsidR="00957B87">
        <w:t>n accessible stopping point for trade, sailors</w:t>
      </w:r>
      <w:r w:rsidR="00814F0A">
        <w:t xml:space="preserve">, and officials moving between Cypress and </w:t>
      </w:r>
      <w:r w:rsidR="004F3542">
        <w:t>Egypt, and other Levantine towns</w:t>
      </w:r>
      <w:r w:rsidR="00827053">
        <w:t>.</w:t>
      </w:r>
    </w:p>
    <w:p w14:paraId="5F6C2204" w14:textId="0E142102" w:rsidR="004D2271" w:rsidRDefault="00827053">
      <w:r>
        <w:t>Behind the town</w:t>
      </w:r>
      <w:r w:rsidR="00D156C1">
        <w:t>, the landscape</w:t>
      </w:r>
      <w:r w:rsidR="00681728">
        <w:t xml:space="preserve"> rises to</w:t>
      </w:r>
      <w:r w:rsidR="009A3B5C">
        <w:t xml:space="preserve">ward the foothills of Mount </w:t>
      </w:r>
      <w:r w:rsidR="001D5B51">
        <w:t>Lebanon, an</w:t>
      </w:r>
      <w:r w:rsidR="00AA7279">
        <w:t xml:space="preserve"> area known in antiquity for its dense forests</w:t>
      </w:r>
      <w:r w:rsidR="00EC5087">
        <w:t xml:space="preserve">, echoically cedar trees. Lebanese </w:t>
      </w:r>
      <w:r w:rsidR="009C60C3">
        <w:t xml:space="preserve">cedar </w:t>
      </w:r>
      <w:r w:rsidR="00EC5087">
        <w:t>was in high demand</w:t>
      </w:r>
      <w:r w:rsidR="00D428E8">
        <w:t xml:space="preserve"> throughout the Bronze Age and was one of the </w:t>
      </w:r>
      <w:r w:rsidR="00AB31C1">
        <w:t xml:space="preserve">main reasons foreign powers, particularly </w:t>
      </w:r>
      <w:r w:rsidR="0069652D">
        <w:t xml:space="preserve">Egypt, took </w:t>
      </w:r>
      <w:r w:rsidR="0069652D">
        <w:lastRenderedPageBreak/>
        <w:t>interest in Byblos</w:t>
      </w:r>
      <w:r w:rsidR="0069652D">
        <w:fldChar w:fldCharType="begin"/>
      </w:r>
      <w:r w:rsidR="0069652D">
        <w:instrText xml:space="preserve"> ADDIN ZOTERO_ITEM CSL_CITATION {"citationID":"tlLPLx9u","properties":{"formattedCitation":"(Knapp, 2015)","plainCitation":"(Knapp, 2015)","noteIndex":0},"citationItems":[{"id":260,"uris":["http://zotero.org/users/local/yKBDKBHn/items/3UMCVUC4"],"itemData":{"id":260,"type":"article-journal","abstract":"//static.cambridge.org/content/id/urn%3Acambridge.org%3Aid%3Aarticle%3AS1461957100002941/resource/name/firstPage-S1461957100002941a.jpg","container-title":"European Journal of Archaeology","DOI":"10.1179/1461957115Z.000000000121","ISSN":"1461-9571, 1741-2722","issue":"2","language":"en","page":"361-365","source":"Cambridge University Press","title":"The Archaeology of Cyprus from the Earliest Prehistory Through the Bronze Age","title-short":"A. Bernard Knapp. The Archaeology of Cyprus from the Earliest Prehistory Through the Bronze Age (Cambridge","volume":"18","author":[{"family":"Knapp","given":"A. B"}],"issued":{"date-parts":[["2015",1]]}}}],"schema":"https://github.com/citation-style-language/schema/raw/master/csl-citation.json"} </w:instrText>
      </w:r>
      <w:r w:rsidR="0069652D">
        <w:fldChar w:fldCharType="separate"/>
      </w:r>
      <w:r w:rsidR="0069652D" w:rsidRPr="0069652D">
        <w:rPr>
          <w:rFonts w:ascii="Calibri" w:hAnsi="Calibri" w:cs="Calibri"/>
        </w:rPr>
        <w:t>(Knapp, 2015)</w:t>
      </w:r>
      <w:r w:rsidR="0069652D">
        <w:fldChar w:fldCharType="end"/>
      </w:r>
      <w:r w:rsidR="0069652D">
        <w:t xml:space="preserve">. This </w:t>
      </w:r>
      <w:r w:rsidR="009C60C3">
        <w:t>hinterland</w:t>
      </w:r>
      <w:r w:rsidR="0069652D">
        <w:t xml:space="preserve"> also provided agricultural land</w:t>
      </w:r>
      <w:r w:rsidR="009C60C3">
        <w:t>, water sources, and paths leading inland</w:t>
      </w:r>
      <w:r w:rsidR="00450EDD">
        <w:t>. These routes c</w:t>
      </w:r>
      <w:r w:rsidR="00ED7132">
        <w:t>onnected Byblos to the Beqaa</w:t>
      </w:r>
      <w:r w:rsidR="00C05234">
        <w:t xml:space="preserve"> Valley, which acted as a corridor towards Syria, Mesopotamia, and the wider Near </w:t>
      </w:r>
      <w:r w:rsidR="004D2271">
        <w:t>East.</w:t>
      </w:r>
    </w:p>
    <w:p w14:paraId="21C53F12" w14:textId="592A3EC0" w:rsidR="00170E32" w:rsidRDefault="004D2271">
      <w:r>
        <w:t>Because Byblos had access</w:t>
      </w:r>
      <w:r w:rsidR="00A500A1">
        <w:t xml:space="preserve"> to both the sea and inland regions, it became a natural link between</w:t>
      </w:r>
      <w:r w:rsidR="006D03E8">
        <w:t xml:space="preserve"> different economic zones. Maritime routes connected it to lo</w:t>
      </w:r>
      <w:r w:rsidR="00A90F12">
        <w:t>ng-distance</w:t>
      </w:r>
      <w:r w:rsidR="0062763B">
        <w:t xml:space="preserve"> exc</w:t>
      </w:r>
      <w:r w:rsidR="004D09BB">
        <w:t>hange networks, whil</w:t>
      </w:r>
      <w:r w:rsidR="00171903">
        <w:t>e overland paths allowed goods such as wood, metals, and agricultural products</w:t>
      </w:r>
      <w:r w:rsidR="002D7147">
        <w:t xml:space="preserve"> to pass through the city. Environmental stability</w:t>
      </w:r>
      <w:r w:rsidR="000518BF">
        <w:t xml:space="preserve"> including reliable water sources and fertile areas nearby, also helped</w:t>
      </w:r>
      <w:r w:rsidR="00581EFE">
        <w:t xml:space="preserve"> support long-term settlement. Together, these factors</w:t>
      </w:r>
      <w:r w:rsidR="00DB3FC1">
        <w:t xml:space="preserve"> explain why Byblos remained an important</w:t>
      </w:r>
      <w:r w:rsidR="00E43DF0">
        <w:t xml:space="preserve"> and prosperous hub for many centuries</w:t>
      </w:r>
      <w:r w:rsidR="009F7BDB">
        <w:t>.</w:t>
      </w:r>
    </w:p>
    <w:p w14:paraId="5F99BB6C" w14:textId="77777777" w:rsidR="009254AD" w:rsidRDefault="009254AD">
      <w:r>
        <w:rPr>
          <w:noProof/>
        </w:rPr>
        <mc:AlternateContent>
          <mc:Choice Requires="wps">
            <w:drawing>
              <wp:anchor distT="0" distB="0" distL="114300" distR="114300" simplePos="0" relativeHeight="251663360" behindDoc="0" locked="0" layoutInCell="1" allowOverlap="1" wp14:anchorId="41A6DBFC" wp14:editId="67A711F0">
                <wp:simplePos x="0" y="0"/>
                <wp:positionH relativeFrom="column">
                  <wp:posOffset>1060450</wp:posOffset>
                </wp:positionH>
                <wp:positionV relativeFrom="paragraph">
                  <wp:posOffset>6510020</wp:posOffset>
                </wp:positionV>
                <wp:extent cx="3810000" cy="635"/>
                <wp:effectExtent l="0" t="0" r="0" b="0"/>
                <wp:wrapTopAndBottom/>
                <wp:docPr id="1635983595" name="Text Box 1"/>
                <wp:cNvGraphicFramePr/>
                <a:graphic xmlns:a="http://schemas.openxmlformats.org/drawingml/2006/main">
                  <a:graphicData uri="http://schemas.microsoft.com/office/word/2010/wordprocessingShape">
                    <wps:wsp>
                      <wps:cNvSpPr txBox="1"/>
                      <wps:spPr>
                        <a:xfrm>
                          <a:off x="0" y="0"/>
                          <a:ext cx="3810000" cy="635"/>
                        </a:xfrm>
                        <a:prstGeom prst="rect">
                          <a:avLst/>
                        </a:prstGeom>
                        <a:solidFill>
                          <a:prstClr val="white"/>
                        </a:solidFill>
                        <a:ln>
                          <a:noFill/>
                        </a:ln>
                      </wps:spPr>
                      <wps:txbx>
                        <w:txbxContent>
                          <w:p w14:paraId="73A4ED92" w14:textId="23DCE809" w:rsidR="009254AD" w:rsidRPr="00981ED8" w:rsidRDefault="009254AD" w:rsidP="009254AD">
                            <w:pPr>
                              <w:pStyle w:val="Caption"/>
                              <w:rPr>
                                <w:noProof/>
                                <w:sz w:val="22"/>
                                <w:szCs w:val="22"/>
                              </w:rPr>
                            </w:pPr>
                            <w:r>
                              <w:t xml:space="preserve">Figure </w:t>
                            </w:r>
                            <w:fldSimple w:instr=" SEQ Figure \* ARABIC ">
                              <w:r w:rsidR="009E07EC">
                                <w:rPr>
                                  <w:noProof/>
                                </w:rPr>
                                <w:t>2</w:t>
                              </w:r>
                            </w:fldSimple>
                            <w:r>
                              <w:t xml:space="preserve"> - Inscriptions on scarabs found in Byblos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A6DBFC" id="_x0000_s1027" type="#_x0000_t202" style="position:absolute;margin-left:83.5pt;margin-top:512.6pt;width:300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" stroked="f">
                <v:textbox style="mso-fit-shape-to-text:t" inset="0,0,0,0">
                  <w:txbxContent>
                    <w:p w14:paraId="73A4ED92" w14:textId="23DCE809" w:rsidR="009254AD" w:rsidRPr="00981ED8" w:rsidRDefault="009254AD" w:rsidP="009254AD">
                      <w:pPr>
                        <w:pStyle w:val="Caption"/>
                        <w:rPr>
                          <w:noProof/>
                          <w:sz w:val="22"/>
                          <w:szCs w:val="22"/>
                        </w:rPr>
                      </w:pPr>
                      <w:r>
                        <w:t xml:space="preserve">Figure </w:t>
                      </w:r>
                      <w:fldSimple w:instr=" SEQ Figure \* ARABIC ">
                        <w:r w:rsidR="009E07EC">
                          <w:rPr>
                            <w:noProof/>
                          </w:rPr>
                          <w:t>2</w:t>
                        </w:r>
                      </w:fldSimple>
                      <w:r>
                        <w:t xml:space="preserve"> - Inscriptions on scarabs found in Byblos</w:t>
                      </w:r>
                    </w:p>
                  </w:txbxContent>
                </v:textbox>
                <w10:wrap type="topAndBottom"/>
              </v:shape>
            </w:pict>
          </mc:Fallback>
        </mc:AlternateContent>
      </w:r>
      <w:r>
        <w:rPr>
          <w:noProof/>
        </w:rPr>
        <w:drawing>
          <wp:anchor distT="0" distB="0" distL="114300" distR="114300" simplePos="0" relativeHeight="251661312" behindDoc="0" locked="0" layoutInCell="1" allowOverlap="1" wp14:anchorId="3A3A7EF3" wp14:editId="3304E91A">
            <wp:simplePos x="0" y="0"/>
            <wp:positionH relativeFrom="column">
              <wp:posOffset>1060450</wp:posOffset>
            </wp:positionH>
            <wp:positionV relativeFrom="paragraph">
              <wp:posOffset>1341120</wp:posOffset>
            </wp:positionV>
            <wp:extent cx="3810000" cy="5111750"/>
            <wp:effectExtent l="0" t="0" r="0" b="0"/>
            <wp:wrapTopAndBottom/>
            <wp:docPr id="2122497548" name="Picture 2" descr="A collection of ancient egyptian scara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97548" name="Picture 2" descr="A collection of ancient egyptian scarabs&#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t="5050" b="4602"/>
                    <a:stretch>
                      <a:fillRect/>
                    </a:stretch>
                  </pic:blipFill>
                  <pic:spPr bwMode="auto">
                    <a:xfrm>
                      <a:off x="0" y="0"/>
                      <a:ext cx="3810000" cy="5111750"/>
                    </a:xfrm>
                    <a:prstGeom prst="rect">
                      <a:avLst/>
                    </a:prstGeom>
                    <a:noFill/>
                    <a:ln>
                      <a:noFill/>
                    </a:ln>
                    <a:extLst>
                      <a:ext uri="{53640926-AAD7-44D8-BBD7-CCE9431645EC}">
                        <a14:shadowObscured xmlns:a14="http://schemas.microsoft.com/office/drawing/2010/main"/>
                      </a:ext>
                    </a:extLst>
                  </pic:spPr>
                </pic:pic>
              </a:graphicData>
            </a:graphic>
          </wp:anchor>
        </w:drawing>
      </w:r>
      <w:r w:rsidR="002A7572">
        <w:t>C</w:t>
      </w:r>
      <w:r w:rsidR="00A2778F" w:rsidRPr="00A2778F">
        <w:t xml:space="preserve">ontact between Egypt and </w:t>
      </w:r>
      <w:r w:rsidR="00A2778F">
        <w:t>B</w:t>
      </w:r>
      <w:r w:rsidR="00A2778F" w:rsidRPr="00A2778F">
        <w:t>yblos began very early in the Bronze Age and continued for well over</w:t>
      </w:r>
      <w:r w:rsidR="002A3F8B">
        <w:t xml:space="preserve"> a</w:t>
      </w:r>
      <w:r w:rsidR="00A2778F" w:rsidRPr="00A2778F">
        <w:t xml:space="preserve"> thousand years. The earliest evidence comes from the early </w:t>
      </w:r>
      <w:r w:rsidR="00A2778F">
        <w:t>B</w:t>
      </w:r>
      <w:r w:rsidR="00A2778F" w:rsidRPr="00A2778F">
        <w:t xml:space="preserve">ronze </w:t>
      </w:r>
      <w:r w:rsidR="00A2778F">
        <w:t>A</w:t>
      </w:r>
      <w:r w:rsidR="00A2778F" w:rsidRPr="00A2778F">
        <w:t>ge</w:t>
      </w:r>
      <w:r w:rsidR="00A2778F">
        <w:t>,</w:t>
      </w:r>
      <w:r w:rsidR="00A2778F" w:rsidRPr="00A2778F">
        <w:t xml:space="preserve"> when Egyptian pottery</w:t>
      </w:r>
      <w:r w:rsidR="00A2778F">
        <w:t>,</w:t>
      </w:r>
      <w:r w:rsidR="00A2778F" w:rsidRPr="00A2778F">
        <w:t xml:space="preserve"> stone vessels</w:t>
      </w:r>
      <w:r w:rsidR="00A2778F">
        <w:t>,</w:t>
      </w:r>
      <w:r w:rsidR="00A2778F" w:rsidRPr="00A2778F">
        <w:t xml:space="preserve"> and small prestige items began to appear at the site</w:t>
      </w:r>
      <w:r w:rsidR="00A2778F">
        <w:fldChar w:fldCharType="begin"/>
      </w:r>
      <w:r w:rsidR="00A2778F">
        <w:instrText xml:space="preserve"> ADDIN ZOTERO_ITEM CSL_CITATION {"citationID":"knpvTwsx","properties":{"formattedCitation":"(Aubet and Turton, 2001)","plainCitation":"(Aubet and Turton, 2001)","noteIndex":0},"citationItems":[{"id":257,"uris":["http://zotero.org/users/local/yKBDKBHn/items/66X5JJY4"],"itemData":{"id":257,"type":"book","edition":"2. ed","event-place":"Cambridge New York, NY Oakleigh, VIC Madrid Cape Town","ISBN":"978-0-521-79161-8","language":"en","number-of-pages":"432","publisher":"Cambridge University Press","publisher-place":"Cambridge New York, NY Oakleigh, VIC Madrid Cape Town","source":"K10plus ISBN","title":"The Phoenicians and the West: politics, colonies and trade","title-short":"The Phoenicians and the West","author":[{"family":"Aubet","given":"María Eugenia"},{"family":"Turton","given":"Mary"}],"issued":{"date-parts":[["2001"]]}}}],"schema":"https://github.com/citation-style-language/schema/raw/master/csl-citation.json"} </w:instrText>
      </w:r>
      <w:r w:rsidR="00A2778F">
        <w:fldChar w:fldCharType="separate"/>
      </w:r>
      <w:r w:rsidR="00A2778F" w:rsidRPr="00A2778F">
        <w:rPr>
          <w:rFonts w:ascii="Calibri" w:hAnsi="Calibri" w:cs="Calibri"/>
        </w:rPr>
        <w:t>(Aubet and Turton, 2001)</w:t>
      </w:r>
      <w:r w:rsidR="00A2778F">
        <w:fldChar w:fldCharType="end"/>
      </w:r>
      <w:r w:rsidR="00A2778F">
        <w:t>.</w:t>
      </w:r>
      <w:r w:rsidR="001320E6" w:rsidRPr="001320E6">
        <w:t xml:space="preserve"> Egyptian texts from the </w:t>
      </w:r>
      <w:r w:rsidR="0069390C">
        <w:t>O</w:t>
      </w:r>
      <w:r w:rsidR="001320E6" w:rsidRPr="001320E6">
        <w:t xml:space="preserve">ld Kingdom also mentioned expeditions to the to the Levant, with </w:t>
      </w:r>
      <w:r w:rsidR="001320E6">
        <w:t>Byblos</w:t>
      </w:r>
      <w:r w:rsidR="001320E6" w:rsidRPr="001320E6">
        <w:t xml:space="preserve"> often implied as a key destination for acquiring raw materials, especially w</w:t>
      </w:r>
      <w:r w:rsidR="001320E6">
        <w:t>ood</w:t>
      </w:r>
      <w:r w:rsidR="0069390C">
        <w:t xml:space="preserve">. </w:t>
      </w:r>
      <w:r w:rsidR="002A3F8B" w:rsidRPr="002A3F8B">
        <w:t xml:space="preserve"> This early interaction set the foundation for a long and close relationship that shaped the development of </w:t>
      </w:r>
      <w:r w:rsidR="002A3F8B">
        <w:t>B</w:t>
      </w:r>
      <w:r w:rsidR="002A3F8B" w:rsidRPr="002A3F8B">
        <w:t>yblos throughout the</w:t>
      </w:r>
      <w:r w:rsidR="002A3F8B">
        <w:t xml:space="preserve"> Bronze Age.</w:t>
      </w:r>
    </w:p>
    <w:p w14:paraId="75B9551D" w14:textId="27B7F4DA" w:rsidR="002A3F8B" w:rsidRDefault="00E76050">
      <w:r w:rsidRPr="00E76050">
        <w:lastRenderedPageBreak/>
        <w:t>One of the main reasons Egypt was interested in Byblos was the availability of cedar wood from the mountains behind the town</w:t>
      </w:r>
      <w:r>
        <w:t>. L</w:t>
      </w:r>
      <w:r w:rsidRPr="00E76050">
        <w:t xml:space="preserve">ebanese cedar </w:t>
      </w:r>
      <w:r w:rsidR="0043797C" w:rsidRPr="0043797C">
        <w:t xml:space="preserve"> was priced in Egypt for use in shipbuilding</w:t>
      </w:r>
      <w:r w:rsidR="0043797C">
        <w:t>,</w:t>
      </w:r>
      <w:r w:rsidR="0043797C" w:rsidRPr="0043797C">
        <w:t xml:space="preserve"> elite tomb construction</w:t>
      </w:r>
      <w:r w:rsidR="0043797C">
        <w:t>,</w:t>
      </w:r>
      <w:r w:rsidR="0043797C" w:rsidRPr="0043797C">
        <w:t xml:space="preserve"> religious statue</w:t>
      </w:r>
      <w:r w:rsidR="0043797C">
        <w:t>s,</w:t>
      </w:r>
      <w:r w:rsidR="0043797C" w:rsidRPr="0043797C">
        <w:t xml:space="preserve"> and furniture</w:t>
      </w:r>
      <w:r w:rsidR="0043797C">
        <w:fldChar w:fldCharType="begin"/>
      </w:r>
      <w:r w:rsidR="0043797C">
        <w:instrText xml:space="preserve"> ADDIN ZOTERO_ITEM CSL_CITATION {"citationID":"emV5otev","properties":{"formattedCitation":"(Knapp, 2015)","plainCitation":"(Knapp, 2015)","noteIndex":0},"citationItems":[{"id":260,"uris":["http://zotero.org/users/local/yKBDKBHn/items/3UMCVUC4"],"itemData":{"id":260,"type":"article-journal","abstract":"//static.cambridge.org/content/id/urn%3Acambridge.org%3Aid%3Aarticle%3AS1461957100002941/resource/name/firstPage-S1461957100002941a.jpg","container-title":"European Journal of Archaeology","DOI":"10.1179/1461957115Z.000000000121","ISSN":"1461-9571, 1741-2722","issue":"2","language":"en","page":"361-365","source":"Cambridge University Press","title":"The Archaeology of Cyprus from the Earliest Prehistory Through the Bronze Age","title-short":"A. Bernard Knapp. The Archaeology of Cyprus from the Earliest Prehistory Through the Bronze Age (Cambridge","volume":"18","author":[{"family":"Knapp","given":"A. B"}],"issued":{"date-parts":[["2015",1]]}}}],"schema":"https://github.com/citation-style-language/schema/raw/master/csl-citation.json"} </w:instrText>
      </w:r>
      <w:r w:rsidR="0043797C">
        <w:fldChar w:fldCharType="separate"/>
      </w:r>
      <w:r w:rsidR="0043797C" w:rsidRPr="0043797C">
        <w:rPr>
          <w:rFonts w:ascii="Calibri" w:hAnsi="Calibri" w:cs="Calibri"/>
        </w:rPr>
        <w:t>(Knapp, 2015)</w:t>
      </w:r>
      <w:r w:rsidR="0043797C">
        <w:fldChar w:fldCharType="end"/>
      </w:r>
      <w:r w:rsidR="0043797C">
        <w:t>.</w:t>
      </w:r>
      <w:r w:rsidR="00A841CB" w:rsidRPr="00A841CB">
        <w:t xml:space="preserve"> In addition to timber, </w:t>
      </w:r>
      <w:r w:rsidR="00A841CB">
        <w:t>B</w:t>
      </w:r>
      <w:r w:rsidR="00A841CB" w:rsidRPr="00A841CB">
        <w:t xml:space="preserve">yblos also supplied goods such as oil, resins, and wine. In return, Egypt sent </w:t>
      </w:r>
      <w:r w:rsidR="009F4228">
        <w:t>gold</w:t>
      </w:r>
      <w:r w:rsidR="00A841CB" w:rsidRPr="00A841CB">
        <w:t xml:space="preserve">, fine linen, papyrus, and manufactured items including </w:t>
      </w:r>
      <w:r w:rsidR="009F4228">
        <w:t>jewellery</w:t>
      </w:r>
      <w:r w:rsidR="00A841CB" w:rsidRPr="00A841CB">
        <w:t>, tools</w:t>
      </w:r>
      <w:r w:rsidR="00A841CB">
        <w:t xml:space="preserve">, </w:t>
      </w:r>
      <w:r w:rsidR="00A841CB" w:rsidRPr="00A841CB">
        <w:t>and decorated stone vessels</w:t>
      </w:r>
      <w:r w:rsidR="00CD7E73">
        <w:t xml:space="preserve">. </w:t>
      </w:r>
      <w:r w:rsidR="00CD7E73" w:rsidRPr="00CD7E73">
        <w:t xml:space="preserve"> Many of these items have been found in the bronze age tombs at </w:t>
      </w:r>
      <w:r w:rsidR="00C75A93">
        <w:t>B</w:t>
      </w:r>
      <w:r w:rsidR="00CD7E73" w:rsidRPr="00CD7E73">
        <w:t>ybl</w:t>
      </w:r>
      <w:r w:rsidR="00C75A93">
        <w:t>os,</w:t>
      </w:r>
      <w:r w:rsidR="00CD7E73" w:rsidRPr="00CD7E73">
        <w:t xml:space="preserve"> demonstrating the movement of </w:t>
      </w:r>
      <w:r w:rsidR="00C75A93" w:rsidRPr="00CD7E73">
        <w:t>Egyptian</w:t>
      </w:r>
      <w:r w:rsidR="00CD7E73" w:rsidRPr="00CD7E73">
        <w:t xml:space="preserve"> goods into local elite</w:t>
      </w:r>
      <w:r w:rsidR="00C75A93">
        <w:t xml:space="preserve"> contexts</w:t>
      </w:r>
      <w:r w:rsidR="001A1EE0">
        <w:fldChar w:fldCharType="begin"/>
      </w:r>
      <w:r w:rsidR="001A1EE0">
        <w:instrText xml:space="preserve"> ADDIN ZOTERO_ITEM CSL_CITATION {"citationID":"btQhgu1g","properties":{"formattedCitation":"(Renfrew, 1975)","plainCitation":"(Renfrew, 1975)","noteIndex":0},"citationItems":[{"id":266,"uris":["http://zotero.org/users/local/yKBDKBHn/items/A29LMBTE"],"itemData":{"id":266,"type":"book","collection-title":"School of American Research","event-place":"Albuquerque","ISBN":"978-0-8263-0345-5","note":"page: 3-60","publisher":"University of New Mexico Press","publisher-place":"Albuquerque","source":"COinS","title":"Ancient Civilization and Trade","author":[{"family":"Renfrew","given":"Colin"}],"issued":{"date-parts":[["1975"]]}}}],"schema":"https://github.com/citation-style-language/schema/raw/master/csl-citation.json"} </w:instrText>
      </w:r>
      <w:r w:rsidR="001A1EE0">
        <w:fldChar w:fldCharType="separate"/>
      </w:r>
      <w:r w:rsidR="001A1EE0" w:rsidRPr="001A1EE0">
        <w:rPr>
          <w:rFonts w:ascii="Calibri" w:hAnsi="Calibri" w:cs="Calibri"/>
        </w:rPr>
        <w:t>(Renfrew, 1975)</w:t>
      </w:r>
      <w:r w:rsidR="001A1EE0">
        <w:fldChar w:fldCharType="end"/>
      </w:r>
      <w:r w:rsidR="00067F75">
        <w:t>.</w:t>
      </w:r>
    </w:p>
    <w:p w14:paraId="0E187BEE" w14:textId="7A646119" w:rsidR="00067F75" w:rsidRDefault="00546B14">
      <w:r w:rsidRPr="00546B14">
        <w:t>Archaeological evidence clearly shows the depths of this connection</w:t>
      </w:r>
      <w:r>
        <w:t>.</w:t>
      </w:r>
      <w:r w:rsidRPr="00546B14">
        <w:t xml:space="preserve"> </w:t>
      </w:r>
      <w:r>
        <w:t>S</w:t>
      </w:r>
      <w:r w:rsidRPr="00546B14">
        <w:t>carab’s</w:t>
      </w:r>
      <w:r>
        <w:t>,</w:t>
      </w:r>
      <w:r w:rsidRPr="00546B14">
        <w:t xml:space="preserve"> amulets</w:t>
      </w:r>
      <w:r>
        <w:t>,</w:t>
      </w:r>
      <w:r w:rsidRPr="00546B14">
        <w:t xml:space="preserve"> alabaster jars</w:t>
      </w:r>
      <w:r>
        <w:t>,</w:t>
      </w:r>
      <w:r w:rsidRPr="00546B14">
        <w:t xml:space="preserve"> and other Egyptian</w:t>
      </w:r>
      <w:r>
        <w:t>-</w:t>
      </w:r>
      <w:r w:rsidRPr="00546B14">
        <w:t xml:space="preserve">style objects appear </w:t>
      </w:r>
      <w:r w:rsidR="00FB6562">
        <w:t>often</w:t>
      </w:r>
      <w:r w:rsidR="007A3A79">
        <w:t xml:space="preserve"> in Byblos tombs, particularly in the Royal Tombs</w:t>
      </w:r>
      <w:r w:rsidR="00D52828">
        <w:t xml:space="preserve">. </w:t>
      </w:r>
      <w:r w:rsidR="00D52828" w:rsidRPr="00D52828">
        <w:t xml:space="preserve">These fines show not only trade but also the adoption of Egyptian symbols of power and status by the </w:t>
      </w:r>
      <w:proofErr w:type="spellStart"/>
      <w:r w:rsidR="00407EA0">
        <w:t>Byblian</w:t>
      </w:r>
      <w:proofErr w:type="spellEnd"/>
      <w:r w:rsidR="00D52828" w:rsidRPr="00D52828">
        <w:t xml:space="preserve"> elites. Egyptian inscriptions also mention </w:t>
      </w:r>
      <w:r w:rsidR="00407EA0">
        <w:t>B</w:t>
      </w:r>
      <w:r w:rsidR="00D52828" w:rsidRPr="00D52828">
        <w:t xml:space="preserve">yblos directly. For example, several </w:t>
      </w:r>
      <w:r w:rsidR="00407EA0">
        <w:t>M</w:t>
      </w:r>
      <w:r w:rsidR="00D52828" w:rsidRPr="00D52828">
        <w:t>iddle Kingdom t</w:t>
      </w:r>
      <w:r w:rsidR="00407EA0">
        <w:t>exts</w:t>
      </w:r>
      <w:r w:rsidR="00D52828" w:rsidRPr="00D52828">
        <w:t xml:space="preserve"> described voyages till the </w:t>
      </w:r>
      <w:r w:rsidR="000746EC">
        <w:t xml:space="preserve">Levant </w:t>
      </w:r>
      <w:r w:rsidR="00D52828" w:rsidRPr="00D52828">
        <w:t xml:space="preserve">in the ships that some scholars associate with the </w:t>
      </w:r>
      <w:r w:rsidR="000746EC">
        <w:t>B</w:t>
      </w:r>
      <w:r w:rsidR="00D52828" w:rsidRPr="00D52828">
        <w:t>yblos ship</w:t>
      </w:r>
      <w:r w:rsidR="000746EC">
        <w:t>,</w:t>
      </w:r>
      <w:r w:rsidR="00407EA0" w:rsidRPr="00407EA0">
        <w:t xml:space="preserve"> a vessel depicted in </w:t>
      </w:r>
      <w:r w:rsidR="000746EC" w:rsidRPr="00407EA0">
        <w:t>Egyptian</w:t>
      </w:r>
      <w:r w:rsidR="00407EA0" w:rsidRPr="00407EA0">
        <w:t xml:space="preserve"> art that may</w:t>
      </w:r>
      <w:r w:rsidR="009C0C67">
        <w:t xml:space="preserve"> reflect</w:t>
      </w:r>
      <w:r w:rsidR="00407EA0" w:rsidRPr="00407EA0">
        <w:t xml:space="preserve"> the maritime technology of the left</w:t>
      </w:r>
      <w:r w:rsidR="009C0C67">
        <w:fldChar w:fldCharType="begin"/>
      </w:r>
      <w:r w:rsidR="009C0C67">
        <w:instrText xml:space="preserve"> ADDIN ZOTERO_ITEM CSL_CITATION {"citationID":"PvjDWfN7","properties":{"formattedCitation":"(Aubet and Turton, 2001)","plainCitation":"(Aubet and Turton, 2001)","noteIndex":0},"citationItems":[{"id":257,"uris":["http://zotero.org/users/local/yKBDKBHn/items/66X5JJY4"],"itemData":{"id":257,"type":"book","edition":"2. ed","event-place":"Cambridge New York, NY Oakleigh, VIC Madrid Cape Town","ISBN":"978-0-521-79161-8","language":"en","number-of-pages":"432","publisher":"Cambridge University Press","publisher-place":"Cambridge New York, NY Oakleigh, VIC Madrid Cape Town","source":"K10plus ISBN","title":"The Phoenicians and the West: politics, colonies and trade","title-short":"The Phoenicians and the West","author":[{"family":"Aubet","given":"María Eugenia"},{"family":"Turton","given":"Mary"}],"issued":{"date-parts":[["2001"]]}}}],"schema":"https://github.com/citation-style-language/schema/raw/master/csl-citation.json"} </w:instrText>
      </w:r>
      <w:r w:rsidR="009C0C67">
        <w:fldChar w:fldCharType="separate"/>
      </w:r>
      <w:r w:rsidR="009C0C67" w:rsidRPr="009C0C67">
        <w:rPr>
          <w:rFonts w:ascii="Calibri" w:hAnsi="Calibri" w:cs="Calibri"/>
        </w:rPr>
        <w:t>(Aubet and Turton, 2001)</w:t>
      </w:r>
      <w:r w:rsidR="009C0C67">
        <w:fldChar w:fldCharType="end"/>
      </w:r>
      <w:r w:rsidR="009C0C67">
        <w:t xml:space="preserve">. </w:t>
      </w:r>
      <w:r w:rsidR="00C961CD" w:rsidRPr="00C961CD">
        <w:t>Byblos even appears in hieroglyphic references as</w:t>
      </w:r>
      <w:r w:rsidR="00C961CD">
        <w:t xml:space="preserve"> </w:t>
      </w:r>
      <w:proofErr w:type="spellStart"/>
      <w:r w:rsidR="00C961CD" w:rsidRPr="00C961CD">
        <w:rPr>
          <w:i/>
          <w:iCs/>
        </w:rPr>
        <w:t>Kbn</w:t>
      </w:r>
      <w:proofErr w:type="spellEnd"/>
      <w:r w:rsidR="00C961CD" w:rsidRPr="00C961CD">
        <w:t xml:space="preserve"> </w:t>
      </w:r>
      <w:r w:rsidR="00C961CD">
        <w:t xml:space="preserve">or </w:t>
      </w:r>
      <w:proofErr w:type="spellStart"/>
      <w:r w:rsidR="00431667" w:rsidRPr="00C961CD">
        <w:rPr>
          <w:i/>
          <w:iCs/>
        </w:rPr>
        <w:t>Gubla</w:t>
      </w:r>
      <w:proofErr w:type="spellEnd"/>
      <w:r w:rsidR="00431667">
        <w:rPr>
          <w:i/>
          <w:iCs/>
        </w:rPr>
        <w:t xml:space="preserve">, </w:t>
      </w:r>
      <w:r w:rsidR="00431667" w:rsidRPr="00431667">
        <w:t xml:space="preserve">indicating its recognised status within </w:t>
      </w:r>
      <w:r w:rsidR="00431667">
        <w:t>Egypt’s fore</w:t>
      </w:r>
      <w:r w:rsidR="008F01BA">
        <w:t>ign relations.</w:t>
      </w:r>
    </w:p>
    <w:p w14:paraId="7CB593B7" w14:textId="6665B61F" w:rsidR="008F01BA" w:rsidRDefault="00581F18">
      <w:r>
        <w:rPr>
          <w:noProof/>
        </w:rPr>
        <mc:AlternateContent>
          <mc:Choice Requires="wps">
            <w:drawing>
              <wp:anchor distT="0" distB="0" distL="114300" distR="114300" simplePos="0" relativeHeight="251666432" behindDoc="0" locked="0" layoutInCell="1" allowOverlap="1" wp14:anchorId="6708A69D" wp14:editId="1F9CDECA">
                <wp:simplePos x="0" y="0"/>
                <wp:positionH relativeFrom="column">
                  <wp:posOffset>1765300</wp:posOffset>
                </wp:positionH>
                <wp:positionV relativeFrom="paragraph">
                  <wp:posOffset>4046855</wp:posOffset>
                </wp:positionV>
                <wp:extent cx="1828800" cy="635"/>
                <wp:effectExtent l="0" t="0" r="0" b="0"/>
                <wp:wrapTopAndBottom/>
                <wp:docPr id="758842418" name="Text Box 1"/>
                <wp:cNvGraphicFramePr/>
                <a:graphic xmlns:a="http://schemas.openxmlformats.org/drawingml/2006/main">
                  <a:graphicData uri="http://schemas.microsoft.com/office/word/2010/wordprocessingShape">
                    <wps:wsp>
                      <wps:cNvSpPr txBox="1"/>
                      <wps:spPr>
                        <a:xfrm>
                          <a:off x="0" y="0"/>
                          <a:ext cx="1828800" cy="635"/>
                        </a:xfrm>
                        <a:prstGeom prst="rect">
                          <a:avLst/>
                        </a:prstGeom>
                        <a:solidFill>
                          <a:prstClr val="white"/>
                        </a:solidFill>
                        <a:ln>
                          <a:noFill/>
                        </a:ln>
                      </wps:spPr>
                      <wps:txbx>
                        <w:txbxContent>
                          <w:p w14:paraId="2DB26706" w14:textId="62ACF858" w:rsidR="00581F18" w:rsidRPr="005A150D" w:rsidRDefault="00581F18" w:rsidP="00581F18">
                            <w:pPr>
                              <w:pStyle w:val="Caption"/>
                              <w:rPr>
                                <w:noProof/>
                                <w:sz w:val="22"/>
                                <w:szCs w:val="22"/>
                              </w:rPr>
                            </w:pPr>
                            <w:r>
                              <w:t xml:space="preserve">Figure </w:t>
                            </w:r>
                            <w:fldSimple w:instr=" SEQ Figure \* ARABIC ">
                              <w:r w:rsidR="009E07EC">
                                <w:rPr>
                                  <w:noProof/>
                                </w:rPr>
                                <w:t>3</w:t>
                              </w:r>
                            </w:fldSimple>
                            <w:r>
                              <w:t xml:space="preserve"> - The Amarna Letters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08A69D" id="_x0000_s1028" type="#_x0000_t202" style="position:absolute;margin-left:139pt;margin-top:318.65pt;width:2in;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" stroked="f">
                <v:textbox style="mso-fit-shape-to-text:t" inset="0,0,0,0">
                  <w:txbxContent>
                    <w:p w14:paraId="2DB26706" w14:textId="62ACF858" w:rsidR="00581F18" w:rsidRPr="005A150D" w:rsidRDefault="00581F18" w:rsidP="00581F18">
                      <w:pPr>
                        <w:pStyle w:val="Caption"/>
                        <w:rPr>
                          <w:noProof/>
                          <w:sz w:val="22"/>
                          <w:szCs w:val="22"/>
                        </w:rPr>
                      </w:pPr>
                      <w:r>
                        <w:t xml:space="preserve">Figure </w:t>
                      </w:r>
                      <w:fldSimple w:instr=" SEQ Figure \* ARABIC ">
                        <w:r w:rsidR="009E07EC">
                          <w:rPr>
                            <w:noProof/>
                          </w:rPr>
                          <w:t>3</w:t>
                        </w:r>
                      </w:fldSimple>
                      <w:r>
                        <w:t xml:space="preserve"> - The Amarna Letters</w:t>
                      </w:r>
                    </w:p>
                  </w:txbxContent>
                </v:textbox>
                <w10:wrap type="topAndBottom"/>
              </v:shape>
            </w:pict>
          </mc:Fallback>
        </mc:AlternateContent>
      </w:r>
      <w:r>
        <w:rPr>
          <w:noProof/>
        </w:rPr>
        <w:drawing>
          <wp:anchor distT="0" distB="0" distL="114300" distR="114300" simplePos="0" relativeHeight="251664384" behindDoc="0" locked="0" layoutInCell="1" allowOverlap="1" wp14:anchorId="56F28BFA" wp14:editId="4C5A6840">
            <wp:simplePos x="0" y="0"/>
            <wp:positionH relativeFrom="column">
              <wp:posOffset>1765300</wp:posOffset>
            </wp:positionH>
            <wp:positionV relativeFrom="paragraph">
              <wp:posOffset>1132205</wp:posOffset>
            </wp:positionV>
            <wp:extent cx="1828800" cy="2857500"/>
            <wp:effectExtent l="0" t="0" r="0" b="0"/>
            <wp:wrapTopAndBottom/>
            <wp:docPr id="633796122" name="Picture 3" descr="Amarna Letters | Ancient Egypt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rna Letters | Ancient Egypt Onl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2857500"/>
                    </a:xfrm>
                    <a:prstGeom prst="rect">
                      <a:avLst/>
                    </a:prstGeom>
                    <a:noFill/>
                    <a:ln>
                      <a:noFill/>
                    </a:ln>
                  </pic:spPr>
                </pic:pic>
              </a:graphicData>
            </a:graphic>
          </wp:anchor>
        </w:drawing>
      </w:r>
      <w:r w:rsidR="008F01BA" w:rsidRPr="008F01BA">
        <w:t>Diplomatic ties also played a major role.</w:t>
      </w:r>
      <w:r w:rsidR="0017073F" w:rsidRPr="0017073F">
        <w:t xml:space="preserve"> The ruler</w:t>
      </w:r>
      <w:r w:rsidR="0066189F">
        <w:t>s</w:t>
      </w:r>
      <w:r w:rsidR="0017073F" w:rsidRPr="0017073F">
        <w:t xml:space="preserve"> or princes of </w:t>
      </w:r>
      <w:r w:rsidR="0066189F">
        <w:t>B</w:t>
      </w:r>
      <w:r w:rsidR="0017073F" w:rsidRPr="0017073F">
        <w:t xml:space="preserve">yblos maintained formal connections with the Egyptian Pharaohs, exchanging gifts and letters. Middle Kingdom correspondence, along with the later </w:t>
      </w:r>
      <w:r w:rsidR="0066189F">
        <w:t>Amarna</w:t>
      </w:r>
      <w:r w:rsidR="0017073F" w:rsidRPr="0017073F">
        <w:t xml:space="preserve"> </w:t>
      </w:r>
      <w:r w:rsidR="0066189F">
        <w:t>L</w:t>
      </w:r>
      <w:r w:rsidR="0017073F" w:rsidRPr="0017073F">
        <w:t xml:space="preserve">etters, show that the king of </w:t>
      </w:r>
      <w:r w:rsidR="0066189F">
        <w:t>B</w:t>
      </w:r>
      <w:r w:rsidR="0017073F" w:rsidRPr="0017073F">
        <w:t xml:space="preserve">yblos acted as a loyal but </w:t>
      </w:r>
      <w:r w:rsidR="0066189F" w:rsidRPr="0017073F">
        <w:t>semi-independent</w:t>
      </w:r>
      <w:r w:rsidR="0017073F" w:rsidRPr="0017073F">
        <w:t xml:space="preserve"> partner to Egypt. These diplomatic exchanges often involved requests for gold or support, suggesting that the elites of </w:t>
      </w:r>
      <w:r w:rsidR="0066189F">
        <w:t>B</w:t>
      </w:r>
      <w:r w:rsidR="0017073F" w:rsidRPr="0017073F">
        <w:t>yblos relied</w:t>
      </w:r>
      <w:r w:rsidR="0066189F" w:rsidRPr="0066189F">
        <w:t xml:space="preserve"> </w:t>
      </w:r>
      <w:r w:rsidR="0066189F">
        <w:t>heavily</w:t>
      </w:r>
      <w:r w:rsidR="0066189F" w:rsidRPr="0066189F">
        <w:t xml:space="preserve"> on Egyptian prestige objects to maintain their local authority</w:t>
      </w:r>
      <w:r w:rsidR="00E56708">
        <w:fldChar w:fldCharType="begin"/>
      </w:r>
      <w:r w:rsidR="00E56708">
        <w:instrText xml:space="preserve"> ADDIN ZOTERO_ITEM CSL_CITATION {"citationID":"7oP53Eoz","properties":{"formattedCitation":"(Donald B. Redford, 1992)","plainCitation":"(Donald B. Redford, 1992)","noteIndex":0},"citationItems":[{"id":268,"uris":["http://zotero.org/users/local/yKBDKBHn/items/TGCJWIY7"],"itemData":{"id":268,"type":"book","ISBN":"978-0-691-03606-9","language":"eng","number-of-pages":"522","publisher":"Princeton University Press","source":"Internet Archive","title":"Egypt, Canaan, and Israel in ancient times","URL":"http://archive.org/details/egyptcanaanisrae00redf","author":[{"literal":"Donald B. Redford"}],"contributor":[{"literal":"Internet Archive"}],"accessed":{"date-parts":[["2025",11,21]]},"issued":{"date-parts":[["1992"]]}}}],"schema":"https://github.com/citation-style-language/schema/raw/master/csl-citation.json"} </w:instrText>
      </w:r>
      <w:r w:rsidR="00E56708">
        <w:fldChar w:fldCharType="separate"/>
      </w:r>
      <w:r w:rsidR="00E56708" w:rsidRPr="00E56708">
        <w:rPr>
          <w:rFonts w:ascii="Calibri" w:hAnsi="Calibri" w:cs="Calibri"/>
        </w:rPr>
        <w:t>(Donald B. Redford, 1992)</w:t>
      </w:r>
      <w:r w:rsidR="00E56708">
        <w:fldChar w:fldCharType="end"/>
      </w:r>
      <w:r w:rsidR="00581080">
        <w:t>.</w:t>
      </w:r>
    </w:p>
    <w:p w14:paraId="3275D730" w14:textId="27ABA787" w:rsidR="00581080" w:rsidRDefault="00581080">
      <w:r w:rsidRPr="00581080">
        <w:t>Egyptian contact a</w:t>
      </w:r>
      <w:r w:rsidR="00EE7E01">
        <w:t xml:space="preserve">lso influenced </w:t>
      </w:r>
      <w:r w:rsidR="00C11573" w:rsidRPr="00EE7E01">
        <w:t>the</w:t>
      </w:r>
      <w:r w:rsidR="00EE7E01" w:rsidRPr="00EE7E01">
        <w:t xml:space="preserve"> cultural and religious life of </w:t>
      </w:r>
      <w:r w:rsidR="00C11573">
        <w:t>Byblos</w:t>
      </w:r>
      <w:r w:rsidR="00EE7E01" w:rsidRPr="00EE7E01">
        <w:t>. Some temples at the site show architectural features that may have been inspired by Egyptian models, and local elites appear to have adopted Egyptian styles in artistic and ritual practises. This suggests that interaction was not limited to trade</w:t>
      </w:r>
      <w:r w:rsidR="00C11573" w:rsidRPr="00C11573">
        <w:t xml:space="preserve"> but extended into identity and political expression. Overall, </w:t>
      </w:r>
      <w:r w:rsidR="00C11573">
        <w:t>B</w:t>
      </w:r>
      <w:r w:rsidR="00C11573" w:rsidRPr="00C11573">
        <w:t xml:space="preserve">yblos strong and </w:t>
      </w:r>
      <w:r w:rsidR="00FB4DC4" w:rsidRPr="00C11573">
        <w:t>long-lasting</w:t>
      </w:r>
      <w:r w:rsidR="00C11573" w:rsidRPr="00C11573">
        <w:t xml:space="preserve"> relationship with </w:t>
      </w:r>
      <w:r w:rsidR="00FB4DC4" w:rsidRPr="00C11573">
        <w:t>Egypt</w:t>
      </w:r>
      <w:r w:rsidR="00C11573" w:rsidRPr="00C11573">
        <w:t xml:space="preserve"> was a major factor in shaping the </w:t>
      </w:r>
      <w:r w:rsidR="00C11573">
        <w:t>Bronze Age development.</w:t>
      </w:r>
    </w:p>
    <w:p w14:paraId="1F9C62CF" w14:textId="6817C1DA" w:rsidR="009E0F21" w:rsidRDefault="00045FF3">
      <w:r w:rsidRPr="00045FF3">
        <w:t xml:space="preserve">Although </w:t>
      </w:r>
      <w:r w:rsidR="00876DB2">
        <w:t>B</w:t>
      </w:r>
      <w:r w:rsidRPr="00045FF3">
        <w:t>yblos is best known for its long</w:t>
      </w:r>
      <w:r w:rsidR="00876DB2">
        <w:t>-</w:t>
      </w:r>
      <w:r w:rsidRPr="00045FF3">
        <w:t xml:space="preserve">standing relationship with Egypt, it was </w:t>
      </w:r>
      <w:r w:rsidR="00876DB2">
        <w:t xml:space="preserve">also </w:t>
      </w:r>
      <w:r w:rsidRPr="00045FF3">
        <w:t xml:space="preserve">closely connected with other regions across the </w:t>
      </w:r>
      <w:r w:rsidR="00876DB2">
        <w:t>E</w:t>
      </w:r>
      <w:r w:rsidRPr="00045FF3">
        <w:t>astern Mediterranean and the</w:t>
      </w:r>
      <w:r w:rsidR="004C7BFC">
        <w:t xml:space="preserve"> Near East</w:t>
      </w:r>
      <w:r w:rsidRPr="00045FF3">
        <w:t xml:space="preserve">. From the early Bronze Age onwards, </w:t>
      </w:r>
      <w:r w:rsidR="004C7BFC">
        <w:t>B</w:t>
      </w:r>
      <w:r w:rsidRPr="00045FF3">
        <w:t xml:space="preserve">yblos interacted with Mesopotamia, </w:t>
      </w:r>
      <w:r w:rsidR="004C7BFC">
        <w:t>Cyprus</w:t>
      </w:r>
      <w:r w:rsidRPr="00045FF3">
        <w:t xml:space="preserve">, and the </w:t>
      </w:r>
      <w:r w:rsidR="004C7BFC">
        <w:t>Aegean</w:t>
      </w:r>
      <w:r w:rsidRPr="00045FF3">
        <w:t xml:space="preserve"> world, and these </w:t>
      </w:r>
      <w:r w:rsidRPr="00045FF3">
        <w:lastRenderedPageBreak/>
        <w:t>links can be seen in the variety of imported materials recovered from the site.</w:t>
      </w:r>
      <w:r w:rsidR="00876DB2" w:rsidRPr="00876DB2">
        <w:t xml:space="preserve"> For example, objects made from </w:t>
      </w:r>
      <w:r w:rsidR="004C7BFC" w:rsidRPr="00876DB2">
        <w:t>lapis lazuli</w:t>
      </w:r>
      <w:r w:rsidR="004C7BFC">
        <w:t xml:space="preserve"> - </w:t>
      </w:r>
      <w:r w:rsidR="00876DB2" w:rsidRPr="00876DB2">
        <w:t>a stone that originate</w:t>
      </w:r>
      <w:r w:rsidR="004C7BFC">
        <w:t>d</w:t>
      </w:r>
      <w:r w:rsidR="00876DB2" w:rsidRPr="00876DB2">
        <w:t xml:space="preserve"> in Afghanistan and arrived via Mesopotamia</w:t>
      </w:r>
      <w:r w:rsidR="004C7BFC">
        <w:t>n</w:t>
      </w:r>
      <w:r w:rsidR="00876DB2" w:rsidRPr="00876DB2">
        <w:t xml:space="preserve"> trade routes</w:t>
      </w:r>
      <w:r w:rsidR="004C7BFC">
        <w:t xml:space="preserve"> -</w:t>
      </w:r>
      <w:r w:rsidR="00876DB2" w:rsidRPr="00876DB2">
        <w:t xml:space="preserve"> have been found in Bronze Age context at </w:t>
      </w:r>
      <w:r w:rsidR="00E93B94">
        <w:t>B</w:t>
      </w:r>
      <w:r w:rsidR="00876DB2" w:rsidRPr="00876DB2">
        <w:t xml:space="preserve">yblos, showing that the </w:t>
      </w:r>
      <w:r w:rsidR="00E93B94">
        <w:t>town</w:t>
      </w:r>
      <w:r w:rsidR="00876DB2" w:rsidRPr="00876DB2">
        <w:t xml:space="preserve"> participated in long distance exchange network stretching far beyond the Levant</w:t>
      </w:r>
      <w:r w:rsidR="00793E14">
        <w:fldChar w:fldCharType="begin"/>
      </w:r>
      <w:r w:rsidR="00793E14">
        <w:instrText xml:space="preserve"> ADDIN ZOTERO_ITEM CSL_CITATION {"citationID":"i0BShdsJ","properties":{"formattedCitation":"(Aubet and Turton, 2001)","plainCitation":"(Aubet and Turton, 2001)","noteIndex":0},"citationItems":[{"id":257,"uris":["http://zotero.org/users/local/yKBDKBHn/items/66X5JJY4"],"itemData":{"id":257,"type":"book","edition":"2. ed","event-place":"Cambridge New York, NY Oakleigh, VIC Madrid Cape Town","ISBN":"978-0-521-79161-8","language":"en","number-of-pages":"432","publisher":"Cambridge University Press","publisher-place":"Cambridge New York, NY Oakleigh, VIC Madrid Cape Town","source":"K10plus ISBN","title":"The Phoenicians and the West: politics, colonies and trade","title-short":"The Phoenicians and the West","author":[{"family":"Aubet","given":"María Eugenia"},{"family":"Turton","given":"Mary"}],"issued":{"date-parts":[["2001"]]}}}],"schema":"https://github.com/citation-style-language/schema/raw/master/csl-citation.json"} </w:instrText>
      </w:r>
      <w:r w:rsidR="00793E14">
        <w:fldChar w:fldCharType="separate"/>
      </w:r>
      <w:r w:rsidR="00793E14" w:rsidRPr="00793E14">
        <w:rPr>
          <w:rFonts w:ascii="Calibri" w:hAnsi="Calibri" w:cs="Calibri"/>
        </w:rPr>
        <w:t>(Aubet and Turton, 2001)</w:t>
      </w:r>
      <w:r w:rsidR="00793E14">
        <w:fldChar w:fldCharType="end"/>
      </w:r>
      <w:r w:rsidR="00793E14">
        <w:t xml:space="preserve">. </w:t>
      </w:r>
      <w:r w:rsidR="003806AD" w:rsidRPr="003806AD">
        <w:t xml:space="preserve">Cooper from Cyprus also reached </w:t>
      </w:r>
      <w:r w:rsidR="000057DC">
        <w:t>Byblos</w:t>
      </w:r>
      <w:r w:rsidR="003806AD" w:rsidRPr="003806AD">
        <w:t xml:space="preserve">, and several types of </w:t>
      </w:r>
      <w:r w:rsidR="000057DC">
        <w:t>Cypriot</w:t>
      </w:r>
      <w:r w:rsidR="003806AD" w:rsidRPr="003806AD">
        <w:t xml:space="preserve"> pottery, especially white slip and base ring </w:t>
      </w:r>
      <w:r w:rsidR="00A05CF3">
        <w:t>wares,</w:t>
      </w:r>
      <w:r w:rsidR="003806AD" w:rsidRPr="003806AD">
        <w:t xml:space="preserve"> appear at the site from the middle and late </w:t>
      </w:r>
      <w:r w:rsidR="00A05CF3">
        <w:t>b</w:t>
      </w:r>
      <w:r w:rsidR="003806AD" w:rsidRPr="003806AD">
        <w:t>ronze age</w:t>
      </w:r>
      <w:r w:rsidR="00A05CF3">
        <w:fldChar w:fldCharType="begin"/>
      </w:r>
      <w:r w:rsidR="00A05CF3">
        <w:instrText xml:space="preserve"> ADDIN ZOTERO_ITEM CSL_CITATION {"citationID":"mSMhplov","properties":{"formattedCitation":"(Knapp, 2015)","plainCitation":"(Knapp, 2015)","noteIndex":0},"citationItems":[{"id":260,"uris":["http://zotero.org/users/local/yKBDKBHn/items/3UMCVUC4"],"itemData":{"id":260,"type":"article-journal","abstract":"//static.cambridge.org/content/id/urn%3Acambridge.org%3Aid%3Aarticle%3AS1461957100002941/resource/name/firstPage-S1461957100002941a.jpg","container-title":"European Journal of Archaeology","DOI":"10.1179/1461957115Z.000000000121","ISSN":"1461-9571, 1741-2722","issue":"2","language":"en","page":"361-365","source":"Cambridge University Press","title":"The Archaeology of Cyprus from the Earliest Prehistory Through the Bronze Age","title-short":"A. Bernard Knapp. The Archaeology of Cyprus from the Earliest Prehistory Through the Bronze Age (Cambridge","volume":"18","author":[{"family":"Knapp","given":"A. B"}],"issued":{"date-parts":[["2015",1]]}}}],"schema":"https://github.com/citation-style-language/schema/raw/master/csl-citation.json"} </w:instrText>
      </w:r>
      <w:r w:rsidR="00A05CF3">
        <w:fldChar w:fldCharType="separate"/>
      </w:r>
      <w:r w:rsidR="00A05CF3" w:rsidRPr="00A05CF3">
        <w:rPr>
          <w:rFonts w:ascii="Calibri" w:hAnsi="Calibri" w:cs="Calibri"/>
        </w:rPr>
        <w:t>(Knapp, 2015)</w:t>
      </w:r>
      <w:r w:rsidR="00A05CF3">
        <w:fldChar w:fldCharType="end"/>
      </w:r>
      <w:r w:rsidR="00A05CF3">
        <w:t xml:space="preserve">. </w:t>
      </w:r>
      <w:r w:rsidR="00192DF4" w:rsidRPr="00192DF4">
        <w:t>These imports indicate regular contact with Cyp</w:t>
      </w:r>
      <w:r w:rsidR="00594992">
        <w:t>rus</w:t>
      </w:r>
      <w:r w:rsidR="00192DF4" w:rsidRPr="00192DF4">
        <w:t xml:space="preserve">, which was </w:t>
      </w:r>
      <w:r w:rsidR="00594992">
        <w:t>a</w:t>
      </w:r>
      <w:r w:rsidR="00192DF4" w:rsidRPr="00192DF4">
        <w:t xml:space="preserve"> major centre for copper production </w:t>
      </w:r>
      <w:r w:rsidR="00192DF4">
        <w:t>during this period.</w:t>
      </w:r>
    </w:p>
    <w:p w14:paraId="01C64A6F" w14:textId="45B29BA9" w:rsidR="00594992" w:rsidRDefault="0097241E">
      <w:r w:rsidRPr="0097241E">
        <w:t>Byblos position along the Levant</w:t>
      </w:r>
      <w:r>
        <w:t>ine</w:t>
      </w:r>
      <w:r w:rsidRPr="0097241E">
        <w:t xml:space="preserve"> coast made it an important</w:t>
      </w:r>
      <w:r>
        <w:t xml:space="preserve"> </w:t>
      </w:r>
      <w:r w:rsidR="00A77133">
        <w:t xml:space="preserve">intermediary, </w:t>
      </w:r>
      <w:r w:rsidR="000661A4" w:rsidRPr="00A77133">
        <w:t>acting</w:t>
      </w:r>
      <w:r w:rsidR="00A77133" w:rsidRPr="00A77133">
        <w:t xml:space="preserve"> as a point where goods from inland regions and the wider Mediterranean could be exchanged. Its natural harbour allowed ships to anchor safely, and it's in land connections made it easy for traders to move between the coast and interior routes leading towards Syria and Mesopotamia. Because of this</w:t>
      </w:r>
      <w:r w:rsidR="000661A4" w:rsidRPr="000661A4">
        <w:t xml:space="preserve">, </w:t>
      </w:r>
      <w:r w:rsidR="000661A4">
        <w:t>Byblos</w:t>
      </w:r>
      <w:r w:rsidR="000661A4" w:rsidRPr="000661A4">
        <w:t xml:space="preserve"> played a key role in transferring resources such as wood and agricultural products outward, while receiving metals, ceramics, and prestige items from abroad</w:t>
      </w:r>
      <w:r w:rsidR="001B59C9">
        <w:t>.</w:t>
      </w:r>
    </w:p>
    <w:p w14:paraId="5DABB733" w14:textId="2A6804F5" w:rsidR="001B59C9" w:rsidRDefault="005F66F8">
      <w:r w:rsidRPr="005F66F8">
        <w:t xml:space="preserve">Maritime trade also linked </w:t>
      </w:r>
      <w:r w:rsidR="00BD1416">
        <w:t>Byblos</w:t>
      </w:r>
      <w:r w:rsidRPr="005F66F8">
        <w:t xml:space="preserve"> with other coastal cities such as </w:t>
      </w:r>
      <w:r w:rsidR="00BD1416">
        <w:t>Ugarit</w:t>
      </w:r>
      <w:r w:rsidRPr="005F66F8">
        <w:t xml:space="preserve">, </w:t>
      </w:r>
      <w:r w:rsidR="00BD1416">
        <w:t>Sidon</w:t>
      </w:r>
      <w:r w:rsidRPr="005F66F8">
        <w:t xml:space="preserve">, and </w:t>
      </w:r>
      <w:r w:rsidR="00BD1416">
        <w:t>T</w:t>
      </w:r>
      <w:r w:rsidRPr="005F66F8">
        <w:t>yre. Although these cities grew an importan</w:t>
      </w:r>
      <w:r w:rsidR="0091239A">
        <w:t>ce</w:t>
      </w:r>
      <w:r w:rsidRPr="005F66F8">
        <w:t xml:space="preserve"> during the late Bronze Age, </w:t>
      </w:r>
      <w:r w:rsidR="0091239A">
        <w:t>Byblos</w:t>
      </w:r>
      <w:r w:rsidRPr="005F66F8">
        <w:t xml:space="preserve"> remained part of </w:t>
      </w:r>
      <w:r w:rsidR="0091239A">
        <w:t>a</w:t>
      </w:r>
      <w:r w:rsidR="00BD1416" w:rsidRPr="00BD1416">
        <w:t xml:space="preserve"> wider network of </w:t>
      </w:r>
      <w:r w:rsidR="002319BE">
        <w:t>Levantine</w:t>
      </w:r>
      <w:r w:rsidR="00BD1416" w:rsidRPr="00BD1416">
        <w:t xml:space="preserve"> ports that facilitated the movement of goods and cultural practises around the eastern Mediterranean</w:t>
      </w:r>
      <w:r w:rsidR="005C6061">
        <w:fldChar w:fldCharType="begin"/>
      </w:r>
      <w:r w:rsidR="005C6061">
        <w:instrText xml:space="preserve"> ADDIN ZOTERO_ITEM CSL_CITATION {"citationID":"RQOwnrXJ","properties":{"formattedCitation":"(Sowada {\\i{}et al.}, 2021)","plainCitation":"(Sowada et al., 2021)","noteIndex":0},"citationItems":[{"id":269,"uris":["http://zotero.org/users/local/yKBDKBHn/items/F9ZVNSV5"],"itemData":{"id":269,"type":"article-journal","abstract":"Geoanalytical results on imported ceramics from Egypt demonstrate wide-ranging links between 1st Dynasty Egypt and different Levantine commodity production centres. This diffuse network contrasts with the highly efficient Old Kingdom supply chain, based on the maritime route to Byblos and the surrounding region in northern Lebanon. A dataset of imported pottery from the 1st Dynasty elite cemetery at Abu Rawash builds on this picture. Early Bronze Age II/Early Levant II ceramic types from the site, mostly variations of one-handled jugs, were identified by thin-section petrography as originating in the Central Levant and the Central Jordan Valley/northern Canaan. By the early Old Kingdom, a major transition had occurred in Egyptian trade routes, with a primary focus on northern Lebanon. Combed jars replaced the diverse range of jugs and jars as the main imported type in Egypt, yet the Early Dynastic one-handled jug shape continued symbolising the idea of imported liquid commodities in the artistic canon for much of the third millennium.","container-title":"Agypten und Levante","DOI":"10.1553/AEUNDL31S425","ISSN":"1015-5104","page":"425-449","source":"Macquarie University","title":"Early Bronze Age exchange patterns between Egypt and the Levant: a view from First Dynasty Abu Rawash","title-short":"Early Bronze Age exchange patterns between Egypt and the Levant","volume":"31","author":[{"family":"Sowada","given":"Karin"},{"family":"Ownby","given":"Mary"},{"family":"Smythe","given":"Jane"},{"family":"Marchand","given":"Sylvie"},{"family":"Tristant","given":"Yann"}],"issued":{"date-parts":[["2021"]]}}}],"schema":"https://github.com/citation-style-language/schema/raw/master/csl-citation.json"} </w:instrText>
      </w:r>
      <w:r w:rsidR="005C6061">
        <w:fldChar w:fldCharType="separate"/>
      </w:r>
      <w:r w:rsidR="005C6061" w:rsidRPr="005C6061">
        <w:rPr>
          <w:rFonts w:ascii="Calibri" w:hAnsi="Calibri" w:cs="Calibri"/>
          <w:kern w:val="0"/>
        </w:rPr>
        <w:t xml:space="preserve">(Sowada </w:t>
      </w:r>
      <w:r w:rsidR="005C6061" w:rsidRPr="005C6061">
        <w:rPr>
          <w:rFonts w:ascii="Calibri" w:hAnsi="Calibri" w:cs="Calibri"/>
          <w:i/>
          <w:iCs/>
          <w:kern w:val="0"/>
        </w:rPr>
        <w:t>et al.</w:t>
      </w:r>
      <w:r w:rsidR="005C6061" w:rsidRPr="005C6061">
        <w:rPr>
          <w:rFonts w:ascii="Calibri" w:hAnsi="Calibri" w:cs="Calibri"/>
          <w:kern w:val="0"/>
        </w:rPr>
        <w:t>, 2021)</w:t>
      </w:r>
      <w:r w:rsidR="005C6061">
        <w:fldChar w:fldCharType="end"/>
      </w:r>
      <w:r w:rsidR="005C6061">
        <w:t xml:space="preserve">. </w:t>
      </w:r>
      <w:r w:rsidR="00265B6D" w:rsidRPr="00265B6D">
        <w:t xml:space="preserve"> These harbours formed a chain of</w:t>
      </w:r>
      <w:r w:rsidR="00265B6D">
        <w:t xml:space="preserve"> stopping </w:t>
      </w:r>
      <w:r w:rsidR="003816D2">
        <w:t>p</w:t>
      </w:r>
      <w:r w:rsidR="00265B6D" w:rsidRPr="00265B6D">
        <w:t>oints w</w:t>
      </w:r>
      <w:r w:rsidR="003816D2">
        <w:t>here ships</w:t>
      </w:r>
      <w:r w:rsidR="00265B6D" w:rsidRPr="00265B6D">
        <w:t xml:space="preserve"> from Cyprus, the Aegean, and Egypt could arrest, resupply, or trade cargo. This co</w:t>
      </w:r>
      <w:r w:rsidR="00A61832">
        <w:t>astal</w:t>
      </w:r>
      <w:r w:rsidR="00265B6D" w:rsidRPr="00265B6D">
        <w:t xml:space="preserve"> interaction helped shape their economic and political landscape </w:t>
      </w:r>
      <w:r w:rsidR="00A61832">
        <w:t xml:space="preserve">of </w:t>
      </w:r>
      <w:r w:rsidR="00265B6D" w:rsidRPr="00265B6D">
        <w:t>the region</w:t>
      </w:r>
      <w:r w:rsidR="00A61832">
        <w:t>.</w:t>
      </w:r>
    </w:p>
    <w:p w14:paraId="79B48B1D" w14:textId="0FDD6015" w:rsidR="00A61832" w:rsidRDefault="00DC47C1">
      <w:r w:rsidRPr="00DC47C1">
        <w:t>Cultural exchange accompanied economic trade. One important example is development of writing systems. The so-called B</w:t>
      </w:r>
      <w:r w:rsidR="00941D94">
        <w:t>yblos</w:t>
      </w:r>
      <w:r w:rsidRPr="00DC47C1">
        <w:t xml:space="preserve"> script, used during the second Millennium BC, showed elements borrowed from Egyptian hieroglyphs,</w:t>
      </w:r>
      <w:r w:rsidR="003A5B2C" w:rsidRPr="003A5B2C">
        <w:t xml:space="preserve"> Mesopotamia c</w:t>
      </w:r>
      <w:r w:rsidR="00D4184B">
        <w:t>une</w:t>
      </w:r>
      <w:r w:rsidR="00626FA1">
        <w:t>iform</w:t>
      </w:r>
      <w:r w:rsidR="003A5B2C" w:rsidRPr="003A5B2C">
        <w:t xml:space="preserve">, and local </w:t>
      </w:r>
      <w:r w:rsidR="00626FA1" w:rsidRPr="003A5B2C">
        <w:t>Levantine</w:t>
      </w:r>
      <w:r w:rsidR="003A5B2C" w:rsidRPr="003A5B2C">
        <w:t xml:space="preserve"> traditions. Some scholars have suggested that early alphabetic writing may have been influenced by these hybrid </w:t>
      </w:r>
      <w:r w:rsidR="00626FA1" w:rsidRPr="003A5B2C">
        <w:t>sc</w:t>
      </w:r>
      <w:r w:rsidR="00626FA1">
        <w:t>ribal</w:t>
      </w:r>
      <w:r w:rsidR="003A5B2C" w:rsidRPr="003A5B2C">
        <w:t xml:space="preserve"> practises</w:t>
      </w:r>
      <w:r w:rsidR="00626FA1">
        <w:fldChar w:fldCharType="begin"/>
      </w:r>
      <w:r w:rsidR="00626FA1">
        <w:instrText xml:space="preserve"> ADDIN ZOTERO_ITEM CSL_CITATION {"citationID":"U8uZXjwq","properties":{"formattedCitation":"(Kilani, 2019)","plainCitation":"(Kilani, 2019)","noteIndex":0},"citationItems":[{"id":216,"uris":["http://zotero.org/users/local/yKBDKBHn/items/3U3HZIWG"],"itemData":{"id":216,"type":"book","abstract":"In Byblos in the Late Bronze Age, Marwan Kilani reconstructs the “biography” of the city of Byblos during the Late Bronze Age. Commonly described simply as a centre for the trade of wood, the city appears here as a dynamic actor involved in multiple aspects of the regional geopolitical reality. By combining the information provided by written sources and by a fresh reanalysis of the archaeological evidence, the author explores the development of the city during the Late Bronze Age, showing how the evolution of a wide range of geopolitical, economic and ideological factors resulted in periods of prosperity and decline.  The Studies in the Archaeology and History of the Levant series publishes volumes from the Harvard Museum of the Ancient Near East. Other series offered by Brill that publish volumes from the Museum include Harvard Semitic Studies and Harvard Semitic Monographs, https://hmane.harvard.edu/publications.","ISBN":"978-90-04-41660-4","language":"en","note":"Google-Books-ID: IgT1DwAAQBAJ","number-of-pages":"340","publisher":"BRILL","source":"Google Books","title":"Byblos in the Late Bronze Age: Interactions between the Levantine and Egyptian Worlds","title-short":"Byblos in the Late Bronze Age","author":[{"family":"Kilani","given":"Marwan"}],"issued":{"date-parts":[["2019",10,7]]}}}],"schema":"https://github.com/citation-style-language/schema/raw/master/csl-citation.json"} </w:instrText>
      </w:r>
      <w:r w:rsidR="00626FA1">
        <w:fldChar w:fldCharType="separate"/>
      </w:r>
      <w:r w:rsidR="00626FA1" w:rsidRPr="00626FA1">
        <w:rPr>
          <w:rFonts w:ascii="Calibri" w:hAnsi="Calibri" w:cs="Calibri"/>
        </w:rPr>
        <w:t>(Kilani, 2019)</w:t>
      </w:r>
      <w:r w:rsidR="00626FA1">
        <w:fldChar w:fldCharType="end"/>
      </w:r>
      <w:r w:rsidR="00626FA1">
        <w:t xml:space="preserve">. </w:t>
      </w:r>
      <w:r w:rsidR="007637FF" w:rsidRPr="007637FF">
        <w:t xml:space="preserve">Although the details remained debated, the presence of multiple writing traditions demonstrates that </w:t>
      </w:r>
      <w:r w:rsidR="007637FF">
        <w:t>B</w:t>
      </w:r>
      <w:r w:rsidR="007637FF" w:rsidRPr="007637FF">
        <w:t>yblos was a place where ideas and technologies mixed</w:t>
      </w:r>
      <w:r w:rsidR="007637FF">
        <w:t>.</w:t>
      </w:r>
    </w:p>
    <w:p w14:paraId="4D982F7A" w14:textId="36F0E0AB" w:rsidR="007637FF" w:rsidRDefault="00B42F79">
      <w:r w:rsidRPr="00B42F79">
        <w:t xml:space="preserve">Other forms of cultural diffusion can be seen in artistic motifs, metalworking practises, and religious symbols. Imported items often inspired local </w:t>
      </w:r>
      <w:r w:rsidR="00FB1715">
        <w:t>c</w:t>
      </w:r>
      <w:r w:rsidRPr="00B42F79">
        <w:t xml:space="preserve">raftsman, leading to hybrid styles that blended Egyptian, </w:t>
      </w:r>
      <w:r w:rsidR="00FB1715" w:rsidRPr="00B42F79">
        <w:t>Levantine</w:t>
      </w:r>
      <w:r w:rsidRPr="00B42F79">
        <w:t xml:space="preserve">, and </w:t>
      </w:r>
      <w:r w:rsidR="00FB1715">
        <w:t>Ae</w:t>
      </w:r>
      <w:r w:rsidRPr="00B42F79">
        <w:t>gean elements</w:t>
      </w:r>
      <w:r w:rsidR="00FB1715">
        <w:t>.</w:t>
      </w:r>
      <w:r w:rsidRPr="00B42F79">
        <w:t xml:space="preserve"> </w:t>
      </w:r>
      <w:r w:rsidR="00FB1715">
        <w:t>S</w:t>
      </w:r>
      <w:r w:rsidRPr="00B42F79">
        <w:t>imilarly, religious ideas moved across the region, and the major temple</w:t>
      </w:r>
      <w:r w:rsidR="00383A3A" w:rsidRPr="00383A3A">
        <w:t xml:space="preserve"> complexes at </w:t>
      </w:r>
      <w:r w:rsidR="00FB1715">
        <w:t>B</w:t>
      </w:r>
      <w:r w:rsidR="00383A3A" w:rsidRPr="00383A3A">
        <w:t>yblos may show influences from both Egyptian and local traditions</w:t>
      </w:r>
      <w:r w:rsidR="00FB1715">
        <w:t>.</w:t>
      </w:r>
    </w:p>
    <w:p w14:paraId="44D598BB" w14:textId="5ABBC4CE" w:rsidR="00FB1715" w:rsidRDefault="00C50F08">
      <w:r w:rsidRPr="00C50F08">
        <w:t xml:space="preserve">Overall, the archaeological evidence shows that </w:t>
      </w:r>
      <w:r w:rsidR="001C27D6">
        <w:t>B</w:t>
      </w:r>
      <w:r w:rsidRPr="00C50F08">
        <w:t xml:space="preserve">yblos was not simply </w:t>
      </w:r>
      <w:r w:rsidR="001C27D6" w:rsidRPr="00C50F08">
        <w:t>Egypt’s</w:t>
      </w:r>
      <w:r w:rsidRPr="00C50F08">
        <w:t xml:space="preserve"> trading partner but a major node in the wider </w:t>
      </w:r>
      <w:r w:rsidR="001C27D6">
        <w:t>B</w:t>
      </w:r>
      <w:r w:rsidRPr="00C50F08">
        <w:t>ronz</w:t>
      </w:r>
      <w:r w:rsidR="001C27D6">
        <w:t>e Age</w:t>
      </w:r>
      <w:r w:rsidRPr="00C50F08">
        <w:t xml:space="preserve"> trading world. Its coastal location, harbour, and </w:t>
      </w:r>
      <w:r w:rsidR="001C27D6" w:rsidRPr="00C50F08">
        <w:t>long-distance</w:t>
      </w:r>
      <w:r w:rsidRPr="00C50F08">
        <w:t xml:space="preserve"> connections help shape economic, cultural, and technological interactions across the eastern Mediterranean</w:t>
      </w:r>
      <w:r w:rsidR="001C27D6" w:rsidRPr="001C27D6">
        <w:t>.</w:t>
      </w:r>
    </w:p>
    <w:p w14:paraId="10C43729" w14:textId="7B3CA2D3" w:rsidR="001C27D6" w:rsidRDefault="00CE2AB6">
      <w:r w:rsidRPr="00CE2AB6">
        <w:t xml:space="preserve">Trade and </w:t>
      </w:r>
      <w:r w:rsidR="00E41734" w:rsidRPr="00CE2AB6">
        <w:t>long-distance</w:t>
      </w:r>
      <w:r w:rsidRPr="00CE2AB6">
        <w:t xml:space="preserve"> exchange had a major impact on the way society developed in Bronze Age </w:t>
      </w:r>
      <w:r w:rsidR="00E41734">
        <w:t>B</w:t>
      </w:r>
      <w:r w:rsidRPr="00CE2AB6">
        <w:t>yblos.</w:t>
      </w:r>
      <w:r w:rsidR="00E41734" w:rsidRPr="00E41734">
        <w:t xml:space="preserve"> The steady movement of goods</w:t>
      </w:r>
      <w:r w:rsidR="000E476B">
        <w:t xml:space="preserve"> - </w:t>
      </w:r>
      <w:r w:rsidR="00E41734" w:rsidRPr="00E41734">
        <w:t xml:space="preserve">particularly </w:t>
      </w:r>
      <w:r w:rsidR="000E476B">
        <w:t>wood</w:t>
      </w:r>
      <w:r w:rsidR="00E41734" w:rsidRPr="00E41734">
        <w:t>, metals, and luxury objects</w:t>
      </w:r>
      <w:r w:rsidR="000E476B">
        <w:t xml:space="preserve"> </w:t>
      </w:r>
      <w:r w:rsidR="00E41734" w:rsidRPr="00E41734">
        <w:t>- helped create a powerful ruling elite who controlled access to commercial networks and managed relationships with foreign states</w:t>
      </w:r>
      <w:r w:rsidR="000E476B">
        <w:fldChar w:fldCharType="begin"/>
      </w:r>
      <w:r w:rsidR="000E476B">
        <w:instrText xml:space="preserve"> ADDIN ZOTERO_ITEM CSL_CITATION {"citationID":"odLfbHjD","properties":{"formattedCitation":"(Aubet and Turton, 2001)","plainCitation":"(Aubet and Turton, 2001)","noteIndex":0},"citationItems":[{"id":257,"uris":["http://zotero.org/users/local/yKBDKBHn/items/66X5JJY4"],"itemData":{"id":257,"type":"book","edition":"2. ed","event-place":"Cambridge New York, NY Oakleigh, VIC Madrid Cape Town","ISBN":"978-0-521-79161-8","language":"en","number-of-pages":"432","publisher":"Cambridge University Press","publisher-place":"Cambridge New York, NY Oakleigh, VIC Madrid Cape Town","source":"K10plus ISBN","title":"The Phoenicians and the West: politics, colonies and trade","title-short":"The Phoenicians and the West","author":[{"family":"Aubet","given":"María Eugenia"},{"family":"Turton","given":"Mary"}],"issued":{"date-parts":[["2001"]]}}}],"schema":"https://github.com/citation-style-language/schema/raw/master/csl-citation.json"} </w:instrText>
      </w:r>
      <w:r w:rsidR="000E476B">
        <w:fldChar w:fldCharType="separate"/>
      </w:r>
      <w:r w:rsidR="000E476B" w:rsidRPr="000E476B">
        <w:rPr>
          <w:rFonts w:ascii="Calibri" w:hAnsi="Calibri" w:cs="Calibri"/>
        </w:rPr>
        <w:t>(Aubet and Turton, 2001)</w:t>
      </w:r>
      <w:r w:rsidR="000E476B">
        <w:fldChar w:fldCharType="end"/>
      </w:r>
      <w:r w:rsidR="000E476B">
        <w:t xml:space="preserve">. </w:t>
      </w:r>
      <w:r w:rsidR="00720281" w:rsidRPr="00720281">
        <w:t>This elite appears to have played a central role in organising trade expeditions, protecting caravan routes, and negotiating with foreign powers such as Egypt. Their authority was reinforced through the display of import</w:t>
      </w:r>
      <w:r w:rsidR="00E86D8E">
        <w:t>ed</w:t>
      </w:r>
      <w:r w:rsidR="00720281" w:rsidRPr="00720281">
        <w:t xml:space="preserve"> prestige items, which signalled wealth and status within the community</w:t>
      </w:r>
      <w:r w:rsidR="00E86D8E" w:rsidRPr="00E86D8E">
        <w:t>.</w:t>
      </w:r>
    </w:p>
    <w:p w14:paraId="670E2153" w14:textId="6247A7AE" w:rsidR="007157E8" w:rsidRDefault="007157E8">
      <w:r w:rsidRPr="007157E8">
        <w:t xml:space="preserve">Archaeological evidence for tombs and temples provides an important insight into how exchange shaped </w:t>
      </w:r>
      <w:proofErr w:type="spellStart"/>
      <w:r w:rsidR="00A4191D">
        <w:t>Byblian</w:t>
      </w:r>
      <w:proofErr w:type="spellEnd"/>
      <w:r w:rsidRPr="007157E8">
        <w:t xml:space="preserve"> </w:t>
      </w:r>
      <w:r w:rsidR="00A4191D">
        <w:t>society</w:t>
      </w:r>
      <w:r w:rsidRPr="007157E8">
        <w:t xml:space="preserve">. The rich royal tombs contained Egyptian stone </w:t>
      </w:r>
      <w:r w:rsidR="00A4191D">
        <w:t>vessels</w:t>
      </w:r>
      <w:r w:rsidRPr="007157E8">
        <w:t xml:space="preserve">, gold ornaments, scarabs, and other </w:t>
      </w:r>
      <w:r w:rsidR="00B24378">
        <w:t>elite</w:t>
      </w:r>
      <w:r w:rsidRPr="007157E8">
        <w:t xml:space="preserve"> objects, showing that foreign imports we used in burial rituals to express power and identity</w:t>
      </w:r>
      <w:r w:rsidR="004A4325">
        <w:fldChar w:fldCharType="begin"/>
      </w:r>
      <w:r w:rsidR="004A4325">
        <w:instrText xml:space="preserve"> ADDIN ZOTERO_ITEM CSL_CITATION {"citationID":"s0ninKuc","properties":{"formattedCitation":"(Dunand, 1973)","plainCitation":"(Dunand, 1973)","noteIndex":0},"citationItems":[{"id":270,"uris":["http://zotero.org/users/local/yKBDKBHn/items/4PG8PJL6"],"itemData":{"id":270,"type":"book","language":"fr","note":"Google-Books-ID: foGZoAEACAAJ","number-of-pages":"336","publisher":"P. Geuthner","source":"Google Books","title":"Fouilles de Byblos....: L'Architecture, les tombes, le matériel domestique, des origines néolithiques à l'avènement urbain","title-short":"Fouilles de Byblos....","author":[{"family":"Dunand","given":"Maurice"}],"issued":{"date-parts":[["1973"]]}}}],"schema":"https://github.com/citation-style-language/schema/raw/master/csl-citation.json"} </w:instrText>
      </w:r>
      <w:r w:rsidR="004A4325">
        <w:fldChar w:fldCharType="separate"/>
      </w:r>
      <w:r w:rsidR="004A4325" w:rsidRPr="004A4325">
        <w:rPr>
          <w:rFonts w:ascii="Calibri" w:hAnsi="Calibri" w:cs="Calibri"/>
        </w:rPr>
        <w:t>(Dunand, 1973)</w:t>
      </w:r>
      <w:r w:rsidR="004A4325">
        <w:fldChar w:fldCharType="end"/>
      </w:r>
      <w:r w:rsidR="004A4325">
        <w:t xml:space="preserve">. </w:t>
      </w:r>
      <w:r w:rsidR="00061E2D" w:rsidRPr="00061E2D">
        <w:t>Similarly</w:t>
      </w:r>
      <w:r w:rsidR="00061E2D">
        <w:t>,</w:t>
      </w:r>
      <w:r w:rsidR="00061E2D" w:rsidRPr="00061E2D">
        <w:t xml:space="preserve"> major religious buildings</w:t>
      </w:r>
      <w:r w:rsidR="00061E2D">
        <w:t>,</w:t>
      </w:r>
      <w:r w:rsidR="00061E2D" w:rsidRPr="00061E2D">
        <w:t xml:space="preserve"> such as the </w:t>
      </w:r>
      <w:r w:rsidR="00061E2D">
        <w:t>T</w:t>
      </w:r>
      <w:r w:rsidR="00061E2D" w:rsidRPr="00061E2D">
        <w:t>emple</w:t>
      </w:r>
      <w:r w:rsidR="00061E2D">
        <w:t xml:space="preserve"> of </w:t>
      </w:r>
      <w:proofErr w:type="spellStart"/>
      <w:r w:rsidR="00061E2D">
        <w:t>Baalat</w:t>
      </w:r>
      <w:proofErr w:type="spellEnd"/>
      <w:r w:rsidR="00061E2D">
        <w:t xml:space="preserve"> </w:t>
      </w:r>
      <w:r w:rsidR="007846AB">
        <w:lastRenderedPageBreak/>
        <w:t xml:space="preserve">Gebal, shows signs of foreign influence. </w:t>
      </w:r>
      <w:proofErr w:type="spellStart"/>
      <w:r w:rsidR="007846AB">
        <w:t>Baalat</w:t>
      </w:r>
      <w:proofErr w:type="spellEnd"/>
      <w:r w:rsidR="007846AB">
        <w:t xml:space="preserve"> Gebal </w:t>
      </w:r>
      <w:r w:rsidR="00AB5A31">
        <w:t>w</w:t>
      </w:r>
      <w:r w:rsidR="00AB5A31" w:rsidRPr="00AB5A31">
        <w:t xml:space="preserve">as considered the patron goddess of the </w:t>
      </w:r>
      <w:r w:rsidR="00AB5A31">
        <w:t>town</w:t>
      </w:r>
      <w:r w:rsidR="00AB5A31" w:rsidRPr="00AB5A31">
        <w:t xml:space="preserve">, but she was also associated with the Egyptian goddess </w:t>
      </w:r>
      <w:r w:rsidR="00AB5A31">
        <w:t>Hathor</w:t>
      </w:r>
      <w:r w:rsidR="00AB5A31" w:rsidRPr="00AB5A31">
        <w:t>, suggesting that religious ideas travelled alongside material goods</w:t>
      </w:r>
      <w:r w:rsidR="000B6127">
        <w:fldChar w:fldCharType="begin"/>
      </w:r>
      <w:r w:rsidR="000B6127">
        <w:instrText xml:space="preserve"> ADDIN ZOTERO_ITEM CSL_CITATION {"citationID":"RjsY1H9R","properties":{"formattedCitation":"(Charaf, 2024)","plainCitation":"(Charaf, 2024)","noteIndex":0},"citationItems":[{"id":276,"uris":["http://zotero.org/users/local/yKBDKBHn/items/DM2YAWRV"],"itemData":{"id":276,"type":"chapter","container-title":"Byblos : A Legacy Unearthed","page":"123","publisher":"American University of Beirut Press","title":"The Relations between Byblos and Egypt during the Middle Bronze Age","author":[{"family":"Charaf","given":"Hanan"}],"issued":{"date-parts":[["2024"]]}}}],"schema":"https://github.com/citation-style-language/schema/raw/master/csl-citation.json"} </w:instrText>
      </w:r>
      <w:r w:rsidR="000B6127">
        <w:fldChar w:fldCharType="separate"/>
      </w:r>
      <w:r w:rsidR="000B6127" w:rsidRPr="000B6127">
        <w:rPr>
          <w:rFonts w:ascii="Calibri" w:hAnsi="Calibri" w:cs="Calibri"/>
        </w:rPr>
        <w:t>(Charaf, 2024)</w:t>
      </w:r>
      <w:r w:rsidR="000B6127">
        <w:fldChar w:fldCharType="end"/>
      </w:r>
      <w:r w:rsidR="000B6127">
        <w:t>.</w:t>
      </w:r>
      <w:r w:rsidR="001630A3">
        <w:t xml:space="preserve"> E</w:t>
      </w:r>
      <w:r w:rsidR="001630A3" w:rsidRPr="001630A3">
        <w:t>gyptian</w:t>
      </w:r>
      <w:r w:rsidR="001630A3">
        <w:t>-</w:t>
      </w:r>
      <w:r w:rsidR="001630A3" w:rsidRPr="001630A3">
        <w:t>style motifs found in temple decoration and ritual objects further highlight this cultural bending.</w:t>
      </w:r>
    </w:p>
    <w:p w14:paraId="6E5D54CD" w14:textId="1C8B149A" w:rsidR="001630A3" w:rsidRDefault="009E07EC" w:rsidP="009E07EC">
      <w:pPr>
        <w:keepNext/>
      </w:pPr>
      <w:r>
        <w:rPr>
          <w:noProof/>
        </w:rPr>
        <mc:AlternateContent>
          <mc:Choice Requires="wps">
            <w:drawing>
              <wp:anchor distT="0" distB="0" distL="114300" distR="114300" simplePos="0" relativeHeight="251669504" behindDoc="0" locked="0" layoutInCell="1" allowOverlap="1" wp14:anchorId="06F8E9B9" wp14:editId="21698258">
                <wp:simplePos x="0" y="0"/>
                <wp:positionH relativeFrom="column">
                  <wp:posOffset>0</wp:posOffset>
                </wp:positionH>
                <wp:positionV relativeFrom="paragraph">
                  <wp:posOffset>2708910</wp:posOffset>
                </wp:positionV>
                <wp:extent cx="5731510" cy="635"/>
                <wp:effectExtent l="0" t="0" r="0" b="0"/>
                <wp:wrapTopAndBottom/>
                <wp:docPr id="129730094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284F560" w14:textId="692B5083" w:rsidR="009E07EC" w:rsidRPr="00E55375" w:rsidRDefault="009E07EC" w:rsidP="009E07EC">
                            <w:pPr>
                              <w:pStyle w:val="Caption"/>
                              <w:rPr>
                                <w:noProof/>
                                <w:sz w:val="22"/>
                                <w:szCs w:val="22"/>
                              </w:rPr>
                            </w:pPr>
                            <w:r>
                              <w:t xml:space="preserve">Figure </w:t>
                            </w:r>
                            <w:fldSimple w:instr=" SEQ Figure \* ARABIC ">
                              <w:r>
                                <w:rPr>
                                  <w:noProof/>
                                </w:rPr>
                                <w:t>4</w:t>
                              </w:r>
                            </w:fldSimple>
                            <w:r>
                              <w:t xml:space="preserve"> - Temple of </w:t>
                            </w:r>
                            <w:proofErr w:type="spellStart"/>
                            <w:r>
                              <w:t>Baalat</w:t>
                            </w:r>
                            <w:proofErr w:type="spellEnd"/>
                            <w:r>
                              <w:t xml:space="preserve"> Gebal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8E9B9" id="_x0000_s1029" type="#_x0000_t202" style="position:absolute;margin-left:0;margin-top:213.3pt;width:451.3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" stroked="f">
                <v:textbox style="mso-fit-shape-to-text:t" inset="0,0,0,0">
                  <w:txbxContent>
                    <w:p w14:paraId="0284F560" w14:textId="692B5083" w:rsidR="009E07EC" w:rsidRPr="00E55375" w:rsidRDefault="009E07EC" w:rsidP="009E07EC">
                      <w:pPr>
                        <w:pStyle w:val="Caption"/>
                        <w:rPr>
                          <w:noProof/>
                          <w:sz w:val="22"/>
                          <w:szCs w:val="22"/>
                        </w:rPr>
                      </w:pPr>
                      <w:r>
                        <w:t xml:space="preserve">Figure </w:t>
                      </w:r>
                      <w:fldSimple w:instr=" SEQ Figure \* ARABIC ">
                        <w:r>
                          <w:rPr>
                            <w:noProof/>
                          </w:rPr>
                          <w:t>4</w:t>
                        </w:r>
                      </w:fldSimple>
                      <w:r>
                        <w:t xml:space="preserve"> - Temple of </w:t>
                      </w:r>
                      <w:proofErr w:type="spellStart"/>
                      <w:r>
                        <w:t>Baalat</w:t>
                      </w:r>
                      <w:proofErr w:type="spellEnd"/>
                      <w:r>
                        <w:t xml:space="preserve"> Gebal</w:t>
                      </w:r>
                    </w:p>
                  </w:txbxContent>
                </v:textbox>
                <w10:wrap type="topAndBottom"/>
              </v:shape>
            </w:pict>
          </mc:Fallback>
        </mc:AlternateContent>
      </w:r>
      <w:r>
        <w:rPr>
          <w:noProof/>
        </w:rPr>
        <w:drawing>
          <wp:anchor distT="0" distB="0" distL="114300" distR="114300" simplePos="0" relativeHeight="251667456" behindDoc="0" locked="0" layoutInCell="1" allowOverlap="1" wp14:anchorId="180E52E9" wp14:editId="6E2B901E">
            <wp:simplePos x="0" y="0"/>
            <wp:positionH relativeFrom="column">
              <wp:posOffset>0</wp:posOffset>
            </wp:positionH>
            <wp:positionV relativeFrom="paragraph">
              <wp:posOffset>635</wp:posOffset>
            </wp:positionV>
            <wp:extent cx="5731510" cy="2651125"/>
            <wp:effectExtent l="0" t="0" r="2540" b="0"/>
            <wp:wrapTopAndBottom/>
            <wp:docPr id="486535422" name="Picture 4" descr="Temple of Baalat Geba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mple of Baalat Gebal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51125"/>
                    </a:xfrm>
                    <a:prstGeom prst="rect">
                      <a:avLst/>
                    </a:prstGeom>
                    <a:noFill/>
                    <a:ln>
                      <a:noFill/>
                    </a:ln>
                  </pic:spPr>
                </pic:pic>
              </a:graphicData>
            </a:graphic>
          </wp:anchor>
        </w:drawing>
      </w:r>
      <w:r w:rsidR="001B2F31" w:rsidRPr="001B2F31">
        <w:t xml:space="preserve">Diplomacy was another important aspect of </w:t>
      </w:r>
      <w:r w:rsidR="00F600C2">
        <w:t>B</w:t>
      </w:r>
      <w:r w:rsidR="001B2F31" w:rsidRPr="001B2F31">
        <w:t>yblos</w:t>
      </w:r>
      <w:r w:rsidR="00F600C2">
        <w:t>’</w:t>
      </w:r>
      <w:r w:rsidR="001B2F31" w:rsidRPr="001B2F31">
        <w:t xml:space="preserve"> role in the region. Correspondence preserved the middle and late Bronze Age archives</w:t>
      </w:r>
      <w:r w:rsidR="0063204D">
        <w:t xml:space="preserve"> - </w:t>
      </w:r>
      <w:r w:rsidR="001B2F31" w:rsidRPr="001B2F31">
        <w:t xml:space="preserve">most famously the </w:t>
      </w:r>
      <w:r w:rsidR="0063204D">
        <w:t>Amarna</w:t>
      </w:r>
      <w:r w:rsidR="001B2F31" w:rsidRPr="001B2F31">
        <w:t xml:space="preserve"> </w:t>
      </w:r>
      <w:r w:rsidR="0063204D">
        <w:t>L</w:t>
      </w:r>
      <w:r w:rsidR="001B2F31" w:rsidRPr="001B2F31">
        <w:t>etters</w:t>
      </w:r>
      <w:r w:rsidR="0063204D">
        <w:t xml:space="preserve"> - </w:t>
      </w:r>
      <w:r w:rsidR="001B2F31" w:rsidRPr="001B2F31">
        <w:t>show</w:t>
      </w:r>
      <w:r w:rsidR="0063204D">
        <w:t>s</w:t>
      </w:r>
      <w:r w:rsidR="001B2F31" w:rsidRPr="001B2F31">
        <w:t xml:space="preserve"> that the ruler</w:t>
      </w:r>
      <w:r w:rsidR="0063204D">
        <w:t>s</w:t>
      </w:r>
      <w:r w:rsidR="001B2F31" w:rsidRPr="001B2F31">
        <w:t xml:space="preserve"> of </w:t>
      </w:r>
      <w:r w:rsidR="007E21FA">
        <w:t>B</w:t>
      </w:r>
      <w:r w:rsidR="001B2F31" w:rsidRPr="001B2F31">
        <w:t xml:space="preserve">yblos acted as intermediaries between Egyptian Pharaohs and other </w:t>
      </w:r>
      <w:r w:rsidR="007E21FA">
        <w:t>Levantine</w:t>
      </w:r>
      <w:r w:rsidR="001B2F31" w:rsidRPr="001B2F31">
        <w:t xml:space="preserve"> communities</w:t>
      </w:r>
      <w:r w:rsidR="007E21FA">
        <w:fldChar w:fldCharType="begin"/>
      </w:r>
      <w:r w:rsidR="007E21FA">
        <w:instrText xml:space="preserve"> ADDIN ZOTERO_ITEM CSL_CITATION {"citationID":"98Oiv5Mu","properties":{"formattedCitation":"(Donald B. Redford, 1992)","plainCitation":"(Donald B. Redford, 1992)","noteIndex":0},"citationItems":[{"id":268,"uris":["http://zotero.org/users/local/yKBDKBHn/items/TGCJWIY7"],"itemData":{"id":268,"type":"book","ISBN":"978-0-691-03606-9","language":"eng","number-of-pages":"522","publisher":"Princeton University Press","source":"Internet Archive","title":"Egypt, Canaan, and Israel in ancient times","URL":"http://archive.org/details/egyptcanaanisrae00redf","author":[{"literal":"Donald B. Redford"}],"contributor":[{"literal":"Internet Archive"}],"accessed":{"date-parts":[["2025",11,21]]},"issued":{"date-parts":[["1992"]]}}}],"schema":"https://github.com/citation-style-language/schema/raw/master/csl-citation.json"} </w:instrText>
      </w:r>
      <w:r w:rsidR="007E21FA">
        <w:fldChar w:fldCharType="separate"/>
      </w:r>
      <w:r w:rsidR="007E21FA" w:rsidRPr="007E21FA">
        <w:rPr>
          <w:rFonts w:ascii="Calibri" w:hAnsi="Calibri" w:cs="Calibri"/>
        </w:rPr>
        <w:t>(Donald B. Redford, 1992)</w:t>
      </w:r>
      <w:r w:rsidR="007E21FA">
        <w:fldChar w:fldCharType="end"/>
      </w:r>
      <w:r w:rsidR="007E21FA">
        <w:t xml:space="preserve">. </w:t>
      </w:r>
      <w:r w:rsidR="003B498A" w:rsidRPr="003B498A">
        <w:t xml:space="preserve">These letters often discuss political alliances, request for aid, and the exchange of gifts, highlighting the symbolic importance of </w:t>
      </w:r>
      <w:r w:rsidR="00307CC0">
        <w:t>B</w:t>
      </w:r>
      <w:r w:rsidR="003B498A" w:rsidRPr="003B498A">
        <w:t xml:space="preserve">yblos in maintaining regional </w:t>
      </w:r>
      <w:r w:rsidR="00307CC0">
        <w:t>stabili</w:t>
      </w:r>
      <w:r w:rsidR="00926478">
        <w:t>ty</w:t>
      </w:r>
      <w:r w:rsidR="003B498A" w:rsidRPr="003B498A">
        <w:t>. The town's leaders relied heavily on diplomatic relationships to secure economic benefit</w:t>
      </w:r>
      <w:r w:rsidR="00926478">
        <w:t>s</w:t>
      </w:r>
      <w:r w:rsidR="003B498A" w:rsidRPr="003B498A">
        <w:t xml:space="preserve"> and strengthen their political position at home</w:t>
      </w:r>
      <w:r w:rsidR="00307CC0" w:rsidRPr="00307CC0">
        <w:t>.</w:t>
      </w:r>
    </w:p>
    <w:p w14:paraId="5E5B2A4A" w14:textId="64C209D1" w:rsidR="00926478" w:rsidRDefault="00371131">
      <w:r w:rsidRPr="00371131">
        <w:t xml:space="preserve">Cultural exchange accompanied these political and economic interactions. Artistic styles in </w:t>
      </w:r>
      <w:r w:rsidR="00766CDD">
        <w:t>B</w:t>
      </w:r>
      <w:r w:rsidRPr="00371131">
        <w:t xml:space="preserve">yblos during the Bronze Age show mixture of </w:t>
      </w:r>
      <w:r w:rsidR="00766CDD">
        <w:t>Levantine</w:t>
      </w:r>
      <w:r w:rsidRPr="00371131">
        <w:t xml:space="preserve">, Egyptian, and occasionally </w:t>
      </w:r>
      <w:r w:rsidR="00766CDD">
        <w:t>Aegean</w:t>
      </w:r>
      <w:r w:rsidRPr="00371131">
        <w:t xml:space="preserve"> elements. </w:t>
      </w:r>
      <w:r w:rsidR="00766CDD">
        <w:t>Local</w:t>
      </w:r>
      <w:r w:rsidRPr="00371131">
        <w:t xml:space="preserve"> </w:t>
      </w:r>
      <w:r w:rsidR="00766CDD">
        <w:t>c</w:t>
      </w:r>
      <w:r w:rsidRPr="00371131">
        <w:t xml:space="preserve">raftsman adapted foreign designs, creating hybrid objects that reflected the </w:t>
      </w:r>
      <w:r w:rsidR="00555127">
        <w:t>towns</w:t>
      </w:r>
      <w:r w:rsidRPr="00371131">
        <w:t xml:space="preserve"> participat</w:t>
      </w:r>
      <w:r w:rsidR="00555127">
        <w:t>ion</w:t>
      </w:r>
      <w:r w:rsidRPr="00371131">
        <w:t xml:space="preserve"> in wider cultural networks.</w:t>
      </w:r>
      <w:r w:rsidR="00766CDD" w:rsidRPr="00766CDD">
        <w:t xml:space="preserve"> Religious practises also incorporated foreign influences</w:t>
      </w:r>
      <w:r w:rsidR="00555127">
        <w:t>,</w:t>
      </w:r>
      <w:r w:rsidR="00766CDD" w:rsidRPr="00766CDD">
        <w:t xml:space="preserve"> are seen in iconography</w:t>
      </w:r>
      <w:r w:rsidR="00555127">
        <w:t>,</w:t>
      </w:r>
      <w:r w:rsidR="00766CDD" w:rsidRPr="00766CDD">
        <w:t xml:space="preserve"> temple rituals</w:t>
      </w:r>
      <w:r w:rsidR="00555127">
        <w:t>,</w:t>
      </w:r>
      <w:r w:rsidR="00766CDD" w:rsidRPr="00766CDD">
        <w:t xml:space="preserve"> and the ad</w:t>
      </w:r>
      <w:r w:rsidR="00555127">
        <w:t>a</w:t>
      </w:r>
      <w:r w:rsidR="00766CDD" w:rsidRPr="00766CDD">
        <w:t>pt</w:t>
      </w:r>
      <w:r w:rsidR="00555127">
        <w:t>ation</w:t>
      </w:r>
      <w:r w:rsidR="00766CDD" w:rsidRPr="00766CDD">
        <w:t xml:space="preserve"> of </w:t>
      </w:r>
      <w:r w:rsidR="00555127" w:rsidRPr="00766CDD">
        <w:t>Egyptian</w:t>
      </w:r>
      <w:r w:rsidR="00766CDD" w:rsidRPr="00766CDD">
        <w:t xml:space="preserve"> symbols of kingship</w:t>
      </w:r>
      <w:r w:rsidR="00555127">
        <w:t>.</w:t>
      </w:r>
    </w:p>
    <w:p w14:paraId="1D173B0F" w14:textId="5D3A1ED0" w:rsidR="00555127" w:rsidRDefault="00EF46BD">
      <w:r w:rsidRPr="00EF46BD">
        <w:t xml:space="preserve"> </w:t>
      </w:r>
      <w:r w:rsidR="0084132D" w:rsidRPr="0084132D">
        <w:t xml:space="preserve">Trade and exchange with deeply intertwined with social hierarchy, political authority, and cultural identity in Bronze Age </w:t>
      </w:r>
      <w:r w:rsidR="006A7CCB">
        <w:t>B</w:t>
      </w:r>
      <w:r w:rsidR="0084132D" w:rsidRPr="0084132D">
        <w:t>yblos. The town's ability to connect different parts of the eastern Mediterranean allowed it to flourish as both a commercial hub and a centre of cultural interaction.</w:t>
      </w:r>
    </w:p>
    <w:p w14:paraId="670BA838" w14:textId="7C2BB77C" w:rsidR="00A61832" w:rsidRDefault="00E417F6">
      <w:r w:rsidRPr="00E417F6">
        <w:t>B</w:t>
      </w:r>
      <w:r w:rsidR="00B81CD3">
        <w:t xml:space="preserve">yblos’ </w:t>
      </w:r>
      <w:r w:rsidRPr="00E417F6">
        <w:t>significance during the Bronze Age rested on a combination of geographical opportunity, economic strength, and diplomatic</w:t>
      </w:r>
      <w:r w:rsidR="00B81CD3">
        <w:t xml:space="preserve"> engagement. </w:t>
      </w:r>
      <w:r w:rsidR="00D368DF" w:rsidRPr="00D368DF">
        <w:t xml:space="preserve">Its position on the </w:t>
      </w:r>
      <w:r w:rsidR="00211698">
        <w:t>Levantine</w:t>
      </w:r>
      <w:r w:rsidR="00D368DF" w:rsidRPr="00D368DF">
        <w:t xml:space="preserve"> coast, with access to both maritime and inland routes, allowed it to become a central hub linking Egypt, Mesopotamia, Cyprus, and the wider eastern Mediterranean. The </w:t>
      </w:r>
      <w:r w:rsidR="00211698">
        <w:t>towns</w:t>
      </w:r>
      <w:r w:rsidR="00D368DF" w:rsidRPr="00D368DF">
        <w:t xml:space="preserve"> control over valuable resources, especially cedarwood, supported </w:t>
      </w:r>
      <w:r w:rsidR="006D6016">
        <w:t>a</w:t>
      </w:r>
      <w:r w:rsidR="00D368DF" w:rsidRPr="00D368DF">
        <w:t xml:space="preserve"> thriving economy and enabled its elite to cultivate far</w:t>
      </w:r>
      <w:r w:rsidR="006D6016">
        <w:t>-</w:t>
      </w:r>
      <w:r w:rsidR="00D368DF" w:rsidRPr="00D368DF">
        <w:t>reaching relationships with foreign powers. Diplomatic exchanges</w:t>
      </w:r>
      <w:r w:rsidR="00767003" w:rsidRPr="00767003">
        <w:t xml:space="preserve">, </w:t>
      </w:r>
      <w:r w:rsidR="00135F26">
        <w:t>s</w:t>
      </w:r>
      <w:r w:rsidR="00135F26" w:rsidRPr="00135F26">
        <w:t xml:space="preserve">uch as those seen in the </w:t>
      </w:r>
      <w:r w:rsidR="00135F26">
        <w:t>A</w:t>
      </w:r>
      <w:r w:rsidR="00A05A11">
        <w:t>marna</w:t>
      </w:r>
      <w:r w:rsidR="00135F26" w:rsidRPr="00135F26">
        <w:t xml:space="preserve"> </w:t>
      </w:r>
      <w:r w:rsidR="00A05A11">
        <w:t>L</w:t>
      </w:r>
      <w:r w:rsidR="00135F26" w:rsidRPr="00135F26">
        <w:t>etters,</w:t>
      </w:r>
      <w:r w:rsidR="00A05A11">
        <w:t xml:space="preserve"> underline how Byblos acted not only as a commercial centre but also as an important political intermediary.</w:t>
      </w:r>
    </w:p>
    <w:p w14:paraId="74857716" w14:textId="62B9BEFF" w:rsidR="006D6016" w:rsidRDefault="00E5630E">
      <w:r w:rsidRPr="00E5630E">
        <w:t xml:space="preserve">The archaeological record reveals that </w:t>
      </w:r>
      <w:r w:rsidR="00D31F50">
        <w:t>B</w:t>
      </w:r>
      <w:r w:rsidRPr="00E5630E">
        <w:t xml:space="preserve">yblos played a key role in early forms of </w:t>
      </w:r>
      <w:r w:rsidR="00D31F50" w:rsidRPr="00E5630E">
        <w:t>inter-regional</w:t>
      </w:r>
      <w:r w:rsidRPr="00E5630E">
        <w:t xml:space="preserve"> connectivity that can be seen as pre</w:t>
      </w:r>
      <w:r w:rsidR="008E4224">
        <w:t>cursors</w:t>
      </w:r>
      <w:r w:rsidRPr="00E5630E">
        <w:t xml:space="preserve"> </w:t>
      </w:r>
      <w:r w:rsidR="008E4224">
        <w:t>to</w:t>
      </w:r>
      <w:r w:rsidRPr="00E5630E">
        <w:t xml:space="preserve"> later globalised systems of trade and cultural </w:t>
      </w:r>
      <w:r w:rsidRPr="00E5630E">
        <w:lastRenderedPageBreak/>
        <w:t xml:space="preserve">exchange. </w:t>
      </w:r>
      <w:r w:rsidR="008E4224">
        <w:t>Its</w:t>
      </w:r>
      <w:r w:rsidRPr="00E5630E">
        <w:t xml:space="preserve"> hybrid artistic styles, multilingual inscriptions, and imported materials illustrate the depth of </w:t>
      </w:r>
      <w:r w:rsidR="007F1D97">
        <w:t>its</w:t>
      </w:r>
      <w:r w:rsidRPr="00E5630E">
        <w:t xml:space="preserve"> interactions with diverse cultures across the Bronze Age world.</w:t>
      </w:r>
    </w:p>
    <w:p w14:paraId="787B743D" w14:textId="77777777" w:rsidR="007F1D97" w:rsidRPr="00135F26" w:rsidRDefault="007F1D97">
      <w:pPr>
        <w:rPr>
          <w:u w:val="single"/>
        </w:rPr>
      </w:pPr>
    </w:p>
    <w:p w14:paraId="55A44063" w14:textId="77777777" w:rsidR="00005CE6" w:rsidRDefault="00005CE6"/>
    <w:p w14:paraId="518D01F5" w14:textId="77777777" w:rsidR="00005CE6" w:rsidRDefault="00005CE6"/>
    <w:p w14:paraId="36469D0F" w14:textId="77777777" w:rsidR="00005CE6" w:rsidRDefault="00005CE6"/>
    <w:p w14:paraId="0CF26199" w14:textId="77777777" w:rsidR="00005CE6" w:rsidRDefault="00005CE6"/>
    <w:p w14:paraId="3A7E8662" w14:textId="77777777" w:rsidR="00005CE6" w:rsidRDefault="00005CE6"/>
    <w:p w14:paraId="58CB51F7" w14:textId="77777777" w:rsidR="00005CE6" w:rsidRDefault="00005CE6"/>
    <w:p w14:paraId="2729B5EF" w14:textId="77777777" w:rsidR="00005CE6" w:rsidRDefault="00005CE6"/>
    <w:p w14:paraId="471D50B6" w14:textId="7E8960C6" w:rsidR="00005CE6" w:rsidRDefault="00005CE6" w:rsidP="00005CE6">
      <w:pPr>
        <w:pStyle w:val="Heading1"/>
        <w:jc w:val="center"/>
        <w:rPr>
          <w:color w:val="000000" w:themeColor="text1"/>
        </w:rPr>
      </w:pPr>
      <w:r w:rsidRPr="00005CE6">
        <w:rPr>
          <w:color w:val="000000" w:themeColor="text1"/>
        </w:rPr>
        <w:t>Bibliography</w:t>
      </w:r>
    </w:p>
    <w:p w14:paraId="184FAA17" w14:textId="77777777" w:rsidR="00FD7155" w:rsidRPr="00FD7155" w:rsidRDefault="00005CE6" w:rsidP="00FD7155">
      <w:pPr>
        <w:pStyle w:val="Bibliography"/>
        <w:rPr>
          <w:rFonts w:ascii="Calibri" w:hAnsi="Calibri" w:cs="Calibri"/>
          <w:kern w:val="0"/>
        </w:rPr>
      </w:pPr>
      <w:r>
        <w:fldChar w:fldCharType="begin"/>
      </w:r>
      <w:r w:rsidR="00FD7155">
        <w:instrText xml:space="preserve"> ADDIN ZOTERO_BIBL {"uncited":[["http://zotero.org/users/local/yKBDKBHn/items/QE6H2IBG"],["http://zotero.org/users/local/yKBDKBHn/items/XPKSCNIM"],["http://zotero.org/users/local/yKBDKBHn/items/U9DXK3IV"],["http://zotero.org/users/local/yKBDKBHn/items/V3WT8PFM"]],"omitted":[],"custom":[]} CSL_BIBLIOGRAPHY </w:instrText>
      </w:r>
      <w:r>
        <w:fldChar w:fldCharType="separate"/>
      </w:r>
      <w:r w:rsidR="00FD7155" w:rsidRPr="00FD7155">
        <w:rPr>
          <w:rFonts w:ascii="Calibri" w:hAnsi="Calibri" w:cs="Calibri"/>
          <w:kern w:val="0"/>
        </w:rPr>
        <w:t xml:space="preserve">Aubet, M.E. and Turton, M. (2001) </w:t>
      </w:r>
      <w:r w:rsidR="00FD7155" w:rsidRPr="00FD7155">
        <w:rPr>
          <w:rFonts w:ascii="Calibri" w:hAnsi="Calibri" w:cs="Calibri"/>
          <w:i/>
          <w:iCs/>
          <w:kern w:val="0"/>
        </w:rPr>
        <w:t>The Phoenicians and the West: politics, colonies and trade</w:t>
      </w:r>
      <w:r w:rsidR="00FD7155" w:rsidRPr="00FD7155">
        <w:rPr>
          <w:rFonts w:ascii="Calibri" w:hAnsi="Calibri" w:cs="Calibri"/>
          <w:kern w:val="0"/>
        </w:rPr>
        <w:t>. 2. ed. Cambridge New York, NY Oakleigh, VIC Madrid Cape Town: Cambridge University Press.</w:t>
      </w:r>
    </w:p>
    <w:p w14:paraId="433CEE80"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Charaf, H. (2024) ‘The Relations between Byblos and Egypt during the Middle Bronze Age’, in </w:t>
      </w:r>
      <w:proofErr w:type="gramStart"/>
      <w:r w:rsidRPr="00FD7155">
        <w:rPr>
          <w:rFonts w:ascii="Calibri" w:hAnsi="Calibri" w:cs="Calibri"/>
          <w:i/>
          <w:iCs/>
          <w:kern w:val="0"/>
        </w:rPr>
        <w:t>Byblos :</w:t>
      </w:r>
      <w:proofErr w:type="gramEnd"/>
      <w:r w:rsidRPr="00FD7155">
        <w:rPr>
          <w:rFonts w:ascii="Calibri" w:hAnsi="Calibri" w:cs="Calibri"/>
          <w:i/>
          <w:iCs/>
          <w:kern w:val="0"/>
        </w:rPr>
        <w:t xml:space="preserve"> A Legacy Unearthed</w:t>
      </w:r>
      <w:r w:rsidRPr="00FD7155">
        <w:rPr>
          <w:rFonts w:ascii="Calibri" w:hAnsi="Calibri" w:cs="Calibri"/>
          <w:kern w:val="0"/>
        </w:rPr>
        <w:t>. American University of Beirut Press, p. 123.</w:t>
      </w:r>
    </w:p>
    <w:p w14:paraId="13967C8B"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Donald B. Redford (1992) </w:t>
      </w:r>
      <w:r w:rsidRPr="00FD7155">
        <w:rPr>
          <w:rFonts w:ascii="Calibri" w:hAnsi="Calibri" w:cs="Calibri"/>
          <w:i/>
          <w:iCs/>
          <w:kern w:val="0"/>
        </w:rPr>
        <w:t>Egypt, Canaan, and Israel in ancient times</w:t>
      </w:r>
      <w:r w:rsidRPr="00FD7155">
        <w:rPr>
          <w:rFonts w:ascii="Calibri" w:hAnsi="Calibri" w:cs="Calibri"/>
          <w:kern w:val="0"/>
        </w:rPr>
        <w:t>. Princeton University Press. Available at: http://archive.org/details/egyptcanaanisrae00redf (Accessed: 21 November 2025).</w:t>
      </w:r>
    </w:p>
    <w:p w14:paraId="0F34A462"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Dunand, M. (1973) </w:t>
      </w:r>
      <w:proofErr w:type="spellStart"/>
      <w:r w:rsidRPr="00FD7155">
        <w:rPr>
          <w:rFonts w:ascii="Calibri" w:hAnsi="Calibri" w:cs="Calibri"/>
          <w:i/>
          <w:iCs/>
          <w:kern w:val="0"/>
        </w:rPr>
        <w:t>Fouilles</w:t>
      </w:r>
      <w:proofErr w:type="spellEnd"/>
      <w:r w:rsidRPr="00FD7155">
        <w:rPr>
          <w:rFonts w:ascii="Calibri" w:hAnsi="Calibri" w:cs="Calibri"/>
          <w:i/>
          <w:iCs/>
          <w:kern w:val="0"/>
        </w:rPr>
        <w:t xml:space="preserve"> de Byblos....: </w:t>
      </w:r>
      <w:proofErr w:type="spellStart"/>
      <w:r w:rsidRPr="00FD7155">
        <w:rPr>
          <w:rFonts w:ascii="Calibri" w:hAnsi="Calibri" w:cs="Calibri"/>
          <w:i/>
          <w:iCs/>
          <w:kern w:val="0"/>
        </w:rPr>
        <w:t>L’Architecture</w:t>
      </w:r>
      <w:proofErr w:type="spellEnd"/>
      <w:r w:rsidRPr="00FD7155">
        <w:rPr>
          <w:rFonts w:ascii="Calibri" w:hAnsi="Calibri" w:cs="Calibri"/>
          <w:i/>
          <w:iCs/>
          <w:kern w:val="0"/>
        </w:rPr>
        <w:t xml:space="preserve">, les </w:t>
      </w:r>
      <w:proofErr w:type="spellStart"/>
      <w:r w:rsidRPr="00FD7155">
        <w:rPr>
          <w:rFonts w:ascii="Calibri" w:hAnsi="Calibri" w:cs="Calibri"/>
          <w:i/>
          <w:iCs/>
          <w:kern w:val="0"/>
        </w:rPr>
        <w:t>tombes</w:t>
      </w:r>
      <w:proofErr w:type="spellEnd"/>
      <w:r w:rsidRPr="00FD7155">
        <w:rPr>
          <w:rFonts w:ascii="Calibri" w:hAnsi="Calibri" w:cs="Calibri"/>
          <w:i/>
          <w:iCs/>
          <w:kern w:val="0"/>
        </w:rPr>
        <w:t xml:space="preserve">, le matériel domestique, des </w:t>
      </w:r>
      <w:proofErr w:type="spellStart"/>
      <w:r w:rsidRPr="00FD7155">
        <w:rPr>
          <w:rFonts w:ascii="Calibri" w:hAnsi="Calibri" w:cs="Calibri"/>
          <w:i/>
          <w:iCs/>
          <w:kern w:val="0"/>
        </w:rPr>
        <w:t>origines</w:t>
      </w:r>
      <w:proofErr w:type="spellEnd"/>
      <w:r w:rsidRPr="00FD7155">
        <w:rPr>
          <w:rFonts w:ascii="Calibri" w:hAnsi="Calibri" w:cs="Calibri"/>
          <w:i/>
          <w:iCs/>
          <w:kern w:val="0"/>
        </w:rPr>
        <w:t xml:space="preserve"> </w:t>
      </w:r>
      <w:proofErr w:type="spellStart"/>
      <w:r w:rsidRPr="00FD7155">
        <w:rPr>
          <w:rFonts w:ascii="Calibri" w:hAnsi="Calibri" w:cs="Calibri"/>
          <w:i/>
          <w:iCs/>
          <w:kern w:val="0"/>
        </w:rPr>
        <w:t>néolithiques</w:t>
      </w:r>
      <w:proofErr w:type="spellEnd"/>
      <w:r w:rsidRPr="00FD7155">
        <w:rPr>
          <w:rFonts w:ascii="Calibri" w:hAnsi="Calibri" w:cs="Calibri"/>
          <w:i/>
          <w:iCs/>
          <w:kern w:val="0"/>
        </w:rPr>
        <w:t xml:space="preserve"> à </w:t>
      </w:r>
      <w:proofErr w:type="spellStart"/>
      <w:r w:rsidRPr="00FD7155">
        <w:rPr>
          <w:rFonts w:ascii="Calibri" w:hAnsi="Calibri" w:cs="Calibri"/>
          <w:i/>
          <w:iCs/>
          <w:kern w:val="0"/>
        </w:rPr>
        <w:t>l’avènement</w:t>
      </w:r>
      <w:proofErr w:type="spellEnd"/>
      <w:r w:rsidRPr="00FD7155">
        <w:rPr>
          <w:rFonts w:ascii="Calibri" w:hAnsi="Calibri" w:cs="Calibri"/>
          <w:i/>
          <w:iCs/>
          <w:kern w:val="0"/>
        </w:rPr>
        <w:t xml:space="preserve"> </w:t>
      </w:r>
      <w:proofErr w:type="spellStart"/>
      <w:r w:rsidRPr="00FD7155">
        <w:rPr>
          <w:rFonts w:ascii="Calibri" w:hAnsi="Calibri" w:cs="Calibri"/>
          <w:i/>
          <w:iCs/>
          <w:kern w:val="0"/>
        </w:rPr>
        <w:t>urbain</w:t>
      </w:r>
      <w:proofErr w:type="spellEnd"/>
      <w:r w:rsidRPr="00FD7155">
        <w:rPr>
          <w:rFonts w:ascii="Calibri" w:hAnsi="Calibri" w:cs="Calibri"/>
          <w:kern w:val="0"/>
        </w:rPr>
        <w:t>. P. Geuthner.</w:t>
      </w:r>
    </w:p>
    <w:p w14:paraId="71930CCE" w14:textId="77777777" w:rsidR="00FD7155" w:rsidRPr="00FD7155" w:rsidRDefault="00FD7155" w:rsidP="00FD7155">
      <w:pPr>
        <w:pStyle w:val="Bibliography"/>
        <w:rPr>
          <w:rFonts w:ascii="Calibri" w:hAnsi="Calibri" w:cs="Calibri"/>
          <w:kern w:val="0"/>
        </w:rPr>
      </w:pPr>
      <w:proofErr w:type="spellStart"/>
      <w:r w:rsidRPr="00FD7155">
        <w:rPr>
          <w:rFonts w:ascii="Calibri" w:hAnsi="Calibri" w:cs="Calibri"/>
          <w:kern w:val="0"/>
        </w:rPr>
        <w:t>Figue</w:t>
      </w:r>
      <w:proofErr w:type="spellEnd"/>
      <w:r w:rsidRPr="00FD7155">
        <w:rPr>
          <w:rFonts w:ascii="Calibri" w:hAnsi="Calibri" w:cs="Calibri"/>
          <w:kern w:val="0"/>
        </w:rPr>
        <w:t xml:space="preserve"> 2, B. (no date) </w:t>
      </w:r>
      <w:r w:rsidRPr="00FD7155">
        <w:rPr>
          <w:rFonts w:ascii="Calibri" w:hAnsi="Calibri" w:cs="Calibri"/>
          <w:i/>
          <w:iCs/>
          <w:kern w:val="0"/>
        </w:rPr>
        <w:t>Byblos Ruins</w:t>
      </w:r>
      <w:r w:rsidRPr="00FD7155">
        <w:rPr>
          <w:rFonts w:ascii="Calibri" w:hAnsi="Calibri" w:cs="Calibri"/>
          <w:kern w:val="0"/>
        </w:rPr>
        <w:t xml:space="preserve">, </w:t>
      </w:r>
      <w:r w:rsidRPr="00FD7155">
        <w:rPr>
          <w:rFonts w:ascii="Calibri" w:hAnsi="Calibri" w:cs="Calibri"/>
          <w:i/>
          <w:iCs/>
          <w:kern w:val="0"/>
        </w:rPr>
        <w:t>Byblos Ruins</w:t>
      </w:r>
      <w:r w:rsidRPr="00FD7155">
        <w:rPr>
          <w:rFonts w:ascii="Calibri" w:hAnsi="Calibri" w:cs="Calibri"/>
          <w:kern w:val="0"/>
        </w:rPr>
        <w:t>. Available at: https://byblosruins.com/artifacts (Accessed: 24 November 2025).</w:t>
      </w:r>
    </w:p>
    <w:p w14:paraId="315F266F"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Figure 1 (2025) </w:t>
      </w:r>
      <w:r w:rsidRPr="00FD7155">
        <w:rPr>
          <w:rFonts w:ascii="Calibri" w:hAnsi="Calibri" w:cs="Calibri"/>
          <w:i/>
          <w:iCs/>
          <w:kern w:val="0"/>
        </w:rPr>
        <w:t>Byblos | Ancient Phoenician City, Lebanon | Britannica</w:t>
      </w:r>
      <w:r w:rsidRPr="00FD7155">
        <w:rPr>
          <w:rFonts w:ascii="Calibri" w:hAnsi="Calibri" w:cs="Calibri"/>
          <w:kern w:val="0"/>
        </w:rPr>
        <w:t>. Available at: https://www.britannica.com/place/Byblos (Accessed: 24 November 2025).</w:t>
      </w:r>
    </w:p>
    <w:p w14:paraId="2A5243DF"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Figure 3 (no date) ‘Amarna Letters | Ancient Egypt Online’. Available at: https://ancientegyptonline.co.uk/amarnaletters/ (Accessed: 24 November 2025).</w:t>
      </w:r>
    </w:p>
    <w:p w14:paraId="310289CB"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Figure 4 (2025) ‘Temple of </w:t>
      </w:r>
      <w:proofErr w:type="spellStart"/>
      <w:r w:rsidRPr="00FD7155">
        <w:rPr>
          <w:rFonts w:ascii="Calibri" w:hAnsi="Calibri" w:cs="Calibri"/>
          <w:kern w:val="0"/>
        </w:rPr>
        <w:t>Baalat</w:t>
      </w:r>
      <w:proofErr w:type="spellEnd"/>
      <w:r w:rsidRPr="00FD7155">
        <w:rPr>
          <w:rFonts w:ascii="Calibri" w:hAnsi="Calibri" w:cs="Calibri"/>
          <w:kern w:val="0"/>
        </w:rPr>
        <w:t xml:space="preserve"> Gebal’, </w:t>
      </w:r>
      <w:r w:rsidRPr="00FD7155">
        <w:rPr>
          <w:rFonts w:ascii="Calibri" w:hAnsi="Calibri" w:cs="Calibri"/>
          <w:i/>
          <w:iCs/>
          <w:kern w:val="0"/>
        </w:rPr>
        <w:t>Wikipedia</w:t>
      </w:r>
      <w:r w:rsidRPr="00FD7155">
        <w:rPr>
          <w:rFonts w:ascii="Calibri" w:hAnsi="Calibri" w:cs="Calibri"/>
          <w:kern w:val="0"/>
        </w:rPr>
        <w:t>. Available at: https://en.wikipedia.org/w/index.php?title=Temple_of_Baalat_Gebal&amp;oldid=1296100235 (Accessed: 24 November 2025).</w:t>
      </w:r>
    </w:p>
    <w:p w14:paraId="496D0B09"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Horden, P. and Purcell, N. (2002) ‘The Corrupting Sea. A Study of Mediterranean History.’, </w:t>
      </w:r>
      <w:r w:rsidRPr="00FD7155">
        <w:rPr>
          <w:rFonts w:ascii="Calibri" w:hAnsi="Calibri" w:cs="Calibri"/>
          <w:i/>
          <w:iCs/>
          <w:kern w:val="0"/>
        </w:rPr>
        <w:t>The Journal of Roman Studies</w:t>
      </w:r>
      <w:r w:rsidRPr="00FD7155">
        <w:rPr>
          <w:rFonts w:ascii="Calibri" w:hAnsi="Calibri" w:cs="Calibri"/>
          <w:kern w:val="0"/>
        </w:rPr>
        <w:t>, 92, pp. 195–197. Available at: https://doi.org/10.2307/3184867.</w:t>
      </w:r>
    </w:p>
    <w:p w14:paraId="774D2D63"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Kilani, M. (2019) </w:t>
      </w:r>
      <w:r w:rsidRPr="00FD7155">
        <w:rPr>
          <w:rFonts w:ascii="Calibri" w:hAnsi="Calibri" w:cs="Calibri"/>
          <w:i/>
          <w:iCs/>
          <w:kern w:val="0"/>
        </w:rPr>
        <w:t>Byblos in the Late Bronze Age: Interactions between the Levantine and Egyptian Worlds</w:t>
      </w:r>
      <w:r w:rsidRPr="00FD7155">
        <w:rPr>
          <w:rFonts w:ascii="Calibri" w:hAnsi="Calibri" w:cs="Calibri"/>
          <w:kern w:val="0"/>
        </w:rPr>
        <w:t>. BRILL.</w:t>
      </w:r>
    </w:p>
    <w:p w14:paraId="66D315FD"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Knapp, A.B. (2015) ‘The Archaeology of Cyprus from the Earliest Prehistory Through the Bronze Age’, </w:t>
      </w:r>
      <w:r w:rsidRPr="00FD7155">
        <w:rPr>
          <w:rFonts w:ascii="Calibri" w:hAnsi="Calibri" w:cs="Calibri"/>
          <w:i/>
          <w:iCs/>
          <w:kern w:val="0"/>
        </w:rPr>
        <w:t>European Journal of Archaeology</w:t>
      </w:r>
      <w:r w:rsidRPr="00FD7155">
        <w:rPr>
          <w:rFonts w:ascii="Calibri" w:hAnsi="Calibri" w:cs="Calibri"/>
          <w:kern w:val="0"/>
        </w:rPr>
        <w:t>, 18(2), pp. 361–365. Available at: https://doi.org/10.1179/1461957115Z.000000000121.</w:t>
      </w:r>
    </w:p>
    <w:p w14:paraId="4AFF81D2"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Renfrew, C. (1975) </w:t>
      </w:r>
      <w:r w:rsidRPr="00FD7155">
        <w:rPr>
          <w:rFonts w:ascii="Calibri" w:hAnsi="Calibri" w:cs="Calibri"/>
          <w:i/>
          <w:iCs/>
          <w:kern w:val="0"/>
        </w:rPr>
        <w:t>Ancient Civilization and Trade</w:t>
      </w:r>
      <w:r w:rsidRPr="00FD7155">
        <w:rPr>
          <w:rFonts w:ascii="Calibri" w:hAnsi="Calibri" w:cs="Calibri"/>
          <w:kern w:val="0"/>
        </w:rPr>
        <w:t>. Albuquerque: University of New Mexico Press (School of American Research), pp. 3–60.</w:t>
      </w:r>
    </w:p>
    <w:p w14:paraId="4724393E" w14:textId="77777777" w:rsidR="00FD7155" w:rsidRPr="00FD7155" w:rsidRDefault="00FD7155" w:rsidP="00FD7155">
      <w:pPr>
        <w:pStyle w:val="Bibliography"/>
        <w:rPr>
          <w:rFonts w:ascii="Calibri" w:hAnsi="Calibri" w:cs="Calibri"/>
          <w:kern w:val="0"/>
        </w:rPr>
      </w:pPr>
      <w:r w:rsidRPr="00FD7155">
        <w:rPr>
          <w:rFonts w:ascii="Calibri" w:hAnsi="Calibri" w:cs="Calibri"/>
          <w:kern w:val="0"/>
        </w:rPr>
        <w:t xml:space="preserve">Sowada, K. </w:t>
      </w:r>
      <w:r w:rsidRPr="00FD7155">
        <w:rPr>
          <w:rFonts w:ascii="Calibri" w:hAnsi="Calibri" w:cs="Calibri"/>
          <w:i/>
          <w:iCs/>
          <w:kern w:val="0"/>
        </w:rPr>
        <w:t>et al.</w:t>
      </w:r>
      <w:r w:rsidRPr="00FD7155">
        <w:rPr>
          <w:rFonts w:ascii="Calibri" w:hAnsi="Calibri" w:cs="Calibri"/>
          <w:kern w:val="0"/>
        </w:rPr>
        <w:t xml:space="preserve"> (2021) ‘Early Bronze Age exchange patterns between Egypt and the Levant: a view from First Dynasty Abu Rawash’, </w:t>
      </w:r>
      <w:proofErr w:type="spellStart"/>
      <w:r w:rsidRPr="00FD7155">
        <w:rPr>
          <w:rFonts w:ascii="Calibri" w:hAnsi="Calibri" w:cs="Calibri"/>
          <w:i/>
          <w:iCs/>
          <w:kern w:val="0"/>
        </w:rPr>
        <w:t>Agypten</w:t>
      </w:r>
      <w:proofErr w:type="spellEnd"/>
      <w:r w:rsidRPr="00FD7155">
        <w:rPr>
          <w:rFonts w:ascii="Calibri" w:hAnsi="Calibri" w:cs="Calibri"/>
          <w:i/>
          <w:iCs/>
          <w:kern w:val="0"/>
        </w:rPr>
        <w:t xml:space="preserve"> und Levante</w:t>
      </w:r>
      <w:r w:rsidRPr="00FD7155">
        <w:rPr>
          <w:rFonts w:ascii="Calibri" w:hAnsi="Calibri" w:cs="Calibri"/>
          <w:kern w:val="0"/>
        </w:rPr>
        <w:t>, 31, pp. 425–449. Available at: https://doi.org/10.1553/AEUNDL31S425.</w:t>
      </w:r>
    </w:p>
    <w:p w14:paraId="31DD0872" w14:textId="5DC9C206" w:rsidR="00005CE6" w:rsidRPr="00005CE6" w:rsidRDefault="00005CE6" w:rsidP="00005CE6">
      <w:r>
        <w:fldChar w:fldCharType="end"/>
      </w:r>
    </w:p>
    <w:sectPr w:rsidR="00005CE6" w:rsidRPr="00005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CE6"/>
    <w:rsid w:val="000057DC"/>
    <w:rsid w:val="00005CE6"/>
    <w:rsid w:val="00007647"/>
    <w:rsid w:val="0004038C"/>
    <w:rsid w:val="000429FF"/>
    <w:rsid w:val="00045FF3"/>
    <w:rsid w:val="000518BF"/>
    <w:rsid w:val="00061E2D"/>
    <w:rsid w:val="000661A4"/>
    <w:rsid w:val="00067F75"/>
    <w:rsid w:val="000746EC"/>
    <w:rsid w:val="00082575"/>
    <w:rsid w:val="000B6127"/>
    <w:rsid w:val="000D56A4"/>
    <w:rsid w:val="000E3A62"/>
    <w:rsid w:val="000E476B"/>
    <w:rsid w:val="000F7474"/>
    <w:rsid w:val="001320E6"/>
    <w:rsid w:val="00135F26"/>
    <w:rsid w:val="0015789D"/>
    <w:rsid w:val="001630A3"/>
    <w:rsid w:val="0017073F"/>
    <w:rsid w:val="00170E32"/>
    <w:rsid w:val="00171903"/>
    <w:rsid w:val="00174E1D"/>
    <w:rsid w:val="00180EE4"/>
    <w:rsid w:val="00192DF4"/>
    <w:rsid w:val="001974A7"/>
    <w:rsid w:val="001A1EE0"/>
    <w:rsid w:val="001B2F31"/>
    <w:rsid w:val="001B59C9"/>
    <w:rsid w:val="001C1C03"/>
    <w:rsid w:val="001C27D6"/>
    <w:rsid w:val="001D5B51"/>
    <w:rsid w:val="001F4656"/>
    <w:rsid w:val="00211698"/>
    <w:rsid w:val="002319BE"/>
    <w:rsid w:val="00265B6D"/>
    <w:rsid w:val="002A3F8B"/>
    <w:rsid w:val="002A7572"/>
    <w:rsid w:val="002D7147"/>
    <w:rsid w:val="00307CC0"/>
    <w:rsid w:val="00331E8D"/>
    <w:rsid w:val="00365747"/>
    <w:rsid w:val="00371131"/>
    <w:rsid w:val="003806AD"/>
    <w:rsid w:val="003816D2"/>
    <w:rsid w:val="00383A3A"/>
    <w:rsid w:val="003A5B2C"/>
    <w:rsid w:val="003B498A"/>
    <w:rsid w:val="003E58DB"/>
    <w:rsid w:val="00400499"/>
    <w:rsid w:val="00407EA0"/>
    <w:rsid w:val="00431667"/>
    <w:rsid w:val="00431EA4"/>
    <w:rsid w:val="0043797C"/>
    <w:rsid w:val="00440422"/>
    <w:rsid w:val="00450EDD"/>
    <w:rsid w:val="00494EF6"/>
    <w:rsid w:val="004A4325"/>
    <w:rsid w:val="004C7BFC"/>
    <w:rsid w:val="004D09BB"/>
    <w:rsid w:val="004D2271"/>
    <w:rsid w:val="004D262E"/>
    <w:rsid w:val="004F3542"/>
    <w:rsid w:val="004F3AE5"/>
    <w:rsid w:val="00517F7F"/>
    <w:rsid w:val="00546AFD"/>
    <w:rsid w:val="00546B14"/>
    <w:rsid w:val="00555127"/>
    <w:rsid w:val="00581080"/>
    <w:rsid w:val="00581EFE"/>
    <w:rsid w:val="00581F18"/>
    <w:rsid w:val="00594992"/>
    <w:rsid w:val="005C6061"/>
    <w:rsid w:val="005F66F8"/>
    <w:rsid w:val="006256B0"/>
    <w:rsid w:val="00626FA1"/>
    <w:rsid w:val="0062763B"/>
    <w:rsid w:val="0063204D"/>
    <w:rsid w:val="0066189F"/>
    <w:rsid w:val="00681728"/>
    <w:rsid w:val="0069390C"/>
    <w:rsid w:val="0069652D"/>
    <w:rsid w:val="006A7CCB"/>
    <w:rsid w:val="006D03E8"/>
    <w:rsid w:val="006D6016"/>
    <w:rsid w:val="007157E8"/>
    <w:rsid w:val="00720281"/>
    <w:rsid w:val="00753C11"/>
    <w:rsid w:val="007637FF"/>
    <w:rsid w:val="00766CDD"/>
    <w:rsid w:val="00767003"/>
    <w:rsid w:val="007846AB"/>
    <w:rsid w:val="00787204"/>
    <w:rsid w:val="00793E14"/>
    <w:rsid w:val="007959C9"/>
    <w:rsid w:val="007A3A79"/>
    <w:rsid w:val="007C1FF1"/>
    <w:rsid w:val="007C674C"/>
    <w:rsid w:val="007E21FA"/>
    <w:rsid w:val="007F1D97"/>
    <w:rsid w:val="00813AD2"/>
    <w:rsid w:val="00814F0A"/>
    <w:rsid w:val="00827053"/>
    <w:rsid w:val="0084132D"/>
    <w:rsid w:val="00876DB2"/>
    <w:rsid w:val="008E4224"/>
    <w:rsid w:val="008F01BA"/>
    <w:rsid w:val="009109E2"/>
    <w:rsid w:val="0091239A"/>
    <w:rsid w:val="009254AD"/>
    <w:rsid w:val="00926478"/>
    <w:rsid w:val="00941D94"/>
    <w:rsid w:val="00957B87"/>
    <w:rsid w:val="0097241E"/>
    <w:rsid w:val="009A3B5C"/>
    <w:rsid w:val="009C0C67"/>
    <w:rsid w:val="009C60C3"/>
    <w:rsid w:val="009E07EC"/>
    <w:rsid w:val="009E0F21"/>
    <w:rsid w:val="009E5B7E"/>
    <w:rsid w:val="009F4228"/>
    <w:rsid w:val="009F7BDB"/>
    <w:rsid w:val="00A05A11"/>
    <w:rsid w:val="00A05CF3"/>
    <w:rsid w:val="00A2778F"/>
    <w:rsid w:val="00A4191D"/>
    <w:rsid w:val="00A500A1"/>
    <w:rsid w:val="00A61832"/>
    <w:rsid w:val="00A77133"/>
    <w:rsid w:val="00A841CB"/>
    <w:rsid w:val="00A90F12"/>
    <w:rsid w:val="00AA7279"/>
    <w:rsid w:val="00AB31C1"/>
    <w:rsid w:val="00AB5A31"/>
    <w:rsid w:val="00AC583D"/>
    <w:rsid w:val="00AD3589"/>
    <w:rsid w:val="00B24378"/>
    <w:rsid w:val="00B42F79"/>
    <w:rsid w:val="00B52B3D"/>
    <w:rsid w:val="00B67019"/>
    <w:rsid w:val="00B81CD3"/>
    <w:rsid w:val="00BD1416"/>
    <w:rsid w:val="00BE2729"/>
    <w:rsid w:val="00C05234"/>
    <w:rsid w:val="00C11573"/>
    <w:rsid w:val="00C50F08"/>
    <w:rsid w:val="00C75A93"/>
    <w:rsid w:val="00C961CD"/>
    <w:rsid w:val="00CD7E73"/>
    <w:rsid w:val="00CE2AB6"/>
    <w:rsid w:val="00D156C1"/>
    <w:rsid w:val="00D31F50"/>
    <w:rsid w:val="00D368DF"/>
    <w:rsid w:val="00D4184B"/>
    <w:rsid w:val="00D428E8"/>
    <w:rsid w:val="00D52828"/>
    <w:rsid w:val="00D85D88"/>
    <w:rsid w:val="00DB3FC1"/>
    <w:rsid w:val="00DC47C1"/>
    <w:rsid w:val="00E01062"/>
    <w:rsid w:val="00E41734"/>
    <w:rsid w:val="00E417F6"/>
    <w:rsid w:val="00E43DF0"/>
    <w:rsid w:val="00E5630E"/>
    <w:rsid w:val="00E56708"/>
    <w:rsid w:val="00E76050"/>
    <w:rsid w:val="00E86D8E"/>
    <w:rsid w:val="00E93B94"/>
    <w:rsid w:val="00EC5087"/>
    <w:rsid w:val="00ED7132"/>
    <w:rsid w:val="00EE4AE5"/>
    <w:rsid w:val="00EE7E01"/>
    <w:rsid w:val="00EF46BD"/>
    <w:rsid w:val="00F600C2"/>
    <w:rsid w:val="00FB1715"/>
    <w:rsid w:val="00FB4DC4"/>
    <w:rsid w:val="00FB6562"/>
    <w:rsid w:val="00FD0946"/>
    <w:rsid w:val="00FD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6EF8"/>
  <w15:chartTrackingRefBased/>
  <w15:docId w15:val="{7C4AA9CA-217F-49EB-A071-5A3DAB7BE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C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5C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5C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5C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5C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5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C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5C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05C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5C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5C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5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CE6"/>
    <w:rPr>
      <w:rFonts w:eastAsiaTheme="majorEastAsia" w:cstheme="majorBidi"/>
      <w:color w:val="272727" w:themeColor="text1" w:themeTint="D8"/>
    </w:rPr>
  </w:style>
  <w:style w:type="paragraph" w:styleId="Title">
    <w:name w:val="Title"/>
    <w:basedOn w:val="Normal"/>
    <w:next w:val="Normal"/>
    <w:link w:val="TitleChar"/>
    <w:uiPriority w:val="10"/>
    <w:qFormat/>
    <w:rsid w:val="00005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CE6"/>
    <w:pPr>
      <w:spacing w:before="160"/>
      <w:jc w:val="center"/>
    </w:pPr>
    <w:rPr>
      <w:i/>
      <w:iCs/>
      <w:color w:val="404040" w:themeColor="text1" w:themeTint="BF"/>
    </w:rPr>
  </w:style>
  <w:style w:type="character" w:customStyle="1" w:styleId="QuoteChar">
    <w:name w:val="Quote Char"/>
    <w:basedOn w:val="DefaultParagraphFont"/>
    <w:link w:val="Quote"/>
    <w:uiPriority w:val="29"/>
    <w:rsid w:val="00005CE6"/>
    <w:rPr>
      <w:i/>
      <w:iCs/>
      <w:color w:val="404040" w:themeColor="text1" w:themeTint="BF"/>
    </w:rPr>
  </w:style>
  <w:style w:type="paragraph" w:styleId="ListParagraph">
    <w:name w:val="List Paragraph"/>
    <w:basedOn w:val="Normal"/>
    <w:uiPriority w:val="34"/>
    <w:qFormat/>
    <w:rsid w:val="00005CE6"/>
    <w:pPr>
      <w:ind w:left="720"/>
      <w:contextualSpacing/>
    </w:pPr>
  </w:style>
  <w:style w:type="character" w:styleId="IntenseEmphasis">
    <w:name w:val="Intense Emphasis"/>
    <w:basedOn w:val="DefaultParagraphFont"/>
    <w:uiPriority w:val="21"/>
    <w:qFormat/>
    <w:rsid w:val="00005CE6"/>
    <w:rPr>
      <w:i/>
      <w:iCs/>
      <w:color w:val="2F5496" w:themeColor="accent1" w:themeShade="BF"/>
    </w:rPr>
  </w:style>
  <w:style w:type="paragraph" w:styleId="IntenseQuote">
    <w:name w:val="Intense Quote"/>
    <w:basedOn w:val="Normal"/>
    <w:next w:val="Normal"/>
    <w:link w:val="IntenseQuoteChar"/>
    <w:uiPriority w:val="30"/>
    <w:qFormat/>
    <w:rsid w:val="00005C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5CE6"/>
    <w:rPr>
      <w:i/>
      <w:iCs/>
      <w:color w:val="2F5496" w:themeColor="accent1" w:themeShade="BF"/>
    </w:rPr>
  </w:style>
  <w:style w:type="character" w:styleId="IntenseReference">
    <w:name w:val="Intense Reference"/>
    <w:basedOn w:val="DefaultParagraphFont"/>
    <w:uiPriority w:val="32"/>
    <w:qFormat/>
    <w:rsid w:val="00005CE6"/>
    <w:rPr>
      <w:b/>
      <w:bCs/>
      <w:smallCaps/>
      <w:color w:val="2F5496" w:themeColor="accent1" w:themeShade="BF"/>
      <w:spacing w:val="5"/>
    </w:rPr>
  </w:style>
  <w:style w:type="paragraph" w:styleId="Bibliography">
    <w:name w:val="Bibliography"/>
    <w:basedOn w:val="Normal"/>
    <w:next w:val="Normal"/>
    <w:uiPriority w:val="37"/>
    <w:unhideWhenUsed/>
    <w:rsid w:val="00005CE6"/>
    <w:pPr>
      <w:spacing w:after="240" w:line="240" w:lineRule="auto"/>
    </w:pPr>
  </w:style>
  <w:style w:type="paragraph" w:styleId="Caption">
    <w:name w:val="caption"/>
    <w:basedOn w:val="Normal"/>
    <w:next w:val="Normal"/>
    <w:uiPriority w:val="35"/>
    <w:unhideWhenUsed/>
    <w:qFormat/>
    <w:rsid w:val="00B52B3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f7f76fc3cb0703811f262adffbd568a">
  <xsd:schema xmlns:xsd="http://www.w3.org/2001/XMLSchema" xmlns:xs="http://www.w3.org/2001/XMLSchema" xmlns:p="http://schemas.microsoft.com/office/2006/metadata/properties" xmlns:ns3="0085e1a2-9cbf-4b92-866b-21f3c89040b6" targetNamespace="http://schemas.microsoft.com/office/2006/metadata/properties" ma:root="true" ma:fieldsID="8c77c9b958c629195416a9a35518f8f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9DAA45-9DFE-41A7-8F94-9437BAA1FAF1}">
  <ds:schemaRefs>
    <ds:schemaRef ds:uri="http://schemas.microsoft.com/office/2006/documentManagement/types"/>
    <ds:schemaRef ds:uri="http://www.w3.org/XML/1998/namespace"/>
    <ds:schemaRef ds:uri="http://purl.org/dc/terms/"/>
    <ds:schemaRef ds:uri="http://schemas.openxmlformats.org/package/2006/metadata/core-properties"/>
    <ds:schemaRef ds:uri="0085e1a2-9cbf-4b92-866b-21f3c89040b6"/>
    <ds:schemaRef ds:uri="http://purl.org/dc/dcmitype/"/>
    <ds:schemaRef ds:uri="http://schemas.microsoft.com/office/infopath/2007/PartnerControls"/>
    <ds:schemaRef ds:uri="http://purl.org/dc/elements/1.1/"/>
    <ds:schemaRef ds:uri="http://schemas.microsoft.com/office/2006/metadata/properties"/>
  </ds:schemaRefs>
</ds:datastoreItem>
</file>

<file path=customXml/itemProps2.xml><?xml version="1.0" encoding="utf-8"?>
<ds:datastoreItem xmlns:ds="http://schemas.openxmlformats.org/officeDocument/2006/customXml" ds:itemID="{1346F1A2-0329-4902-932E-0503FFBAE898}">
  <ds:schemaRefs>
    <ds:schemaRef ds:uri="http://schemas.microsoft.com/sharepoint/v3/contenttype/forms"/>
  </ds:schemaRefs>
</ds:datastoreItem>
</file>

<file path=customXml/itemProps3.xml><?xml version="1.0" encoding="utf-8"?>
<ds:datastoreItem xmlns:ds="http://schemas.openxmlformats.org/officeDocument/2006/customXml" ds:itemID="{FDDBED7B-EC61-4177-8111-B844EEF84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5179</Words>
  <Characters>29523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169</cp:revision>
  <dcterms:created xsi:type="dcterms:W3CDTF">2025-11-21T14:23:00Z</dcterms:created>
  <dcterms:modified xsi:type="dcterms:W3CDTF">2025-11-24T10:13:00Z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id="3JHNQdOB"/&gt;&lt;style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y fmtid="{D5CDD505-2E9C-101B-9397-08002B2CF9AE}" pid="4" name="ContentTypeId">
    <vt:lpwstr>0x01010086E4C94D3791F742BF2CEB284273B86F</vt:lpwstr>
  </property>
</Properties>
</file>