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b w:val="1"/>
          <w:sz w:val="24"/>
          <w:szCs w:val="24"/>
        </w:rPr>
      </w:pPr>
      <w:r w:rsidDel="00000000" w:rsidR="00000000" w:rsidRPr="00000000">
        <w:rPr>
          <w:b w:val="1"/>
          <w:sz w:val="24"/>
          <w:szCs w:val="24"/>
          <w:rtl w:val="0"/>
        </w:rPr>
        <w:br w:type="textWrapping"/>
      </w:r>
      <w:r w:rsidDel="00000000" w:rsidR="00000000" w:rsidRPr="00000000">
        <w:rPr>
          <w:sz w:val="24"/>
          <w:szCs w:val="24"/>
          <w:rtl w:val="0"/>
        </w:rPr>
        <w:t xml:space="preserve">This encyclopaedia entry on Yom Kippur would most likely be found in a more general encyclopaedia, such as Encyclopaedia Britannica, or The Encyclopaedia of Religion. The reason for this being that it was written with a wider readership in mind, with the intent to be used as an introduction to the topic, which could be suitable for both academic purposes as well as non-formal education.</w:t>
        <w:br w:type="textWrapping"/>
        <w:br w:type="textWrapping"/>
      </w:r>
      <w:r w:rsidDel="00000000" w:rsidR="00000000" w:rsidRPr="00000000">
        <w:rPr>
          <w:b w:val="1"/>
          <w:sz w:val="32"/>
          <w:szCs w:val="32"/>
          <w:u w:val="single"/>
          <w:rtl w:val="0"/>
        </w:rPr>
        <w:t xml:space="preserve">What is Yom Kippur?</w:t>
      </w:r>
      <w:r w:rsidDel="00000000" w:rsidR="00000000" w:rsidRPr="00000000">
        <w:rPr>
          <w:sz w:val="24"/>
          <w:szCs w:val="24"/>
          <w:rtl w:val="0"/>
        </w:rPr>
        <w:br w:type="textWrapping"/>
        <w:br w:type="textWrapping"/>
        <w:t xml:space="preserve">Yom Kippur (also known as the Day of Atonement), is the holiest day of the year for Jewish people. It is a day in which people pray for spiritual cleansing and forgiveness for their past transgressions. Yom Kippur is one of the two Days of Awe (Yamim Noraim in hebrew) the first being Rosh Hashanah, the Jewish New Year. It also marks the end of the Ten Days of Penitence, falling on the 10th day of the 7th month of the Hebrew calendar (known as Tishri), which would fall on either September or October of the Gregorian calendar (the date for Yom Kippur this year was September 30th). It’s observance on this particular day is prescribed in scripture, as it states “</w:t>
      </w:r>
      <w:r w:rsidDel="00000000" w:rsidR="00000000" w:rsidRPr="00000000">
        <w:rPr>
          <w:color w:val="010000"/>
          <w:sz w:val="24"/>
          <w:szCs w:val="24"/>
          <w:highlight w:val="white"/>
          <w:rtl w:val="0"/>
        </w:rPr>
        <w:t xml:space="preserve">Now, the tenth day of this seventh month is the day of atonement; it shall be a holy convocation for you” (Leviticus 23:27).</w:t>
        <w:br w:type="textWrapping"/>
        <w:t xml:space="preserve"> It is also thought that this day is the anniversary of Moses’ return from Mount Sinai, carrying the tablets of stone and with the news that God had forgiven his people</w:t>
      </w:r>
      <w:r w:rsidDel="00000000" w:rsidR="00000000" w:rsidRPr="00000000">
        <w:rPr>
          <w:sz w:val="24"/>
          <w:szCs w:val="24"/>
          <w:vertAlign w:val="superscript"/>
        </w:rPr>
        <w:footnoteReference w:customMarkFollows="0" w:id="0"/>
      </w:r>
      <w:r w:rsidDel="00000000" w:rsidR="00000000" w:rsidRPr="00000000">
        <w:rPr>
          <w:sz w:val="24"/>
          <w:szCs w:val="24"/>
          <w:rtl w:val="0"/>
        </w:rPr>
        <w:t xml:space="preserve">.  Yom Kippur is also known as ‘the Sabbath of Sabbaths’, as it is as day in which any form of work is strictly prohibited (the 39 activities that are defined as work, such as weaving, sewing stitches kindling a fire etc. can be found in the Mishna tractate Shabbat 7:2).</w:t>
        <w:br w:type="textWrapping"/>
        <w:t xml:space="preserve">During the time of the first Temple, it was customary on this day for the high priest to confess the sins of the people in the community, and symbolically place them upon the goat’s head, and then send it off into the wilderness to die.</w:t>
        <w:br w:type="textWrapping"/>
        <w:br w:type="textWrapping"/>
        <w:br w:type="textWrapping"/>
      </w:r>
      <w:r w:rsidDel="00000000" w:rsidR="00000000" w:rsidRPr="00000000">
        <w:rPr>
          <w:b w:val="1"/>
          <w:sz w:val="32"/>
          <w:szCs w:val="32"/>
          <w:u w:val="single"/>
          <w:rtl w:val="0"/>
        </w:rPr>
        <w:t xml:space="preserve">General Observations:</w:t>
      </w:r>
      <w:r w:rsidDel="00000000" w:rsidR="00000000" w:rsidRPr="00000000">
        <w:rPr>
          <w:sz w:val="24"/>
          <w:szCs w:val="24"/>
          <w:rtl w:val="0"/>
        </w:rPr>
        <w:br w:type="textWrapping"/>
        <w:t xml:space="preserve">Jews are expected to observe a strict fast for the entire day, in order to appropriately ‘afflict their souls’ and enhance the mood of spiritual introspection. Rabbinic interpretation has concluded that the fast “must include abstaining from all desires of the flesh, including the following:</w:t>
        <w:br w:type="textWrapping"/>
        <w:t xml:space="preserve"> -food and drink</w:t>
        <w:br w:type="textWrapping"/>
        <w:t xml:space="preserve"> -bathing and cleansing (with the exception of eyes and hands), </w:t>
        <w:br w:type="textWrapping"/>
        <w:t xml:space="preserve"> -anointing with oil and/or perfume</w:t>
        <w:br w:type="textWrapping"/>
        <w:t xml:space="preserve"> -wearing lotions or cosmetics</w:t>
        <w:br w:type="textWrapping"/>
        <w:t xml:space="preserve"> -wearing shoes</w:t>
        <w:br w:type="textWrapping"/>
        <w:t xml:space="preserve"> -wearing leather</w:t>
      </w:r>
      <w:r w:rsidDel="00000000" w:rsidR="00000000" w:rsidRPr="00000000">
        <w:rPr>
          <w:sz w:val="24"/>
          <w:szCs w:val="24"/>
          <w:vertAlign w:val="superscript"/>
        </w:rPr>
        <w:footnoteReference w:customMarkFollows="0" w:id="1"/>
      </w:r>
      <w:r w:rsidDel="00000000" w:rsidR="00000000" w:rsidRPr="00000000">
        <w:rPr>
          <w:sz w:val="24"/>
          <w:szCs w:val="24"/>
          <w:rtl w:val="0"/>
        </w:rPr>
        <w:t xml:space="preserve">. </w:t>
        <w:br w:type="textWrapping"/>
        <w:t xml:space="preserve">However, males under the age of thirteen, females under the age of twelve, and the sick, are not required to fast. The sick are permitted to take any medicine required, as well as a small amount of food and drink. Alternatively, if they are too sick to manage this, they are forbidden from fasting altogether</w:t>
      </w:r>
      <w:r w:rsidDel="00000000" w:rsidR="00000000" w:rsidRPr="00000000">
        <w:rPr>
          <w:sz w:val="24"/>
          <w:szCs w:val="24"/>
          <w:vertAlign w:val="superscript"/>
        </w:rPr>
        <w:footnoteReference w:customMarkFollows="0" w:id="2"/>
      </w:r>
      <w:r w:rsidDel="00000000" w:rsidR="00000000" w:rsidRPr="00000000">
        <w:rPr>
          <w:sz w:val="24"/>
          <w:szCs w:val="24"/>
          <w:rtl w:val="0"/>
        </w:rPr>
        <w:t xml:space="preserve">.</w:t>
        <w:br w:type="textWrapping"/>
        <w:br w:type="textWrapping"/>
      </w:r>
      <w:r w:rsidDel="00000000" w:rsidR="00000000" w:rsidRPr="00000000">
        <w:rPr>
          <w:b w:val="1"/>
          <w:sz w:val="32"/>
          <w:szCs w:val="32"/>
          <w:u w:val="single"/>
          <w:rtl w:val="0"/>
        </w:rPr>
        <w:t xml:space="preserve">Prayer Services:</w:t>
      </w:r>
      <w:r w:rsidDel="00000000" w:rsidR="00000000" w:rsidRPr="00000000">
        <w:rPr>
          <w:b w:val="1"/>
          <w:sz w:val="28"/>
          <w:szCs w:val="28"/>
          <w:rtl w:val="0"/>
        </w:rPr>
        <w:br w:type="textWrapping"/>
      </w:r>
      <w:r w:rsidDel="00000000" w:rsidR="00000000" w:rsidRPr="00000000">
        <w:rPr>
          <w:sz w:val="24"/>
          <w:szCs w:val="24"/>
          <w:rtl w:val="0"/>
        </w:rPr>
        <w:t xml:space="preserve">There are multiple services that take place during the day, many of them differing depending on the type of Judaism one follows (the first and last services remain the same). Regardless, virtually the entire waking day is spent praying. It is worth noting that on the high holidays, the day begins in the evening, (for example, if Yom Kippur fell on September 30th, the day would begin on the sunset of the 29th September). This has also been prescribed in scripture, which states that: “</w:t>
      </w:r>
      <w:r w:rsidDel="00000000" w:rsidR="00000000" w:rsidRPr="00000000">
        <w:rPr>
          <w:color w:val="010000"/>
          <w:sz w:val="24"/>
          <w:szCs w:val="24"/>
          <w:highlight w:val="white"/>
          <w:rtl w:val="0"/>
        </w:rPr>
        <w:t xml:space="preserve">on the ninth day of the month at evening, from evening to evening you shall keep your sabbath” (Leviticus 23:32).</w:t>
      </w:r>
      <w:r w:rsidDel="00000000" w:rsidR="00000000" w:rsidRPr="00000000">
        <w:rPr>
          <w:sz w:val="24"/>
          <w:szCs w:val="24"/>
          <w:rtl w:val="0"/>
        </w:rPr>
        <w:br w:type="textWrapping"/>
        <w:t xml:space="preserve">The first prayer that takes place at sunset, is Kol Nidrei, meaning ‘all vows’, and is ‘a legal recitation that voids all religious promises made during the previous year’</w:t>
      </w:r>
      <w:r w:rsidDel="00000000" w:rsidR="00000000" w:rsidRPr="00000000">
        <w:rPr>
          <w:sz w:val="24"/>
          <w:szCs w:val="24"/>
          <w:vertAlign w:val="superscript"/>
        </w:rPr>
        <w:footnoteReference w:customMarkFollows="0" w:id="3"/>
      </w:r>
      <w:r w:rsidDel="00000000" w:rsidR="00000000" w:rsidRPr="00000000">
        <w:rPr>
          <w:sz w:val="24"/>
          <w:szCs w:val="24"/>
          <w:rtl w:val="0"/>
        </w:rPr>
        <w:t xml:space="preserve">. Among the Orthodox Jews, it is often customary to spend the whole night in the synagogue, reciting the Book of Psalms in its entirety. A common theme amongst all types of Jews is that the liturgy centres around the confession of sin.</w:t>
        <w:br w:type="textWrapping"/>
        <w:t xml:space="preserve">The Morning Service is perhaps one of the longest (lasting up to six hours in some cases), and the prayers at this time are centred on the image of God as a creator. In addition to a Torah reading describing the Day of Atonement ritual, poems and hymns are read (known as selihot). Popular passages that are read and chanted are leviticus 16:21 about the ceremony of the scapegoat (as this is not performed anymore), as well as passages from the Book of Jonah.</w:t>
        <w:br w:type="textWrapping"/>
        <w:t xml:space="preserve">A yizkor (memorial prayer) is also recited, and a candle lit for all the deceased family and friends. Confessions are also chanted out loud as well as silently throughout (known as vidui)</w:t>
      </w:r>
      <w:r w:rsidDel="00000000" w:rsidR="00000000" w:rsidRPr="00000000">
        <w:rPr>
          <w:sz w:val="24"/>
          <w:szCs w:val="24"/>
          <w:vertAlign w:val="superscript"/>
        </w:rPr>
        <w:footnoteReference w:customMarkFollows="0" w:id="4"/>
      </w:r>
      <w:r w:rsidDel="00000000" w:rsidR="00000000" w:rsidRPr="00000000">
        <w:rPr>
          <w:sz w:val="24"/>
          <w:szCs w:val="24"/>
          <w:rtl w:val="0"/>
        </w:rPr>
        <w:t xml:space="preserve">. The final service takes place as the fast ends, known as Ne’ilah (meaning the closing of the gates) a time in which worshippers are encourages to make the most of the time they have left with the gates of heaven still open. They then chant ‘Avinu Malkenu’ meaning ‘our father our king’, and then a final note is blown on the Shofar (the horn of a kosher animal, such as a ram</w:t>
      </w:r>
      <w:r w:rsidDel="00000000" w:rsidR="00000000" w:rsidRPr="00000000">
        <w:rPr>
          <w:sz w:val="24"/>
          <w:szCs w:val="24"/>
          <w:vertAlign w:val="superscript"/>
        </w:rPr>
        <w:footnoteReference w:customMarkFollows="0" w:id="5"/>
      </w:r>
      <w:r w:rsidDel="00000000" w:rsidR="00000000" w:rsidRPr="00000000">
        <w:rPr>
          <w:sz w:val="24"/>
          <w:szCs w:val="24"/>
          <w:rtl w:val="0"/>
        </w:rPr>
        <w:t xml:space="preserve">) used  to commemorate the ending of the day of atonement.</w:t>
        <w:br w:type="textWrapping"/>
        <w:br w:type="textWrapping"/>
        <w:br w:type="textWrapping"/>
        <w:br w:type="textWrapping"/>
      </w:r>
      <w:r w:rsidDel="00000000" w:rsidR="00000000" w:rsidRPr="00000000">
        <w:rPr>
          <w:b w:val="1"/>
          <w:sz w:val="32"/>
          <w:szCs w:val="32"/>
          <w:u w:val="single"/>
          <w:rtl w:val="0"/>
        </w:rPr>
        <w:t xml:space="preserve">The Importance of Yom Kippur</w:t>
      </w:r>
      <w:r w:rsidDel="00000000" w:rsidR="00000000" w:rsidRPr="00000000">
        <w:rPr>
          <w:sz w:val="24"/>
          <w:szCs w:val="24"/>
          <w:rtl w:val="0"/>
        </w:rPr>
        <w:br w:type="textWrapping"/>
        <w:t xml:space="preserve"> Yom Kippur is the holiest day of the year for Jews.It is worth noting that even the least pious of the Jewish people still attend the synagogue on this day, even if only for a brief period of time. Norman Solomon argues that the reasoning for this is that for most people, appearing at the synagogue on Yom Kippur is ‘a statement of Jewish identity rather than a religious commitment’</w:t>
      </w:r>
      <w:r w:rsidDel="00000000" w:rsidR="00000000" w:rsidRPr="00000000">
        <w:rPr>
          <w:sz w:val="24"/>
          <w:szCs w:val="24"/>
          <w:vertAlign w:val="superscript"/>
        </w:rPr>
        <w:footnoteReference w:customMarkFollows="0" w:id="6"/>
      </w:r>
      <w:r w:rsidDel="00000000" w:rsidR="00000000" w:rsidRPr="00000000">
        <w:rPr>
          <w:sz w:val="24"/>
          <w:szCs w:val="24"/>
          <w:rtl w:val="0"/>
        </w:rPr>
        <w:t xml:space="preserve">.</w:t>
        <w:br w:type="textWrapping"/>
        <w:t xml:space="preserve">One of the many reasons Yom Kippur is so important, is that the day highlights one of the leading concepts in Judaism, which is Teshuva (meaning penitence). The word itself directly translates to ‘return’</w:t>
      </w:r>
      <w:r w:rsidDel="00000000" w:rsidR="00000000" w:rsidRPr="00000000">
        <w:rPr>
          <w:sz w:val="24"/>
          <w:szCs w:val="24"/>
          <w:vertAlign w:val="superscript"/>
        </w:rPr>
        <w:footnoteReference w:customMarkFollows="0" w:id="7"/>
      </w:r>
      <w:r w:rsidDel="00000000" w:rsidR="00000000" w:rsidRPr="00000000">
        <w:rPr>
          <w:sz w:val="24"/>
          <w:szCs w:val="24"/>
          <w:rtl w:val="0"/>
        </w:rPr>
        <w:t xml:space="preserve">, referring to returning to God, and entails the recognition of sin, feeling regret and then confessing, with a renewed commitment to the correct path.While the main focus of Yom Kippur is to seek forgiveness from God, it is also a time for ‘relationship maintenance’, in which people seek pardon from people they have wronged or offended during the year</w:t>
      </w:r>
      <w:r w:rsidDel="00000000" w:rsidR="00000000" w:rsidRPr="00000000">
        <w:rPr>
          <w:sz w:val="24"/>
          <w:szCs w:val="24"/>
          <w:vertAlign w:val="superscript"/>
        </w:rPr>
        <w:footnoteReference w:customMarkFollows="0" w:id="8"/>
      </w:r>
      <w:r w:rsidDel="00000000" w:rsidR="00000000" w:rsidRPr="00000000">
        <w:rPr>
          <w:sz w:val="24"/>
          <w:szCs w:val="24"/>
          <w:rtl w:val="0"/>
        </w:rPr>
        <w:t xml:space="preserve">. A pardon from God cannot be attained unless the person seeks out the offended party and asks for forgiveness, as is stated in the Mishna: “</w:t>
      </w:r>
      <w:r w:rsidDel="00000000" w:rsidR="00000000" w:rsidRPr="00000000">
        <w:rPr>
          <w:sz w:val="24"/>
          <w:szCs w:val="24"/>
          <w:rtl w:val="0"/>
        </w:rPr>
        <w:t xml:space="preserve">Yom Kippur atones for transgressions between a person and God, but for a transgression against one's neighbor, Yom Kippur cannot atone, until he appeases his neighbour” (Mishna Yoma 8:9). </w:t>
        <w:br w:type="textWrapping"/>
        <w:t xml:space="preserve">In conclusion, while Yom Kippur is commanded in scripture, its importance within Judaism goes beyond tradition and what is stated in the Hebrew Bible, as it  encourages the development of relationships between friends and family, highlighting how essential it is to the community as it fulfills a social purpose, as well as the cleansing of the soul.</w:t>
      </w:r>
      <w:r w:rsidDel="00000000" w:rsidR="00000000" w:rsidRPr="00000000">
        <w:rPr>
          <w:b w:val="1"/>
          <w:sz w:val="28"/>
          <w:szCs w:val="28"/>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b w:val="1"/>
          <w:sz w:val="26"/>
          <w:szCs w:val="26"/>
          <w:u w:val="single"/>
          <w:rtl w:val="0"/>
        </w:rPr>
        <w:t xml:space="preserve">Bibliography</w:t>
      </w:r>
      <w:r w:rsidDel="00000000" w:rsidR="00000000" w:rsidRPr="00000000">
        <w:rPr>
          <w:b w:val="1"/>
          <w:sz w:val="28"/>
          <w:szCs w:val="28"/>
          <w:rtl w:val="0"/>
        </w:rPr>
        <w:br w:type="textWrapping"/>
        <w:br w:type="textWrapping"/>
        <w:br w:type="textWrapping"/>
      </w:r>
      <w:r w:rsidDel="00000000" w:rsidR="00000000" w:rsidRPr="00000000">
        <w:rPr>
          <w:b w:val="1"/>
          <w:sz w:val="24"/>
          <w:szCs w:val="24"/>
          <w:rtl w:val="0"/>
        </w:rPr>
        <w:t xml:space="preserve">Books:</w:t>
      </w:r>
      <w:r w:rsidDel="00000000" w:rsidR="00000000" w:rsidRPr="00000000">
        <w:rPr>
          <w:b w:val="1"/>
          <w:sz w:val="28"/>
          <w:szCs w:val="28"/>
          <w:rtl w:val="0"/>
        </w:rPr>
        <w:br w:type="textWrapping"/>
      </w:r>
      <w:r w:rsidDel="00000000" w:rsidR="00000000" w:rsidRPr="00000000">
        <w:rPr>
          <w:rtl w:val="0"/>
        </w:rPr>
        <w:t xml:space="preserve">Cohn-Sherbok, Lavinia and Dan </w:t>
      </w:r>
      <w:r w:rsidDel="00000000" w:rsidR="00000000" w:rsidRPr="00000000">
        <w:rPr>
          <w:i w:val="1"/>
          <w:rtl w:val="0"/>
        </w:rPr>
        <w:t xml:space="preserve">Judaism: A Short Introduction </w:t>
      </w:r>
      <w:r w:rsidDel="00000000" w:rsidR="00000000" w:rsidRPr="00000000">
        <w:rPr>
          <w:rtl w:val="0"/>
        </w:rPr>
        <w:t xml:space="preserve">(Oneworld Publications, Oxford, England 1997)</w:t>
      </w:r>
      <w:r w:rsidDel="00000000" w:rsidR="00000000" w:rsidRPr="00000000">
        <w:rPr>
          <w:b w:val="1"/>
          <w:rtl w:val="0"/>
        </w:rPr>
        <w:br w:type="textWrapping"/>
      </w:r>
      <w:r w:rsidDel="00000000" w:rsidR="00000000" w:rsidRPr="00000000">
        <w:rPr>
          <w:rtl w:val="0"/>
        </w:rPr>
        <w:t xml:space="preserve">Salamone, Frank A. </w:t>
      </w:r>
      <w:r w:rsidDel="00000000" w:rsidR="00000000" w:rsidRPr="00000000">
        <w:rPr>
          <w:i w:val="1"/>
          <w:rtl w:val="0"/>
        </w:rPr>
        <w:t xml:space="preserve">Encyclopedia of Religious rites, Rituals and Festivals </w:t>
      </w:r>
      <w:r w:rsidDel="00000000" w:rsidR="00000000" w:rsidRPr="00000000">
        <w:rPr>
          <w:rtl w:val="0"/>
        </w:rPr>
        <w:t xml:space="preserve">(Routledge, London 2004)</w:t>
      </w:r>
      <w:r w:rsidDel="00000000" w:rsidR="00000000" w:rsidRPr="00000000">
        <w:rPr>
          <w:b w:val="1"/>
          <w:rtl w:val="0"/>
        </w:rPr>
        <w:br w:type="textWrapping"/>
      </w:r>
      <w:r w:rsidDel="00000000" w:rsidR="00000000" w:rsidRPr="00000000">
        <w:rPr>
          <w:rtl w:val="0"/>
        </w:rPr>
        <w:t xml:space="preserve">Segal, Eliezer </w:t>
      </w:r>
      <w:r w:rsidDel="00000000" w:rsidR="00000000" w:rsidRPr="00000000">
        <w:rPr>
          <w:i w:val="1"/>
          <w:rtl w:val="0"/>
        </w:rPr>
        <w:t xml:space="preserve">Introducing Judaism</w:t>
      </w:r>
      <w:r w:rsidDel="00000000" w:rsidR="00000000" w:rsidRPr="00000000">
        <w:rPr>
          <w:rtl w:val="0"/>
        </w:rPr>
        <w:t xml:space="preserve">  ( Routledge, Oxon, England, 2009) </w:t>
      </w:r>
      <w:r w:rsidDel="00000000" w:rsidR="00000000" w:rsidRPr="00000000">
        <w:rPr>
          <w:b w:val="1"/>
          <w:rtl w:val="0"/>
        </w:rPr>
        <w:br w:type="textWrapping"/>
      </w:r>
      <w:r w:rsidDel="00000000" w:rsidR="00000000" w:rsidRPr="00000000">
        <w:rPr>
          <w:rtl w:val="0"/>
        </w:rPr>
        <w:t xml:space="preserve">Solomon, Norman </w:t>
      </w:r>
      <w:r w:rsidDel="00000000" w:rsidR="00000000" w:rsidRPr="00000000">
        <w:rPr>
          <w:i w:val="1"/>
          <w:rtl w:val="0"/>
        </w:rPr>
        <w:t xml:space="preserve">Judaism</w:t>
      </w:r>
      <w:r w:rsidDel="00000000" w:rsidR="00000000" w:rsidRPr="00000000">
        <w:rPr>
          <w:rtl w:val="0"/>
        </w:rPr>
        <w:t xml:space="preserve">: </w:t>
      </w:r>
      <w:r w:rsidDel="00000000" w:rsidR="00000000" w:rsidRPr="00000000">
        <w:rPr>
          <w:i w:val="1"/>
          <w:rtl w:val="0"/>
        </w:rPr>
        <w:t xml:space="preserve">A Very Short Introduction </w:t>
      </w:r>
      <w:r w:rsidDel="00000000" w:rsidR="00000000" w:rsidRPr="00000000">
        <w:rPr>
          <w:rtl w:val="0"/>
        </w:rPr>
        <w:t xml:space="preserve">(Oxford University Press, New York 1996) </w:t>
      </w:r>
      <w:r w:rsidDel="00000000" w:rsidR="00000000" w:rsidRPr="00000000">
        <w:rPr>
          <w:sz w:val="20"/>
          <w:szCs w:val="20"/>
          <w:rtl w:val="0"/>
        </w:rPr>
        <w:br w:type="textWrapping"/>
      </w:r>
      <w:r w:rsidDel="00000000" w:rsidR="00000000" w:rsidRPr="00000000">
        <w:rPr>
          <w:sz w:val="20"/>
          <w:szCs w:val="20"/>
          <w:rtl w:val="0"/>
        </w:rPr>
        <w:br w:type="textWrapping"/>
      </w:r>
      <w:r w:rsidDel="00000000" w:rsidR="00000000" w:rsidRPr="00000000">
        <w:rPr>
          <w:b w:val="1"/>
          <w:sz w:val="24"/>
          <w:szCs w:val="24"/>
          <w:rtl w:val="0"/>
        </w:rPr>
        <w:t xml:space="preserve">Videos:</w:t>
      </w:r>
      <w:r w:rsidDel="00000000" w:rsidR="00000000" w:rsidRPr="00000000">
        <w:rPr>
          <w:sz w:val="20"/>
          <w:szCs w:val="20"/>
          <w:rtl w:val="0"/>
        </w:rPr>
        <w:br w:type="textWrapping"/>
        <w:t xml:space="preserve">Rabbi Mark Melamut,</w:t>
      </w:r>
      <w:r w:rsidDel="00000000" w:rsidR="00000000" w:rsidRPr="00000000">
        <w:rPr>
          <w:i w:val="1"/>
          <w:sz w:val="20"/>
          <w:szCs w:val="20"/>
          <w:rtl w:val="0"/>
        </w:rPr>
        <w:t xml:space="preserve">What is Yom Kippur? The Jewish High Holiday: (Accessed 20/10/17) </w:t>
      </w:r>
      <w:hyperlink r:id="rId6">
        <w:r w:rsidDel="00000000" w:rsidR="00000000" w:rsidRPr="00000000">
          <w:rPr>
            <w:color w:val="1155cc"/>
            <w:sz w:val="20"/>
            <w:szCs w:val="20"/>
            <w:u w:val="single"/>
            <w:rtl w:val="0"/>
          </w:rPr>
          <w:t xml:space="preserve">https://www.youtube.com/watch?v=4oqBzg8wCUg</w:t>
        </w:r>
      </w:hyperlink>
      <w:r w:rsidDel="00000000" w:rsidR="00000000" w:rsidRPr="00000000">
        <w:rPr>
          <w:sz w:val="20"/>
          <w:szCs w:val="20"/>
          <w:rtl w:val="0"/>
        </w:rPr>
        <w:t xml:space="preserve"> </w:t>
      </w:r>
      <w:r w:rsidDel="00000000" w:rsidR="00000000" w:rsidRPr="00000000">
        <w:rPr>
          <w:b w:val="1"/>
          <w:sz w:val="28"/>
          <w:szCs w:val="28"/>
          <w:rtl w:val="0"/>
        </w:rPr>
        <w:br w:type="textWrapping"/>
        <w:br w:type="textWrapping"/>
        <w:br w:type="textWrapping"/>
        <w:br w:type="textWrapping"/>
      </w:r>
      <w:r w:rsidDel="00000000" w:rsidR="00000000" w:rsidRPr="00000000">
        <w:rPr>
          <w:sz w:val="24"/>
          <w:szCs w:val="24"/>
          <w:rtl w:val="0"/>
        </w:rPr>
        <w:br w:type="textWrapping"/>
        <w:br w:type="textWrapping"/>
        <w:br w:type="textWrapping"/>
        <w:br w:type="textWrapping"/>
      </w: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6">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Norman Solomon, </w:t>
      </w:r>
      <w:r w:rsidDel="00000000" w:rsidR="00000000" w:rsidRPr="00000000">
        <w:rPr>
          <w:i w:val="1"/>
          <w:sz w:val="20"/>
          <w:szCs w:val="20"/>
          <w:rtl w:val="0"/>
        </w:rPr>
        <w:t xml:space="preserve">Judaism: A Very Short Introduction </w:t>
      </w:r>
      <w:r w:rsidDel="00000000" w:rsidR="00000000" w:rsidRPr="00000000">
        <w:rPr>
          <w:sz w:val="20"/>
          <w:szCs w:val="20"/>
          <w:rtl w:val="0"/>
        </w:rPr>
        <w:t xml:space="preserve">pg. 62</w:t>
      </w:r>
    </w:p>
  </w:footnote>
  <w:footnote w:id="1">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Eliezer Segal, </w:t>
      </w:r>
      <w:r w:rsidDel="00000000" w:rsidR="00000000" w:rsidRPr="00000000">
        <w:rPr>
          <w:i w:val="1"/>
          <w:sz w:val="20"/>
          <w:szCs w:val="20"/>
          <w:rtl w:val="0"/>
        </w:rPr>
        <w:t xml:space="preserve">Introducing Judaism</w:t>
      </w:r>
      <w:r w:rsidDel="00000000" w:rsidR="00000000" w:rsidRPr="00000000">
        <w:rPr>
          <w:sz w:val="20"/>
          <w:szCs w:val="20"/>
          <w:rtl w:val="0"/>
        </w:rPr>
        <w:t xml:space="preserve">  ( Routledge, Oxon, England, 2009) pg.288</w:t>
      </w:r>
    </w:p>
  </w:footnote>
  <w:footnote w:id="7">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Solomon, </w:t>
      </w:r>
      <w:r w:rsidDel="00000000" w:rsidR="00000000" w:rsidRPr="00000000">
        <w:rPr>
          <w:i w:val="1"/>
          <w:sz w:val="20"/>
          <w:szCs w:val="20"/>
          <w:rtl w:val="0"/>
        </w:rPr>
        <w:t xml:space="preserve">Judaism: A Very Short Introduction</w:t>
      </w:r>
      <w:r w:rsidDel="00000000" w:rsidR="00000000" w:rsidRPr="00000000">
        <w:rPr>
          <w:sz w:val="20"/>
          <w:szCs w:val="20"/>
          <w:rtl w:val="0"/>
        </w:rPr>
        <w:t xml:space="preserve"> pg 63</w:t>
      </w:r>
    </w:p>
  </w:footnote>
  <w:footnote w:id="2">
    <w:p w:rsidR="00000000" w:rsidDel="00000000" w:rsidP="00000000" w:rsidRDefault="00000000" w:rsidRPr="00000000">
      <w:pPr>
        <w:spacing w:line="240" w:lineRule="auto"/>
        <w:contextualSpacing w:val="0"/>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Lavinia and Dan Cohn-Sherbok: </w:t>
      </w:r>
      <w:r w:rsidDel="00000000" w:rsidR="00000000" w:rsidRPr="00000000">
        <w:rPr>
          <w:i w:val="1"/>
          <w:sz w:val="20"/>
          <w:szCs w:val="20"/>
          <w:rtl w:val="0"/>
        </w:rPr>
        <w:t xml:space="preserve">Judaism: A Short Introduction </w:t>
      </w:r>
      <w:r w:rsidDel="00000000" w:rsidR="00000000" w:rsidRPr="00000000">
        <w:rPr>
          <w:sz w:val="20"/>
          <w:szCs w:val="20"/>
          <w:rtl w:val="0"/>
        </w:rPr>
        <w:t xml:space="preserve">(Oneworld Publications, Oxford, England 1997)</w:t>
      </w:r>
      <w:r w:rsidDel="00000000" w:rsidR="00000000" w:rsidRPr="00000000">
        <w:rPr>
          <w:i w:val="1"/>
          <w:sz w:val="20"/>
          <w:szCs w:val="20"/>
          <w:rtl w:val="0"/>
        </w:rPr>
        <w:t xml:space="preserve"> pg.87</w:t>
      </w:r>
    </w:p>
  </w:footnote>
  <w:footnote w:id="0">
    <w:p w:rsidR="00000000" w:rsidDel="00000000" w:rsidP="00000000" w:rsidRDefault="00000000" w:rsidRPr="00000000">
      <w:pPr>
        <w:spacing w:line="240" w:lineRule="auto"/>
        <w:contextualSpacing w:val="0"/>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Lavinia and Dan Cohn-Sherbok </w:t>
      </w:r>
      <w:r w:rsidDel="00000000" w:rsidR="00000000" w:rsidRPr="00000000">
        <w:rPr>
          <w:i w:val="1"/>
          <w:sz w:val="20"/>
          <w:szCs w:val="20"/>
          <w:rtl w:val="0"/>
        </w:rPr>
        <w:t xml:space="preserve">Judaism: A Short Introduction </w:t>
      </w:r>
      <w:r w:rsidDel="00000000" w:rsidR="00000000" w:rsidRPr="00000000">
        <w:rPr>
          <w:sz w:val="20"/>
          <w:szCs w:val="20"/>
          <w:rtl w:val="0"/>
        </w:rPr>
        <w:t xml:space="preserve">( Oneworld Publications, England 1997) </w:t>
      </w:r>
      <w:r w:rsidDel="00000000" w:rsidR="00000000" w:rsidRPr="00000000">
        <w:rPr>
          <w:i w:val="1"/>
          <w:sz w:val="20"/>
          <w:szCs w:val="20"/>
          <w:rtl w:val="0"/>
        </w:rPr>
        <w:t xml:space="preserve">pg 87</w:t>
      </w:r>
    </w:p>
  </w:footnote>
  <w:footnote w:id="3">
    <w:p w:rsidR="00000000" w:rsidDel="00000000" w:rsidP="00000000" w:rsidRDefault="00000000" w:rsidRPr="00000000">
      <w:pPr>
        <w:spacing w:line="240" w:lineRule="auto"/>
        <w:contextualSpacing w:val="0"/>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Frank A. Salamone,</w:t>
      </w:r>
      <w:r w:rsidDel="00000000" w:rsidR="00000000" w:rsidRPr="00000000">
        <w:rPr>
          <w:i w:val="1"/>
          <w:sz w:val="20"/>
          <w:szCs w:val="20"/>
          <w:rtl w:val="0"/>
        </w:rPr>
        <w:t xml:space="preserve">Encyclopedia of religious rites, rituals and festivals </w:t>
      </w:r>
      <w:r w:rsidDel="00000000" w:rsidR="00000000" w:rsidRPr="00000000">
        <w:rPr>
          <w:sz w:val="20"/>
          <w:szCs w:val="20"/>
          <w:rtl w:val="0"/>
        </w:rPr>
        <w:t xml:space="preserve">(Routledge, London 2004)</w:t>
      </w:r>
      <w:r w:rsidDel="00000000" w:rsidR="00000000" w:rsidRPr="00000000">
        <w:rPr>
          <w:i w:val="1"/>
          <w:sz w:val="20"/>
          <w:szCs w:val="20"/>
          <w:rtl w:val="0"/>
        </w:rPr>
        <w:t xml:space="preserve"> pg. 206</w:t>
      </w:r>
    </w:p>
  </w:footnote>
  <w:footnote w:id="5">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Norman Solomon,</w:t>
      </w:r>
      <w:r w:rsidDel="00000000" w:rsidR="00000000" w:rsidRPr="00000000">
        <w:rPr>
          <w:i w:val="1"/>
          <w:sz w:val="20"/>
          <w:szCs w:val="20"/>
          <w:rtl w:val="0"/>
        </w:rPr>
        <w:t xml:space="preserve">Judaism</w:t>
      </w:r>
      <w:r w:rsidDel="00000000" w:rsidR="00000000" w:rsidRPr="00000000">
        <w:rPr>
          <w:sz w:val="20"/>
          <w:szCs w:val="20"/>
          <w:rtl w:val="0"/>
        </w:rPr>
        <w:t xml:space="preserve">: </w:t>
      </w:r>
      <w:r w:rsidDel="00000000" w:rsidR="00000000" w:rsidRPr="00000000">
        <w:rPr>
          <w:i w:val="1"/>
          <w:sz w:val="20"/>
          <w:szCs w:val="20"/>
          <w:rtl w:val="0"/>
        </w:rPr>
        <w:t xml:space="preserve">A Very Short Introduction </w:t>
      </w:r>
      <w:r w:rsidDel="00000000" w:rsidR="00000000" w:rsidRPr="00000000">
        <w:rPr>
          <w:sz w:val="20"/>
          <w:szCs w:val="20"/>
          <w:rtl w:val="0"/>
        </w:rPr>
        <w:t xml:space="preserve">(Oxford University Press, New York 1996)</w:t>
      </w:r>
      <w:r w:rsidDel="00000000" w:rsidR="00000000" w:rsidRPr="00000000">
        <w:rPr>
          <w:sz w:val="20"/>
          <w:szCs w:val="20"/>
          <w:rtl w:val="0"/>
        </w:rPr>
        <w:t xml:space="preserve"> pg 64</w:t>
      </w:r>
    </w:p>
  </w:footnote>
  <w:footnote w:id="8">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Rabbi Mark Melamut,</w:t>
      </w:r>
      <w:r w:rsidDel="00000000" w:rsidR="00000000" w:rsidRPr="00000000">
        <w:rPr>
          <w:i w:val="1"/>
          <w:sz w:val="20"/>
          <w:szCs w:val="20"/>
          <w:rtl w:val="0"/>
        </w:rPr>
        <w:t xml:space="preserve">What is Yom Kippur? The Jewish High Holiday: </w:t>
      </w:r>
      <w:hyperlink r:id="rId1">
        <w:r w:rsidDel="00000000" w:rsidR="00000000" w:rsidRPr="00000000">
          <w:rPr>
            <w:color w:val="1155cc"/>
            <w:sz w:val="20"/>
            <w:szCs w:val="20"/>
            <w:u w:val="single"/>
            <w:rtl w:val="0"/>
          </w:rPr>
          <w:t xml:space="preserve">https://www.youtube.com/watch?v=4oqBzg8wCUg</w:t>
        </w:r>
      </w:hyperlink>
      <w:r w:rsidDel="00000000" w:rsidR="00000000" w:rsidRPr="00000000">
        <w:rPr>
          <w:sz w:val="20"/>
          <w:szCs w:val="20"/>
          <w:rtl w:val="0"/>
        </w:rPr>
        <w:t xml:space="preserve"> </w:t>
      </w:r>
    </w:p>
  </w:footnote>
  <w:footnote w:id="4">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Rabbi Mark Melamut,</w:t>
      </w:r>
      <w:r w:rsidDel="00000000" w:rsidR="00000000" w:rsidRPr="00000000">
        <w:rPr>
          <w:i w:val="1"/>
          <w:sz w:val="20"/>
          <w:szCs w:val="20"/>
          <w:rtl w:val="0"/>
        </w:rPr>
        <w:t xml:space="preserve">What is Yom Kippur? The Jewish High Holiday: </w:t>
      </w:r>
      <w:r w:rsidDel="00000000" w:rsidR="00000000" w:rsidRPr="00000000">
        <w:rPr>
          <w:sz w:val="20"/>
          <w:szCs w:val="20"/>
          <w:rtl w:val="0"/>
        </w:rPr>
        <w:t xml:space="preserve">(1:53) </w:t>
      </w:r>
      <w:hyperlink r:id="rId2">
        <w:r w:rsidDel="00000000" w:rsidR="00000000" w:rsidRPr="00000000">
          <w:rPr>
            <w:color w:val="1155cc"/>
            <w:sz w:val="20"/>
            <w:szCs w:val="20"/>
            <w:u w:val="single"/>
            <w:rtl w:val="0"/>
          </w:rPr>
          <w:t xml:space="preserve">https://www.youtube.com/watch?v=4oqBzg8wCUg</w:t>
        </w:r>
      </w:hyperlink>
      <w:r w:rsidDel="00000000" w:rsidR="00000000" w:rsidRPr="00000000">
        <w:rPr>
          <w:sz w:val="20"/>
          <w:szCs w:val="20"/>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youtube.com/watch?v=4oqBzg8wCU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4oqBzg8wCUg" TargetMode="External"/><Relationship Id="rId2" Type="http://schemas.openxmlformats.org/officeDocument/2006/relationships/hyperlink" Target="https://www.youtube.com/watch?v=4oqBzg8wCUg" TargetMode="External"/></Relationships>
</file>