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FB174F" w14:textId="77777777" w:rsidR="00BF217E" w:rsidRPr="00CD33A8" w:rsidRDefault="00BF217E" w:rsidP="00BF217E">
      <w:pPr>
        <w:spacing w:line="360" w:lineRule="auto"/>
        <w:rPr>
          <w:rFonts w:asciiTheme="minorBidi" w:hAnsiTheme="minorBidi"/>
        </w:rPr>
      </w:pPr>
      <w:r w:rsidRPr="00CD33A8">
        <w:rPr>
          <w:rFonts w:asciiTheme="minorBidi" w:hAnsiTheme="minorBidi"/>
          <w:noProof/>
        </w:rPr>
        <w:drawing>
          <wp:anchor distT="0" distB="0" distL="114300" distR="114300" simplePos="0" relativeHeight="251659264" behindDoc="0" locked="0" layoutInCell="1" allowOverlap="1" wp14:anchorId="65ADA010" wp14:editId="50E26E1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FBA0519" w14:textId="77777777" w:rsidR="00BF217E" w:rsidRPr="00CD33A8" w:rsidRDefault="00BF217E" w:rsidP="00BF217E">
      <w:pPr>
        <w:spacing w:line="360" w:lineRule="auto"/>
        <w:rPr>
          <w:rFonts w:asciiTheme="minorBidi" w:hAnsiTheme="minorBidi"/>
        </w:rPr>
      </w:pPr>
    </w:p>
    <w:p w14:paraId="3E6249ED" w14:textId="77777777" w:rsidR="00BF217E" w:rsidRPr="00CD33A8" w:rsidRDefault="00BF217E" w:rsidP="00BF217E">
      <w:pPr>
        <w:spacing w:line="360" w:lineRule="auto"/>
        <w:rPr>
          <w:rFonts w:asciiTheme="minorBidi" w:hAnsiTheme="minorBidi"/>
        </w:rPr>
      </w:pPr>
    </w:p>
    <w:p w14:paraId="5BBAEBA1" w14:textId="77777777" w:rsidR="00BF217E" w:rsidRPr="00CD33A8" w:rsidRDefault="00BF217E" w:rsidP="00BF217E">
      <w:pPr>
        <w:spacing w:line="360" w:lineRule="auto"/>
        <w:rPr>
          <w:rFonts w:asciiTheme="minorBidi" w:hAnsiTheme="minorBidi"/>
        </w:rPr>
      </w:pPr>
    </w:p>
    <w:p w14:paraId="2CEE53DC" w14:textId="77777777" w:rsidR="00BF217E" w:rsidRPr="00CD33A8" w:rsidRDefault="00BF217E" w:rsidP="00BF217E">
      <w:pPr>
        <w:tabs>
          <w:tab w:val="left" w:pos="6540"/>
        </w:tabs>
        <w:spacing w:line="360" w:lineRule="auto"/>
        <w:rPr>
          <w:rFonts w:asciiTheme="minorBidi" w:hAnsiTheme="minorBidi"/>
        </w:rPr>
      </w:pPr>
    </w:p>
    <w:p w14:paraId="4E13E6A1" w14:textId="0AAFC5C9" w:rsidR="00BF217E" w:rsidRPr="00CD33A8" w:rsidRDefault="00BF217E" w:rsidP="00BF217E">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EE70C1" w:rsidRPr="00EE70C1">
        <w:rPr>
          <w:rFonts w:ascii="Arial" w:hAnsi="Arial" w:cs="Arial"/>
          <w:sz w:val="28"/>
          <w:szCs w:val="28"/>
        </w:rPr>
        <w:t>Psychology in Health and Social Care</w:t>
      </w:r>
    </w:p>
    <w:p w14:paraId="6C8381CE" w14:textId="5CEAD44B" w:rsidR="00BF217E" w:rsidRPr="00EE70C1" w:rsidRDefault="00BF217E" w:rsidP="00BF217E">
      <w:pPr>
        <w:tabs>
          <w:tab w:val="left" w:pos="6540"/>
        </w:tabs>
        <w:spacing w:line="360" w:lineRule="auto"/>
        <w:rPr>
          <w:rFonts w:ascii="Arial" w:hAnsi="Arial" w:cs="Arial"/>
          <w:sz w:val="28"/>
          <w:szCs w:val="28"/>
          <w:lang w:val="nl-NL"/>
        </w:rPr>
      </w:pPr>
      <w:r w:rsidRPr="00CD33A8">
        <w:rPr>
          <w:rFonts w:ascii="Arial" w:hAnsi="Arial" w:cs="Arial"/>
          <w:b/>
          <w:bCs/>
          <w:sz w:val="28"/>
          <w:szCs w:val="28"/>
        </w:rPr>
        <w:t>Module code</w:t>
      </w:r>
      <w:r w:rsidRPr="00CD33A8">
        <w:rPr>
          <w:rFonts w:ascii="Arial" w:hAnsi="Arial" w:cs="Arial"/>
          <w:sz w:val="28"/>
          <w:szCs w:val="28"/>
        </w:rPr>
        <w:t>:</w:t>
      </w:r>
      <w:r w:rsidRPr="00116D99">
        <w:rPr>
          <w:rFonts w:ascii="Arial" w:hAnsi="Arial" w:cs="Arial"/>
          <w:sz w:val="28"/>
          <w:szCs w:val="28"/>
        </w:rPr>
        <w:t xml:space="preserve"> </w:t>
      </w:r>
      <w:r w:rsidR="00EE70C1" w:rsidRPr="00EE70C1">
        <w:rPr>
          <w:rFonts w:ascii="Arial" w:hAnsi="Arial" w:cs="Arial"/>
          <w:sz w:val="28"/>
          <w:szCs w:val="28"/>
        </w:rPr>
        <w:t>LCHS4010</w:t>
      </w:r>
    </w:p>
    <w:p w14:paraId="0C17BB71" w14:textId="77777777" w:rsidR="00BF217E" w:rsidRPr="00CD33A8" w:rsidRDefault="00BF217E" w:rsidP="00BF217E">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Pr>
          <w:rFonts w:ascii="Arial" w:hAnsi="Arial" w:cs="Arial"/>
          <w:sz w:val="28"/>
          <w:szCs w:val="28"/>
          <w:lang w:val="nl-NL"/>
        </w:rPr>
        <w:t xml:space="preserve"> Ismihan Bozyigit</w:t>
      </w:r>
    </w:p>
    <w:p w14:paraId="057E9E6B" w14:textId="77777777" w:rsidR="00BF217E" w:rsidRPr="00CD33A8" w:rsidRDefault="00BF217E" w:rsidP="00BF217E">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Pr>
          <w:rFonts w:ascii="Arial" w:hAnsi="Arial" w:cs="Arial"/>
          <w:sz w:val="28"/>
          <w:szCs w:val="28"/>
          <w:lang w:val="nl-NL"/>
        </w:rPr>
        <w:t xml:space="preserve"> 2513136</w:t>
      </w:r>
    </w:p>
    <w:p w14:paraId="65902378" w14:textId="77777777" w:rsidR="00BF217E" w:rsidRPr="0020413D" w:rsidRDefault="00BF217E" w:rsidP="00BF217E">
      <w:pPr>
        <w:spacing w:line="360" w:lineRule="auto"/>
      </w:pPr>
      <w:r>
        <w:rPr>
          <w:rFonts w:ascii="Arial" w:hAnsi="Arial" w:cs="Arial"/>
          <w:b/>
          <w:bCs/>
          <w:sz w:val="28"/>
          <w:szCs w:val="28"/>
        </w:rPr>
        <w:t>Lecturer’s name</w:t>
      </w:r>
      <w:r w:rsidRPr="00CD33A8">
        <w:rPr>
          <w:rFonts w:ascii="Arial" w:hAnsi="Arial" w:cs="Arial"/>
          <w:sz w:val="28"/>
          <w:szCs w:val="28"/>
        </w:rPr>
        <w:t>:</w:t>
      </w:r>
      <w:r>
        <w:rPr>
          <w:rFonts w:ascii="Arial" w:hAnsi="Arial" w:cs="Arial"/>
          <w:sz w:val="28"/>
          <w:szCs w:val="28"/>
        </w:rPr>
        <w:t xml:space="preserve"> Sam Parker</w:t>
      </w:r>
    </w:p>
    <w:p w14:paraId="100DED5E" w14:textId="77777777" w:rsidR="00BF217E" w:rsidRDefault="00BF217E" w:rsidP="00032B58">
      <w:pPr>
        <w:spacing w:line="360" w:lineRule="auto"/>
        <w:rPr>
          <w:rFonts w:ascii="Arial" w:hAnsi="Arial" w:cs="Arial"/>
        </w:rPr>
      </w:pPr>
    </w:p>
    <w:p w14:paraId="253BD32D" w14:textId="77777777" w:rsidR="00BF217E" w:rsidRDefault="00BF217E" w:rsidP="00032B58">
      <w:pPr>
        <w:spacing w:line="360" w:lineRule="auto"/>
        <w:rPr>
          <w:rFonts w:ascii="Arial" w:hAnsi="Arial" w:cs="Arial"/>
        </w:rPr>
      </w:pPr>
    </w:p>
    <w:p w14:paraId="2ABED16D" w14:textId="77777777" w:rsidR="00BF217E" w:rsidRDefault="00BF217E" w:rsidP="00032B58">
      <w:pPr>
        <w:spacing w:line="360" w:lineRule="auto"/>
        <w:rPr>
          <w:rFonts w:ascii="Arial" w:hAnsi="Arial" w:cs="Arial"/>
        </w:rPr>
      </w:pPr>
    </w:p>
    <w:p w14:paraId="27A47AE1" w14:textId="77777777" w:rsidR="00BF217E" w:rsidRDefault="00BF217E" w:rsidP="00032B58">
      <w:pPr>
        <w:spacing w:line="360" w:lineRule="auto"/>
        <w:rPr>
          <w:rFonts w:ascii="Arial" w:hAnsi="Arial" w:cs="Arial"/>
        </w:rPr>
      </w:pPr>
    </w:p>
    <w:p w14:paraId="75CCD8D6" w14:textId="77777777" w:rsidR="00BF217E" w:rsidRDefault="00BF217E" w:rsidP="00032B58">
      <w:pPr>
        <w:spacing w:line="360" w:lineRule="auto"/>
        <w:rPr>
          <w:rFonts w:ascii="Arial" w:hAnsi="Arial" w:cs="Arial"/>
        </w:rPr>
      </w:pPr>
    </w:p>
    <w:p w14:paraId="09DFF7A2" w14:textId="77777777" w:rsidR="00BF217E" w:rsidRDefault="00BF217E" w:rsidP="00032B58">
      <w:pPr>
        <w:spacing w:line="360" w:lineRule="auto"/>
        <w:rPr>
          <w:rFonts w:ascii="Arial" w:hAnsi="Arial" w:cs="Arial"/>
        </w:rPr>
      </w:pPr>
    </w:p>
    <w:p w14:paraId="592E39CC" w14:textId="77777777" w:rsidR="00BF217E" w:rsidRDefault="00BF217E" w:rsidP="00032B58">
      <w:pPr>
        <w:spacing w:line="360" w:lineRule="auto"/>
        <w:rPr>
          <w:rFonts w:ascii="Arial" w:hAnsi="Arial" w:cs="Arial"/>
        </w:rPr>
      </w:pPr>
    </w:p>
    <w:p w14:paraId="19698E3E" w14:textId="77777777" w:rsidR="00BF217E" w:rsidRDefault="00BF217E" w:rsidP="00032B58">
      <w:pPr>
        <w:spacing w:line="360" w:lineRule="auto"/>
        <w:rPr>
          <w:rFonts w:ascii="Arial" w:hAnsi="Arial" w:cs="Arial"/>
        </w:rPr>
      </w:pPr>
    </w:p>
    <w:p w14:paraId="0CE9EDD8" w14:textId="77777777" w:rsidR="00BF217E" w:rsidRDefault="00BF217E" w:rsidP="00032B58">
      <w:pPr>
        <w:spacing w:line="360" w:lineRule="auto"/>
        <w:rPr>
          <w:rFonts w:ascii="Arial" w:hAnsi="Arial" w:cs="Arial"/>
        </w:rPr>
      </w:pPr>
    </w:p>
    <w:p w14:paraId="552AA98D" w14:textId="77777777" w:rsidR="00BF217E" w:rsidRDefault="00BF217E" w:rsidP="00032B58">
      <w:pPr>
        <w:spacing w:line="360" w:lineRule="auto"/>
        <w:rPr>
          <w:rFonts w:ascii="Arial" w:hAnsi="Arial" w:cs="Arial"/>
        </w:rPr>
      </w:pPr>
    </w:p>
    <w:p w14:paraId="7A2FF670" w14:textId="77777777" w:rsidR="00BF217E" w:rsidRDefault="00BF217E" w:rsidP="00032B58">
      <w:pPr>
        <w:spacing w:line="360" w:lineRule="auto"/>
        <w:rPr>
          <w:rFonts w:ascii="Arial" w:hAnsi="Arial" w:cs="Arial"/>
        </w:rPr>
      </w:pPr>
    </w:p>
    <w:p w14:paraId="44C2B5E2" w14:textId="77777777" w:rsidR="00BF217E" w:rsidRDefault="00BF217E" w:rsidP="00032B58">
      <w:pPr>
        <w:spacing w:line="360" w:lineRule="auto"/>
        <w:rPr>
          <w:rFonts w:ascii="Arial" w:hAnsi="Arial" w:cs="Arial"/>
        </w:rPr>
      </w:pPr>
    </w:p>
    <w:p w14:paraId="31BAA863" w14:textId="77777777" w:rsidR="00BF217E" w:rsidRDefault="00BF217E" w:rsidP="00032B58">
      <w:pPr>
        <w:spacing w:line="360" w:lineRule="auto"/>
        <w:rPr>
          <w:rFonts w:ascii="Arial" w:hAnsi="Arial" w:cs="Arial"/>
        </w:rPr>
      </w:pPr>
    </w:p>
    <w:p w14:paraId="418AEE5A" w14:textId="77777777" w:rsidR="00BF217E" w:rsidRDefault="00BF217E" w:rsidP="00032B58">
      <w:pPr>
        <w:spacing w:line="360" w:lineRule="auto"/>
        <w:rPr>
          <w:rFonts w:ascii="Arial" w:hAnsi="Arial" w:cs="Arial"/>
        </w:rPr>
      </w:pPr>
    </w:p>
    <w:p w14:paraId="7846DE29" w14:textId="77777777" w:rsidR="00BF217E" w:rsidRDefault="00BF217E" w:rsidP="00032B58">
      <w:pPr>
        <w:spacing w:line="360" w:lineRule="auto"/>
        <w:rPr>
          <w:rFonts w:ascii="Arial" w:hAnsi="Arial" w:cs="Arial"/>
        </w:rPr>
      </w:pPr>
    </w:p>
    <w:p w14:paraId="2A0DA6DA" w14:textId="77777777" w:rsidR="00BF217E" w:rsidRDefault="00BF217E" w:rsidP="00032B58">
      <w:pPr>
        <w:spacing w:line="360" w:lineRule="auto"/>
        <w:rPr>
          <w:rFonts w:ascii="Arial" w:hAnsi="Arial" w:cs="Arial"/>
        </w:rPr>
      </w:pPr>
    </w:p>
    <w:p w14:paraId="2A8760E3" w14:textId="77777777" w:rsidR="00BF217E" w:rsidRDefault="00BF217E" w:rsidP="00032B58">
      <w:pPr>
        <w:spacing w:line="360" w:lineRule="auto"/>
        <w:rPr>
          <w:rFonts w:ascii="Arial" w:hAnsi="Arial" w:cs="Arial"/>
        </w:rPr>
      </w:pPr>
    </w:p>
    <w:sdt>
      <w:sdtPr>
        <w:rPr>
          <w:rFonts w:ascii="Arial" w:eastAsiaTheme="minorHAnsi" w:hAnsi="Arial" w:cs="Arial"/>
          <w:b/>
          <w:bCs/>
          <w:color w:val="auto"/>
          <w:kern w:val="2"/>
          <w:sz w:val="28"/>
          <w:szCs w:val="28"/>
          <w:lang w:eastAsia="en-US"/>
          <w14:ligatures w14:val="standardContextual"/>
        </w:rPr>
        <w:id w:val="-1474986723"/>
        <w:docPartObj>
          <w:docPartGallery w:val="Table of Contents"/>
          <w:docPartUnique/>
        </w:docPartObj>
      </w:sdtPr>
      <w:sdtEndPr>
        <w:rPr>
          <w:rFonts w:asciiTheme="minorHAnsi" w:hAnsiTheme="minorHAnsi" w:cstheme="minorBidi"/>
          <w:sz w:val="22"/>
          <w:szCs w:val="22"/>
        </w:rPr>
      </w:sdtEndPr>
      <w:sdtContent>
        <w:p w14:paraId="42C76B4B" w14:textId="77777777" w:rsidR="00666164" w:rsidRDefault="00666164" w:rsidP="00666164">
          <w:pPr>
            <w:pStyle w:val="TOCHeading"/>
            <w:spacing w:line="360" w:lineRule="auto"/>
            <w:rPr>
              <w:rFonts w:ascii="Arial" w:hAnsi="Arial" w:cs="Arial"/>
              <w:b/>
              <w:bCs/>
              <w:color w:val="auto"/>
              <w:sz w:val="30"/>
              <w:szCs w:val="30"/>
            </w:rPr>
          </w:pPr>
          <w:r w:rsidRPr="00A344D7">
            <w:rPr>
              <w:rFonts w:ascii="Arial" w:hAnsi="Arial" w:cs="Arial"/>
              <w:b/>
              <w:bCs/>
              <w:color w:val="auto"/>
              <w:sz w:val="30"/>
              <w:szCs w:val="30"/>
            </w:rPr>
            <w:t>Table of Contents</w:t>
          </w:r>
        </w:p>
        <w:p w14:paraId="5F39D455" w14:textId="77777777" w:rsidR="00A344D7" w:rsidRPr="00A344D7" w:rsidRDefault="00A344D7" w:rsidP="00A344D7">
          <w:pPr>
            <w:rPr>
              <w:lang w:eastAsia="en-GB"/>
            </w:rPr>
          </w:pPr>
        </w:p>
        <w:p w14:paraId="045C3534" w14:textId="2B325215" w:rsidR="00666164" w:rsidRPr="00A344D7" w:rsidRDefault="00666164" w:rsidP="00666164">
          <w:pPr>
            <w:pStyle w:val="TOC1"/>
            <w:tabs>
              <w:tab w:val="right" w:leader="dot" w:pos="9016"/>
            </w:tabs>
            <w:spacing w:line="360" w:lineRule="auto"/>
            <w:rPr>
              <w:rFonts w:ascii="Arial" w:eastAsiaTheme="minorEastAsia" w:hAnsi="Arial" w:cs="Arial"/>
              <w:noProof/>
              <w:kern w:val="2"/>
              <w:sz w:val="22"/>
              <w:lang w:eastAsia="en-GB"/>
              <w14:ligatures w14:val="standardContextual"/>
            </w:rPr>
          </w:pPr>
          <w:r w:rsidRPr="00A344D7">
            <w:rPr>
              <w:rFonts w:ascii="Arial" w:hAnsi="Arial" w:cs="Arial"/>
              <w:sz w:val="22"/>
            </w:rPr>
            <w:fldChar w:fldCharType="begin"/>
          </w:r>
          <w:r w:rsidRPr="00A344D7">
            <w:rPr>
              <w:rFonts w:ascii="Arial" w:hAnsi="Arial" w:cs="Arial"/>
              <w:sz w:val="22"/>
            </w:rPr>
            <w:instrText xml:space="preserve"> TOC \o "1-3" \h \z \u </w:instrText>
          </w:r>
          <w:r w:rsidRPr="00A344D7">
            <w:rPr>
              <w:rFonts w:ascii="Arial" w:hAnsi="Arial" w:cs="Arial"/>
              <w:sz w:val="22"/>
            </w:rPr>
            <w:fldChar w:fldCharType="separate"/>
          </w:r>
          <w:hyperlink w:anchor="_Toc227358718" w:history="1">
            <w:r w:rsidRPr="00A344D7">
              <w:rPr>
                <w:rStyle w:val="Hyperlink"/>
                <w:rFonts w:ascii="Arial" w:hAnsi="Arial" w:cs="Arial"/>
                <w:noProof/>
                <w:sz w:val="22"/>
              </w:rPr>
              <w:t>1. Introduction</w:t>
            </w:r>
            <w:r w:rsidR="006D7D18">
              <w:rPr>
                <w:rFonts w:ascii="Arial" w:hAnsi="Arial" w:cs="Arial"/>
                <w:noProof/>
                <w:webHidden/>
                <w:sz w:val="22"/>
              </w:rPr>
              <w:t>……………………………………………………………………………………</w:t>
            </w:r>
            <w:r w:rsidR="00334941">
              <w:rPr>
                <w:rFonts w:ascii="Arial" w:hAnsi="Arial" w:cs="Arial"/>
                <w:noProof/>
                <w:webHidden/>
                <w:sz w:val="22"/>
              </w:rPr>
              <w:t>…</w:t>
            </w:r>
            <w:r w:rsidRPr="00A344D7">
              <w:rPr>
                <w:rFonts w:ascii="Arial" w:hAnsi="Arial" w:cs="Arial"/>
                <w:noProof/>
                <w:webHidden/>
                <w:sz w:val="22"/>
              </w:rPr>
              <w:fldChar w:fldCharType="begin"/>
            </w:r>
            <w:r w:rsidRPr="00A344D7">
              <w:rPr>
                <w:rFonts w:ascii="Arial" w:hAnsi="Arial" w:cs="Arial"/>
                <w:noProof/>
                <w:webHidden/>
                <w:sz w:val="22"/>
              </w:rPr>
              <w:instrText xml:space="preserve"> PAGEREF _Toc227358718 \h </w:instrText>
            </w:r>
            <w:r w:rsidRPr="00A344D7">
              <w:rPr>
                <w:rFonts w:ascii="Arial" w:hAnsi="Arial" w:cs="Arial"/>
                <w:noProof/>
                <w:webHidden/>
                <w:sz w:val="22"/>
              </w:rPr>
            </w:r>
            <w:r w:rsidRPr="00A344D7">
              <w:rPr>
                <w:rFonts w:ascii="Arial" w:hAnsi="Arial" w:cs="Arial"/>
                <w:noProof/>
                <w:webHidden/>
                <w:sz w:val="22"/>
              </w:rPr>
              <w:fldChar w:fldCharType="separate"/>
            </w:r>
            <w:r w:rsidRPr="00A344D7">
              <w:rPr>
                <w:rFonts w:ascii="Arial" w:hAnsi="Arial" w:cs="Arial"/>
                <w:noProof/>
                <w:webHidden/>
                <w:sz w:val="22"/>
              </w:rPr>
              <w:t>3</w:t>
            </w:r>
            <w:r w:rsidRPr="00A344D7">
              <w:rPr>
                <w:rFonts w:ascii="Arial" w:hAnsi="Arial" w:cs="Arial"/>
                <w:noProof/>
                <w:webHidden/>
                <w:sz w:val="22"/>
              </w:rPr>
              <w:fldChar w:fldCharType="end"/>
            </w:r>
          </w:hyperlink>
          <w:r w:rsidR="00334941">
            <w:t xml:space="preserve">  </w:t>
          </w:r>
          <w:hyperlink w:anchor="_Toc227358719" w:history="1">
            <w:r w:rsidRPr="00A344D7">
              <w:rPr>
                <w:rStyle w:val="Hyperlink"/>
                <w:rFonts w:ascii="Arial" w:hAnsi="Arial" w:cs="Arial"/>
                <w:noProof/>
                <w:sz w:val="22"/>
              </w:rPr>
              <w:t>2. Main Body</w:t>
            </w:r>
            <w:r w:rsidR="00BD1F4D">
              <w:rPr>
                <w:rStyle w:val="Hyperlink"/>
                <w:rFonts w:ascii="Arial" w:hAnsi="Arial" w:cs="Arial"/>
                <w:noProof/>
                <w:sz w:val="22"/>
              </w:rPr>
              <w:t>……………………………………………………………………………………….</w:t>
            </w:r>
            <w:r w:rsidR="008361CC">
              <w:rPr>
                <w:rStyle w:val="Hyperlink"/>
                <w:rFonts w:ascii="Arial" w:hAnsi="Arial" w:cs="Arial"/>
                <w:noProof/>
                <w:sz w:val="22"/>
              </w:rPr>
              <w:t>.</w:t>
            </w:r>
            <w:r w:rsidR="008361CC">
              <w:rPr>
                <w:rFonts w:ascii="Arial" w:hAnsi="Arial" w:cs="Arial"/>
                <w:noProof/>
                <w:webHidden/>
                <w:sz w:val="22"/>
              </w:rPr>
              <w:t>3</w:t>
            </w:r>
          </w:hyperlink>
        </w:p>
        <w:p w14:paraId="38A5211C" w14:textId="40E777DB" w:rsidR="00666164" w:rsidRPr="00A344D7" w:rsidRDefault="00666164" w:rsidP="00666164">
          <w:pPr>
            <w:pStyle w:val="TOC1"/>
            <w:tabs>
              <w:tab w:val="right" w:leader="dot" w:pos="9016"/>
            </w:tabs>
            <w:spacing w:line="360" w:lineRule="auto"/>
            <w:rPr>
              <w:rFonts w:ascii="Arial" w:eastAsiaTheme="minorEastAsia" w:hAnsi="Arial" w:cs="Arial"/>
              <w:noProof/>
              <w:kern w:val="2"/>
              <w:sz w:val="22"/>
              <w:lang w:eastAsia="en-GB"/>
              <w14:ligatures w14:val="standardContextual"/>
            </w:rPr>
          </w:pPr>
          <w:hyperlink w:anchor="_Toc227358720" w:history="1">
            <w:r w:rsidRPr="00A344D7">
              <w:rPr>
                <w:rStyle w:val="Hyperlink"/>
                <w:rFonts w:ascii="Arial" w:hAnsi="Arial" w:cs="Arial"/>
                <w:noProof/>
                <w:sz w:val="22"/>
              </w:rPr>
              <w:t>3.</w:t>
            </w:r>
            <w:r w:rsidR="004729E3" w:rsidRPr="00A344D7">
              <w:rPr>
                <w:rFonts w:ascii="Arial" w:hAnsi="Arial" w:cs="Arial"/>
                <w:sz w:val="22"/>
              </w:rPr>
              <w:t xml:space="preserve"> </w:t>
            </w:r>
            <w:r w:rsidR="004729E3" w:rsidRPr="00A344D7">
              <w:rPr>
                <w:rStyle w:val="Hyperlink"/>
                <w:rFonts w:ascii="Arial" w:hAnsi="Arial" w:cs="Arial"/>
                <w:noProof/>
                <w:sz w:val="22"/>
              </w:rPr>
              <w:t>Conclusio</w:t>
            </w:r>
            <w:r w:rsidR="008361CC">
              <w:rPr>
                <w:rStyle w:val="Hyperlink"/>
                <w:rFonts w:ascii="Arial" w:hAnsi="Arial" w:cs="Arial"/>
                <w:noProof/>
                <w:sz w:val="22"/>
              </w:rPr>
              <w:t>n……………………………………………………………………………………….</w:t>
            </w:r>
            <w:r w:rsidR="00A25AFB">
              <w:rPr>
                <w:rFonts w:ascii="Arial" w:hAnsi="Arial" w:cs="Arial"/>
                <w:noProof/>
                <w:webHidden/>
                <w:sz w:val="22"/>
              </w:rPr>
              <w:t>6</w:t>
            </w:r>
          </w:hyperlink>
        </w:p>
        <w:p w14:paraId="31F400B2" w14:textId="64843F06" w:rsidR="00666164" w:rsidRPr="00A344D7" w:rsidRDefault="00E46262" w:rsidP="00666164">
          <w:pPr>
            <w:pStyle w:val="TOC1"/>
            <w:tabs>
              <w:tab w:val="right" w:leader="dot" w:pos="9016"/>
            </w:tabs>
            <w:spacing w:line="360" w:lineRule="auto"/>
            <w:rPr>
              <w:rFonts w:ascii="Arial" w:eastAsiaTheme="minorEastAsia" w:hAnsi="Arial" w:cs="Arial"/>
              <w:noProof/>
              <w:kern w:val="2"/>
              <w:sz w:val="22"/>
              <w:lang w:eastAsia="en-GB"/>
              <w14:ligatures w14:val="standardContextual"/>
            </w:rPr>
          </w:pPr>
          <w:r>
            <w:t>4</w:t>
          </w:r>
          <w:r w:rsidR="00B833E1">
            <w:t>.</w:t>
          </w:r>
          <w:hyperlink w:anchor="_Toc227358723" w:history="1">
            <w:r w:rsidR="00666164" w:rsidRPr="00A344D7">
              <w:rPr>
                <w:rStyle w:val="Hyperlink"/>
                <w:rFonts w:ascii="Arial" w:hAnsi="Arial" w:cs="Arial"/>
                <w:noProof/>
                <w:sz w:val="22"/>
              </w:rPr>
              <w:t>References</w:t>
            </w:r>
            <w:r w:rsidR="008361CC">
              <w:rPr>
                <w:rFonts w:ascii="Arial" w:hAnsi="Arial" w:cs="Arial"/>
                <w:noProof/>
                <w:webHidden/>
                <w:sz w:val="22"/>
              </w:rPr>
              <w:t>……………………………………………………………………………………….</w:t>
            </w:r>
            <w:r w:rsidR="00A25AFB">
              <w:rPr>
                <w:rFonts w:ascii="Arial" w:hAnsi="Arial" w:cs="Arial"/>
                <w:noProof/>
                <w:webHidden/>
                <w:sz w:val="22"/>
              </w:rPr>
              <w:t>8</w:t>
            </w:r>
          </w:hyperlink>
        </w:p>
        <w:p w14:paraId="78CB781D" w14:textId="77777777" w:rsidR="00666164" w:rsidRDefault="00666164" w:rsidP="00666164">
          <w:pPr>
            <w:spacing w:line="360" w:lineRule="auto"/>
            <w:rPr>
              <w:b/>
              <w:bCs/>
            </w:rPr>
          </w:pPr>
          <w:r w:rsidRPr="00A344D7">
            <w:rPr>
              <w:rFonts w:ascii="Arial" w:hAnsi="Arial" w:cs="Arial"/>
              <w:b/>
              <w:bCs/>
            </w:rPr>
            <w:fldChar w:fldCharType="end"/>
          </w:r>
        </w:p>
      </w:sdtContent>
    </w:sdt>
    <w:p w14:paraId="6623A92B" w14:textId="77777777" w:rsidR="00BF217E" w:rsidRDefault="00BF217E" w:rsidP="00032B58">
      <w:pPr>
        <w:spacing w:line="360" w:lineRule="auto"/>
        <w:rPr>
          <w:rFonts w:ascii="Arial" w:hAnsi="Arial" w:cs="Arial"/>
        </w:rPr>
      </w:pPr>
    </w:p>
    <w:p w14:paraId="53A51C98" w14:textId="77777777" w:rsidR="00BF217E" w:rsidRDefault="00BF217E" w:rsidP="00032B58">
      <w:pPr>
        <w:spacing w:line="360" w:lineRule="auto"/>
        <w:rPr>
          <w:rFonts w:ascii="Arial" w:hAnsi="Arial" w:cs="Arial"/>
        </w:rPr>
      </w:pPr>
    </w:p>
    <w:p w14:paraId="3B547AA9" w14:textId="77777777" w:rsidR="00BF217E" w:rsidRDefault="00BF217E" w:rsidP="00032B58">
      <w:pPr>
        <w:spacing w:line="360" w:lineRule="auto"/>
        <w:rPr>
          <w:rFonts w:ascii="Arial" w:hAnsi="Arial" w:cs="Arial"/>
        </w:rPr>
      </w:pPr>
    </w:p>
    <w:p w14:paraId="1986FDB3" w14:textId="77777777" w:rsidR="00BF217E" w:rsidRDefault="00BF217E" w:rsidP="00032B58">
      <w:pPr>
        <w:spacing w:line="360" w:lineRule="auto"/>
        <w:rPr>
          <w:rFonts w:ascii="Arial" w:hAnsi="Arial" w:cs="Arial"/>
        </w:rPr>
      </w:pPr>
    </w:p>
    <w:p w14:paraId="4C1A2590" w14:textId="77777777" w:rsidR="00BF217E" w:rsidRDefault="00BF217E" w:rsidP="00032B58">
      <w:pPr>
        <w:spacing w:line="360" w:lineRule="auto"/>
        <w:rPr>
          <w:rFonts w:ascii="Arial" w:hAnsi="Arial" w:cs="Arial"/>
        </w:rPr>
      </w:pPr>
    </w:p>
    <w:p w14:paraId="3BA10E43" w14:textId="77777777" w:rsidR="00BF217E" w:rsidRDefault="00BF217E" w:rsidP="00032B58">
      <w:pPr>
        <w:spacing w:line="360" w:lineRule="auto"/>
        <w:rPr>
          <w:rFonts w:ascii="Arial" w:hAnsi="Arial" w:cs="Arial"/>
        </w:rPr>
      </w:pPr>
    </w:p>
    <w:p w14:paraId="04009D23" w14:textId="77777777" w:rsidR="00BF217E" w:rsidRDefault="00BF217E" w:rsidP="00032B58">
      <w:pPr>
        <w:spacing w:line="360" w:lineRule="auto"/>
        <w:rPr>
          <w:rFonts w:ascii="Arial" w:hAnsi="Arial" w:cs="Arial"/>
        </w:rPr>
      </w:pPr>
    </w:p>
    <w:p w14:paraId="53DB5023" w14:textId="77777777" w:rsidR="00BF217E" w:rsidRDefault="00BF217E" w:rsidP="00032B58">
      <w:pPr>
        <w:spacing w:line="360" w:lineRule="auto"/>
        <w:rPr>
          <w:rFonts w:ascii="Arial" w:hAnsi="Arial" w:cs="Arial"/>
        </w:rPr>
      </w:pPr>
    </w:p>
    <w:p w14:paraId="153E1674" w14:textId="77777777" w:rsidR="00BF217E" w:rsidRDefault="00BF217E" w:rsidP="00032B58">
      <w:pPr>
        <w:spacing w:line="360" w:lineRule="auto"/>
        <w:rPr>
          <w:rFonts w:ascii="Arial" w:hAnsi="Arial" w:cs="Arial"/>
        </w:rPr>
      </w:pPr>
    </w:p>
    <w:p w14:paraId="5CA8A97D" w14:textId="77777777" w:rsidR="00BF217E" w:rsidRDefault="00BF217E" w:rsidP="00032B58">
      <w:pPr>
        <w:spacing w:line="360" w:lineRule="auto"/>
        <w:rPr>
          <w:rFonts w:ascii="Arial" w:hAnsi="Arial" w:cs="Arial"/>
        </w:rPr>
      </w:pPr>
    </w:p>
    <w:p w14:paraId="034C4A80" w14:textId="77777777" w:rsidR="00BF217E" w:rsidRDefault="00BF217E" w:rsidP="00032B58">
      <w:pPr>
        <w:spacing w:line="360" w:lineRule="auto"/>
        <w:rPr>
          <w:rFonts w:ascii="Arial" w:hAnsi="Arial" w:cs="Arial"/>
        </w:rPr>
      </w:pPr>
    </w:p>
    <w:p w14:paraId="52B1E89A" w14:textId="77777777" w:rsidR="00BF217E" w:rsidRDefault="00BF217E" w:rsidP="00032B58">
      <w:pPr>
        <w:spacing w:line="360" w:lineRule="auto"/>
        <w:rPr>
          <w:rFonts w:ascii="Arial" w:hAnsi="Arial" w:cs="Arial"/>
        </w:rPr>
      </w:pPr>
    </w:p>
    <w:p w14:paraId="2DAA4BAC" w14:textId="77777777" w:rsidR="00BF217E" w:rsidRDefault="00BF217E" w:rsidP="00032B58">
      <w:pPr>
        <w:spacing w:line="360" w:lineRule="auto"/>
        <w:rPr>
          <w:rFonts w:ascii="Arial" w:hAnsi="Arial" w:cs="Arial"/>
        </w:rPr>
      </w:pPr>
    </w:p>
    <w:p w14:paraId="398B6C24" w14:textId="77777777" w:rsidR="00BF217E" w:rsidRDefault="00BF217E" w:rsidP="00032B58">
      <w:pPr>
        <w:spacing w:line="360" w:lineRule="auto"/>
        <w:rPr>
          <w:rFonts w:ascii="Arial" w:hAnsi="Arial" w:cs="Arial"/>
        </w:rPr>
      </w:pPr>
    </w:p>
    <w:p w14:paraId="5532F252" w14:textId="77777777" w:rsidR="00BF217E" w:rsidRDefault="00BF217E" w:rsidP="00032B58">
      <w:pPr>
        <w:spacing w:line="360" w:lineRule="auto"/>
        <w:rPr>
          <w:rFonts w:ascii="Arial" w:hAnsi="Arial" w:cs="Arial"/>
        </w:rPr>
      </w:pPr>
    </w:p>
    <w:p w14:paraId="3FFFD5B1" w14:textId="77777777" w:rsidR="00BF217E" w:rsidRDefault="00BF217E" w:rsidP="00032B58">
      <w:pPr>
        <w:spacing w:line="360" w:lineRule="auto"/>
        <w:rPr>
          <w:rFonts w:ascii="Arial" w:hAnsi="Arial" w:cs="Arial"/>
        </w:rPr>
      </w:pPr>
    </w:p>
    <w:p w14:paraId="5CA54967" w14:textId="77777777" w:rsidR="00BF217E" w:rsidRDefault="00BF217E" w:rsidP="00032B58">
      <w:pPr>
        <w:spacing w:line="360" w:lineRule="auto"/>
        <w:rPr>
          <w:rFonts w:ascii="Arial" w:hAnsi="Arial" w:cs="Arial"/>
        </w:rPr>
      </w:pPr>
    </w:p>
    <w:p w14:paraId="65233186" w14:textId="77777777" w:rsidR="00BF217E" w:rsidRDefault="00BF217E" w:rsidP="00032B58">
      <w:pPr>
        <w:spacing w:line="360" w:lineRule="auto"/>
        <w:rPr>
          <w:rFonts w:ascii="Arial" w:hAnsi="Arial" w:cs="Arial"/>
        </w:rPr>
      </w:pPr>
    </w:p>
    <w:p w14:paraId="4DE31BD9" w14:textId="77777777" w:rsidR="00BF217E" w:rsidRDefault="00BF217E" w:rsidP="00032B58">
      <w:pPr>
        <w:spacing w:line="360" w:lineRule="auto"/>
        <w:rPr>
          <w:rFonts w:ascii="Arial" w:hAnsi="Arial" w:cs="Arial"/>
        </w:rPr>
      </w:pPr>
    </w:p>
    <w:p w14:paraId="2E592B35" w14:textId="77777777" w:rsidR="00BF217E" w:rsidRDefault="00BF217E" w:rsidP="00032B58">
      <w:pPr>
        <w:spacing w:line="360" w:lineRule="auto"/>
        <w:rPr>
          <w:rFonts w:ascii="Arial" w:hAnsi="Arial" w:cs="Arial"/>
        </w:rPr>
      </w:pPr>
    </w:p>
    <w:p w14:paraId="55C6E949" w14:textId="77777777" w:rsidR="00BF217E" w:rsidRDefault="00BF217E" w:rsidP="00032B58">
      <w:pPr>
        <w:spacing w:line="360" w:lineRule="auto"/>
        <w:rPr>
          <w:rFonts w:ascii="Arial" w:hAnsi="Arial" w:cs="Arial"/>
        </w:rPr>
      </w:pPr>
    </w:p>
    <w:p w14:paraId="074892F0" w14:textId="77777777" w:rsidR="00BF217E" w:rsidRDefault="00BF217E" w:rsidP="00032B58">
      <w:pPr>
        <w:spacing w:line="360" w:lineRule="auto"/>
        <w:rPr>
          <w:rFonts w:ascii="Arial" w:hAnsi="Arial" w:cs="Arial"/>
        </w:rPr>
      </w:pPr>
    </w:p>
    <w:p w14:paraId="714D12FA" w14:textId="77777777" w:rsidR="00BF217E" w:rsidRPr="00561C1D" w:rsidRDefault="00BF217E" w:rsidP="00032B58">
      <w:pPr>
        <w:spacing w:line="360" w:lineRule="auto"/>
        <w:rPr>
          <w:rFonts w:ascii="Arial" w:hAnsi="Arial" w:cs="Arial"/>
          <w:b/>
          <w:bCs/>
          <w:sz w:val="30"/>
          <w:szCs w:val="30"/>
        </w:rPr>
      </w:pPr>
    </w:p>
    <w:p w14:paraId="05FC4B84" w14:textId="0639C527" w:rsidR="00032B58" w:rsidRPr="00561C1D" w:rsidRDefault="00032B58" w:rsidP="00032B58">
      <w:pPr>
        <w:spacing w:line="360" w:lineRule="auto"/>
        <w:rPr>
          <w:rFonts w:ascii="Arial" w:hAnsi="Arial" w:cs="Arial"/>
          <w:b/>
          <w:bCs/>
          <w:sz w:val="30"/>
          <w:szCs w:val="30"/>
        </w:rPr>
      </w:pPr>
      <w:r w:rsidRPr="00561C1D">
        <w:rPr>
          <w:rFonts w:ascii="Arial" w:hAnsi="Arial" w:cs="Arial"/>
          <w:b/>
          <w:bCs/>
          <w:sz w:val="30"/>
          <w:szCs w:val="30"/>
        </w:rPr>
        <w:t>Introduction</w:t>
      </w:r>
    </w:p>
    <w:p w14:paraId="3AE9BA81" w14:textId="77777777" w:rsidR="00032B58" w:rsidRDefault="00032B58" w:rsidP="00032B58">
      <w:pPr>
        <w:spacing w:line="360" w:lineRule="auto"/>
        <w:rPr>
          <w:rFonts w:ascii="Arial" w:hAnsi="Arial" w:cs="Arial"/>
        </w:rPr>
      </w:pPr>
      <w:r w:rsidRPr="00032B58">
        <w:rPr>
          <w:rFonts w:ascii="Arial" w:hAnsi="Arial" w:cs="Arial"/>
        </w:rPr>
        <w:t>The pervasive influence of social media on adolescent mental health has become a central concern in contemporary psychology and health and social care practice. While much of the existing literature has focused on the detrimental effects of digital platforms, this essay argues that the impact of social media on young people is not inherently pathological but is, rather, contextual; it is shaped by individual psychological vulnerabilities, environmental protective factors, and the broader developmental stage of the user. Drawing on Erik Erikson’s (1968) theory of psychosocial development and Albert Bandura’s (1997) social learning theory, this essay will examine how social media can both impede and facilitate identity formation and self-efficacy during adolescence. Furthermore, it will explore how these theoretical frameworks can be meaningfully extended to support the mental health and well-being of older adults in health and social care settings, emphasising the importance of privacy, autonomy, and intergenerational connection. The essay begins by outlining the key challenges adolescents face in the digital age, then applies each theory to explain these challenges, and finally considers the broader implications for practice across the lifespan.</w:t>
      </w:r>
    </w:p>
    <w:p w14:paraId="14A2F8C8" w14:textId="77777777" w:rsidR="00561C1D" w:rsidRPr="00032B58" w:rsidRDefault="00561C1D" w:rsidP="00032B58">
      <w:pPr>
        <w:spacing w:line="360" w:lineRule="auto"/>
        <w:rPr>
          <w:rFonts w:ascii="Arial" w:hAnsi="Arial" w:cs="Arial"/>
        </w:rPr>
      </w:pPr>
    </w:p>
    <w:p w14:paraId="5B3888C2" w14:textId="718648D4" w:rsidR="00561C1D" w:rsidRPr="00561C1D" w:rsidRDefault="00032B58" w:rsidP="00032B58">
      <w:pPr>
        <w:spacing w:line="360" w:lineRule="auto"/>
        <w:rPr>
          <w:rFonts w:ascii="Arial" w:hAnsi="Arial" w:cs="Arial"/>
          <w:b/>
          <w:bCs/>
          <w:sz w:val="30"/>
          <w:szCs w:val="30"/>
        </w:rPr>
      </w:pPr>
      <w:r w:rsidRPr="00561C1D">
        <w:rPr>
          <w:rFonts w:ascii="Arial" w:hAnsi="Arial" w:cs="Arial"/>
          <w:b/>
          <w:bCs/>
          <w:sz w:val="30"/>
          <w:szCs w:val="30"/>
        </w:rPr>
        <w:t>Main Body</w:t>
      </w:r>
    </w:p>
    <w:p w14:paraId="525A5D24" w14:textId="4B2EBDEA" w:rsidR="00032B58" w:rsidRPr="00032B58" w:rsidRDefault="00032B58" w:rsidP="00032B58">
      <w:pPr>
        <w:spacing w:line="360" w:lineRule="auto"/>
        <w:rPr>
          <w:rFonts w:ascii="Arial" w:hAnsi="Arial" w:cs="Arial"/>
        </w:rPr>
      </w:pPr>
      <w:r w:rsidRPr="00032B58">
        <w:rPr>
          <w:rFonts w:ascii="Arial" w:hAnsi="Arial" w:cs="Arial"/>
        </w:rPr>
        <w:t xml:space="preserve">Adolescence, as Erikson (1968) posits, is a critical period of psychosocial development characterised by the 'identity versus role confusion' crisis, during which the individual questions, "Who am I?". Social media platforms offer a salient arena for this identity work, allowing adolescents to experiment with multiple digital personas, seek peer validation, and find like-minded communities. Bandura's (1997) social learning theory complements this perspective by explaining the mechanisms through which young people learn by observing and modelling the behaviours of online influencers, peers, and celebrities. The adolescent's drive for belonging and approval can be satisfied almost instantaneously through likes, </w:t>
      </w:r>
      <w:r w:rsidRPr="00032B58">
        <w:rPr>
          <w:rFonts w:ascii="Arial" w:hAnsi="Arial" w:cs="Arial"/>
        </w:rPr>
        <w:lastRenderedPageBreak/>
        <w:t>comments, and follower counts. However, this digital experimentation often comes at the cost of a coherent and stable self-concept. When the online self becomes fragmented or idealised, the gap between the 'real' and 'digital' identity can intensify role confusion, leading to anxiety, low self-esteem, and a sense of inadequacy (Twenge, 2017). Thus, Erikson's framework highlights the developmental need for exploration, while Bandura's theory elucidates the mechanism through which social media shapes this exploration, often into a precarious balancing act. Furthermore, the constant availability of social media means that adolescents are rarely free from social comparison, which can exacerbate feelings of inadequacy and self-doubt (Valkenburg et al., 2022).</w:t>
      </w:r>
    </w:p>
    <w:p w14:paraId="0C924CCC" w14:textId="52DC7DA0" w:rsidR="00032B58" w:rsidRPr="00032B58" w:rsidRDefault="00032B58" w:rsidP="00032B58">
      <w:pPr>
        <w:spacing w:line="360" w:lineRule="auto"/>
        <w:rPr>
          <w:rFonts w:ascii="Arial" w:hAnsi="Arial" w:cs="Arial"/>
        </w:rPr>
      </w:pPr>
      <w:r w:rsidRPr="00032B58">
        <w:rPr>
          <w:rFonts w:ascii="Arial" w:hAnsi="Arial" w:cs="Arial"/>
        </w:rPr>
        <w:t>Bandura’s (1997) concept of self-efficacy is particularly relevant to understanding how social media affects adolescent mental health. Self-efficacy refers to an individual’s belief in their ability to succeed in specific situations. On social media, young people receive continuous feedback in the form of likes, shares, and positive comments, which Bandura would identify as 'vicarious reinforcement'. This digital approval can temporarily elevate self-efficacy, reinforcing the behaviour that produced it and creating a reliance on external validation. However, this perceived competence is precarious and short-lived. As Erikson (1968) would argue, the adolescent's newly developed sense of self becomes heavily dependent on the volatile opinions of a largely impersonal online audience. When the expected reinforcement is absent (e.g., low engagement on a post), the adolescent may experience a significant drop in self-worth and a renewed crisis of identity. This interplay creates a vicious cycle: the adolescent seeks affirmation, experiences a temporary boost in self-efficacy from positive feedback, but then faces a deeper sense of confusion when that feedback falters. This dynamic demonstrates how the two theories are not separate explanations but rather two interdependent processes explaining the same phenomenon. Moreover, adolescents often mistake this digital realm for the real world, believing they are genuinely understood and accepted; however, with maturity, many realise that online 'support' is frequently driven by self-interest—such as gaining followers, receiving positive comments, or enhancing one's own social standing—rather than authentic care (Kuss &amp; Griffiths, 2017). Consequently, the adolescent's self-worth becomes tethered to an unpredictable digital feedback loop, rendering them vulnerable to both fleeting highs and profound lows. This cycle can be particularly damaging during adolescence, a time when identity is still forming and external validation holds significant weight.</w:t>
      </w:r>
    </w:p>
    <w:p w14:paraId="7B9D02F4" w14:textId="742B5296" w:rsidR="00032B58" w:rsidRPr="00032B58" w:rsidRDefault="00032B58" w:rsidP="00032B58">
      <w:pPr>
        <w:spacing w:line="360" w:lineRule="auto"/>
        <w:rPr>
          <w:rFonts w:ascii="Arial" w:hAnsi="Arial" w:cs="Arial"/>
        </w:rPr>
      </w:pPr>
      <w:r w:rsidRPr="00032B58">
        <w:rPr>
          <w:rFonts w:ascii="Arial" w:hAnsi="Arial" w:cs="Arial"/>
        </w:rPr>
        <w:t xml:space="preserve">The negative impacts of social media are not inevitable; rather, they are contingent upon what Bronfenbrenner (1979) described as the ecological context of the developing individual. Family environment, parental mediation, and the availability of non-digital role models serve as crucial protective factors (Livingstone &amp; Helsper, 2010). In contexts where digital </w:t>
      </w:r>
      <w:r w:rsidRPr="00032B58">
        <w:rPr>
          <w:rFonts w:ascii="Arial" w:hAnsi="Arial" w:cs="Arial"/>
        </w:rPr>
        <w:lastRenderedPageBreak/>
        <w:t>exposure is consciously delayed or limited – for instance, where a child's primary role models are parents, teachers, and literary heroes rather than online influencers – the process of social learning shifts from the virtual to the tangible. This fosters the development of intrinsic motivation, creative imagination, and sustained attention, which are essential prerequisites for Erikson's healthy identity synthesis. Moreover, delayed exposure to the volatile emotional triggers of social media allows the developing brain to establish more stable patterns of emotional regulation, as immediate and reactive emotional shifts (anger, excitement, sadness) triggered by online content are minimised. Consequently, Bandura's modelling process becomes more grounded in real-life interactions, and Erikson's developmental tasks are approached with a more robust sense of self, cultivated in a space that prioritises personal autonomy over digital conformity. Early exposure to the digital world, therefore, often leads to addictive patterns in adolescence, whereas delayed, conscious engagement fosters healthier long-term outcomes (Orben &amp; Przybylski, 2019). Research has consistently shown that adolescents who spend more than three hours daily on social media are at significantly higher risk of mental health problems, including depression and anxiety (Twenge, 2017). This highlights the importance of setting boundaries and encouraging alternative activities that promote real-world engagement and skill development.</w:t>
      </w:r>
    </w:p>
    <w:p w14:paraId="51874466" w14:textId="77777777" w:rsidR="00032B58" w:rsidRPr="00032B58" w:rsidRDefault="00032B58" w:rsidP="00032B58">
      <w:pPr>
        <w:spacing w:line="360" w:lineRule="auto"/>
        <w:rPr>
          <w:rFonts w:ascii="Arial" w:hAnsi="Arial" w:cs="Arial"/>
        </w:rPr>
      </w:pPr>
      <w:r w:rsidRPr="00032B58">
        <w:rPr>
          <w:rFonts w:ascii="Arial" w:hAnsi="Arial" w:cs="Arial"/>
        </w:rPr>
        <w:t xml:space="preserve">Crucially, Erikson and Bandura’s theories are not confined to adolescent development; they offer equally profound insights into the support of older adults within health and social care. Erikson's (1968) final psychosocial stage, 'integrity versus despair', reflects the elderly individual's need to look back on their life with a sense of accomplishment rather than regret. Health and social care practitioners can apply this theory by using life review techniques – actively listening to an older person’s life story – to reinforce their sense of integrity and worth. Simultaneously, Bandura’s (1997) concept of self-efficacy can be operationalised to empower older adults by supporting them in small daily tasks (e.g., taking medication, using a walking aid) to foster the belief that they can still act independently. A crucial element that bridges both theories is respect for privacy. In an age where intimate details of life are publicly broadcast online, preserving the older person's dignity and personal space is paramount. However, practitioners must also acknowledge that in our increasingly globalised world, digital tools are often the only bridge connecting older adults to their families abroad. Therefore, the role of the professional is not to reject technology, but to facilitate its measured and safe use, helping older adults maintain intergenerational connections without compromising their privacy or psychological well-being. This balanced approach integrates the core tenets of both theories, promoting holistic care that adapts to the realities of modern life (Valkenburg et al., 2022). Furthermore, practitioners should recognise that older adults may experience digital exclusion, which can exacerbate feelings of isolation; therefore, </w:t>
      </w:r>
      <w:r w:rsidRPr="00032B58">
        <w:rPr>
          <w:rFonts w:ascii="Arial" w:hAnsi="Arial" w:cs="Arial"/>
        </w:rPr>
        <w:lastRenderedPageBreak/>
        <w:t>supporting them to develop basic digital literacy skills can enhance their social connectedness and overall quality of life.</w:t>
      </w:r>
    </w:p>
    <w:p w14:paraId="42F5EA46" w14:textId="3D0C406D" w:rsidR="00032B58" w:rsidRPr="00032B58" w:rsidRDefault="00032B58" w:rsidP="00032B58">
      <w:pPr>
        <w:spacing w:line="360" w:lineRule="auto"/>
        <w:rPr>
          <w:rFonts w:ascii="Arial" w:hAnsi="Arial" w:cs="Arial"/>
        </w:rPr>
      </w:pPr>
      <w:r w:rsidRPr="00032B58">
        <w:rPr>
          <w:rFonts w:ascii="Arial" w:hAnsi="Arial" w:cs="Arial"/>
        </w:rPr>
        <w:t>Moreover, recognising that older adults may have different levels of digital literacy is essential. Practitioners should therefore offer tailored support, such as teaching basic digital skills in a patient and respectful manner, to empower older adults to use technology safely and confidently. This not only enhances their independence but also reduces the risk of social isolation, which is a significant concern in later life (Livingstone &amp; Helsper, 2010).</w:t>
      </w:r>
    </w:p>
    <w:p w14:paraId="6F294782" w14:textId="77777777" w:rsidR="00032B58" w:rsidRPr="00A344D7" w:rsidRDefault="00032B58" w:rsidP="00032B58">
      <w:pPr>
        <w:spacing w:line="360" w:lineRule="auto"/>
        <w:rPr>
          <w:rFonts w:ascii="Arial" w:hAnsi="Arial" w:cs="Arial"/>
          <w:b/>
          <w:bCs/>
        </w:rPr>
      </w:pPr>
      <w:r w:rsidRPr="00A344D7">
        <w:rPr>
          <w:rFonts w:ascii="Arial" w:hAnsi="Arial" w:cs="Arial"/>
          <w:b/>
          <w:bCs/>
        </w:rPr>
        <w:t>Conclusion</w:t>
      </w:r>
    </w:p>
    <w:p w14:paraId="4E045C44" w14:textId="007E8D0B" w:rsidR="00182636" w:rsidRDefault="00032B58" w:rsidP="00032B58">
      <w:pPr>
        <w:spacing w:line="360" w:lineRule="auto"/>
        <w:rPr>
          <w:rFonts w:ascii="Arial" w:hAnsi="Arial" w:cs="Arial"/>
        </w:rPr>
      </w:pPr>
      <w:r w:rsidRPr="00032B58">
        <w:rPr>
          <w:rFonts w:ascii="Arial" w:hAnsi="Arial" w:cs="Arial"/>
        </w:rPr>
        <w:t>In conclusion, social media is neither an inherently destructive force nor a benign tool; its impact on adolescent mental health is fundamentally contextual. Erikson's and Bandura's theoretical frameworks provide a powerful lens through which to understand the complex interplay of identity exploration, social modelling, and self-efficacy that characterises online engagement during this critical developmental period. While the potential for identity confusion and diminished self-worth is significant, protective factors – such as a supportive family environment, delayed digital exposure, and the presence of tangible role models – can mitigate these risks. Moreover, the same theories offer invaluable guidance for health and social care practitioners working with older adults, emphasising the importance of privacy, autonomy, and intergenerational connection. Ultimately, the goal is not to eliminate digital interaction but to foster a culture of mindful, balanced, and developmentally appropriate technology use – a perspective that acknowledges technology as an unavoidable part of contemporary life, while firmly upholding the human values of respect, dignity, and psychological well-being across the entire lifespan. Future research should continue to explore the long-term effects of early digital exposure and develop targeted interventions that support both adolescents and older adults in navigating the digital world safely.</w:t>
      </w:r>
    </w:p>
    <w:p w14:paraId="0054129C" w14:textId="77777777" w:rsidR="00FC0E0B" w:rsidRDefault="00FC0E0B" w:rsidP="00032B58">
      <w:pPr>
        <w:spacing w:line="360" w:lineRule="auto"/>
        <w:rPr>
          <w:rFonts w:ascii="Arial" w:hAnsi="Arial" w:cs="Arial"/>
        </w:rPr>
      </w:pPr>
    </w:p>
    <w:p w14:paraId="77459C56" w14:textId="77777777" w:rsidR="00561C1D" w:rsidRDefault="00561C1D" w:rsidP="00FC0E0B">
      <w:pPr>
        <w:spacing w:line="360" w:lineRule="auto"/>
        <w:rPr>
          <w:rFonts w:ascii="Arial" w:hAnsi="Arial" w:cs="Arial"/>
          <w:b/>
          <w:bCs/>
        </w:rPr>
      </w:pPr>
    </w:p>
    <w:p w14:paraId="37C608DA" w14:textId="77777777" w:rsidR="00561C1D" w:rsidRDefault="00561C1D" w:rsidP="00FC0E0B">
      <w:pPr>
        <w:spacing w:line="360" w:lineRule="auto"/>
        <w:rPr>
          <w:rFonts w:ascii="Arial" w:hAnsi="Arial" w:cs="Arial"/>
          <w:b/>
          <w:bCs/>
        </w:rPr>
      </w:pPr>
    </w:p>
    <w:p w14:paraId="2FCB85B2" w14:textId="77777777" w:rsidR="00561C1D" w:rsidRDefault="00561C1D" w:rsidP="00FC0E0B">
      <w:pPr>
        <w:spacing w:line="360" w:lineRule="auto"/>
        <w:rPr>
          <w:rFonts w:ascii="Arial" w:hAnsi="Arial" w:cs="Arial"/>
          <w:b/>
          <w:bCs/>
        </w:rPr>
      </w:pPr>
    </w:p>
    <w:p w14:paraId="59819FDA" w14:textId="77777777" w:rsidR="00561C1D" w:rsidRDefault="00561C1D" w:rsidP="00FC0E0B">
      <w:pPr>
        <w:spacing w:line="360" w:lineRule="auto"/>
        <w:rPr>
          <w:rFonts w:ascii="Arial" w:hAnsi="Arial" w:cs="Arial"/>
          <w:b/>
          <w:bCs/>
        </w:rPr>
      </w:pPr>
    </w:p>
    <w:p w14:paraId="59E54BC1" w14:textId="77777777" w:rsidR="00561C1D" w:rsidRDefault="00561C1D" w:rsidP="00FC0E0B">
      <w:pPr>
        <w:spacing w:line="360" w:lineRule="auto"/>
        <w:rPr>
          <w:rFonts w:ascii="Arial" w:hAnsi="Arial" w:cs="Arial"/>
          <w:b/>
          <w:bCs/>
        </w:rPr>
      </w:pPr>
    </w:p>
    <w:p w14:paraId="01899938" w14:textId="77777777" w:rsidR="00561C1D" w:rsidRDefault="00561C1D" w:rsidP="00FC0E0B">
      <w:pPr>
        <w:spacing w:line="360" w:lineRule="auto"/>
        <w:rPr>
          <w:rFonts w:ascii="Arial" w:hAnsi="Arial" w:cs="Arial"/>
          <w:b/>
          <w:bCs/>
        </w:rPr>
      </w:pPr>
    </w:p>
    <w:p w14:paraId="043271FE" w14:textId="77777777" w:rsidR="00561C1D" w:rsidRDefault="00561C1D" w:rsidP="00FC0E0B">
      <w:pPr>
        <w:spacing w:line="360" w:lineRule="auto"/>
        <w:rPr>
          <w:rFonts w:ascii="Arial" w:hAnsi="Arial" w:cs="Arial"/>
          <w:b/>
          <w:bCs/>
        </w:rPr>
      </w:pPr>
    </w:p>
    <w:p w14:paraId="5F2DC4FE" w14:textId="77777777" w:rsidR="00561C1D" w:rsidRDefault="00561C1D" w:rsidP="00FC0E0B">
      <w:pPr>
        <w:spacing w:line="360" w:lineRule="auto"/>
        <w:rPr>
          <w:rFonts w:ascii="Arial" w:hAnsi="Arial" w:cs="Arial"/>
          <w:b/>
          <w:bCs/>
        </w:rPr>
      </w:pPr>
    </w:p>
    <w:p w14:paraId="36FF2367" w14:textId="1E4BDB6E" w:rsidR="00FC0E0B" w:rsidRPr="004D00E0" w:rsidRDefault="00FC0E0B" w:rsidP="00FC0E0B">
      <w:pPr>
        <w:spacing w:line="360" w:lineRule="auto"/>
        <w:rPr>
          <w:rFonts w:ascii="Arial" w:hAnsi="Arial" w:cs="Arial"/>
          <w:b/>
          <w:bCs/>
        </w:rPr>
      </w:pPr>
      <w:r w:rsidRPr="004D00E0">
        <w:rPr>
          <w:rFonts w:ascii="Arial" w:hAnsi="Arial" w:cs="Arial"/>
          <w:b/>
          <w:bCs/>
        </w:rPr>
        <w:t>Referen</w:t>
      </w:r>
      <w:r w:rsidR="004D00E0" w:rsidRPr="004D00E0">
        <w:rPr>
          <w:rFonts w:ascii="Arial" w:hAnsi="Arial" w:cs="Arial"/>
          <w:b/>
          <w:bCs/>
        </w:rPr>
        <w:t>ce</w:t>
      </w:r>
      <w:r w:rsidRPr="004D00E0">
        <w:rPr>
          <w:rFonts w:ascii="Arial" w:hAnsi="Arial" w:cs="Arial"/>
          <w:b/>
          <w:bCs/>
        </w:rPr>
        <w:t xml:space="preserve"> List</w:t>
      </w:r>
    </w:p>
    <w:p w14:paraId="74FE098C" w14:textId="77777777" w:rsidR="00FC0E0B" w:rsidRPr="00FC0E0B" w:rsidRDefault="00FC0E0B" w:rsidP="00FC0E0B">
      <w:pPr>
        <w:spacing w:line="360" w:lineRule="auto"/>
        <w:rPr>
          <w:rFonts w:ascii="Arial" w:hAnsi="Arial" w:cs="Arial"/>
        </w:rPr>
      </w:pPr>
    </w:p>
    <w:p w14:paraId="50C1259C" w14:textId="77777777" w:rsidR="00FC0E0B" w:rsidRPr="00FC0E0B" w:rsidRDefault="00FC0E0B" w:rsidP="00FC0E0B">
      <w:pPr>
        <w:spacing w:line="360" w:lineRule="auto"/>
        <w:rPr>
          <w:rFonts w:ascii="Arial" w:hAnsi="Arial" w:cs="Arial"/>
        </w:rPr>
      </w:pPr>
      <w:r w:rsidRPr="00FC0E0B">
        <w:rPr>
          <w:rFonts w:ascii="Arial" w:hAnsi="Arial" w:cs="Arial"/>
        </w:rPr>
        <w:t>Bandura, A. (1997) Self-efficacy: The exercise of control. New York: W.H. Freeman.</w:t>
      </w:r>
    </w:p>
    <w:p w14:paraId="1CCCC54A" w14:textId="77777777" w:rsidR="00FC0E0B" w:rsidRPr="00FC0E0B" w:rsidRDefault="00FC0E0B" w:rsidP="00FC0E0B">
      <w:pPr>
        <w:spacing w:line="360" w:lineRule="auto"/>
        <w:rPr>
          <w:rFonts w:ascii="Arial" w:hAnsi="Arial" w:cs="Arial"/>
        </w:rPr>
      </w:pPr>
    </w:p>
    <w:p w14:paraId="76B965C5" w14:textId="77777777" w:rsidR="00FC0E0B" w:rsidRPr="00FC0E0B" w:rsidRDefault="00FC0E0B" w:rsidP="00FC0E0B">
      <w:pPr>
        <w:spacing w:line="360" w:lineRule="auto"/>
        <w:rPr>
          <w:rFonts w:ascii="Arial" w:hAnsi="Arial" w:cs="Arial"/>
        </w:rPr>
      </w:pPr>
      <w:r w:rsidRPr="00FC0E0B">
        <w:rPr>
          <w:rFonts w:ascii="Arial" w:hAnsi="Arial" w:cs="Arial"/>
        </w:rPr>
        <w:t>Bronfenbrenner, U. (1979) The ecology of human development. Cambridge, MA: Harvard University Press.</w:t>
      </w:r>
    </w:p>
    <w:p w14:paraId="4182381E" w14:textId="77777777" w:rsidR="00FC0E0B" w:rsidRPr="00FC0E0B" w:rsidRDefault="00FC0E0B" w:rsidP="00FC0E0B">
      <w:pPr>
        <w:spacing w:line="360" w:lineRule="auto"/>
        <w:rPr>
          <w:rFonts w:ascii="Arial" w:hAnsi="Arial" w:cs="Arial"/>
        </w:rPr>
      </w:pPr>
    </w:p>
    <w:p w14:paraId="3BAFB2FC" w14:textId="77777777" w:rsidR="00FC0E0B" w:rsidRPr="00FC0E0B" w:rsidRDefault="00FC0E0B" w:rsidP="00FC0E0B">
      <w:pPr>
        <w:spacing w:line="360" w:lineRule="auto"/>
        <w:rPr>
          <w:rFonts w:ascii="Arial" w:hAnsi="Arial" w:cs="Arial"/>
        </w:rPr>
      </w:pPr>
      <w:r w:rsidRPr="00FC0E0B">
        <w:rPr>
          <w:rFonts w:ascii="Arial" w:hAnsi="Arial" w:cs="Arial"/>
        </w:rPr>
        <w:t>Erikson, E.H. (1968) Identity: Youth and crisis. New York: W.W. Norton.</w:t>
      </w:r>
    </w:p>
    <w:p w14:paraId="5E725073" w14:textId="77777777" w:rsidR="00FC0E0B" w:rsidRPr="00FC0E0B" w:rsidRDefault="00FC0E0B" w:rsidP="00FC0E0B">
      <w:pPr>
        <w:spacing w:line="360" w:lineRule="auto"/>
        <w:rPr>
          <w:rFonts w:ascii="Arial" w:hAnsi="Arial" w:cs="Arial"/>
        </w:rPr>
      </w:pPr>
    </w:p>
    <w:p w14:paraId="628542FD" w14:textId="77777777" w:rsidR="00FC0E0B" w:rsidRPr="00FC0E0B" w:rsidRDefault="00FC0E0B" w:rsidP="00FC0E0B">
      <w:pPr>
        <w:spacing w:line="360" w:lineRule="auto"/>
        <w:rPr>
          <w:rFonts w:ascii="Arial" w:hAnsi="Arial" w:cs="Arial"/>
        </w:rPr>
      </w:pPr>
      <w:r w:rsidRPr="00FC0E0B">
        <w:rPr>
          <w:rFonts w:ascii="Arial" w:hAnsi="Arial" w:cs="Arial"/>
        </w:rPr>
        <w:t>Kuss, D.J. and Griffiths, M.D. (2017) 'Social networking sites and addiction: Ten lessons learned', International Journal of Environmental Research and Public Health, 14(3), p. 311.</w:t>
      </w:r>
    </w:p>
    <w:p w14:paraId="2D67BD60" w14:textId="77777777" w:rsidR="00FC0E0B" w:rsidRPr="00FC0E0B" w:rsidRDefault="00FC0E0B" w:rsidP="00FC0E0B">
      <w:pPr>
        <w:spacing w:line="360" w:lineRule="auto"/>
        <w:rPr>
          <w:rFonts w:ascii="Arial" w:hAnsi="Arial" w:cs="Arial"/>
        </w:rPr>
      </w:pPr>
    </w:p>
    <w:p w14:paraId="7FD8E111" w14:textId="77777777" w:rsidR="00FC0E0B" w:rsidRPr="00FC0E0B" w:rsidRDefault="00FC0E0B" w:rsidP="00FC0E0B">
      <w:pPr>
        <w:spacing w:line="360" w:lineRule="auto"/>
        <w:rPr>
          <w:rFonts w:ascii="Arial" w:hAnsi="Arial" w:cs="Arial"/>
        </w:rPr>
      </w:pPr>
      <w:r w:rsidRPr="00FC0E0B">
        <w:rPr>
          <w:rFonts w:ascii="Arial" w:hAnsi="Arial" w:cs="Arial"/>
        </w:rPr>
        <w:t>Livingstone, S. and Helsper, E.J. (2010) 'Balancing opportunities and risks in teenagers' use of the internet: The role of online skills and internet self-efficacy', New Media &amp; Society, 12(2), pp. 309-329.</w:t>
      </w:r>
    </w:p>
    <w:p w14:paraId="3E3F372C" w14:textId="77777777" w:rsidR="00FC0E0B" w:rsidRPr="00FC0E0B" w:rsidRDefault="00FC0E0B" w:rsidP="00FC0E0B">
      <w:pPr>
        <w:spacing w:line="360" w:lineRule="auto"/>
        <w:rPr>
          <w:rFonts w:ascii="Arial" w:hAnsi="Arial" w:cs="Arial"/>
        </w:rPr>
      </w:pPr>
    </w:p>
    <w:p w14:paraId="1A345F57" w14:textId="77777777" w:rsidR="00FC0E0B" w:rsidRPr="00FC0E0B" w:rsidRDefault="00FC0E0B" w:rsidP="00FC0E0B">
      <w:pPr>
        <w:spacing w:line="360" w:lineRule="auto"/>
        <w:rPr>
          <w:rFonts w:ascii="Arial" w:hAnsi="Arial" w:cs="Arial"/>
        </w:rPr>
      </w:pPr>
      <w:r w:rsidRPr="00FC0E0B">
        <w:rPr>
          <w:rFonts w:ascii="Arial" w:hAnsi="Arial" w:cs="Arial"/>
        </w:rPr>
        <w:t>Orben, A. and Przybylski, A.K. (2019) 'The association between adolescent well-being and digital technology use', Nature Human Behaviour, 3(2), pp. 173-182.</w:t>
      </w:r>
    </w:p>
    <w:p w14:paraId="663A439A" w14:textId="77777777" w:rsidR="00FC0E0B" w:rsidRPr="00FC0E0B" w:rsidRDefault="00FC0E0B" w:rsidP="00FC0E0B">
      <w:pPr>
        <w:spacing w:line="360" w:lineRule="auto"/>
        <w:rPr>
          <w:rFonts w:ascii="Arial" w:hAnsi="Arial" w:cs="Arial"/>
        </w:rPr>
      </w:pPr>
    </w:p>
    <w:p w14:paraId="64405138" w14:textId="77777777" w:rsidR="00FC0E0B" w:rsidRPr="00FC0E0B" w:rsidRDefault="00FC0E0B" w:rsidP="00FC0E0B">
      <w:pPr>
        <w:spacing w:line="360" w:lineRule="auto"/>
        <w:rPr>
          <w:rFonts w:ascii="Arial" w:hAnsi="Arial" w:cs="Arial"/>
        </w:rPr>
      </w:pPr>
      <w:r w:rsidRPr="00FC0E0B">
        <w:rPr>
          <w:rFonts w:ascii="Arial" w:hAnsi="Arial" w:cs="Arial"/>
        </w:rPr>
        <w:t xml:space="preserve">Twenge, J.M. (2017) </w:t>
      </w:r>
      <w:proofErr w:type="spellStart"/>
      <w:r w:rsidRPr="00FC0E0B">
        <w:rPr>
          <w:rFonts w:ascii="Arial" w:hAnsi="Arial" w:cs="Arial"/>
        </w:rPr>
        <w:t>iGen</w:t>
      </w:r>
      <w:proofErr w:type="spellEnd"/>
      <w:r w:rsidRPr="00FC0E0B">
        <w:rPr>
          <w:rFonts w:ascii="Arial" w:hAnsi="Arial" w:cs="Arial"/>
        </w:rPr>
        <w:t>: Why today's super-connected kids are growing up less rebellious, more tolerant, less happy - and completely unprepared for adulthood. New York: Atria Books.</w:t>
      </w:r>
    </w:p>
    <w:p w14:paraId="1278CF3A" w14:textId="77777777" w:rsidR="00FC0E0B" w:rsidRPr="00FC0E0B" w:rsidRDefault="00FC0E0B" w:rsidP="00FC0E0B">
      <w:pPr>
        <w:spacing w:line="360" w:lineRule="auto"/>
        <w:rPr>
          <w:rFonts w:ascii="Arial" w:hAnsi="Arial" w:cs="Arial"/>
        </w:rPr>
      </w:pPr>
    </w:p>
    <w:p w14:paraId="1304AE65" w14:textId="3FB29D8A" w:rsidR="00FC0E0B" w:rsidRPr="00032B58" w:rsidRDefault="00FC0E0B" w:rsidP="00FC0E0B">
      <w:pPr>
        <w:spacing w:line="360" w:lineRule="auto"/>
        <w:rPr>
          <w:rFonts w:ascii="Arial" w:hAnsi="Arial" w:cs="Arial"/>
        </w:rPr>
      </w:pPr>
      <w:r w:rsidRPr="00FC0E0B">
        <w:rPr>
          <w:rFonts w:ascii="Arial" w:hAnsi="Arial" w:cs="Arial"/>
        </w:rPr>
        <w:t xml:space="preserve">Valkenburg, P.M., </w:t>
      </w:r>
      <w:proofErr w:type="spellStart"/>
      <w:r w:rsidRPr="00FC0E0B">
        <w:rPr>
          <w:rFonts w:ascii="Arial" w:hAnsi="Arial" w:cs="Arial"/>
        </w:rPr>
        <w:t>Beyens</w:t>
      </w:r>
      <w:proofErr w:type="spellEnd"/>
      <w:r w:rsidRPr="00FC0E0B">
        <w:rPr>
          <w:rFonts w:ascii="Arial" w:hAnsi="Arial" w:cs="Arial"/>
        </w:rPr>
        <w:t xml:space="preserve">, I., </w:t>
      </w:r>
      <w:proofErr w:type="spellStart"/>
      <w:r w:rsidRPr="00FC0E0B">
        <w:rPr>
          <w:rFonts w:ascii="Arial" w:hAnsi="Arial" w:cs="Arial"/>
        </w:rPr>
        <w:t>Pouwels</w:t>
      </w:r>
      <w:proofErr w:type="spellEnd"/>
      <w:r w:rsidRPr="00FC0E0B">
        <w:rPr>
          <w:rFonts w:ascii="Arial" w:hAnsi="Arial" w:cs="Arial"/>
        </w:rPr>
        <w:t xml:space="preserve">, J.L., van Driel, I.I. and </w:t>
      </w:r>
      <w:proofErr w:type="spellStart"/>
      <w:r w:rsidRPr="00FC0E0B">
        <w:rPr>
          <w:rFonts w:ascii="Arial" w:hAnsi="Arial" w:cs="Arial"/>
        </w:rPr>
        <w:t>Keijsers</w:t>
      </w:r>
      <w:proofErr w:type="spellEnd"/>
      <w:r w:rsidRPr="00FC0E0B">
        <w:rPr>
          <w:rFonts w:ascii="Arial" w:hAnsi="Arial" w:cs="Arial"/>
        </w:rPr>
        <w:t>, L. (2022) 'Social media use and adolescents' self-esteem: Heading for a person-specific media effects paradigm', Journal of Communication, 72(1), pp. 45-58.</w:t>
      </w:r>
    </w:p>
    <w:sectPr w:rsidR="00FC0E0B" w:rsidRPr="00032B5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8CC63" w14:textId="77777777" w:rsidR="000F42F0" w:rsidRDefault="000F42F0" w:rsidP="00561C1D">
      <w:pPr>
        <w:spacing w:after="0" w:line="240" w:lineRule="auto"/>
      </w:pPr>
      <w:r>
        <w:separator/>
      </w:r>
    </w:p>
  </w:endnote>
  <w:endnote w:type="continuationSeparator" w:id="0">
    <w:p w14:paraId="60822F22" w14:textId="77777777" w:rsidR="000F42F0" w:rsidRDefault="000F42F0" w:rsidP="00561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8617066"/>
      <w:docPartObj>
        <w:docPartGallery w:val="Page Numbers (Bottom of Page)"/>
        <w:docPartUnique/>
      </w:docPartObj>
    </w:sdtPr>
    <w:sdtEndPr/>
    <w:sdtContent>
      <w:p w14:paraId="664B1B5C" w14:textId="524775B7" w:rsidR="00E2452E" w:rsidRDefault="00E2452E">
        <w:pPr>
          <w:pStyle w:val="Footer"/>
          <w:jc w:val="center"/>
        </w:pPr>
        <w:r>
          <w:fldChar w:fldCharType="begin"/>
        </w:r>
        <w:r>
          <w:instrText>PAGE   \* MERGEFORMAT</w:instrText>
        </w:r>
        <w:r>
          <w:fldChar w:fldCharType="separate"/>
        </w:r>
        <w:r>
          <w:t>2</w:t>
        </w:r>
        <w:r>
          <w:fldChar w:fldCharType="end"/>
        </w:r>
      </w:p>
    </w:sdtContent>
  </w:sdt>
  <w:p w14:paraId="4F1D05C2" w14:textId="77777777" w:rsidR="00561C1D" w:rsidRDefault="00561C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54181" w14:textId="77777777" w:rsidR="000F42F0" w:rsidRDefault="000F42F0" w:rsidP="00561C1D">
      <w:pPr>
        <w:spacing w:after="0" w:line="240" w:lineRule="auto"/>
      </w:pPr>
      <w:r>
        <w:separator/>
      </w:r>
    </w:p>
  </w:footnote>
  <w:footnote w:type="continuationSeparator" w:id="0">
    <w:p w14:paraId="05CF9046" w14:textId="77777777" w:rsidR="000F42F0" w:rsidRDefault="000F42F0" w:rsidP="00561C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B58"/>
    <w:rsid w:val="00032B58"/>
    <w:rsid w:val="000F42F0"/>
    <w:rsid w:val="0013689D"/>
    <w:rsid w:val="00182636"/>
    <w:rsid w:val="001B274B"/>
    <w:rsid w:val="0025700A"/>
    <w:rsid w:val="00334941"/>
    <w:rsid w:val="0044305A"/>
    <w:rsid w:val="004729E3"/>
    <w:rsid w:val="004D00E0"/>
    <w:rsid w:val="00561C1D"/>
    <w:rsid w:val="0059406C"/>
    <w:rsid w:val="00616E4E"/>
    <w:rsid w:val="00666164"/>
    <w:rsid w:val="006D7D18"/>
    <w:rsid w:val="00773D0B"/>
    <w:rsid w:val="008361CC"/>
    <w:rsid w:val="00A25AFB"/>
    <w:rsid w:val="00A344D7"/>
    <w:rsid w:val="00A543E4"/>
    <w:rsid w:val="00A7031F"/>
    <w:rsid w:val="00B833E1"/>
    <w:rsid w:val="00BD1F4D"/>
    <w:rsid w:val="00BF217E"/>
    <w:rsid w:val="00C618BC"/>
    <w:rsid w:val="00DC0F12"/>
    <w:rsid w:val="00E2452E"/>
    <w:rsid w:val="00E278C0"/>
    <w:rsid w:val="00E46262"/>
    <w:rsid w:val="00E71646"/>
    <w:rsid w:val="00ED3E7E"/>
    <w:rsid w:val="00EE70C1"/>
    <w:rsid w:val="00FC0E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DFA7AC"/>
  <w15:chartTrackingRefBased/>
  <w15:docId w15:val="{7EC0E850-45CC-4175-A252-618574782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2B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2B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2B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2B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2B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2B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2B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2B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2B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2B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2B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2B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2B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2B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2B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2B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2B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2B58"/>
    <w:rPr>
      <w:rFonts w:eastAsiaTheme="majorEastAsia" w:cstheme="majorBidi"/>
      <w:color w:val="272727" w:themeColor="text1" w:themeTint="D8"/>
    </w:rPr>
  </w:style>
  <w:style w:type="paragraph" w:styleId="Title">
    <w:name w:val="Title"/>
    <w:basedOn w:val="Normal"/>
    <w:next w:val="Normal"/>
    <w:link w:val="TitleChar"/>
    <w:uiPriority w:val="10"/>
    <w:qFormat/>
    <w:rsid w:val="00032B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2B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2B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2B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2B58"/>
    <w:pPr>
      <w:spacing w:before="160"/>
      <w:jc w:val="center"/>
    </w:pPr>
    <w:rPr>
      <w:i/>
      <w:iCs/>
      <w:color w:val="404040" w:themeColor="text1" w:themeTint="BF"/>
    </w:rPr>
  </w:style>
  <w:style w:type="character" w:customStyle="1" w:styleId="QuoteChar">
    <w:name w:val="Quote Char"/>
    <w:basedOn w:val="DefaultParagraphFont"/>
    <w:link w:val="Quote"/>
    <w:uiPriority w:val="29"/>
    <w:rsid w:val="00032B58"/>
    <w:rPr>
      <w:i/>
      <w:iCs/>
      <w:color w:val="404040" w:themeColor="text1" w:themeTint="BF"/>
    </w:rPr>
  </w:style>
  <w:style w:type="paragraph" w:styleId="ListParagraph">
    <w:name w:val="List Paragraph"/>
    <w:basedOn w:val="Normal"/>
    <w:uiPriority w:val="34"/>
    <w:qFormat/>
    <w:rsid w:val="00032B58"/>
    <w:pPr>
      <w:ind w:left="720"/>
      <w:contextualSpacing/>
    </w:pPr>
  </w:style>
  <w:style w:type="character" w:styleId="IntenseEmphasis">
    <w:name w:val="Intense Emphasis"/>
    <w:basedOn w:val="DefaultParagraphFont"/>
    <w:uiPriority w:val="21"/>
    <w:qFormat/>
    <w:rsid w:val="00032B58"/>
    <w:rPr>
      <w:i/>
      <w:iCs/>
      <w:color w:val="0F4761" w:themeColor="accent1" w:themeShade="BF"/>
    </w:rPr>
  </w:style>
  <w:style w:type="paragraph" w:styleId="IntenseQuote">
    <w:name w:val="Intense Quote"/>
    <w:basedOn w:val="Normal"/>
    <w:next w:val="Normal"/>
    <w:link w:val="IntenseQuoteChar"/>
    <w:uiPriority w:val="30"/>
    <w:qFormat/>
    <w:rsid w:val="00032B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2B58"/>
    <w:rPr>
      <w:i/>
      <w:iCs/>
      <w:color w:val="0F4761" w:themeColor="accent1" w:themeShade="BF"/>
    </w:rPr>
  </w:style>
  <w:style w:type="character" w:styleId="IntenseReference">
    <w:name w:val="Intense Reference"/>
    <w:basedOn w:val="DefaultParagraphFont"/>
    <w:uiPriority w:val="32"/>
    <w:qFormat/>
    <w:rsid w:val="00032B58"/>
    <w:rPr>
      <w:b/>
      <w:bCs/>
      <w:smallCaps/>
      <w:color w:val="0F4761" w:themeColor="accent1" w:themeShade="BF"/>
      <w:spacing w:val="5"/>
    </w:rPr>
  </w:style>
  <w:style w:type="paragraph" w:styleId="TOCHeading">
    <w:name w:val="TOC Heading"/>
    <w:basedOn w:val="Heading1"/>
    <w:next w:val="Normal"/>
    <w:uiPriority w:val="39"/>
    <w:unhideWhenUsed/>
    <w:qFormat/>
    <w:rsid w:val="00616E4E"/>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666164"/>
    <w:pPr>
      <w:spacing w:after="100"/>
    </w:pPr>
    <w:rPr>
      <w:rFonts w:ascii="Times New Roman" w:hAnsi="Times New Roman"/>
      <w:kern w:val="0"/>
      <w:sz w:val="24"/>
      <w14:ligatures w14:val="none"/>
    </w:rPr>
  </w:style>
  <w:style w:type="character" w:styleId="Hyperlink">
    <w:name w:val="Hyperlink"/>
    <w:basedOn w:val="DefaultParagraphFont"/>
    <w:uiPriority w:val="99"/>
    <w:unhideWhenUsed/>
    <w:rsid w:val="00666164"/>
    <w:rPr>
      <w:color w:val="467886" w:themeColor="hyperlink"/>
      <w:u w:val="single"/>
    </w:rPr>
  </w:style>
  <w:style w:type="paragraph" w:styleId="Header">
    <w:name w:val="header"/>
    <w:basedOn w:val="Normal"/>
    <w:link w:val="HeaderChar"/>
    <w:uiPriority w:val="99"/>
    <w:unhideWhenUsed/>
    <w:rsid w:val="00561C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1C1D"/>
  </w:style>
  <w:style w:type="paragraph" w:styleId="Footer">
    <w:name w:val="footer"/>
    <w:basedOn w:val="Normal"/>
    <w:link w:val="FooterChar"/>
    <w:uiPriority w:val="99"/>
    <w:unhideWhenUsed/>
    <w:rsid w:val="00561C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1C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9A503-CAFD-4B33-A00E-BF76C30DB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1840</Words>
  <Characters>10490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ISMIHAN BOZYIGIT</dc:creator>
  <cp:keywords/>
  <dc:description/>
  <cp:lastModifiedBy>ISMIHAN BOZYIGIT</cp:lastModifiedBy>
  <cp:revision>2</cp:revision>
  <dcterms:created xsi:type="dcterms:W3CDTF">2026-08-16T22:23:00Z</dcterms:created>
  <dcterms:modified xsi:type="dcterms:W3CDTF">2026-08-16T22:23:00Z</dcterms:modified>
</cp:coreProperties>
</file>