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667B6" w14:textId="77777777" w:rsidR="001D66A1" w:rsidRDefault="001D66A1" w:rsidP="001D66A1">
      <w:pPr>
        <w:spacing w:after="164" w:line="259" w:lineRule="auto"/>
        <w:ind w:right="7781"/>
        <w:jc w:val="right"/>
      </w:pPr>
      <w:r>
        <w:rPr>
          <w:noProof/>
        </w:rPr>
        <w:drawing>
          <wp:inline distT="0" distB="0" distL="0" distR="0" wp14:anchorId="5D94F79E" wp14:editId="36EC5E90">
            <wp:extent cx="1818767" cy="593725"/>
            <wp:effectExtent l="0" t="0" r="0" b="0"/>
            <wp:docPr id="309"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icPr>
                  <pic:blipFill>
                    <a:blip r:embed="rId8"/>
                    <a:stretch>
                      <a:fillRect/>
                    </a:stretch>
                  </pic:blipFill>
                  <pic:spPr>
                    <a:xfrm>
                      <a:off x="0" y="0"/>
                      <a:ext cx="1818767" cy="593725"/>
                    </a:xfrm>
                    <a:prstGeom prst="rect">
                      <a:avLst/>
                    </a:prstGeom>
                  </pic:spPr>
                </pic:pic>
              </a:graphicData>
            </a:graphic>
          </wp:inline>
        </w:drawing>
      </w:r>
      <w:r>
        <w:rPr>
          <w:rFonts w:eastAsia="Times New Roman" w:cs="Times New Roman"/>
          <w:sz w:val="20"/>
        </w:rPr>
        <w:t xml:space="preserve"> </w:t>
      </w:r>
    </w:p>
    <w:p w14:paraId="4991EEF1" w14:textId="7D255164" w:rsidR="001D66A1" w:rsidRDefault="001D66A1" w:rsidP="001D66A1">
      <w:pPr>
        <w:spacing w:after="0" w:line="259" w:lineRule="auto"/>
        <w:jc w:val="left"/>
      </w:pPr>
      <w:r>
        <w:rPr>
          <w:rFonts w:eastAsia="Times New Roman" w:cs="Times New Roman"/>
          <w:sz w:val="28"/>
        </w:rPr>
        <w:t xml:space="preserve"> </w:t>
      </w:r>
      <w:r>
        <w:rPr>
          <w:rFonts w:ascii="Arial" w:eastAsia="Arial" w:hAnsi="Arial" w:cs="Arial"/>
          <w:b/>
          <w:sz w:val="20"/>
        </w:rPr>
        <w:t xml:space="preserve"> </w:t>
      </w:r>
    </w:p>
    <w:tbl>
      <w:tblPr>
        <w:tblStyle w:val="TableGrid"/>
        <w:tblW w:w="8525" w:type="dxa"/>
        <w:tblInd w:w="731" w:type="dxa"/>
        <w:tblCellMar>
          <w:top w:w="50" w:type="dxa"/>
          <w:left w:w="0" w:type="dxa"/>
          <w:bottom w:w="0" w:type="dxa"/>
          <w:right w:w="14" w:type="dxa"/>
        </w:tblCellMar>
        <w:tblLook w:val="04A0" w:firstRow="1" w:lastRow="0" w:firstColumn="1" w:lastColumn="0" w:noHBand="0" w:noVBand="1"/>
      </w:tblPr>
      <w:tblGrid>
        <w:gridCol w:w="1792"/>
        <w:gridCol w:w="2836"/>
        <w:gridCol w:w="1941"/>
        <w:gridCol w:w="1956"/>
      </w:tblGrid>
      <w:tr w:rsidR="001D66A1" w14:paraId="55350BD7" w14:textId="77777777" w:rsidTr="001D66A1">
        <w:trPr>
          <w:trHeight w:val="652"/>
        </w:trPr>
        <w:tc>
          <w:tcPr>
            <w:tcW w:w="8525" w:type="dxa"/>
            <w:gridSpan w:val="4"/>
            <w:tcBorders>
              <w:top w:val="single" w:sz="4" w:space="0" w:color="000000"/>
              <w:left w:val="single" w:sz="4" w:space="0" w:color="000000"/>
              <w:bottom w:val="single" w:sz="4" w:space="0" w:color="000000"/>
              <w:right w:val="single" w:sz="4" w:space="0" w:color="000000"/>
            </w:tcBorders>
            <w:shd w:val="clear" w:color="auto" w:fill="C0C0C0"/>
            <w:vAlign w:val="center"/>
          </w:tcPr>
          <w:p w14:paraId="7E887D1F" w14:textId="77777777" w:rsidR="001D66A1" w:rsidRDefault="001D66A1" w:rsidP="000D6F00">
            <w:pPr>
              <w:spacing w:line="259" w:lineRule="auto"/>
              <w:ind w:left="13"/>
              <w:jc w:val="center"/>
            </w:pPr>
            <w:r>
              <w:rPr>
                <w:rFonts w:ascii="Arial" w:eastAsia="Arial" w:hAnsi="Arial" w:cs="Arial"/>
                <w:b/>
                <w:sz w:val="32"/>
              </w:rPr>
              <w:t xml:space="preserve">LEVEL 4 ASSESSMENT SPECIFICATION </w:t>
            </w:r>
          </w:p>
        </w:tc>
      </w:tr>
      <w:tr w:rsidR="001D66A1" w14:paraId="002984FB" w14:textId="77777777" w:rsidTr="001D66A1">
        <w:trPr>
          <w:trHeight w:val="553"/>
        </w:trPr>
        <w:tc>
          <w:tcPr>
            <w:tcW w:w="1792" w:type="dxa"/>
            <w:tcBorders>
              <w:top w:val="single" w:sz="4" w:space="0" w:color="000000"/>
              <w:left w:val="single" w:sz="4" w:space="0" w:color="000000"/>
              <w:bottom w:val="single" w:sz="4" w:space="0" w:color="000000"/>
              <w:right w:val="single" w:sz="4" w:space="0" w:color="000000"/>
            </w:tcBorders>
            <w:vAlign w:val="center"/>
          </w:tcPr>
          <w:p w14:paraId="6F14216D" w14:textId="77777777" w:rsidR="001D66A1" w:rsidRDefault="001D66A1" w:rsidP="001D66A1">
            <w:pPr>
              <w:spacing w:line="276" w:lineRule="auto"/>
              <w:ind w:left="121"/>
              <w:jc w:val="left"/>
            </w:pPr>
            <w:r>
              <w:rPr>
                <w:rFonts w:ascii="Arial" w:eastAsia="Arial" w:hAnsi="Arial" w:cs="Arial"/>
                <w:b/>
              </w:rPr>
              <w:t xml:space="preserve">Programme: </w:t>
            </w:r>
          </w:p>
        </w:tc>
        <w:tc>
          <w:tcPr>
            <w:tcW w:w="6733" w:type="dxa"/>
            <w:gridSpan w:val="3"/>
            <w:tcBorders>
              <w:top w:val="single" w:sz="4" w:space="0" w:color="000000"/>
              <w:left w:val="single" w:sz="4" w:space="0" w:color="000000"/>
              <w:bottom w:val="single" w:sz="4" w:space="0" w:color="000000"/>
              <w:right w:val="single" w:sz="4" w:space="0" w:color="000000"/>
            </w:tcBorders>
            <w:vAlign w:val="center"/>
          </w:tcPr>
          <w:p w14:paraId="72534922" w14:textId="77777777" w:rsidR="001D66A1" w:rsidRDefault="001D66A1" w:rsidP="001D66A1">
            <w:pPr>
              <w:spacing w:line="276" w:lineRule="auto"/>
              <w:ind w:left="125"/>
              <w:jc w:val="left"/>
            </w:pPr>
            <w:r>
              <w:rPr>
                <w:rFonts w:ascii="Arial" w:eastAsia="Arial" w:hAnsi="Arial" w:cs="Arial"/>
                <w:b/>
              </w:rPr>
              <w:t xml:space="preserve">Certificate of Higher Education in Health and Social Care </w:t>
            </w:r>
          </w:p>
        </w:tc>
      </w:tr>
      <w:tr w:rsidR="001D66A1" w14:paraId="129DF525" w14:textId="77777777" w:rsidTr="001D66A1">
        <w:trPr>
          <w:trHeight w:val="549"/>
        </w:trPr>
        <w:tc>
          <w:tcPr>
            <w:tcW w:w="1792" w:type="dxa"/>
            <w:tcBorders>
              <w:top w:val="single" w:sz="4" w:space="0" w:color="000000"/>
              <w:left w:val="single" w:sz="4" w:space="0" w:color="000000"/>
              <w:bottom w:val="single" w:sz="4" w:space="0" w:color="000000"/>
              <w:right w:val="single" w:sz="4" w:space="0" w:color="000000"/>
            </w:tcBorders>
            <w:vAlign w:val="center"/>
          </w:tcPr>
          <w:p w14:paraId="53DF4CC0" w14:textId="77777777" w:rsidR="001D66A1" w:rsidRDefault="001D66A1" w:rsidP="001D66A1">
            <w:pPr>
              <w:spacing w:line="276" w:lineRule="auto"/>
              <w:ind w:left="121"/>
              <w:jc w:val="left"/>
            </w:pPr>
            <w:r>
              <w:rPr>
                <w:rFonts w:ascii="Arial" w:eastAsia="Arial" w:hAnsi="Arial" w:cs="Arial"/>
                <w:b/>
              </w:rPr>
              <w:t xml:space="preserve">Module: </w:t>
            </w:r>
          </w:p>
        </w:tc>
        <w:tc>
          <w:tcPr>
            <w:tcW w:w="6733" w:type="dxa"/>
            <w:gridSpan w:val="3"/>
            <w:tcBorders>
              <w:top w:val="single" w:sz="4" w:space="0" w:color="000000"/>
              <w:left w:val="single" w:sz="4" w:space="0" w:color="000000"/>
              <w:bottom w:val="single" w:sz="4" w:space="0" w:color="000000"/>
              <w:right w:val="single" w:sz="4" w:space="0" w:color="000000"/>
            </w:tcBorders>
            <w:vAlign w:val="center"/>
          </w:tcPr>
          <w:p w14:paraId="38904B1A" w14:textId="77777777" w:rsidR="001D66A1" w:rsidRDefault="001D66A1" w:rsidP="001D66A1">
            <w:pPr>
              <w:spacing w:line="276" w:lineRule="auto"/>
              <w:ind w:left="125"/>
              <w:jc w:val="left"/>
            </w:pPr>
            <w:r>
              <w:rPr>
                <w:rFonts w:ascii="Arial" w:eastAsia="Arial" w:hAnsi="Arial" w:cs="Arial"/>
                <w:b/>
              </w:rPr>
              <w:t xml:space="preserve">Psychology in Health and Social Care </w:t>
            </w:r>
          </w:p>
        </w:tc>
      </w:tr>
      <w:tr w:rsidR="001D66A1" w14:paraId="32663364" w14:textId="77777777" w:rsidTr="001D66A1">
        <w:trPr>
          <w:trHeight w:val="859"/>
        </w:trPr>
        <w:tc>
          <w:tcPr>
            <w:tcW w:w="1792" w:type="dxa"/>
            <w:tcBorders>
              <w:top w:val="single" w:sz="4" w:space="0" w:color="000000"/>
              <w:left w:val="single" w:sz="4" w:space="0" w:color="000000"/>
              <w:bottom w:val="single" w:sz="4" w:space="0" w:color="000000"/>
              <w:right w:val="single" w:sz="4" w:space="0" w:color="000000"/>
            </w:tcBorders>
          </w:tcPr>
          <w:p w14:paraId="50D257F8" w14:textId="77777777" w:rsidR="001D66A1" w:rsidRDefault="001D66A1" w:rsidP="001D66A1">
            <w:pPr>
              <w:spacing w:line="276" w:lineRule="auto"/>
              <w:ind w:left="121"/>
              <w:jc w:val="left"/>
            </w:pPr>
            <w:r>
              <w:rPr>
                <w:rFonts w:ascii="Arial" w:eastAsia="Arial" w:hAnsi="Arial" w:cs="Arial"/>
                <w:b/>
              </w:rPr>
              <w:t xml:space="preserve">Module code: </w:t>
            </w:r>
          </w:p>
        </w:tc>
        <w:tc>
          <w:tcPr>
            <w:tcW w:w="2836" w:type="dxa"/>
            <w:tcBorders>
              <w:top w:val="single" w:sz="4" w:space="0" w:color="000000"/>
              <w:left w:val="single" w:sz="4" w:space="0" w:color="000000"/>
              <w:bottom w:val="single" w:sz="4" w:space="0" w:color="000000"/>
              <w:right w:val="single" w:sz="4" w:space="0" w:color="000000"/>
            </w:tcBorders>
          </w:tcPr>
          <w:p w14:paraId="3085A288" w14:textId="77777777" w:rsidR="001D66A1" w:rsidRDefault="001D66A1" w:rsidP="001D66A1">
            <w:pPr>
              <w:spacing w:line="276" w:lineRule="auto"/>
              <w:ind w:left="125"/>
              <w:jc w:val="left"/>
            </w:pPr>
            <w:r>
              <w:rPr>
                <w:rFonts w:ascii="Arial" w:eastAsia="Arial" w:hAnsi="Arial" w:cs="Arial"/>
                <w:b/>
              </w:rPr>
              <w:t xml:space="preserve">LCHS4010 </w:t>
            </w:r>
          </w:p>
        </w:tc>
        <w:tc>
          <w:tcPr>
            <w:tcW w:w="1941" w:type="dxa"/>
            <w:tcBorders>
              <w:top w:val="single" w:sz="4" w:space="0" w:color="000000"/>
              <w:left w:val="single" w:sz="4" w:space="0" w:color="000000"/>
              <w:bottom w:val="single" w:sz="4" w:space="0" w:color="000000"/>
              <w:right w:val="single" w:sz="4" w:space="0" w:color="000000"/>
            </w:tcBorders>
            <w:shd w:val="clear" w:color="auto" w:fill="D9D9D9"/>
          </w:tcPr>
          <w:p w14:paraId="11B9024B" w14:textId="77777777" w:rsidR="001D66A1" w:rsidRDefault="001D66A1" w:rsidP="001D66A1">
            <w:pPr>
              <w:spacing w:after="7" w:line="276" w:lineRule="auto"/>
              <w:ind w:left="8"/>
              <w:jc w:val="left"/>
            </w:pPr>
            <w:r>
              <w:rPr>
                <w:rFonts w:ascii="Arial" w:eastAsia="Arial" w:hAnsi="Arial" w:cs="Arial"/>
                <w:b/>
              </w:rPr>
              <w:t xml:space="preserve">Contribution to </w:t>
            </w:r>
          </w:p>
          <w:p w14:paraId="0199A448" w14:textId="77777777" w:rsidR="001D66A1" w:rsidRDefault="001D66A1" w:rsidP="001D66A1">
            <w:pPr>
              <w:spacing w:line="276" w:lineRule="auto"/>
              <w:ind w:left="121"/>
              <w:jc w:val="left"/>
            </w:pPr>
            <w:r>
              <w:rPr>
                <w:rFonts w:ascii="Arial" w:eastAsia="Arial" w:hAnsi="Arial" w:cs="Arial"/>
                <w:b/>
              </w:rPr>
              <w:t xml:space="preserve">Overall Module </w:t>
            </w:r>
          </w:p>
          <w:p w14:paraId="7E4017FF" w14:textId="77777777" w:rsidR="001D66A1" w:rsidRDefault="001D66A1" w:rsidP="001D66A1">
            <w:pPr>
              <w:spacing w:line="276" w:lineRule="auto"/>
              <w:ind w:left="121"/>
              <w:jc w:val="left"/>
            </w:pPr>
            <w:r>
              <w:rPr>
                <w:rFonts w:ascii="Arial" w:eastAsia="Arial" w:hAnsi="Arial" w:cs="Arial"/>
                <w:b/>
              </w:rPr>
              <w:t xml:space="preserve">Assessment (%): </w:t>
            </w:r>
          </w:p>
        </w:tc>
        <w:tc>
          <w:tcPr>
            <w:tcW w:w="1956" w:type="dxa"/>
            <w:tcBorders>
              <w:top w:val="single" w:sz="4" w:space="0" w:color="000000"/>
              <w:left w:val="single" w:sz="4" w:space="0" w:color="000000"/>
              <w:bottom w:val="single" w:sz="4" w:space="0" w:color="000000"/>
              <w:right w:val="single" w:sz="4" w:space="0" w:color="000000"/>
            </w:tcBorders>
          </w:tcPr>
          <w:p w14:paraId="7BE59A87" w14:textId="77777777" w:rsidR="001D66A1" w:rsidRDefault="001D66A1" w:rsidP="001D66A1">
            <w:pPr>
              <w:spacing w:line="276" w:lineRule="auto"/>
              <w:ind w:left="131"/>
              <w:jc w:val="left"/>
            </w:pPr>
            <w:r>
              <w:rPr>
                <w:rFonts w:ascii="Arial" w:eastAsia="Arial" w:hAnsi="Arial" w:cs="Arial"/>
                <w:b/>
              </w:rPr>
              <w:t xml:space="preserve">50% </w:t>
            </w:r>
          </w:p>
        </w:tc>
      </w:tr>
      <w:tr w:rsidR="001D66A1" w14:paraId="4B32A964" w14:textId="77777777" w:rsidTr="001D66A1">
        <w:trPr>
          <w:trHeight w:val="1235"/>
        </w:trPr>
        <w:tc>
          <w:tcPr>
            <w:tcW w:w="1792" w:type="dxa"/>
            <w:tcBorders>
              <w:top w:val="single" w:sz="4" w:space="0" w:color="000000"/>
              <w:left w:val="single" w:sz="4" w:space="0" w:color="000000"/>
              <w:bottom w:val="single" w:sz="4" w:space="0" w:color="000000"/>
              <w:right w:val="single" w:sz="4" w:space="0" w:color="000000"/>
            </w:tcBorders>
          </w:tcPr>
          <w:p w14:paraId="15CE5108" w14:textId="77777777" w:rsidR="001D66A1" w:rsidRDefault="001D66A1" w:rsidP="001D66A1">
            <w:pPr>
              <w:spacing w:line="276" w:lineRule="auto"/>
              <w:ind w:left="4"/>
              <w:jc w:val="left"/>
            </w:pPr>
            <w:r>
              <w:rPr>
                <w:rFonts w:ascii="Arial" w:eastAsia="Arial" w:hAnsi="Arial" w:cs="Arial"/>
                <w:b/>
              </w:rPr>
              <w:t xml:space="preserve"> </w:t>
            </w:r>
          </w:p>
          <w:p w14:paraId="2707613F" w14:textId="77777777" w:rsidR="001D66A1" w:rsidRDefault="001D66A1" w:rsidP="001D66A1">
            <w:pPr>
              <w:spacing w:line="276" w:lineRule="auto"/>
              <w:ind w:left="181"/>
              <w:jc w:val="left"/>
            </w:pPr>
            <w:r>
              <w:rPr>
                <w:rFonts w:ascii="Arial" w:eastAsia="Arial" w:hAnsi="Arial" w:cs="Arial"/>
                <w:b/>
              </w:rPr>
              <w:t xml:space="preserve">Module lead: </w:t>
            </w:r>
          </w:p>
        </w:tc>
        <w:tc>
          <w:tcPr>
            <w:tcW w:w="2836" w:type="dxa"/>
            <w:tcBorders>
              <w:top w:val="single" w:sz="4" w:space="0" w:color="000000"/>
              <w:left w:val="single" w:sz="4" w:space="0" w:color="000000"/>
              <w:bottom w:val="single" w:sz="4" w:space="0" w:color="000000"/>
              <w:right w:val="single" w:sz="4" w:space="0" w:color="000000"/>
            </w:tcBorders>
          </w:tcPr>
          <w:p w14:paraId="612A7059" w14:textId="77777777" w:rsidR="001D66A1" w:rsidRDefault="001D66A1" w:rsidP="001D66A1">
            <w:pPr>
              <w:spacing w:line="276" w:lineRule="auto"/>
              <w:ind w:left="7"/>
              <w:jc w:val="left"/>
            </w:pPr>
            <w:r>
              <w:rPr>
                <w:rFonts w:ascii="Arial" w:eastAsia="Arial" w:hAnsi="Arial" w:cs="Arial"/>
                <w:b/>
              </w:rPr>
              <w:t xml:space="preserve">Farah Wiita </w:t>
            </w:r>
          </w:p>
        </w:tc>
        <w:tc>
          <w:tcPr>
            <w:tcW w:w="1941" w:type="dxa"/>
            <w:tcBorders>
              <w:top w:val="single" w:sz="4" w:space="0" w:color="000000"/>
              <w:left w:val="single" w:sz="4" w:space="0" w:color="000000"/>
              <w:bottom w:val="single" w:sz="4" w:space="0" w:color="000000"/>
              <w:right w:val="single" w:sz="4" w:space="0" w:color="000000"/>
            </w:tcBorders>
            <w:shd w:val="clear" w:color="auto" w:fill="D9D9D9"/>
          </w:tcPr>
          <w:p w14:paraId="3424E498" w14:textId="77777777" w:rsidR="001D66A1" w:rsidRDefault="001D66A1" w:rsidP="001D66A1">
            <w:pPr>
              <w:spacing w:line="276" w:lineRule="auto"/>
              <w:ind w:left="4"/>
              <w:jc w:val="left"/>
            </w:pPr>
            <w:r>
              <w:rPr>
                <w:rFonts w:ascii="Arial" w:eastAsia="Arial" w:hAnsi="Arial" w:cs="Arial"/>
                <w:b/>
              </w:rPr>
              <w:t xml:space="preserve"> </w:t>
            </w:r>
          </w:p>
          <w:p w14:paraId="06626208" w14:textId="77777777" w:rsidR="001D66A1" w:rsidRDefault="001D66A1" w:rsidP="001D66A1">
            <w:pPr>
              <w:spacing w:line="276" w:lineRule="auto"/>
              <w:ind w:left="121"/>
              <w:jc w:val="left"/>
            </w:pPr>
            <w:r>
              <w:rPr>
                <w:rFonts w:ascii="Arial" w:eastAsia="Arial" w:hAnsi="Arial" w:cs="Arial"/>
                <w:b/>
              </w:rPr>
              <w:t xml:space="preserve">Internal Verifier: </w:t>
            </w:r>
          </w:p>
        </w:tc>
        <w:tc>
          <w:tcPr>
            <w:tcW w:w="1956" w:type="dxa"/>
            <w:tcBorders>
              <w:top w:val="single" w:sz="4" w:space="0" w:color="000000"/>
              <w:left w:val="single" w:sz="4" w:space="0" w:color="000000"/>
              <w:bottom w:val="single" w:sz="4" w:space="0" w:color="000000"/>
              <w:right w:val="single" w:sz="4" w:space="0" w:color="000000"/>
            </w:tcBorders>
          </w:tcPr>
          <w:p w14:paraId="075772F9" w14:textId="77777777" w:rsidR="001D66A1" w:rsidRDefault="001D66A1" w:rsidP="001D66A1">
            <w:pPr>
              <w:spacing w:line="276" w:lineRule="auto"/>
              <w:ind w:left="6"/>
              <w:jc w:val="left"/>
            </w:pPr>
            <w:r>
              <w:rPr>
                <w:rFonts w:ascii="Arial" w:eastAsia="Arial" w:hAnsi="Arial" w:cs="Arial"/>
                <w:b/>
              </w:rPr>
              <w:t xml:space="preserve"> </w:t>
            </w:r>
          </w:p>
          <w:p w14:paraId="40E2786C" w14:textId="77777777" w:rsidR="001D66A1" w:rsidRDefault="001D66A1" w:rsidP="001D66A1">
            <w:pPr>
              <w:spacing w:line="276" w:lineRule="auto"/>
              <w:ind w:left="6"/>
              <w:jc w:val="left"/>
            </w:pPr>
            <w:r>
              <w:rPr>
                <w:rFonts w:ascii="Arial" w:eastAsia="Arial" w:hAnsi="Arial" w:cs="Arial"/>
                <w:b/>
              </w:rPr>
              <w:t xml:space="preserve"> Jolly Nwankwo </w:t>
            </w:r>
          </w:p>
        </w:tc>
      </w:tr>
      <w:tr w:rsidR="001D66A1" w14:paraId="21A50F36" w14:textId="77777777" w:rsidTr="001D66A1">
        <w:trPr>
          <w:trHeight w:val="1343"/>
        </w:trPr>
        <w:tc>
          <w:tcPr>
            <w:tcW w:w="1792" w:type="dxa"/>
            <w:tcBorders>
              <w:top w:val="single" w:sz="4" w:space="0" w:color="000000"/>
              <w:left w:val="single" w:sz="4" w:space="0" w:color="000000"/>
              <w:bottom w:val="single" w:sz="4" w:space="0" w:color="000000"/>
              <w:right w:val="single" w:sz="4" w:space="0" w:color="000000"/>
            </w:tcBorders>
          </w:tcPr>
          <w:p w14:paraId="71993937" w14:textId="77777777" w:rsidR="001D66A1" w:rsidRDefault="001D66A1" w:rsidP="001D66A1">
            <w:pPr>
              <w:spacing w:line="276" w:lineRule="auto"/>
              <w:ind w:left="121"/>
              <w:jc w:val="left"/>
            </w:pPr>
            <w:r>
              <w:rPr>
                <w:rFonts w:ascii="Arial" w:eastAsia="Arial" w:hAnsi="Arial" w:cs="Arial"/>
                <w:b/>
              </w:rPr>
              <w:t xml:space="preserve">Assignment Title: </w:t>
            </w:r>
          </w:p>
        </w:tc>
        <w:tc>
          <w:tcPr>
            <w:tcW w:w="2836" w:type="dxa"/>
            <w:tcBorders>
              <w:top w:val="single" w:sz="4" w:space="0" w:color="000000"/>
              <w:left w:val="single" w:sz="4" w:space="0" w:color="000000"/>
              <w:bottom w:val="single" w:sz="4" w:space="0" w:color="000000"/>
              <w:right w:val="single" w:sz="4" w:space="0" w:color="000000"/>
            </w:tcBorders>
          </w:tcPr>
          <w:p w14:paraId="1E34F5A8" w14:textId="77777777" w:rsidR="001D66A1" w:rsidRDefault="001D66A1" w:rsidP="001D66A1">
            <w:pPr>
              <w:spacing w:after="12" w:line="276" w:lineRule="auto"/>
              <w:ind w:left="125"/>
              <w:jc w:val="left"/>
            </w:pPr>
            <w:r>
              <w:rPr>
                <w:rFonts w:ascii="Arial" w:eastAsia="Arial" w:hAnsi="Arial" w:cs="Arial"/>
                <w:b/>
              </w:rPr>
              <w:t>Assessment 2</w:t>
            </w:r>
            <w:r>
              <w:rPr>
                <w:rFonts w:eastAsia="Times New Roman" w:cs="Times New Roman"/>
                <w:b/>
                <w:sz w:val="20"/>
              </w:rPr>
              <w:t xml:space="preserve">: </w:t>
            </w:r>
          </w:p>
          <w:p w14:paraId="70C0FF7A" w14:textId="77777777" w:rsidR="001D66A1" w:rsidRDefault="001D66A1" w:rsidP="001D66A1">
            <w:pPr>
              <w:spacing w:line="276" w:lineRule="auto"/>
              <w:ind w:left="125"/>
              <w:jc w:val="left"/>
            </w:pPr>
            <w:r>
              <w:rPr>
                <w:rFonts w:ascii="Arial" w:eastAsia="Arial" w:hAnsi="Arial" w:cs="Arial"/>
                <w:b/>
              </w:rPr>
              <w:t xml:space="preserve">Bibliography </w:t>
            </w:r>
          </w:p>
          <w:p w14:paraId="3715D62B" w14:textId="77777777" w:rsidR="001D66A1" w:rsidRDefault="001D66A1" w:rsidP="001D66A1">
            <w:pPr>
              <w:spacing w:line="276" w:lineRule="auto"/>
              <w:ind w:left="125"/>
              <w:jc w:val="left"/>
            </w:pPr>
            <w:proofErr w:type="gramStart"/>
            <w:r>
              <w:rPr>
                <w:rFonts w:ascii="Arial" w:eastAsia="Arial" w:hAnsi="Arial" w:cs="Arial"/>
                <w:b/>
              </w:rPr>
              <w:t>&amp;  report</w:t>
            </w:r>
            <w:proofErr w:type="gramEnd"/>
            <w:r>
              <w:rPr>
                <w:rFonts w:ascii="Arial" w:eastAsia="Arial" w:hAnsi="Arial" w:cs="Arial"/>
                <w:b/>
              </w:rPr>
              <w:t xml:space="preserve"> </w:t>
            </w:r>
          </w:p>
        </w:tc>
        <w:tc>
          <w:tcPr>
            <w:tcW w:w="1941" w:type="dxa"/>
            <w:tcBorders>
              <w:top w:val="single" w:sz="4" w:space="0" w:color="000000"/>
              <w:left w:val="single" w:sz="4" w:space="0" w:color="000000"/>
              <w:bottom w:val="single" w:sz="4" w:space="0" w:color="000000"/>
              <w:right w:val="single" w:sz="4" w:space="0" w:color="000000"/>
            </w:tcBorders>
          </w:tcPr>
          <w:p w14:paraId="5BC60A5C" w14:textId="77777777" w:rsidR="001D66A1" w:rsidRDefault="001D66A1" w:rsidP="001D66A1">
            <w:pPr>
              <w:spacing w:line="276" w:lineRule="auto"/>
              <w:ind w:left="121"/>
              <w:jc w:val="left"/>
            </w:pPr>
            <w:r>
              <w:rPr>
                <w:rFonts w:ascii="Arial" w:eastAsia="Arial" w:hAnsi="Arial" w:cs="Arial"/>
                <w:b/>
              </w:rPr>
              <w:t xml:space="preserve">Word count (or equivalent): </w:t>
            </w:r>
          </w:p>
        </w:tc>
        <w:tc>
          <w:tcPr>
            <w:tcW w:w="1956" w:type="dxa"/>
            <w:tcBorders>
              <w:top w:val="single" w:sz="4" w:space="0" w:color="000000"/>
              <w:left w:val="single" w:sz="4" w:space="0" w:color="000000"/>
              <w:bottom w:val="single" w:sz="4" w:space="0" w:color="000000"/>
              <w:right w:val="single" w:sz="4" w:space="0" w:color="000000"/>
            </w:tcBorders>
          </w:tcPr>
          <w:p w14:paraId="578843FC" w14:textId="77777777" w:rsidR="001D66A1" w:rsidRDefault="001D66A1" w:rsidP="001D66A1">
            <w:pPr>
              <w:spacing w:line="276" w:lineRule="auto"/>
              <w:ind w:left="131"/>
              <w:jc w:val="left"/>
            </w:pPr>
            <w:r>
              <w:rPr>
                <w:rFonts w:ascii="Arial" w:eastAsia="Arial" w:hAnsi="Arial" w:cs="Arial"/>
                <w:b/>
              </w:rPr>
              <w:t xml:space="preserve">1500 words </w:t>
            </w:r>
          </w:p>
        </w:tc>
      </w:tr>
      <w:tr w:rsidR="001D66A1" w14:paraId="084E9900" w14:textId="77777777" w:rsidTr="001D66A1">
        <w:trPr>
          <w:trHeight w:val="1026"/>
        </w:trPr>
        <w:tc>
          <w:tcPr>
            <w:tcW w:w="1792" w:type="dxa"/>
            <w:tcBorders>
              <w:top w:val="single" w:sz="4" w:space="0" w:color="000000"/>
              <w:left w:val="single" w:sz="4" w:space="0" w:color="000000"/>
              <w:bottom w:val="single" w:sz="4" w:space="0" w:color="000000"/>
              <w:right w:val="single" w:sz="4" w:space="0" w:color="000000"/>
            </w:tcBorders>
          </w:tcPr>
          <w:p w14:paraId="54455D56" w14:textId="77777777" w:rsidR="001D66A1" w:rsidRDefault="001D66A1" w:rsidP="001D66A1">
            <w:pPr>
              <w:spacing w:line="276" w:lineRule="auto"/>
              <w:ind w:left="121"/>
              <w:jc w:val="left"/>
            </w:pPr>
            <w:r>
              <w:rPr>
                <w:rFonts w:ascii="Arial" w:eastAsia="Arial" w:hAnsi="Arial" w:cs="Arial"/>
                <w:b/>
              </w:rPr>
              <w:t xml:space="preserve">Submission </w:t>
            </w:r>
          </w:p>
        </w:tc>
        <w:tc>
          <w:tcPr>
            <w:tcW w:w="2836" w:type="dxa"/>
            <w:tcBorders>
              <w:top w:val="single" w:sz="4" w:space="0" w:color="000000"/>
              <w:left w:val="single" w:sz="4" w:space="0" w:color="000000"/>
              <w:bottom w:val="single" w:sz="4" w:space="0" w:color="000000"/>
              <w:right w:val="single" w:sz="4" w:space="0" w:color="000000"/>
            </w:tcBorders>
          </w:tcPr>
          <w:p w14:paraId="041A9A77" w14:textId="77777777" w:rsidR="001D66A1" w:rsidRDefault="001D66A1" w:rsidP="001D66A1">
            <w:pPr>
              <w:spacing w:line="276" w:lineRule="auto"/>
              <w:ind w:left="125"/>
            </w:pPr>
            <w:r>
              <w:rPr>
                <w:rFonts w:ascii="Arial" w:eastAsia="Arial" w:hAnsi="Arial" w:cs="Arial"/>
                <w:b/>
              </w:rPr>
              <w:t xml:space="preserve">To be submitted via Turnitin by </w:t>
            </w:r>
            <w:r>
              <w:rPr>
                <w:rFonts w:ascii="Arial" w:eastAsia="Arial" w:hAnsi="Arial" w:cs="Arial"/>
                <w:b/>
                <w:color w:val="FF0000"/>
              </w:rPr>
              <w:t>Tuesday, 21</w:t>
            </w:r>
            <w:r>
              <w:rPr>
                <w:rFonts w:ascii="Arial" w:eastAsia="Arial" w:hAnsi="Arial" w:cs="Arial"/>
                <w:b/>
                <w:color w:val="FF0000"/>
                <w:vertAlign w:val="superscript"/>
              </w:rPr>
              <w:t>st</w:t>
            </w:r>
            <w:r>
              <w:rPr>
                <w:rFonts w:ascii="Arial" w:eastAsia="Arial" w:hAnsi="Arial" w:cs="Arial"/>
                <w:b/>
                <w:color w:val="FF0000"/>
              </w:rPr>
              <w:t xml:space="preserve"> April 2026, </w:t>
            </w:r>
          </w:p>
          <w:p w14:paraId="0BA48221" w14:textId="77777777" w:rsidR="001D66A1" w:rsidRDefault="001D66A1" w:rsidP="001D66A1">
            <w:pPr>
              <w:spacing w:line="276" w:lineRule="auto"/>
              <w:ind w:left="125"/>
              <w:jc w:val="left"/>
            </w:pPr>
            <w:r>
              <w:rPr>
                <w:rFonts w:ascii="Arial" w:eastAsia="Arial" w:hAnsi="Arial" w:cs="Arial"/>
                <w:b/>
                <w:color w:val="FF0000"/>
              </w:rPr>
              <w:t>10 am</w:t>
            </w:r>
            <w:r>
              <w:rPr>
                <w:rFonts w:ascii="Arial" w:eastAsia="Arial" w:hAnsi="Arial" w:cs="Arial"/>
                <w:b/>
              </w:rPr>
              <w:t xml:space="preserve"> </w:t>
            </w:r>
          </w:p>
          <w:p w14:paraId="4120D69F" w14:textId="77777777" w:rsidR="001D66A1" w:rsidRDefault="001D66A1" w:rsidP="001D66A1">
            <w:pPr>
              <w:spacing w:line="276" w:lineRule="auto"/>
              <w:ind w:left="125"/>
              <w:jc w:val="left"/>
            </w:pPr>
            <w:r>
              <w:rPr>
                <w:rFonts w:ascii="Arial" w:eastAsia="Arial" w:hAnsi="Arial" w:cs="Arial"/>
                <w:b/>
              </w:rPr>
              <w:t xml:space="preserve"> </w:t>
            </w:r>
          </w:p>
        </w:tc>
        <w:tc>
          <w:tcPr>
            <w:tcW w:w="1941" w:type="dxa"/>
            <w:tcBorders>
              <w:top w:val="single" w:sz="4" w:space="0" w:color="000000"/>
              <w:left w:val="single" w:sz="4" w:space="0" w:color="000000"/>
              <w:bottom w:val="single" w:sz="4" w:space="0" w:color="000000"/>
              <w:right w:val="single" w:sz="4" w:space="0" w:color="000000"/>
            </w:tcBorders>
          </w:tcPr>
          <w:p w14:paraId="23D6792A" w14:textId="77777777" w:rsidR="001D66A1" w:rsidRDefault="001D66A1" w:rsidP="001D66A1">
            <w:pPr>
              <w:spacing w:line="276" w:lineRule="auto"/>
              <w:ind w:left="121"/>
              <w:jc w:val="left"/>
            </w:pPr>
            <w:r>
              <w:rPr>
                <w:rFonts w:ascii="Arial" w:eastAsia="Arial" w:hAnsi="Arial" w:cs="Arial"/>
                <w:b/>
              </w:rPr>
              <w:t xml:space="preserve">Return date of </w:t>
            </w:r>
          </w:p>
        </w:tc>
        <w:tc>
          <w:tcPr>
            <w:tcW w:w="1956" w:type="dxa"/>
            <w:tcBorders>
              <w:top w:val="single" w:sz="4" w:space="0" w:color="000000"/>
              <w:left w:val="single" w:sz="4" w:space="0" w:color="000000"/>
              <w:bottom w:val="single" w:sz="4" w:space="0" w:color="000000"/>
              <w:right w:val="single" w:sz="4" w:space="0" w:color="000000"/>
            </w:tcBorders>
          </w:tcPr>
          <w:p w14:paraId="75F30D35" w14:textId="77777777" w:rsidR="001D66A1" w:rsidRDefault="001D66A1" w:rsidP="001D66A1">
            <w:pPr>
              <w:spacing w:line="276" w:lineRule="auto"/>
              <w:ind w:left="6"/>
              <w:jc w:val="left"/>
            </w:pPr>
            <w:r>
              <w:rPr>
                <w:rFonts w:ascii="Arial" w:eastAsia="Arial" w:hAnsi="Arial" w:cs="Arial"/>
                <w:b/>
              </w:rPr>
              <w:t xml:space="preserve"> 14th May 2026 </w:t>
            </w:r>
          </w:p>
        </w:tc>
      </w:tr>
    </w:tbl>
    <w:p w14:paraId="43A9A112" w14:textId="77777777" w:rsidR="001D66A1" w:rsidRDefault="001D66A1" w:rsidP="001D66A1">
      <w:pPr>
        <w:spacing w:after="0" w:line="259" w:lineRule="auto"/>
        <w:jc w:val="left"/>
      </w:pPr>
      <w:r>
        <w:rPr>
          <w:rFonts w:ascii="Arial" w:eastAsia="Arial" w:hAnsi="Arial" w:cs="Arial"/>
          <w:b/>
          <w:sz w:val="20"/>
        </w:rPr>
        <w:t xml:space="preserve"> </w:t>
      </w:r>
    </w:p>
    <w:p w14:paraId="1B3ED9D3" w14:textId="55372A59" w:rsidR="00DA5B8B" w:rsidRDefault="001D66A1" w:rsidP="001D66A1">
      <w:pPr>
        <w:spacing w:line="278" w:lineRule="auto"/>
        <w:jc w:val="left"/>
      </w:pPr>
      <w:r>
        <w:br w:type="page"/>
      </w:r>
    </w:p>
    <w:p w14:paraId="75B486D6" w14:textId="77777777" w:rsidR="001D66A1" w:rsidRDefault="001D66A1"/>
    <w:sdt>
      <w:sdtPr>
        <w:id w:val="-281039964"/>
        <w:docPartObj>
          <w:docPartGallery w:val="Table of Contents"/>
          <w:docPartUnique/>
        </w:docPartObj>
      </w:sdtPr>
      <w:sdtEndPr>
        <w:rPr>
          <w:rFonts w:ascii="Times New Roman" w:eastAsiaTheme="minorHAnsi" w:hAnsi="Times New Roman" w:cstheme="minorBidi"/>
          <w:b/>
          <w:bCs/>
          <w:noProof/>
          <w:color w:val="auto"/>
          <w:kern w:val="2"/>
          <w:sz w:val="24"/>
          <w:szCs w:val="24"/>
          <w:lang w:val="en-GB"/>
          <w14:ligatures w14:val="standardContextual"/>
        </w:rPr>
      </w:sdtEndPr>
      <w:sdtContent>
        <w:p w14:paraId="03982872" w14:textId="2F67EC47" w:rsidR="001D66A1" w:rsidRPr="001D66A1" w:rsidRDefault="001D66A1" w:rsidP="001D66A1">
          <w:pPr>
            <w:pStyle w:val="TOCHeading"/>
            <w:jc w:val="center"/>
            <w:rPr>
              <w:rFonts w:ascii="Times New Roman" w:hAnsi="Times New Roman" w:cs="Times New Roman"/>
              <w:b/>
              <w:bCs/>
              <w:color w:val="000000" w:themeColor="text1"/>
              <w:sz w:val="24"/>
              <w:szCs w:val="24"/>
            </w:rPr>
          </w:pPr>
          <w:r w:rsidRPr="001D66A1">
            <w:rPr>
              <w:rFonts w:ascii="Times New Roman" w:hAnsi="Times New Roman" w:cs="Times New Roman"/>
              <w:b/>
              <w:bCs/>
              <w:color w:val="000000" w:themeColor="text1"/>
              <w:sz w:val="24"/>
              <w:szCs w:val="24"/>
            </w:rPr>
            <w:t>Table of Contents</w:t>
          </w:r>
        </w:p>
        <w:p w14:paraId="66154D1D" w14:textId="196272C6" w:rsidR="001D66A1" w:rsidRDefault="001D66A1" w:rsidP="001D66A1">
          <w:pPr>
            <w:pStyle w:val="TOC1"/>
            <w:tabs>
              <w:tab w:val="right" w:leader="dot" w:pos="9016"/>
            </w:tabs>
            <w:spacing w:line="276" w:lineRule="auto"/>
            <w:rPr>
              <w:noProof/>
            </w:rPr>
          </w:pPr>
          <w:r>
            <w:fldChar w:fldCharType="begin"/>
          </w:r>
          <w:r>
            <w:instrText xml:space="preserve"> TOC \o "1-3" \h \z \u </w:instrText>
          </w:r>
          <w:r>
            <w:fldChar w:fldCharType="separate"/>
          </w:r>
          <w:hyperlink w:anchor="_Toc227779711" w:history="1">
            <w:r w:rsidRPr="002E7B6D">
              <w:rPr>
                <w:rStyle w:val="Hyperlink"/>
                <w:noProof/>
              </w:rPr>
              <w:t>Part A: Annotated Bibliography</w:t>
            </w:r>
            <w:r>
              <w:rPr>
                <w:noProof/>
                <w:webHidden/>
              </w:rPr>
              <w:tab/>
            </w:r>
            <w:r>
              <w:rPr>
                <w:noProof/>
                <w:webHidden/>
              </w:rPr>
              <w:fldChar w:fldCharType="begin"/>
            </w:r>
            <w:r>
              <w:rPr>
                <w:noProof/>
                <w:webHidden/>
              </w:rPr>
              <w:instrText xml:space="preserve"> PAGEREF _Toc227779711 \h </w:instrText>
            </w:r>
            <w:r>
              <w:rPr>
                <w:noProof/>
                <w:webHidden/>
              </w:rPr>
            </w:r>
            <w:r>
              <w:rPr>
                <w:noProof/>
                <w:webHidden/>
              </w:rPr>
              <w:fldChar w:fldCharType="separate"/>
            </w:r>
            <w:r>
              <w:rPr>
                <w:noProof/>
                <w:webHidden/>
              </w:rPr>
              <w:t>2</w:t>
            </w:r>
            <w:r>
              <w:rPr>
                <w:noProof/>
                <w:webHidden/>
              </w:rPr>
              <w:fldChar w:fldCharType="end"/>
            </w:r>
          </w:hyperlink>
        </w:p>
        <w:p w14:paraId="5A3C2D52" w14:textId="71212925" w:rsidR="001D66A1" w:rsidRDefault="001D66A1" w:rsidP="001D66A1">
          <w:pPr>
            <w:pStyle w:val="TOC1"/>
            <w:tabs>
              <w:tab w:val="right" w:leader="dot" w:pos="9016"/>
            </w:tabs>
            <w:spacing w:line="276" w:lineRule="auto"/>
            <w:rPr>
              <w:noProof/>
            </w:rPr>
          </w:pPr>
          <w:hyperlink w:anchor="_Toc227779712" w:history="1">
            <w:r w:rsidRPr="002E7B6D">
              <w:rPr>
                <w:rStyle w:val="Hyperlink"/>
                <w:noProof/>
              </w:rPr>
              <w:t>Part B: Short Report</w:t>
            </w:r>
            <w:r>
              <w:rPr>
                <w:noProof/>
                <w:webHidden/>
              </w:rPr>
              <w:tab/>
            </w:r>
            <w:r>
              <w:rPr>
                <w:noProof/>
                <w:webHidden/>
              </w:rPr>
              <w:fldChar w:fldCharType="begin"/>
            </w:r>
            <w:r>
              <w:rPr>
                <w:noProof/>
                <w:webHidden/>
              </w:rPr>
              <w:instrText xml:space="preserve"> PAGEREF _Toc227779712 \h </w:instrText>
            </w:r>
            <w:r>
              <w:rPr>
                <w:noProof/>
                <w:webHidden/>
              </w:rPr>
            </w:r>
            <w:r>
              <w:rPr>
                <w:noProof/>
                <w:webHidden/>
              </w:rPr>
              <w:fldChar w:fldCharType="separate"/>
            </w:r>
            <w:r>
              <w:rPr>
                <w:noProof/>
                <w:webHidden/>
              </w:rPr>
              <w:t>5</w:t>
            </w:r>
            <w:r>
              <w:rPr>
                <w:noProof/>
                <w:webHidden/>
              </w:rPr>
              <w:fldChar w:fldCharType="end"/>
            </w:r>
          </w:hyperlink>
        </w:p>
        <w:p w14:paraId="51A3902F" w14:textId="14E3D1EF" w:rsidR="001D66A1" w:rsidRDefault="001D66A1" w:rsidP="001D66A1">
          <w:pPr>
            <w:pStyle w:val="TOC2"/>
            <w:tabs>
              <w:tab w:val="right" w:leader="dot" w:pos="9016"/>
            </w:tabs>
            <w:spacing w:line="276" w:lineRule="auto"/>
            <w:rPr>
              <w:noProof/>
            </w:rPr>
          </w:pPr>
          <w:hyperlink w:anchor="_Toc227779713" w:history="1">
            <w:r w:rsidRPr="002E7B6D">
              <w:rPr>
                <w:rStyle w:val="Hyperlink"/>
                <w:noProof/>
              </w:rPr>
              <w:t>Introduction</w:t>
            </w:r>
            <w:r>
              <w:rPr>
                <w:noProof/>
                <w:webHidden/>
              </w:rPr>
              <w:tab/>
            </w:r>
            <w:r>
              <w:rPr>
                <w:noProof/>
                <w:webHidden/>
              </w:rPr>
              <w:fldChar w:fldCharType="begin"/>
            </w:r>
            <w:r>
              <w:rPr>
                <w:noProof/>
                <w:webHidden/>
              </w:rPr>
              <w:instrText xml:space="preserve"> PAGEREF _Toc227779713 \h </w:instrText>
            </w:r>
            <w:r>
              <w:rPr>
                <w:noProof/>
                <w:webHidden/>
              </w:rPr>
            </w:r>
            <w:r>
              <w:rPr>
                <w:noProof/>
                <w:webHidden/>
              </w:rPr>
              <w:fldChar w:fldCharType="separate"/>
            </w:r>
            <w:r>
              <w:rPr>
                <w:noProof/>
                <w:webHidden/>
              </w:rPr>
              <w:t>5</w:t>
            </w:r>
            <w:r>
              <w:rPr>
                <w:noProof/>
                <w:webHidden/>
              </w:rPr>
              <w:fldChar w:fldCharType="end"/>
            </w:r>
          </w:hyperlink>
        </w:p>
        <w:p w14:paraId="0ADF3C69" w14:textId="3A33DDD7" w:rsidR="001D66A1" w:rsidRDefault="001D66A1" w:rsidP="001D66A1">
          <w:pPr>
            <w:pStyle w:val="TOC2"/>
            <w:tabs>
              <w:tab w:val="right" w:leader="dot" w:pos="9016"/>
            </w:tabs>
            <w:spacing w:line="276" w:lineRule="auto"/>
            <w:rPr>
              <w:noProof/>
            </w:rPr>
          </w:pPr>
          <w:hyperlink w:anchor="_Toc227779714" w:history="1">
            <w:r w:rsidRPr="002E7B6D">
              <w:rPr>
                <w:rStyle w:val="Hyperlink"/>
                <w:noProof/>
              </w:rPr>
              <w:t>Overview of Activity Theory</w:t>
            </w:r>
            <w:r>
              <w:rPr>
                <w:noProof/>
                <w:webHidden/>
              </w:rPr>
              <w:tab/>
            </w:r>
            <w:r>
              <w:rPr>
                <w:noProof/>
                <w:webHidden/>
              </w:rPr>
              <w:fldChar w:fldCharType="begin"/>
            </w:r>
            <w:r>
              <w:rPr>
                <w:noProof/>
                <w:webHidden/>
              </w:rPr>
              <w:instrText xml:space="preserve"> PAGEREF _Toc227779714 \h </w:instrText>
            </w:r>
            <w:r>
              <w:rPr>
                <w:noProof/>
                <w:webHidden/>
              </w:rPr>
            </w:r>
            <w:r>
              <w:rPr>
                <w:noProof/>
                <w:webHidden/>
              </w:rPr>
              <w:fldChar w:fldCharType="separate"/>
            </w:r>
            <w:r>
              <w:rPr>
                <w:noProof/>
                <w:webHidden/>
              </w:rPr>
              <w:t>5</w:t>
            </w:r>
            <w:r>
              <w:rPr>
                <w:noProof/>
                <w:webHidden/>
              </w:rPr>
              <w:fldChar w:fldCharType="end"/>
            </w:r>
          </w:hyperlink>
        </w:p>
        <w:p w14:paraId="311D39C0" w14:textId="07B3643A" w:rsidR="001D66A1" w:rsidRDefault="001D66A1" w:rsidP="001D66A1">
          <w:pPr>
            <w:pStyle w:val="TOC2"/>
            <w:tabs>
              <w:tab w:val="right" w:leader="dot" w:pos="9016"/>
            </w:tabs>
            <w:spacing w:line="276" w:lineRule="auto"/>
            <w:rPr>
              <w:noProof/>
            </w:rPr>
          </w:pPr>
          <w:hyperlink w:anchor="_Toc227779715" w:history="1">
            <w:r w:rsidRPr="002E7B6D">
              <w:rPr>
                <w:rStyle w:val="Hyperlink"/>
                <w:noProof/>
              </w:rPr>
              <w:t>Application in Residential Care: Case Scenario</w:t>
            </w:r>
            <w:r>
              <w:rPr>
                <w:noProof/>
                <w:webHidden/>
              </w:rPr>
              <w:tab/>
            </w:r>
            <w:r>
              <w:rPr>
                <w:noProof/>
                <w:webHidden/>
              </w:rPr>
              <w:fldChar w:fldCharType="begin"/>
            </w:r>
            <w:r>
              <w:rPr>
                <w:noProof/>
                <w:webHidden/>
              </w:rPr>
              <w:instrText xml:space="preserve"> PAGEREF _Toc227779715 \h </w:instrText>
            </w:r>
            <w:r>
              <w:rPr>
                <w:noProof/>
                <w:webHidden/>
              </w:rPr>
            </w:r>
            <w:r>
              <w:rPr>
                <w:noProof/>
                <w:webHidden/>
              </w:rPr>
              <w:fldChar w:fldCharType="separate"/>
            </w:r>
            <w:r>
              <w:rPr>
                <w:noProof/>
                <w:webHidden/>
              </w:rPr>
              <w:t>5</w:t>
            </w:r>
            <w:r>
              <w:rPr>
                <w:noProof/>
                <w:webHidden/>
              </w:rPr>
              <w:fldChar w:fldCharType="end"/>
            </w:r>
          </w:hyperlink>
        </w:p>
        <w:p w14:paraId="493D37AB" w14:textId="3783A37F" w:rsidR="001D66A1" w:rsidRDefault="001D66A1" w:rsidP="001D66A1">
          <w:pPr>
            <w:pStyle w:val="TOC2"/>
            <w:tabs>
              <w:tab w:val="right" w:leader="dot" w:pos="9016"/>
            </w:tabs>
            <w:spacing w:line="276" w:lineRule="auto"/>
            <w:rPr>
              <w:noProof/>
            </w:rPr>
          </w:pPr>
          <w:hyperlink w:anchor="_Toc227779716" w:history="1">
            <w:r w:rsidRPr="002E7B6D">
              <w:rPr>
                <w:rStyle w:val="Hyperlink"/>
                <w:noProof/>
              </w:rPr>
              <w:t>Challenge in Applying Activity Theory</w:t>
            </w:r>
            <w:r>
              <w:rPr>
                <w:noProof/>
                <w:webHidden/>
              </w:rPr>
              <w:tab/>
            </w:r>
            <w:r>
              <w:rPr>
                <w:noProof/>
                <w:webHidden/>
              </w:rPr>
              <w:fldChar w:fldCharType="begin"/>
            </w:r>
            <w:r>
              <w:rPr>
                <w:noProof/>
                <w:webHidden/>
              </w:rPr>
              <w:instrText xml:space="preserve"> PAGEREF _Toc227779716 \h </w:instrText>
            </w:r>
            <w:r>
              <w:rPr>
                <w:noProof/>
                <w:webHidden/>
              </w:rPr>
            </w:r>
            <w:r>
              <w:rPr>
                <w:noProof/>
                <w:webHidden/>
              </w:rPr>
              <w:fldChar w:fldCharType="separate"/>
            </w:r>
            <w:r>
              <w:rPr>
                <w:noProof/>
                <w:webHidden/>
              </w:rPr>
              <w:t>6</w:t>
            </w:r>
            <w:r>
              <w:rPr>
                <w:noProof/>
                <w:webHidden/>
              </w:rPr>
              <w:fldChar w:fldCharType="end"/>
            </w:r>
          </w:hyperlink>
        </w:p>
        <w:p w14:paraId="4C8D6872" w14:textId="149CB7F6" w:rsidR="001D66A1" w:rsidRDefault="001D66A1" w:rsidP="001D66A1">
          <w:pPr>
            <w:pStyle w:val="TOC2"/>
            <w:tabs>
              <w:tab w:val="right" w:leader="dot" w:pos="9016"/>
            </w:tabs>
            <w:spacing w:line="276" w:lineRule="auto"/>
            <w:rPr>
              <w:noProof/>
            </w:rPr>
          </w:pPr>
          <w:hyperlink w:anchor="_Toc227779717" w:history="1">
            <w:r w:rsidRPr="002E7B6D">
              <w:rPr>
                <w:rStyle w:val="Hyperlink"/>
                <w:noProof/>
              </w:rPr>
              <w:t>Strategy for Effective Implementation</w:t>
            </w:r>
            <w:r>
              <w:rPr>
                <w:noProof/>
                <w:webHidden/>
              </w:rPr>
              <w:tab/>
            </w:r>
            <w:r>
              <w:rPr>
                <w:noProof/>
                <w:webHidden/>
              </w:rPr>
              <w:fldChar w:fldCharType="begin"/>
            </w:r>
            <w:r>
              <w:rPr>
                <w:noProof/>
                <w:webHidden/>
              </w:rPr>
              <w:instrText xml:space="preserve"> PAGEREF _Toc227779717 \h </w:instrText>
            </w:r>
            <w:r>
              <w:rPr>
                <w:noProof/>
                <w:webHidden/>
              </w:rPr>
            </w:r>
            <w:r>
              <w:rPr>
                <w:noProof/>
                <w:webHidden/>
              </w:rPr>
              <w:fldChar w:fldCharType="separate"/>
            </w:r>
            <w:r>
              <w:rPr>
                <w:noProof/>
                <w:webHidden/>
              </w:rPr>
              <w:t>6</w:t>
            </w:r>
            <w:r>
              <w:rPr>
                <w:noProof/>
                <w:webHidden/>
              </w:rPr>
              <w:fldChar w:fldCharType="end"/>
            </w:r>
          </w:hyperlink>
        </w:p>
        <w:p w14:paraId="67ECC8A2" w14:textId="421FB5DE" w:rsidR="001D66A1" w:rsidRDefault="001D66A1" w:rsidP="001D66A1">
          <w:pPr>
            <w:pStyle w:val="TOC1"/>
            <w:tabs>
              <w:tab w:val="right" w:leader="dot" w:pos="9016"/>
            </w:tabs>
            <w:spacing w:line="276" w:lineRule="auto"/>
            <w:rPr>
              <w:noProof/>
            </w:rPr>
          </w:pPr>
          <w:hyperlink w:anchor="_Toc227779718" w:history="1">
            <w:r w:rsidRPr="002E7B6D">
              <w:rPr>
                <w:rStyle w:val="Hyperlink"/>
                <w:noProof/>
              </w:rPr>
              <w:t>References</w:t>
            </w:r>
            <w:r>
              <w:rPr>
                <w:noProof/>
                <w:webHidden/>
              </w:rPr>
              <w:tab/>
            </w:r>
            <w:r>
              <w:rPr>
                <w:noProof/>
                <w:webHidden/>
              </w:rPr>
              <w:fldChar w:fldCharType="begin"/>
            </w:r>
            <w:r>
              <w:rPr>
                <w:noProof/>
                <w:webHidden/>
              </w:rPr>
              <w:instrText xml:space="preserve"> PAGEREF _Toc227779718 \h </w:instrText>
            </w:r>
            <w:r>
              <w:rPr>
                <w:noProof/>
                <w:webHidden/>
              </w:rPr>
            </w:r>
            <w:r>
              <w:rPr>
                <w:noProof/>
                <w:webHidden/>
              </w:rPr>
              <w:fldChar w:fldCharType="separate"/>
            </w:r>
            <w:r>
              <w:rPr>
                <w:noProof/>
                <w:webHidden/>
              </w:rPr>
              <w:t>8</w:t>
            </w:r>
            <w:r>
              <w:rPr>
                <w:noProof/>
                <w:webHidden/>
              </w:rPr>
              <w:fldChar w:fldCharType="end"/>
            </w:r>
          </w:hyperlink>
        </w:p>
        <w:p w14:paraId="7F544293" w14:textId="5590CF27" w:rsidR="001D66A1" w:rsidRDefault="001D66A1">
          <w:r>
            <w:rPr>
              <w:b/>
              <w:bCs/>
              <w:noProof/>
            </w:rPr>
            <w:fldChar w:fldCharType="end"/>
          </w:r>
        </w:p>
      </w:sdtContent>
    </w:sdt>
    <w:p w14:paraId="7FB1334F" w14:textId="4C0A5C41" w:rsidR="001D66A1" w:rsidRDefault="001D66A1" w:rsidP="001D66A1">
      <w:pPr>
        <w:spacing w:line="278" w:lineRule="auto"/>
        <w:jc w:val="left"/>
      </w:pPr>
      <w:r>
        <w:br w:type="page"/>
      </w:r>
    </w:p>
    <w:p w14:paraId="7EC1338F" w14:textId="1233245A" w:rsidR="00885DEA" w:rsidRPr="00885DEA" w:rsidRDefault="00885DEA" w:rsidP="001D66A1">
      <w:pPr>
        <w:pStyle w:val="Heading1"/>
      </w:pPr>
      <w:bookmarkStart w:id="0" w:name="_Toc227779711"/>
      <w:r w:rsidRPr="00885DEA">
        <w:lastRenderedPageBreak/>
        <w:t>Part A: Annotated Bibliography</w:t>
      </w:r>
      <w:bookmarkEnd w:id="0"/>
      <w:r w:rsidRPr="00885DEA">
        <w:t xml:space="preserve"> </w:t>
      </w:r>
    </w:p>
    <w:p w14:paraId="54E403FD" w14:textId="77777777" w:rsidR="00885DEA" w:rsidRPr="00885DEA" w:rsidRDefault="00885DEA" w:rsidP="00885DEA">
      <w:pPr>
        <w:rPr>
          <w:b/>
          <w:bCs/>
        </w:rPr>
      </w:pPr>
      <w:r w:rsidRPr="00885DEA">
        <w:rPr>
          <w:b/>
          <w:bCs/>
        </w:rPr>
        <w:t xml:space="preserve">1. Carstensen, L.L. (2021) ‘Socioemotional selectivity theory: The role of perceived endings in human motivation’, </w:t>
      </w:r>
      <w:r w:rsidRPr="00885DEA">
        <w:rPr>
          <w:b/>
          <w:bCs/>
          <w:i/>
          <w:iCs/>
        </w:rPr>
        <w:t>The Gerontologist</w:t>
      </w:r>
      <w:r w:rsidRPr="00885DEA">
        <w:rPr>
          <w:b/>
          <w:bCs/>
        </w:rPr>
        <w:t>, 61(8), pp. 1188–1196.</w:t>
      </w:r>
    </w:p>
    <w:p w14:paraId="26747302" w14:textId="2ECB3472" w:rsidR="00917BC0" w:rsidRDefault="00917BC0" w:rsidP="00917BC0">
      <w:r>
        <w:t xml:space="preserve">Carstensen (2021) introduces the Socioemotional Selectivity Theory (SST) as a lifespan theory of motivation as a way of explaining how perceived time horizons influence motivation later on. It suggests that the more individuals start to perceive time as a scarce resource, the higher the emphasis on emotionally significant pursuits and relationships, rather than on future-oriented ones. This change is beneficial in controlling emotions and improving psychological </w:t>
      </w:r>
      <w:r w:rsidR="0048123A">
        <w:t>well-being</w:t>
      </w:r>
      <w:r>
        <w:t xml:space="preserve"> even in the face of age-related losses.</w:t>
      </w:r>
    </w:p>
    <w:p w14:paraId="5C6CEB3E" w14:textId="1B2C5683" w:rsidR="00917BC0" w:rsidRDefault="00917BC0" w:rsidP="00917BC0">
      <w:r>
        <w:t xml:space="preserve">One of the advantages of this work is that it has </w:t>
      </w:r>
      <w:r w:rsidR="0048123A">
        <w:t xml:space="preserve">a </w:t>
      </w:r>
      <w:r>
        <w:t>solid theoretical background</w:t>
      </w:r>
      <w:r w:rsidR="0048123A">
        <w:t>,</w:t>
      </w:r>
      <w:r>
        <w:t xml:space="preserve"> as it has been backed up with a lot of longitudinal evidence that proves some improvement in emotional outcomes in older adulthood. The paper</w:t>
      </w:r>
      <w:r w:rsidR="0048123A">
        <w:t>,</w:t>
      </w:r>
      <w:r>
        <w:t xml:space="preserve"> however, is more of a conceptual paper that does not directly look at applications within health and social care settings. This restricts its applicability in the short run, especially in a social context where circumstances like dependency and cognitive loss can affect emotional priorities.</w:t>
      </w:r>
    </w:p>
    <w:p w14:paraId="2A2507CE" w14:textId="5989895B" w:rsidR="00885DEA" w:rsidRPr="00885DEA" w:rsidRDefault="00917BC0" w:rsidP="00917BC0">
      <w:r>
        <w:t>In spite of this shortcoming, SST is very pertinent to care practice. It implies that relationships with family, friends, and other individuals positively affect wellbeing among elderly people, which is why relationship-based care is crucial. In home settings, this means that care needs to focus more on emotional bonding and social intimacy and should not focus exclusively on physical needs.</w:t>
      </w:r>
    </w:p>
    <w:p w14:paraId="69A9251A" w14:textId="77777777" w:rsidR="00885DEA" w:rsidRPr="00885DEA" w:rsidRDefault="00885DEA" w:rsidP="00885DEA">
      <w:pPr>
        <w:rPr>
          <w:b/>
          <w:bCs/>
        </w:rPr>
      </w:pPr>
      <w:r w:rsidRPr="00885DEA">
        <w:rPr>
          <w:b/>
          <w:bCs/>
        </w:rPr>
        <w:t xml:space="preserve">2. Simons, M., Reijnders, J., Janssens, M., </w:t>
      </w:r>
      <w:proofErr w:type="spellStart"/>
      <w:r w:rsidRPr="00885DEA">
        <w:rPr>
          <w:b/>
          <w:bCs/>
        </w:rPr>
        <w:t>Lataster</w:t>
      </w:r>
      <w:proofErr w:type="spellEnd"/>
      <w:r w:rsidRPr="00885DEA">
        <w:rPr>
          <w:b/>
          <w:bCs/>
        </w:rPr>
        <w:t xml:space="preserve">, J. and Jacobs, N. (2023) ‘Positive affect as mediator: The socioemotional selectivity theory applied to the association between bonding social capital and wellbeing in later life’, </w:t>
      </w:r>
      <w:r w:rsidRPr="00885DEA">
        <w:rPr>
          <w:b/>
          <w:bCs/>
          <w:i/>
          <w:iCs/>
        </w:rPr>
        <w:t>Journal of Social and Personal Relationships</w:t>
      </w:r>
      <w:r w:rsidRPr="00885DEA">
        <w:rPr>
          <w:b/>
          <w:bCs/>
        </w:rPr>
        <w:t>, 40(6), pp. 1854–1874.</w:t>
      </w:r>
    </w:p>
    <w:p w14:paraId="3F4857E3" w14:textId="569EA08A" w:rsidR="00917BC0" w:rsidRDefault="00917BC0" w:rsidP="00917BC0">
      <w:r>
        <w:t xml:space="preserve">Simons et al. (2023) empirically support SST and study the correlation between bonding social capital and </w:t>
      </w:r>
      <w:r w:rsidR="0048123A">
        <w:t>well-being</w:t>
      </w:r>
      <w:r>
        <w:t xml:space="preserve"> among older adults. It is indicated that intimate and emotionally significant relationships are closely linked with emotional, psychological, and social </w:t>
      </w:r>
      <w:r w:rsidR="0048123A">
        <w:t>well-being,</w:t>
      </w:r>
      <w:r>
        <w:t xml:space="preserve"> with positive affect mediating the links. These results support the SST hypothesis that ageing individuals have more emotionally rewarding interactions as a priority.</w:t>
      </w:r>
    </w:p>
    <w:p w14:paraId="5560696B" w14:textId="6B1D1755" w:rsidR="00917BC0" w:rsidRDefault="00917BC0" w:rsidP="00917BC0">
      <w:r>
        <w:t xml:space="preserve">Empirical design and application of validated measures of </w:t>
      </w:r>
      <w:r w:rsidR="0048123A">
        <w:t>well-being</w:t>
      </w:r>
      <w:r>
        <w:t xml:space="preserve"> make the study strong and </w:t>
      </w:r>
      <w:r w:rsidR="0048123A">
        <w:t>contribute</w:t>
      </w:r>
      <w:r>
        <w:t xml:space="preserve"> well to theoretical assertions. There is</w:t>
      </w:r>
      <w:r w:rsidR="0048123A">
        <w:t>,</w:t>
      </w:r>
      <w:r>
        <w:t xml:space="preserve"> however</w:t>
      </w:r>
      <w:r w:rsidR="0048123A">
        <w:t>,</w:t>
      </w:r>
      <w:r>
        <w:t xml:space="preserve"> a certain level of </w:t>
      </w:r>
      <w:r w:rsidR="0048123A">
        <w:t>bias</w:t>
      </w:r>
      <w:r>
        <w:t xml:space="preserve"> that </w:t>
      </w:r>
      <w:r>
        <w:lastRenderedPageBreak/>
        <w:t>comes with the use of self-reported information and is especially liable to over-reporting of positive emotional experiences. Further, the sample is mostly independent living older adults and would not be applicable to more dependent populations when in residential care.</w:t>
      </w:r>
    </w:p>
    <w:p w14:paraId="7187EB62" w14:textId="7FF25A60" w:rsidR="00885DEA" w:rsidRPr="00885DEA" w:rsidRDefault="00917BC0" w:rsidP="00917BC0">
      <w:r>
        <w:t xml:space="preserve">This practice limitation is critical because individuals in care homes might lose some autonomy and various social interactions. Still, the results demonstrate the necessity to develop emotionally supportive relations. This encourages interventions in care settings that focus on meaningful interaction among residents, staff, and family members to promote </w:t>
      </w:r>
      <w:r w:rsidR="0048123A">
        <w:t>well-being</w:t>
      </w:r>
      <w:r>
        <w:t>.</w:t>
      </w:r>
    </w:p>
    <w:p w14:paraId="065E0657" w14:textId="77777777" w:rsidR="00885DEA" w:rsidRPr="00885DEA" w:rsidRDefault="00885DEA" w:rsidP="00885DEA">
      <w:pPr>
        <w:rPr>
          <w:b/>
          <w:bCs/>
        </w:rPr>
      </w:pPr>
      <w:r w:rsidRPr="00885DEA">
        <w:rPr>
          <w:b/>
          <w:bCs/>
        </w:rPr>
        <w:t xml:space="preserve">3. Erikson, E.H. (1982) </w:t>
      </w:r>
      <w:r w:rsidRPr="00885DEA">
        <w:rPr>
          <w:b/>
          <w:bCs/>
          <w:i/>
          <w:iCs/>
        </w:rPr>
        <w:t>The Life Cycle Completed</w:t>
      </w:r>
      <w:r w:rsidRPr="00885DEA">
        <w:rPr>
          <w:b/>
          <w:bCs/>
        </w:rPr>
        <w:t>. New York: Norton.</w:t>
      </w:r>
    </w:p>
    <w:p w14:paraId="1B3976B4" w14:textId="52807181" w:rsidR="00917BC0" w:rsidRDefault="00917BC0" w:rsidP="00917BC0">
      <w:r>
        <w:t>According to Erikson, the psychosocial theory, the last stage of development is the ego integrity versus despair stage</w:t>
      </w:r>
      <w:r w:rsidR="0048123A">
        <w:t>,</w:t>
      </w:r>
      <w:r>
        <w:t xml:space="preserve"> whereby older adults look back on their lives as they seek to get some sense of fulfilment or regrets. However, success in this stage leads to acceptance, meaning and psychological </w:t>
      </w:r>
      <w:r w:rsidR="0048123A">
        <w:t>well-being,</w:t>
      </w:r>
      <w:r>
        <w:t xml:space="preserve"> and failure can lead to despair and lack of life satisfaction.</w:t>
      </w:r>
    </w:p>
    <w:p w14:paraId="068B8D7E" w14:textId="3265DE81" w:rsidR="00917BC0" w:rsidRDefault="00917BC0" w:rsidP="00917BC0">
      <w:r>
        <w:t xml:space="preserve">The major advantage of </w:t>
      </w:r>
      <w:r w:rsidR="0048123A">
        <w:t>Erikson's</w:t>
      </w:r>
      <w:r>
        <w:t xml:space="preserve"> theory by Erikson is that there is a definite developmental emphasis, offering a systematic insight into psychological problems during later life. It is still broadly applicable in health and social care, especially serving emotional and existential needs. Nevertheless, the theory has been denounced due to the </w:t>
      </w:r>
      <w:r w:rsidR="0048123A">
        <w:t>stage-based</w:t>
      </w:r>
      <w:r>
        <w:t xml:space="preserve"> concept whereby it could be overly simplistic and not consider cultural differences or peculiarities.</w:t>
      </w:r>
    </w:p>
    <w:p w14:paraId="556CD696" w14:textId="67F8C4B8" w:rsidR="00885DEA" w:rsidRPr="00885DEA" w:rsidRDefault="00917BC0" w:rsidP="00917BC0">
      <w:r>
        <w:t xml:space="preserve">This relativity is noteworthy in care settings, where the experiences of residents are very varied. Nevertheless, the theory is also very practical as it </w:t>
      </w:r>
      <w:r w:rsidR="0048123A">
        <w:t>emphasises</w:t>
      </w:r>
      <w:r>
        <w:t xml:space="preserve"> the need to support life reflection and identity. Reminiscence therapy and life review activities are just some of the interventions used in residential care that can aid residents in developing a sense of integrity and foster psychological </w:t>
      </w:r>
      <w:r w:rsidR="0048123A">
        <w:t>well-being</w:t>
      </w:r>
      <w:r>
        <w:t>.</w:t>
      </w:r>
    </w:p>
    <w:p w14:paraId="4B711806" w14:textId="77777777" w:rsidR="00885DEA" w:rsidRPr="00885DEA" w:rsidRDefault="00885DEA" w:rsidP="00885DEA">
      <w:pPr>
        <w:rPr>
          <w:b/>
          <w:bCs/>
        </w:rPr>
      </w:pPr>
      <w:r w:rsidRPr="00885DEA">
        <w:rPr>
          <w:b/>
          <w:bCs/>
        </w:rPr>
        <w:t xml:space="preserve">4. Westerhof, G.J. and Keyes, C.L.M. (2010) ‘Mental illness and mental health: The two continua model across the lifespan’, </w:t>
      </w:r>
      <w:r w:rsidRPr="00885DEA">
        <w:rPr>
          <w:b/>
          <w:bCs/>
          <w:i/>
          <w:iCs/>
        </w:rPr>
        <w:t>Journal of Adult Development</w:t>
      </w:r>
      <w:r w:rsidRPr="00885DEA">
        <w:rPr>
          <w:b/>
          <w:bCs/>
        </w:rPr>
        <w:t>, 17(2), pp. 110–119.</w:t>
      </w:r>
    </w:p>
    <w:p w14:paraId="4B2C5F10" w14:textId="06593373" w:rsidR="00917BC0" w:rsidRDefault="00917BC0" w:rsidP="00917BC0">
      <w:r>
        <w:t xml:space="preserve">Westerhof and Keyes (2010) further develop the theory of Erikson by relating the processes of life evaluation to the more extensive impacts on mental health. The study helps sustain the argument that psychological </w:t>
      </w:r>
      <w:r w:rsidR="0048123A">
        <w:t>well-being</w:t>
      </w:r>
      <w:r>
        <w:t xml:space="preserve"> later in life cannot be defined as the lack of illness, but rather positive functioning, such as purpose, self-acceptance and emotional stability. This conforms to </w:t>
      </w:r>
      <w:r w:rsidR="0048123A">
        <w:t>Erikson's</w:t>
      </w:r>
      <w:r>
        <w:t xml:space="preserve"> idea of ego integrity being a constituent of </w:t>
      </w:r>
      <w:r w:rsidR="0048123A">
        <w:t>well-being</w:t>
      </w:r>
      <w:r>
        <w:t>.</w:t>
      </w:r>
    </w:p>
    <w:p w14:paraId="0047CECB" w14:textId="39871BED" w:rsidR="00917BC0" w:rsidRDefault="00917BC0" w:rsidP="00917BC0">
      <w:r>
        <w:lastRenderedPageBreak/>
        <w:t xml:space="preserve">Perhaps the key strength of this source is that the discursive and theoretical insights are combined, which makes this source offer a more subtle view </w:t>
      </w:r>
      <w:r w:rsidR="0048123A">
        <w:t>of</w:t>
      </w:r>
      <w:r>
        <w:t xml:space="preserve"> mental health in older adulthood. Nevertheless, the research is not exclusive to the population of care homes and may not be the most accurate reflection of the challenges of living in an institution, including </w:t>
      </w:r>
      <w:r w:rsidR="0048123A">
        <w:t xml:space="preserve">a </w:t>
      </w:r>
      <w:r>
        <w:t>lack of autonomy or dependence.</w:t>
      </w:r>
    </w:p>
    <w:p w14:paraId="43641277" w14:textId="37579316" w:rsidR="00295F1C" w:rsidRDefault="00917BC0" w:rsidP="00917BC0">
      <w:r>
        <w:t xml:space="preserve">Nevertheless, this model is very applicable in health and social care practice. It underlines the importance of delivering mental support and </w:t>
      </w:r>
      <w:r w:rsidR="0048123A">
        <w:t>well-being</w:t>
      </w:r>
      <w:r>
        <w:t xml:space="preserve"> at the same time. This can be applied in care settings in support of holistic strategies comprising emotional support, social interaction, and psychological interventions to enhance the general quality of life.</w:t>
      </w:r>
    </w:p>
    <w:p w14:paraId="0333CE38" w14:textId="757AF815" w:rsidR="00917BC0" w:rsidRDefault="001D66A1" w:rsidP="001D66A1">
      <w:pPr>
        <w:spacing w:line="278" w:lineRule="auto"/>
        <w:jc w:val="left"/>
      </w:pPr>
      <w:r>
        <w:br w:type="page"/>
      </w:r>
    </w:p>
    <w:p w14:paraId="4E936EE7" w14:textId="3B40A719" w:rsidR="00917BC0" w:rsidRPr="00917BC0" w:rsidRDefault="00917BC0" w:rsidP="001D66A1">
      <w:pPr>
        <w:pStyle w:val="Heading1"/>
      </w:pPr>
      <w:bookmarkStart w:id="1" w:name="_Toc227779712"/>
      <w:r w:rsidRPr="00917BC0">
        <w:lastRenderedPageBreak/>
        <w:t>Part B: Short Report</w:t>
      </w:r>
      <w:bookmarkEnd w:id="1"/>
    </w:p>
    <w:p w14:paraId="0912739B" w14:textId="1CB225FC" w:rsidR="00917BC0" w:rsidRPr="00917BC0" w:rsidRDefault="00917BC0" w:rsidP="00917BC0">
      <w:pPr>
        <w:rPr>
          <w:b/>
          <w:bCs/>
        </w:rPr>
      </w:pPr>
      <w:r w:rsidRPr="00917BC0">
        <w:rPr>
          <w:b/>
          <w:bCs/>
        </w:rPr>
        <w:t xml:space="preserve">Applying Activity Theory to Enhance Psychological </w:t>
      </w:r>
      <w:r w:rsidR="0048123A">
        <w:rPr>
          <w:b/>
          <w:bCs/>
        </w:rPr>
        <w:t>Well-being</w:t>
      </w:r>
      <w:r w:rsidRPr="00917BC0">
        <w:rPr>
          <w:b/>
          <w:bCs/>
        </w:rPr>
        <w:t xml:space="preserve"> in Older Adults in Residential Care</w:t>
      </w:r>
    </w:p>
    <w:p w14:paraId="23E9B310" w14:textId="77777777" w:rsidR="00917BC0" w:rsidRPr="00917BC0" w:rsidRDefault="00917BC0" w:rsidP="001D66A1">
      <w:pPr>
        <w:pStyle w:val="Heading2"/>
      </w:pPr>
      <w:bookmarkStart w:id="2" w:name="_Toc227779713"/>
      <w:r w:rsidRPr="00917BC0">
        <w:t>Introduction</w:t>
      </w:r>
      <w:bookmarkEnd w:id="2"/>
    </w:p>
    <w:p w14:paraId="796F6034" w14:textId="340EDAB2" w:rsidR="00917BC0" w:rsidRPr="00917BC0" w:rsidRDefault="0048123A" w:rsidP="00917BC0">
      <w:r w:rsidRPr="0048123A">
        <w:t xml:space="preserve">Psychological </w:t>
      </w:r>
      <w:r>
        <w:t>well-being</w:t>
      </w:r>
      <w:r w:rsidRPr="0048123A">
        <w:t xml:space="preserve"> is a main focus in health and social care among older adults, especially in residential care facilities</w:t>
      </w:r>
      <w:r>
        <w:t>,</w:t>
      </w:r>
      <w:r w:rsidRPr="0048123A">
        <w:t xml:space="preserve"> as they can suffer a lack of social support, independence, and their performance in roles of meaning. Activity Theory offers a convenient approach to explaining the continued engagement in social, physical and cognitive activities as a means of boosting wellbeing in old age. This report critically reflects on the use of Activity Theory applied to a context, a care home, with a comprehensive case scenario, and considering the theoretical drawbacks and an evidence-based and person-centred approach. </w:t>
      </w:r>
    </w:p>
    <w:p w14:paraId="40CA96DD" w14:textId="77777777" w:rsidR="00917BC0" w:rsidRPr="00917BC0" w:rsidRDefault="00917BC0" w:rsidP="001D66A1">
      <w:pPr>
        <w:pStyle w:val="Heading2"/>
      </w:pPr>
      <w:bookmarkStart w:id="3" w:name="_Toc227779714"/>
      <w:r w:rsidRPr="00917BC0">
        <w:t>Overview of Activity Theory</w:t>
      </w:r>
      <w:bookmarkEnd w:id="3"/>
    </w:p>
    <w:p w14:paraId="789D789C" w14:textId="01F6B125" w:rsidR="0048123A" w:rsidRDefault="0048123A" w:rsidP="0048123A">
      <w:r>
        <w:t>According to the Ageing Theory, successful ageing can be attained by remaining engaged in meaningful roles and activities. As people grow older, they tend to lose a role either through retirement, deteriorating health or bereavement</w:t>
      </w:r>
      <w:r>
        <w:t>,</w:t>
      </w:r>
      <w:r>
        <w:t xml:space="preserve"> which can </w:t>
      </w:r>
      <w:r>
        <w:t xml:space="preserve">adversely </w:t>
      </w:r>
      <w:r>
        <w:t xml:space="preserve">affect </w:t>
      </w:r>
      <w:r>
        <w:t>their</w:t>
      </w:r>
      <w:r>
        <w:t xml:space="preserve"> identity and psychological health. The theory postulates that substituting lost functions with other forms of engagement is important in maintaining life satisfaction and emotional stability.</w:t>
      </w:r>
    </w:p>
    <w:p w14:paraId="085F2637" w14:textId="0A4C5BE4" w:rsidR="00917BC0" w:rsidRPr="00917BC0" w:rsidRDefault="0048123A" w:rsidP="0048123A">
      <w:r>
        <w:t xml:space="preserve">This is supported by empirical evidence. Gao et al. (2023) reveal how greater activity engagement is strongly linked to decreased depression in older adults. Correspondingly, MacIver et al. (2026) </w:t>
      </w:r>
      <w:r>
        <w:t>emphasise</w:t>
      </w:r>
      <w:r>
        <w:t xml:space="preserve"> that engagement in structured activities increases emotional resilience, social connection, and purpose. Nevertheless, the theory has weaknesses. It presumes that everyone is accustomed to high activity and is a representation of </w:t>
      </w:r>
      <w:r>
        <w:t>Western</w:t>
      </w:r>
      <w:r>
        <w:t xml:space="preserve"> ideals of productivity and independence, which </w:t>
      </w:r>
      <w:r>
        <w:t>do</w:t>
      </w:r>
      <w:r>
        <w:t xml:space="preserve"> not necessarily apply to everyone. The assumption can be applied to areas of care with high levels of risk of overlooking residents who </w:t>
      </w:r>
      <w:r>
        <w:t>favour</w:t>
      </w:r>
      <w:r>
        <w:t xml:space="preserve"> low-stimulation or reflective activity, making it crucial to apply </w:t>
      </w:r>
      <w:r>
        <w:t xml:space="preserve">it </w:t>
      </w:r>
      <w:r>
        <w:t>flexibly.</w:t>
      </w:r>
    </w:p>
    <w:p w14:paraId="4549CFDE" w14:textId="77777777" w:rsidR="00917BC0" w:rsidRPr="00917BC0" w:rsidRDefault="00917BC0" w:rsidP="001D66A1">
      <w:pPr>
        <w:pStyle w:val="Heading2"/>
      </w:pPr>
      <w:bookmarkStart w:id="4" w:name="_Toc227779715"/>
      <w:r w:rsidRPr="00917BC0">
        <w:t>Application in Residential Care: Case Scenario</w:t>
      </w:r>
      <w:bookmarkEnd w:id="4"/>
    </w:p>
    <w:p w14:paraId="529C26B2" w14:textId="58692DB8" w:rsidR="0048123A" w:rsidRDefault="0048123A" w:rsidP="0048123A">
      <w:r>
        <w:t xml:space="preserve">Take the case of </w:t>
      </w:r>
      <w:r>
        <w:t>Mrs</w:t>
      </w:r>
      <w:r>
        <w:t xml:space="preserve"> Eleanor Davies, 82 years </w:t>
      </w:r>
      <w:r>
        <w:t xml:space="preserve">old </w:t>
      </w:r>
      <w:r>
        <w:t xml:space="preserve">and </w:t>
      </w:r>
      <w:r>
        <w:t xml:space="preserve">a </w:t>
      </w:r>
      <w:r>
        <w:t>widow, a former primary school teacher who had an award-winning garden during a period of more than 40 years. After breaking her hip, Eleanor spent a short time in residential care and has since become more withdrawn, preferring to spend most of her time in her room and refusing to take part in group activities. Personal reports show low mood and decreased social activity.</w:t>
      </w:r>
    </w:p>
    <w:p w14:paraId="4B854B4A" w14:textId="22CB06E3" w:rsidR="0048123A" w:rsidRDefault="0048123A" w:rsidP="0048123A">
      <w:r>
        <w:lastRenderedPageBreak/>
        <w:t>Using the Activity Theory, staff members in the care identified the role of gardening to Eleanor as one of the reasons that led to her psychological deterioration</w:t>
      </w:r>
      <w:r>
        <w:t xml:space="preserve"> </w:t>
      </w:r>
      <w:r w:rsidRPr="0048123A">
        <w:t>(</w:t>
      </w:r>
      <w:proofErr w:type="spellStart"/>
      <w:r w:rsidRPr="0048123A">
        <w:t>Ainamani</w:t>
      </w:r>
      <w:proofErr w:type="spellEnd"/>
      <w:r w:rsidRPr="0048123A">
        <w:t xml:space="preserve"> et al., 2022)</w:t>
      </w:r>
      <w:r>
        <w:t>. Instead of providing generic activities, an individualised intervention was created. An elevated, reachable planter was fixed outside her window on the first floor</w:t>
      </w:r>
      <w:r>
        <w:t>,</w:t>
      </w:r>
      <w:r>
        <w:t xml:space="preserve"> and Eleanor was helped to choose common plants like sweet peas and dahlias. A </w:t>
      </w:r>
      <w:r>
        <w:t>20-minute</w:t>
      </w:r>
      <w:r>
        <w:t xml:space="preserve"> daily </w:t>
      </w:r>
      <w:r>
        <w:t>well-organised</w:t>
      </w:r>
      <w:r>
        <w:t xml:space="preserve"> gardening activity was implemented with the assistance of care workers.</w:t>
      </w:r>
    </w:p>
    <w:p w14:paraId="2A49EE07" w14:textId="6DE20698" w:rsidR="00917BC0" w:rsidRPr="00917BC0" w:rsidRDefault="0048123A" w:rsidP="0048123A">
      <w:r>
        <w:t xml:space="preserve">In a few weeks, significant changes were noted. Eleanor started to </w:t>
      </w:r>
      <w:r>
        <w:t>talk</w:t>
      </w:r>
      <w:r>
        <w:t xml:space="preserve"> about her plants, expressed more openness to staff dialogue, and even frequented common areas. This is also an example of how restoring meaningful roles can improve identity, emotional </w:t>
      </w:r>
      <w:r>
        <w:t>well-being</w:t>
      </w:r>
      <w:r>
        <w:t>, and social engagement to support the ideals of Activity Theory in practice.</w:t>
      </w:r>
    </w:p>
    <w:p w14:paraId="713D5CD4" w14:textId="77777777" w:rsidR="00917BC0" w:rsidRPr="00917BC0" w:rsidRDefault="00917BC0" w:rsidP="001D66A1">
      <w:pPr>
        <w:pStyle w:val="Heading2"/>
      </w:pPr>
      <w:bookmarkStart w:id="5" w:name="_Toc227779716"/>
      <w:r w:rsidRPr="00917BC0">
        <w:t>Challenge in Applying Activity Theory</w:t>
      </w:r>
      <w:bookmarkEnd w:id="5"/>
    </w:p>
    <w:p w14:paraId="63943614" w14:textId="4E2DB245" w:rsidR="0048123A" w:rsidRDefault="0048123A" w:rsidP="0048123A">
      <w:r>
        <w:t>Although useful, there are considerable difficulties in applying Activity Theory in residential care. The needs of residents tend to be varied physically, cognitively, and emotionally</w:t>
      </w:r>
      <w:r>
        <w:t>,</w:t>
      </w:r>
      <w:r>
        <w:t xml:space="preserve"> such as mobility, chronic conditions, or dementia, which can limit engagement in conventional activities</w:t>
      </w:r>
      <w:r>
        <w:t xml:space="preserve"> </w:t>
      </w:r>
      <w:r w:rsidRPr="0048123A">
        <w:t>(Sorrentino et al., 2025)</w:t>
      </w:r>
      <w:r>
        <w:t>. MacIver et al. (2026) underline that engagement is affected by health status, environmental conditions, and personal preferences.</w:t>
      </w:r>
    </w:p>
    <w:p w14:paraId="4D1C7ABB" w14:textId="47EB875D" w:rsidR="00917BC0" w:rsidRPr="00917BC0" w:rsidRDefault="0048123A" w:rsidP="0048123A">
      <w:r>
        <w:t>Also, structural barriers like staffing, time and availability of resources can diminish the possibility of providing meaningful activities. These aspects scuttle the hypothesis that all residents can remain actively engaged and indicate the threat of being excluded when activities are not adapted.</w:t>
      </w:r>
    </w:p>
    <w:p w14:paraId="589D3511" w14:textId="77777777" w:rsidR="00917BC0" w:rsidRPr="00917BC0" w:rsidRDefault="00917BC0" w:rsidP="001D66A1">
      <w:pPr>
        <w:pStyle w:val="Heading2"/>
      </w:pPr>
      <w:bookmarkStart w:id="6" w:name="_Toc227779717"/>
      <w:r w:rsidRPr="00917BC0">
        <w:t>Strategy for Effective Implementation</w:t>
      </w:r>
      <w:bookmarkEnd w:id="6"/>
    </w:p>
    <w:p w14:paraId="2FE5A841" w14:textId="4A1CE70B" w:rsidR="0048123A" w:rsidRDefault="0048123A" w:rsidP="0048123A">
      <w:r>
        <w:t>Activity Theory should be implemented in a person-centred approach that is flexible to handle these issues. It is necessary to plan the activities on an individual basis that entails a systematic evaluation of the background, tastes, and functioning capabilities of every resident. This can be facilitated using a life history work, interest checklists</w:t>
      </w:r>
      <w:r>
        <w:t>,</w:t>
      </w:r>
      <w:r>
        <w:t xml:space="preserve"> etc.</w:t>
      </w:r>
    </w:p>
    <w:p w14:paraId="18748827" w14:textId="61CF532F" w:rsidR="0048123A" w:rsidRDefault="0048123A" w:rsidP="0048123A">
      <w:r>
        <w:t>As an example, less mobile residents might enjoy seated events like reminiscence therapy, engaging with music, or sensory work, whereas their more physically fit counterparts could enjoy group exercise or outdoor activities</w:t>
      </w:r>
      <w:r>
        <w:t xml:space="preserve"> </w:t>
      </w:r>
      <w:r w:rsidRPr="0048123A">
        <w:t>(Chapman et al., 2024)</w:t>
      </w:r>
      <w:r>
        <w:t>. In case of cognitive impairment in residents, one-to-one interventions can be more effective in a shorter duration as compared to a group-based intervention.</w:t>
      </w:r>
    </w:p>
    <w:p w14:paraId="4997FF08" w14:textId="51D87300" w:rsidR="0048123A" w:rsidRDefault="0048123A" w:rsidP="0048123A">
      <w:r>
        <w:lastRenderedPageBreak/>
        <w:t xml:space="preserve">Training of the staff is important as well. Practitioners must be prepared to learn about the principles of the Activity Theory, identify signs of engagement and be able to adjust activities to </w:t>
      </w:r>
      <w:r>
        <w:t xml:space="preserve">the </w:t>
      </w:r>
      <w:r>
        <w:t>needs of various individuals. Participation and anxiety can be further boosted by the use of smaller group sizes and routine.</w:t>
      </w:r>
    </w:p>
    <w:p w14:paraId="0278C25A" w14:textId="2D41145F" w:rsidR="0048123A" w:rsidRDefault="0048123A" w:rsidP="0048123A">
      <w:r>
        <w:t xml:space="preserve">Activity Theory can be done more efficiently by providing a </w:t>
      </w:r>
      <w:r>
        <w:t>personalised</w:t>
      </w:r>
      <w:r>
        <w:t xml:space="preserve"> and </w:t>
      </w:r>
      <w:r>
        <w:t>accommodating</w:t>
      </w:r>
      <w:r>
        <w:t xml:space="preserve"> approach, so that every resident can gain despite their physical or cognitive disabilities.</w:t>
      </w:r>
    </w:p>
    <w:p w14:paraId="7ECC84A4" w14:textId="76ADDAB4" w:rsidR="0048123A" w:rsidRDefault="0048123A" w:rsidP="0048123A">
      <w:pPr>
        <w:spacing w:line="278" w:lineRule="auto"/>
        <w:jc w:val="left"/>
      </w:pPr>
      <w:r>
        <w:br w:type="page"/>
      </w:r>
    </w:p>
    <w:p w14:paraId="2E0A86AE" w14:textId="3731A803" w:rsidR="0048123A" w:rsidRDefault="00917BC0" w:rsidP="001D66A1">
      <w:pPr>
        <w:pStyle w:val="Heading1"/>
      </w:pPr>
      <w:bookmarkStart w:id="7" w:name="_Toc227779718"/>
      <w:r>
        <w:lastRenderedPageBreak/>
        <w:t>References</w:t>
      </w:r>
      <w:bookmarkEnd w:id="7"/>
      <w:r>
        <w:t xml:space="preserve"> </w:t>
      </w:r>
    </w:p>
    <w:p w14:paraId="64DD98EA" w14:textId="64D01445" w:rsidR="0048123A" w:rsidRPr="004946C5" w:rsidRDefault="0048123A" w:rsidP="0048123A">
      <w:pPr>
        <w:ind w:left="720" w:hanging="720"/>
      </w:pPr>
      <w:proofErr w:type="spellStart"/>
      <w:r w:rsidRPr="004946C5">
        <w:t>Ainamani</w:t>
      </w:r>
      <w:proofErr w:type="spellEnd"/>
      <w:r w:rsidRPr="004946C5">
        <w:t xml:space="preserve">, H.E., </w:t>
      </w:r>
      <w:proofErr w:type="spellStart"/>
      <w:r w:rsidRPr="004946C5">
        <w:t>Nolbert</w:t>
      </w:r>
      <w:proofErr w:type="spellEnd"/>
      <w:r w:rsidRPr="004946C5">
        <w:t xml:space="preserve"> Gumisiriza, </w:t>
      </w:r>
      <w:proofErr w:type="spellStart"/>
      <w:r w:rsidRPr="004946C5">
        <w:t>Bamwerinde</w:t>
      </w:r>
      <w:proofErr w:type="spellEnd"/>
      <w:r w:rsidRPr="004946C5">
        <w:t>, W.M. and Rukundo, G.Z. (2022). Gardening activity and its relationship to mental health: Understudied and untapped in low-and middle-income countries. </w:t>
      </w:r>
      <w:r w:rsidRPr="004946C5">
        <w:rPr>
          <w:i/>
          <w:iCs/>
        </w:rPr>
        <w:t>Preventive Medicine Reports</w:t>
      </w:r>
      <w:r w:rsidRPr="004946C5">
        <w:t xml:space="preserve">, [online] 29, p.101946. </w:t>
      </w:r>
      <w:proofErr w:type="spellStart"/>
      <w:r w:rsidRPr="004946C5">
        <w:t>doi</w:t>
      </w:r>
      <w:proofErr w:type="spellEnd"/>
      <w:r w:rsidRPr="004946C5">
        <w:t>: 10.1016/j.pmedr</w:t>
      </w:r>
      <w:r w:rsidRPr="004946C5">
        <w:t>.2022.101946.</w:t>
      </w:r>
      <w:r>
        <w:t xml:space="preserve"> </w:t>
      </w:r>
    </w:p>
    <w:p w14:paraId="24402715" w14:textId="77777777" w:rsidR="0048123A" w:rsidRPr="00917BC0" w:rsidRDefault="0048123A" w:rsidP="0048123A">
      <w:pPr>
        <w:ind w:left="720" w:hanging="720"/>
      </w:pPr>
      <w:r w:rsidRPr="00917BC0">
        <w:t xml:space="preserve">Carstensen, L.L. (2021) ‘Socioemotional selectivity theory: The role of perceived endings in human motivation’, </w:t>
      </w:r>
      <w:r w:rsidRPr="00917BC0">
        <w:rPr>
          <w:i/>
          <w:iCs/>
        </w:rPr>
        <w:t>The Gerontologist</w:t>
      </w:r>
      <w:r w:rsidRPr="00917BC0">
        <w:t xml:space="preserve">, 61(8), pp. 1188–1196. Available at: </w:t>
      </w:r>
      <w:hyperlink r:id="rId9" w:tgtFrame="_new" w:history="1">
        <w:r w:rsidRPr="00917BC0">
          <w:rPr>
            <w:rStyle w:val="Hyperlink"/>
          </w:rPr>
          <w:t>https://doi.org/10.1093/geront/gnab116</w:t>
        </w:r>
      </w:hyperlink>
    </w:p>
    <w:p w14:paraId="4C281929" w14:textId="1DA6876A" w:rsidR="0048123A" w:rsidRPr="004946C5" w:rsidRDefault="0048123A" w:rsidP="0048123A">
      <w:pPr>
        <w:ind w:left="720" w:hanging="720"/>
      </w:pPr>
      <w:r w:rsidRPr="004946C5">
        <w:t xml:space="preserve">‌Chapman, H., Bethell, J., Dewan, N., </w:t>
      </w:r>
      <w:proofErr w:type="spellStart"/>
      <w:r w:rsidRPr="004946C5">
        <w:t>Liougas</w:t>
      </w:r>
      <w:proofErr w:type="spellEnd"/>
      <w:r w:rsidRPr="004946C5">
        <w:t xml:space="preserve">, M.P., Livingston, G., McGilton, K.S. and </w:t>
      </w:r>
      <w:proofErr w:type="spellStart"/>
      <w:r w:rsidRPr="004946C5">
        <w:t>Sommerlad</w:t>
      </w:r>
      <w:proofErr w:type="spellEnd"/>
      <w:r w:rsidRPr="004946C5">
        <w:t>, A. (2024). Social connection in long-term care homes: a qualitative study of barriers and facilitators. </w:t>
      </w:r>
      <w:r w:rsidRPr="004946C5">
        <w:rPr>
          <w:i/>
          <w:iCs/>
        </w:rPr>
        <w:t>BMC Geriatrics</w:t>
      </w:r>
      <w:r w:rsidRPr="004946C5">
        <w:t>, [online] 24(1). doi:10.1186/s12877-024-05454-8.</w:t>
      </w:r>
      <w:r>
        <w:t xml:space="preserve"> </w:t>
      </w:r>
    </w:p>
    <w:p w14:paraId="395A0D24" w14:textId="77777777" w:rsidR="0048123A" w:rsidRPr="00917BC0" w:rsidRDefault="0048123A" w:rsidP="0048123A">
      <w:pPr>
        <w:ind w:left="720" w:hanging="720"/>
      </w:pPr>
      <w:r w:rsidRPr="00917BC0">
        <w:t xml:space="preserve">Erikson, E.H. (1982) </w:t>
      </w:r>
      <w:r w:rsidRPr="00917BC0">
        <w:rPr>
          <w:i/>
          <w:iCs/>
        </w:rPr>
        <w:t>The life cycle completed</w:t>
      </w:r>
      <w:r w:rsidRPr="00917BC0">
        <w:t>. New York: W.W. Norton &amp; Company.</w:t>
      </w:r>
    </w:p>
    <w:p w14:paraId="4EB6F059" w14:textId="77777777" w:rsidR="0048123A" w:rsidRPr="00917BC0" w:rsidRDefault="0048123A" w:rsidP="0048123A">
      <w:pPr>
        <w:ind w:left="720" w:hanging="720"/>
      </w:pPr>
      <w:r w:rsidRPr="00917BC0">
        <w:t xml:space="preserve">Gao, Y., Jia, Z., Zhao, L. and Han, S. (2023) ‘The effect of activity participation in middle-aged and older people on the trajectory of depression in later life: National cohort study’, </w:t>
      </w:r>
      <w:r w:rsidRPr="00917BC0">
        <w:rPr>
          <w:i/>
          <w:iCs/>
        </w:rPr>
        <w:t>JMIR Public Health and Surveillance</w:t>
      </w:r>
      <w:r w:rsidRPr="00917BC0">
        <w:t xml:space="preserve">, 9, e44682. Available at: </w:t>
      </w:r>
      <w:hyperlink r:id="rId10" w:tgtFrame="_new" w:history="1">
        <w:r w:rsidRPr="00917BC0">
          <w:rPr>
            <w:rStyle w:val="Hyperlink"/>
          </w:rPr>
          <w:t>https://doi.org/10.2196/44682</w:t>
        </w:r>
      </w:hyperlink>
    </w:p>
    <w:p w14:paraId="5B2F711A" w14:textId="77777777" w:rsidR="0048123A" w:rsidRPr="00917BC0" w:rsidRDefault="0048123A" w:rsidP="0048123A">
      <w:pPr>
        <w:ind w:left="720" w:hanging="720"/>
      </w:pPr>
      <w:r w:rsidRPr="00917BC0">
        <w:t xml:space="preserve">MacIver, E., Adams, N.N., Douglas, F. and Kennedy, C. (2026) ‘Older adults’ experiences of wellbeing through engagement with a nature-based programme: insights from Activity Theory and Blue Zones thinking’, </w:t>
      </w:r>
      <w:r w:rsidRPr="00917BC0">
        <w:rPr>
          <w:i/>
          <w:iCs/>
        </w:rPr>
        <w:t>Wellbeing, Space and Society</w:t>
      </w:r>
      <w:r w:rsidRPr="00917BC0">
        <w:t xml:space="preserve">, 10, 100367. Available at: </w:t>
      </w:r>
      <w:hyperlink r:id="rId11" w:tgtFrame="_new" w:history="1">
        <w:r w:rsidRPr="00917BC0">
          <w:rPr>
            <w:rStyle w:val="Hyperlink"/>
          </w:rPr>
          <w:t>https://doi.org/10.1016/j.wss.2026.100367</w:t>
        </w:r>
      </w:hyperlink>
    </w:p>
    <w:p w14:paraId="4612EC6E" w14:textId="77777777" w:rsidR="0048123A" w:rsidRPr="00917BC0" w:rsidRDefault="0048123A" w:rsidP="0048123A">
      <w:pPr>
        <w:ind w:left="720" w:hanging="720"/>
      </w:pPr>
      <w:r w:rsidRPr="00917BC0">
        <w:t xml:space="preserve">Simons, M., Reijnders, J., Janssens, M., </w:t>
      </w:r>
      <w:proofErr w:type="spellStart"/>
      <w:r w:rsidRPr="00917BC0">
        <w:t>Lataster</w:t>
      </w:r>
      <w:proofErr w:type="spellEnd"/>
      <w:r w:rsidRPr="00917BC0">
        <w:t xml:space="preserve">, J. and Jacobs, N. (2023) ‘Positive affect as mediator: The socioemotional selectivity theory applied to the association between bonding social capital and wellbeing in later life’, </w:t>
      </w:r>
      <w:r w:rsidRPr="00917BC0">
        <w:rPr>
          <w:i/>
          <w:iCs/>
        </w:rPr>
        <w:t>Journal of Social and Personal Relationships</w:t>
      </w:r>
      <w:r w:rsidRPr="00917BC0">
        <w:t xml:space="preserve">, 40(6), pp. 1854–1874. Available at: </w:t>
      </w:r>
      <w:hyperlink r:id="rId12" w:tgtFrame="_new" w:history="1">
        <w:r w:rsidRPr="00917BC0">
          <w:rPr>
            <w:rStyle w:val="Hyperlink"/>
          </w:rPr>
          <w:t>https://doi.org/10.1177/02654075221134977</w:t>
        </w:r>
      </w:hyperlink>
    </w:p>
    <w:p w14:paraId="5F0506B6" w14:textId="46AB1DAD" w:rsidR="0048123A" w:rsidRPr="004946C5" w:rsidRDefault="0048123A" w:rsidP="0048123A">
      <w:pPr>
        <w:ind w:left="720" w:hanging="720"/>
      </w:pPr>
      <w:r w:rsidRPr="004946C5">
        <w:t xml:space="preserve">‌Sorrentino, M., Mercogliano, M., Fiorilla, C., Stilo, I., Esposito, F., Moccia, M., Lavorgna, L., Affinito, G., Salvatore, E., </w:t>
      </w:r>
      <w:proofErr w:type="spellStart"/>
      <w:r w:rsidRPr="004946C5">
        <w:t>Sormani</w:t>
      </w:r>
      <w:proofErr w:type="spellEnd"/>
      <w:r w:rsidRPr="004946C5">
        <w:t xml:space="preserve">, M.P., Odone, A., Majeed, A., Fabiana Rubba, Triassi, M. and Palladino, R. (2025). The needs and unmet needs for people living with dementia, caregivers and care workers in dementia health care systems: a systematic </w:t>
      </w:r>
      <w:r w:rsidRPr="004946C5">
        <w:lastRenderedPageBreak/>
        <w:t>review. </w:t>
      </w:r>
      <w:r w:rsidRPr="004946C5">
        <w:rPr>
          <w:i/>
          <w:iCs/>
        </w:rPr>
        <w:t>Frontiers in Public Health</w:t>
      </w:r>
      <w:r w:rsidRPr="004946C5">
        <w:t>, [online] 13, p.1605993. doi:10.3389/fpubh.2025.1605993.</w:t>
      </w:r>
      <w:r>
        <w:t xml:space="preserve"> </w:t>
      </w:r>
    </w:p>
    <w:p w14:paraId="23E62B4D" w14:textId="77777777" w:rsidR="00917BC0" w:rsidRDefault="00917BC0"/>
    <w:sectPr w:rsidR="00917BC0">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55BC1" w14:textId="77777777" w:rsidR="00BB0188" w:rsidRDefault="00BB0188" w:rsidP="001D66A1">
      <w:pPr>
        <w:spacing w:after="0" w:line="240" w:lineRule="auto"/>
      </w:pPr>
      <w:r>
        <w:separator/>
      </w:r>
    </w:p>
  </w:endnote>
  <w:endnote w:type="continuationSeparator" w:id="0">
    <w:p w14:paraId="04433AB2" w14:textId="77777777" w:rsidR="00BB0188" w:rsidRDefault="00BB0188" w:rsidP="001D6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464542"/>
      <w:docPartObj>
        <w:docPartGallery w:val="Page Numbers (Bottom of Page)"/>
        <w:docPartUnique/>
      </w:docPartObj>
    </w:sdtPr>
    <w:sdtEndPr>
      <w:rPr>
        <w:noProof/>
      </w:rPr>
    </w:sdtEndPr>
    <w:sdtContent>
      <w:p w14:paraId="1F8683AB" w14:textId="71919D78" w:rsidR="001D66A1" w:rsidRDefault="001D66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99A09" w14:textId="77777777" w:rsidR="001D66A1" w:rsidRDefault="001D6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06114" w14:textId="77777777" w:rsidR="00BB0188" w:rsidRDefault="00BB0188" w:rsidP="001D66A1">
      <w:pPr>
        <w:spacing w:after="0" w:line="240" w:lineRule="auto"/>
      </w:pPr>
      <w:r>
        <w:separator/>
      </w:r>
    </w:p>
  </w:footnote>
  <w:footnote w:type="continuationSeparator" w:id="0">
    <w:p w14:paraId="7B111DF2" w14:textId="77777777" w:rsidR="00BB0188" w:rsidRDefault="00BB0188" w:rsidP="001D66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02906"/>
    <w:multiLevelType w:val="hybridMultilevel"/>
    <w:tmpl w:val="25C68AC6"/>
    <w:lvl w:ilvl="0" w:tplc="497EB5B4">
      <w:start w:val="1"/>
      <w:numFmt w:val="decimal"/>
      <w:lvlText w:val="%1."/>
      <w:lvlJc w:val="left"/>
      <w:pPr>
        <w:ind w:left="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4250E4">
      <w:start w:val="1"/>
      <w:numFmt w:val="lowerLetter"/>
      <w:lvlText w:val="%2"/>
      <w:lvlJc w:val="left"/>
      <w:pPr>
        <w:ind w:left="1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ADC99D6">
      <w:start w:val="1"/>
      <w:numFmt w:val="lowerRoman"/>
      <w:lvlText w:val="%3"/>
      <w:lvlJc w:val="left"/>
      <w:pPr>
        <w:ind w:left="2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64CC702">
      <w:start w:val="1"/>
      <w:numFmt w:val="decimal"/>
      <w:lvlText w:val="%4"/>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926060">
      <w:start w:val="1"/>
      <w:numFmt w:val="lowerLetter"/>
      <w:lvlText w:val="%5"/>
      <w:lvlJc w:val="left"/>
      <w:pPr>
        <w:ind w:left="3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466E38">
      <w:start w:val="1"/>
      <w:numFmt w:val="lowerRoman"/>
      <w:lvlText w:val="%6"/>
      <w:lvlJc w:val="left"/>
      <w:pPr>
        <w:ind w:left="4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8BC41FA">
      <w:start w:val="1"/>
      <w:numFmt w:val="decimal"/>
      <w:lvlText w:val="%7"/>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685866">
      <w:start w:val="1"/>
      <w:numFmt w:val="lowerLetter"/>
      <w:lvlText w:val="%8"/>
      <w:lvlJc w:val="left"/>
      <w:pPr>
        <w:ind w:left="5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2FAF3E0">
      <w:start w:val="1"/>
      <w:numFmt w:val="lowerRoman"/>
      <w:lvlText w:val="%9"/>
      <w:lvlJc w:val="left"/>
      <w:pPr>
        <w:ind w:left="6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365302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F1C"/>
    <w:rsid w:val="001D66A1"/>
    <w:rsid w:val="001E7692"/>
    <w:rsid w:val="00225817"/>
    <w:rsid w:val="00295F1C"/>
    <w:rsid w:val="002D5A01"/>
    <w:rsid w:val="0048123A"/>
    <w:rsid w:val="00885DEA"/>
    <w:rsid w:val="00917BC0"/>
    <w:rsid w:val="00BB0188"/>
    <w:rsid w:val="00C80266"/>
    <w:rsid w:val="00D0659A"/>
    <w:rsid w:val="00D43D8E"/>
    <w:rsid w:val="00D6495A"/>
    <w:rsid w:val="00DA5B8B"/>
    <w:rsid w:val="00E15A2F"/>
    <w:rsid w:val="00E47AF1"/>
    <w:rsid w:val="00E55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E069B"/>
  <w15:chartTrackingRefBased/>
  <w15:docId w15:val="{53C8FFE1-FEF5-47C3-B4A4-847F699CB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A2F"/>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E15A2F"/>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1D66A1"/>
    <w:pPr>
      <w:keepNext/>
      <w:keepLines/>
      <w:spacing w:before="160" w:after="80"/>
      <w:ind w:left="720"/>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295F1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5F1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95F1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95F1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95F1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95F1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95F1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1">
    <w:name w:val="Heading 21"/>
    <w:basedOn w:val="Normal"/>
    <w:link w:val="heading2Char0"/>
    <w:qFormat/>
    <w:rsid w:val="00D0659A"/>
    <w:pPr>
      <w:spacing w:after="200" w:line="240" w:lineRule="auto"/>
    </w:pPr>
    <w:rPr>
      <w:rFonts w:ascii="Arial" w:hAnsi="Arial" w:cs="Arial"/>
      <w:b/>
      <w:bCs/>
    </w:rPr>
  </w:style>
  <w:style w:type="character" w:customStyle="1" w:styleId="heading2Char0">
    <w:name w:val="heading 2 Char"/>
    <w:basedOn w:val="DefaultParagraphFont"/>
    <w:link w:val="Heading21"/>
    <w:rsid w:val="00D0659A"/>
    <w:rPr>
      <w:rFonts w:ascii="Arial" w:hAnsi="Arial" w:cs="Arial"/>
      <w:b/>
      <w:bCs/>
    </w:rPr>
  </w:style>
  <w:style w:type="character" w:customStyle="1" w:styleId="Heading1Char">
    <w:name w:val="Heading 1 Char"/>
    <w:basedOn w:val="DefaultParagraphFont"/>
    <w:link w:val="Heading1"/>
    <w:uiPriority w:val="9"/>
    <w:rsid w:val="00E15A2F"/>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1D66A1"/>
    <w:rPr>
      <w:rFonts w:ascii="Times New Roman" w:eastAsiaTheme="majorEastAsia" w:hAnsi="Times New Roman" w:cstheme="majorBidi"/>
      <w:b/>
      <w:i/>
      <w:color w:val="000000" w:themeColor="text1"/>
      <w:szCs w:val="32"/>
    </w:rPr>
  </w:style>
  <w:style w:type="paragraph" w:customStyle="1" w:styleId="Style2">
    <w:name w:val="Style2"/>
    <w:basedOn w:val="Normal"/>
    <w:qFormat/>
    <w:rsid w:val="00E15A2F"/>
    <w:pPr>
      <w:jc w:val="left"/>
    </w:pPr>
    <w:rPr>
      <w:rFonts w:asciiTheme="minorHAnsi" w:hAnsiTheme="minorHAnsi"/>
    </w:rPr>
  </w:style>
  <w:style w:type="character" w:customStyle="1" w:styleId="Heading3Char">
    <w:name w:val="Heading 3 Char"/>
    <w:basedOn w:val="DefaultParagraphFont"/>
    <w:link w:val="Heading3"/>
    <w:uiPriority w:val="9"/>
    <w:semiHidden/>
    <w:rsid w:val="00295F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5F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5F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5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5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5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5F1C"/>
    <w:rPr>
      <w:rFonts w:eastAsiaTheme="majorEastAsia" w:cstheme="majorBidi"/>
      <w:color w:val="272727" w:themeColor="text1" w:themeTint="D8"/>
    </w:rPr>
  </w:style>
  <w:style w:type="paragraph" w:styleId="Title">
    <w:name w:val="Title"/>
    <w:basedOn w:val="Normal"/>
    <w:next w:val="Normal"/>
    <w:link w:val="TitleChar"/>
    <w:uiPriority w:val="10"/>
    <w:qFormat/>
    <w:rsid w:val="00295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F1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5F1C"/>
    <w:pPr>
      <w:spacing w:before="160"/>
      <w:jc w:val="center"/>
    </w:pPr>
    <w:rPr>
      <w:i/>
      <w:iCs/>
      <w:color w:val="404040" w:themeColor="text1" w:themeTint="BF"/>
    </w:rPr>
  </w:style>
  <w:style w:type="character" w:customStyle="1" w:styleId="QuoteChar">
    <w:name w:val="Quote Char"/>
    <w:basedOn w:val="DefaultParagraphFont"/>
    <w:link w:val="Quote"/>
    <w:uiPriority w:val="29"/>
    <w:rsid w:val="00295F1C"/>
    <w:rPr>
      <w:rFonts w:ascii="Times New Roman" w:hAnsi="Times New Roman"/>
      <w:i/>
      <w:iCs/>
      <w:color w:val="404040" w:themeColor="text1" w:themeTint="BF"/>
    </w:rPr>
  </w:style>
  <w:style w:type="paragraph" w:styleId="ListParagraph">
    <w:name w:val="List Paragraph"/>
    <w:basedOn w:val="Normal"/>
    <w:uiPriority w:val="34"/>
    <w:qFormat/>
    <w:rsid w:val="00295F1C"/>
    <w:pPr>
      <w:ind w:left="720"/>
      <w:contextualSpacing/>
    </w:pPr>
  </w:style>
  <w:style w:type="character" w:styleId="IntenseEmphasis">
    <w:name w:val="Intense Emphasis"/>
    <w:basedOn w:val="DefaultParagraphFont"/>
    <w:uiPriority w:val="21"/>
    <w:qFormat/>
    <w:rsid w:val="00295F1C"/>
    <w:rPr>
      <w:i/>
      <w:iCs/>
      <w:color w:val="2F5496" w:themeColor="accent1" w:themeShade="BF"/>
    </w:rPr>
  </w:style>
  <w:style w:type="paragraph" w:styleId="IntenseQuote">
    <w:name w:val="Intense Quote"/>
    <w:basedOn w:val="Normal"/>
    <w:next w:val="Normal"/>
    <w:link w:val="IntenseQuoteChar"/>
    <w:uiPriority w:val="30"/>
    <w:qFormat/>
    <w:rsid w:val="00295F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5F1C"/>
    <w:rPr>
      <w:rFonts w:ascii="Times New Roman" w:hAnsi="Times New Roman"/>
      <w:i/>
      <w:iCs/>
      <w:color w:val="2F5496" w:themeColor="accent1" w:themeShade="BF"/>
    </w:rPr>
  </w:style>
  <w:style w:type="character" w:styleId="IntenseReference">
    <w:name w:val="Intense Reference"/>
    <w:basedOn w:val="DefaultParagraphFont"/>
    <w:uiPriority w:val="32"/>
    <w:qFormat/>
    <w:rsid w:val="00295F1C"/>
    <w:rPr>
      <w:b/>
      <w:bCs/>
      <w:smallCaps/>
      <w:color w:val="2F5496" w:themeColor="accent1" w:themeShade="BF"/>
      <w:spacing w:val="5"/>
    </w:rPr>
  </w:style>
  <w:style w:type="character" w:styleId="Hyperlink">
    <w:name w:val="Hyperlink"/>
    <w:basedOn w:val="DefaultParagraphFont"/>
    <w:uiPriority w:val="99"/>
    <w:unhideWhenUsed/>
    <w:rsid w:val="00917BC0"/>
    <w:rPr>
      <w:color w:val="0563C1" w:themeColor="hyperlink"/>
      <w:u w:val="single"/>
    </w:rPr>
  </w:style>
  <w:style w:type="character" w:styleId="UnresolvedMention">
    <w:name w:val="Unresolved Mention"/>
    <w:basedOn w:val="DefaultParagraphFont"/>
    <w:uiPriority w:val="99"/>
    <w:semiHidden/>
    <w:unhideWhenUsed/>
    <w:rsid w:val="00917BC0"/>
    <w:rPr>
      <w:color w:val="605E5C"/>
      <w:shd w:val="clear" w:color="auto" w:fill="E1DFDD"/>
    </w:rPr>
  </w:style>
  <w:style w:type="table" w:customStyle="1" w:styleId="TableGrid">
    <w:name w:val="TableGrid"/>
    <w:rsid w:val="001D66A1"/>
    <w:pPr>
      <w:spacing w:after="0" w:line="240" w:lineRule="auto"/>
    </w:pPr>
    <w:rPr>
      <w:rFonts w:eastAsiaTheme="minorEastAsia"/>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1D66A1"/>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D66A1"/>
    <w:pPr>
      <w:spacing w:after="100"/>
    </w:pPr>
  </w:style>
  <w:style w:type="paragraph" w:styleId="TOC2">
    <w:name w:val="toc 2"/>
    <w:basedOn w:val="Normal"/>
    <w:next w:val="Normal"/>
    <w:autoRedefine/>
    <w:uiPriority w:val="39"/>
    <w:unhideWhenUsed/>
    <w:rsid w:val="001D66A1"/>
    <w:pPr>
      <w:spacing w:after="100"/>
      <w:ind w:left="240"/>
    </w:pPr>
  </w:style>
  <w:style w:type="paragraph" w:styleId="Header">
    <w:name w:val="header"/>
    <w:basedOn w:val="Normal"/>
    <w:link w:val="HeaderChar"/>
    <w:uiPriority w:val="99"/>
    <w:unhideWhenUsed/>
    <w:rsid w:val="001D66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6A1"/>
    <w:rPr>
      <w:rFonts w:ascii="Times New Roman" w:hAnsi="Times New Roman"/>
    </w:rPr>
  </w:style>
  <w:style w:type="paragraph" w:styleId="Footer">
    <w:name w:val="footer"/>
    <w:basedOn w:val="Normal"/>
    <w:link w:val="FooterChar"/>
    <w:uiPriority w:val="99"/>
    <w:unhideWhenUsed/>
    <w:rsid w:val="001D66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6A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265407522113497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wss.2026.10036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2196/44682" TargetMode="External"/><Relationship Id="rId4" Type="http://schemas.openxmlformats.org/officeDocument/2006/relationships/settings" Target="settings.xml"/><Relationship Id="rId9" Type="http://schemas.openxmlformats.org/officeDocument/2006/relationships/hyperlink" Target="https://doi.org/10.1093/geront/gnab11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16761-8F45-4DCC-8883-3194AFF7D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2263</Words>
  <Characters>12900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MT_Prod-07</dc:creator>
  <cp:keywords/>
  <dc:description/>
  <cp:lastModifiedBy>MT_Prod-07</cp:lastModifiedBy>
  <cp:revision>2</cp:revision>
  <dcterms:created xsi:type="dcterms:W3CDTF">2026-04-22T09:50:00Z</dcterms:created>
  <dcterms:modified xsi:type="dcterms:W3CDTF">2026-04-22T09:50:00Z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2af1ec60-576f-4d27-a43b-4a3bffb26ac1</vt:lpwstr>
  </property>
</Properties>
</file>