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18138" w14:textId="219856AA" w:rsidR="00CD4045" w:rsidRPr="004539F6" w:rsidRDefault="00C770D9" w:rsidP="000F1154">
      <w:pPr>
        <w:spacing w:line="360" w:lineRule="auto"/>
        <w:rPr>
          <w:rFonts w:asciiTheme="minorBidi" w:hAnsiTheme="minorBidi" w:cstheme="minorBidi"/>
          <w:b/>
          <w:bCs/>
          <w:sz w:val="52"/>
          <w:szCs w:val="52"/>
        </w:rPr>
      </w:pPr>
      <w:r>
        <w:rPr>
          <w:noProof/>
        </w:rPr>
        <w:drawing>
          <wp:inline distT="0" distB="0" distL="0" distR="0" wp14:anchorId="67E77FA1" wp14:editId="371821E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2869D5C" w14:textId="77777777" w:rsidR="00110BBA" w:rsidRDefault="00110BBA" w:rsidP="00C479CA">
      <w:pPr>
        <w:spacing w:after="160" w:line="278" w:lineRule="auto"/>
        <w:rPr>
          <w:rFonts w:asciiTheme="minorBidi" w:hAnsiTheme="minorBidi"/>
          <w:sz w:val="28"/>
          <w:szCs w:val="28"/>
        </w:rPr>
      </w:pPr>
    </w:p>
    <w:p w14:paraId="380357F5" w14:textId="77777777" w:rsidR="009B6257" w:rsidRDefault="009B6257" w:rsidP="00C479CA">
      <w:pPr>
        <w:spacing w:after="160" w:line="278" w:lineRule="auto"/>
        <w:rPr>
          <w:rFonts w:asciiTheme="minorBidi" w:hAnsiTheme="minorBidi"/>
          <w:sz w:val="28"/>
          <w:szCs w:val="28"/>
        </w:rPr>
      </w:pPr>
    </w:p>
    <w:p w14:paraId="3D2F56E8" w14:textId="6552E40B" w:rsidR="00C479CA" w:rsidRPr="00C479CA" w:rsidRDefault="00C479CA" w:rsidP="00863E03">
      <w:pPr>
        <w:spacing w:after="160" w:line="360" w:lineRule="auto"/>
        <w:rPr>
          <w:rFonts w:asciiTheme="minorBidi" w:hAnsiTheme="minorBidi" w:cstheme="minorBidi"/>
          <w:b/>
          <w:bCs/>
          <w:sz w:val="22"/>
          <w:szCs w:val="22"/>
        </w:rPr>
      </w:pPr>
      <w:r>
        <w:rPr>
          <w:rFonts w:asciiTheme="minorBidi" w:hAnsiTheme="minorBidi"/>
          <w:sz w:val="28"/>
          <w:szCs w:val="28"/>
        </w:rPr>
        <w:t>Name: Marwa Mohammed</w:t>
      </w:r>
    </w:p>
    <w:p w14:paraId="5C25E9E8" w14:textId="77777777" w:rsidR="00C479CA" w:rsidRDefault="00C479CA" w:rsidP="00863E03">
      <w:pPr>
        <w:spacing w:line="360" w:lineRule="auto"/>
        <w:jc w:val="both"/>
        <w:rPr>
          <w:rFonts w:asciiTheme="minorBidi" w:hAnsiTheme="minorBidi"/>
          <w:sz w:val="28"/>
          <w:szCs w:val="28"/>
        </w:rPr>
      </w:pPr>
      <w:r>
        <w:rPr>
          <w:rFonts w:asciiTheme="minorBidi" w:hAnsiTheme="minorBidi"/>
          <w:sz w:val="28"/>
          <w:szCs w:val="28"/>
        </w:rPr>
        <w:t>Student ID: 2539110</w:t>
      </w:r>
    </w:p>
    <w:p w14:paraId="358B4B23" w14:textId="325F64D3" w:rsidR="00C479CA" w:rsidRDefault="00C479CA" w:rsidP="009B6257">
      <w:pPr>
        <w:spacing w:line="360" w:lineRule="auto"/>
        <w:jc w:val="both"/>
        <w:rPr>
          <w:rFonts w:asciiTheme="minorBidi" w:hAnsiTheme="minorBidi"/>
          <w:sz w:val="28"/>
          <w:szCs w:val="28"/>
        </w:rPr>
      </w:pPr>
      <w:r>
        <w:rPr>
          <w:rFonts w:asciiTheme="minorBidi" w:hAnsiTheme="minorBidi"/>
          <w:sz w:val="28"/>
          <w:szCs w:val="28"/>
        </w:rPr>
        <w:t>Module Code: (L</w:t>
      </w:r>
      <w:r w:rsidR="000D389B">
        <w:rPr>
          <w:rFonts w:asciiTheme="minorBidi" w:hAnsiTheme="minorBidi"/>
          <w:sz w:val="28"/>
          <w:szCs w:val="28"/>
        </w:rPr>
        <w:t>C</w:t>
      </w:r>
      <w:r>
        <w:rPr>
          <w:rFonts w:asciiTheme="minorBidi" w:hAnsiTheme="minorBidi"/>
          <w:sz w:val="28"/>
          <w:szCs w:val="28"/>
        </w:rPr>
        <w:t>H</w:t>
      </w:r>
      <w:r w:rsidR="00EF6927">
        <w:rPr>
          <w:rFonts w:asciiTheme="minorBidi" w:hAnsiTheme="minorBidi"/>
          <w:sz w:val="28"/>
          <w:szCs w:val="28"/>
        </w:rPr>
        <w:t>S</w:t>
      </w:r>
      <w:r>
        <w:rPr>
          <w:rFonts w:asciiTheme="minorBidi" w:hAnsiTheme="minorBidi"/>
          <w:sz w:val="28"/>
          <w:szCs w:val="28"/>
        </w:rPr>
        <w:t>400</w:t>
      </w:r>
      <w:r w:rsidR="00EF6927">
        <w:rPr>
          <w:rFonts w:asciiTheme="minorBidi" w:hAnsiTheme="minorBidi"/>
          <w:sz w:val="28"/>
          <w:szCs w:val="28"/>
        </w:rPr>
        <w:t>3</w:t>
      </w:r>
      <w:r>
        <w:rPr>
          <w:rFonts w:asciiTheme="minorBidi" w:hAnsiTheme="minorBidi"/>
          <w:sz w:val="28"/>
          <w:szCs w:val="28"/>
        </w:rPr>
        <w:t>_BIRMINGHAM)</w:t>
      </w:r>
    </w:p>
    <w:p w14:paraId="3BCE6019" w14:textId="05E3A5C3" w:rsidR="00C479CA" w:rsidRDefault="00C479CA" w:rsidP="009B6257">
      <w:pPr>
        <w:spacing w:line="360" w:lineRule="auto"/>
        <w:jc w:val="both"/>
        <w:rPr>
          <w:rFonts w:asciiTheme="minorBidi" w:hAnsiTheme="minorBidi"/>
          <w:sz w:val="28"/>
          <w:szCs w:val="28"/>
        </w:rPr>
      </w:pPr>
      <w:r>
        <w:rPr>
          <w:rFonts w:asciiTheme="minorBidi" w:hAnsiTheme="minorBidi"/>
          <w:sz w:val="28"/>
          <w:szCs w:val="28"/>
        </w:rPr>
        <w:t xml:space="preserve">Module: </w:t>
      </w:r>
      <w:r w:rsidR="00723222">
        <w:rPr>
          <w:rFonts w:asciiTheme="minorBidi" w:hAnsiTheme="minorBidi"/>
          <w:sz w:val="28"/>
          <w:szCs w:val="28"/>
        </w:rPr>
        <w:t>Introduction</w:t>
      </w:r>
      <w:r w:rsidR="00A45677">
        <w:rPr>
          <w:rFonts w:asciiTheme="minorBidi" w:hAnsiTheme="minorBidi"/>
          <w:sz w:val="28"/>
          <w:szCs w:val="28"/>
        </w:rPr>
        <w:t xml:space="preserve"> to </w:t>
      </w:r>
      <w:r w:rsidR="00723222">
        <w:rPr>
          <w:rFonts w:asciiTheme="minorBidi" w:hAnsiTheme="minorBidi"/>
          <w:sz w:val="28"/>
          <w:szCs w:val="28"/>
        </w:rPr>
        <w:t xml:space="preserve">Health and Social </w:t>
      </w:r>
      <w:r w:rsidR="009440F7">
        <w:rPr>
          <w:rFonts w:asciiTheme="minorBidi" w:hAnsiTheme="minorBidi"/>
          <w:sz w:val="28"/>
          <w:szCs w:val="28"/>
        </w:rPr>
        <w:t>C</w:t>
      </w:r>
      <w:r w:rsidR="00723222">
        <w:rPr>
          <w:rFonts w:asciiTheme="minorBidi" w:hAnsiTheme="minorBidi"/>
          <w:sz w:val="28"/>
          <w:szCs w:val="28"/>
        </w:rPr>
        <w:t>are</w:t>
      </w:r>
    </w:p>
    <w:p w14:paraId="55C848E7" w14:textId="4BA881F5" w:rsidR="00C479CA" w:rsidRDefault="00C479CA" w:rsidP="00863E03">
      <w:pPr>
        <w:spacing w:line="360" w:lineRule="auto"/>
        <w:jc w:val="both"/>
        <w:rPr>
          <w:rFonts w:asciiTheme="minorBidi" w:hAnsiTheme="minorBidi"/>
          <w:sz w:val="28"/>
          <w:szCs w:val="28"/>
        </w:rPr>
      </w:pPr>
      <w:r>
        <w:rPr>
          <w:rFonts w:asciiTheme="minorBidi" w:hAnsiTheme="minorBidi"/>
          <w:sz w:val="28"/>
          <w:szCs w:val="28"/>
        </w:rPr>
        <w:t xml:space="preserve">Lecturer: </w:t>
      </w:r>
      <w:r w:rsidR="006809BC">
        <w:rPr>
          <w:rFonts w:asciiTheme="minorBidi" w:hAnsiTheme="minorBidi"/>
          <w:sz w:val="28"/>
          <w:szCs w:val="28"/>
        </w:rPr>
        <w:t>Helen</w:t>
      </w:r>
      <w:r w:rsidR="0050773E">
        <w:rPr>
          <w:rFonts w:asciiTheme="minorBidi" w:hAnsiTheme="minorBidi"/>
          <w:sz w:val="28"/>
          <w:szCs w:val="28"/>
        </w:rPr>
        <w:t xml:space="preserve"> Parson</w:t>
      </w:r>
    </w:p>
    <w:p w14:paraId="7FA1988F" w14:textId="6639BCEA" w:rsidR="00C479CA" w:rsidRDefault="00C479CA" w:rsidP="00863E03">
      <w:pPr>
        <w:spacing w:line="360" w:lineRule="auto"/>
        <w:rPr>
          <w:rFonts w:asciiTheme="minorBidi" w:hAnsiTheme="minorBidi"/>
          <w:sz w:val="28"/>
          <w:szCs w:val="28"/>
        </w:rPr>
      </w:pPr>
      <w:r>
        <w:rPr>
          <w:rFonts w:asciiTheme="minorBidi" w:hAnsiTheme="minorBidi"/>
          <w:sz w:val="28"/>
          <w:szCs w:val="28"/>
        </w:rPr>
        <w:t>Submitted on:  1</w:t>
      </w:r>
      <w:r w:rsidR="00D77E9E">
        <w:rPr>
          <w:rFonts w:asciiTheme="minorBidi" w:hAnsiTheme="minorBidi"/>
          <w:sz w:val="28"/>
          <w:szCs w:val="28"/>
        </w:rPr>
        <w:t>7</w:t>
      </w:r>
      <w:r>
        <w:rPr>
          <w:rFonts w:asciiTheme="minorBidi" w:hAnsiTheme="minorBidi"/>
          <w:sz w:val="28"/>
          <w:szCs w:val="28"/>
        </w:rPr>
        <w:t>/</w:t>
      </w:r>
      <w:r w:rsidR="009440F7">
        <w:rPr>
          <w:rFonts w:asciiTheme="minorBidi" w:hAnsiTheme="minorBidi"/>
          <w:sz w:val="28"/>
          <w:szCs w:val="28"/>
        </w:rPr>
        <w:t>10</w:t>
      </w:r>
      <w:r>
        <w:rPr>
          <w:rFonts w:asciiTheme="minorBidi" w:hAnsiTheme="minorBidi"/>
          <w:sz w:val="28"/>
          <w:szCs w:val="28"/>
        </w:rPr>
        <w:t>/2026</w:t>
      </w:r>
    </w:p>
    <w:p w14:paraId="7FBF3FF6" w14:textId="77777777" w:rsidR="003E3F32" w:rsidRDefault="003E3F32" w:rsidP="009B6257">
      <w:pPr>
        <w:spacing w:line="360" w:lineRule="auto"/>
        <w:jc w:val="both"/>
        <w:rPr>
          <w:rFonts w:asciiTheme="minorBidi" w:hAnsiTheme="minorBidi"/>
          <w:sz w:val="28"/>
          <w:szCs w:val="28"/>
        </w:rPr>
      </w:pPr>
    </w:p>
    <w:p w14:paraId="6229B940" w14:textId="77777777" w:rsidR="003E3F32" w:rsidRDefault="003E3F32" w:rsidP="00C479CA">
      <w:pPr>
        <w:jc w:val="both"/>
        <w:rPr>
          <w:rFonts w:asciiTheme="minorBidi" w:hAnsiTheme="minorBidi"/>
          <w:sz w:val="28"/>
          <w:szCs w:val="28"/>
        </w:rPr>
      </w:pPr>
    </w:p>
    <w:p w14:paraId="3170CE35" w14:textId="77777777" w:rsidR="003E3F32" w:rsidRDefault="003E3F32" w:rsidP="00C479CA">
      <w:pPr>
        <w:jc w:val="both"/>
        <w:rPr>
          <w:rFonts w:asciiTheme="minorBidi" w:hAnsiTheme="minorBidi"/>
          <w:sz w:val="28"/>
          <w:szCs w:val="28"/>
        </w:rPr>
      </w:pPr>
    </w:p>
    <w:p w14:paraId="4F011A16" w14:textId="77777777" w:rsidR="003E3F32" w:rsidRDefault="003E3F32" w:rsidP="00C479CA">
      <w:pPr>
        <w:jc w:val="both"/>
        <w:rPr>
          <w:rFonts w:asciiTheme="minorBidi" w:hAnsiTheme="minorBidi"/>
          <w:sz w:val="28"/>
          <w:szCs w:val="28"/>
        </w:rPr>
      </w:pPr>
    </w:p>
    <w:p w14:paraId="14275196" w14:textId="77777777" w:rsidR="003E3F32" w:rsidRDefault="003E3F32" w:rsidP="00C479CA">
      <w:pPr>
        <w:jc w:val="both"/>
        <w:rPr>
          <w:rFonts w:asciiTheme="minorBidi" w:hAnsiTheme="minorBidi"/>
          <w:sz w:val="28"/>
          <w:szCs w:val="28"/>
        </w:rPr>
      </w:pPr>
    </w:p>
    <w:p w14:paraId="7BDF44E5" w14:textId="77777777" w:rsidR="003E3F32" w:rsidRDefault="003E3F32" w:rsidP="00C479CA">
      <w:pPr>
        <w:jc w:val="both"/>
        <w:rPr>
          <w:rFonts w:asciiTheme="minorBidi" w:hAnsiTheme="minorBidi"/>
          <w:sz w:val="28"/>
          <w:szCs w:val="28"/>
        </w:rPr>
      </w:pPr>
    </w:p>
    <w:p w14:paraId="55120298" w14:textId="77777777" w:rsidR="003E3F32" w:rsidRDefault="003E3F32" w:rsidP="00C479CA">
      <w:pPr>
        <w:jc w:val="both"/>
        <w:rPr>
          <w:rFonts w:asciiTheme="minorBidi" w:hAnsiTheme="minorBidi"/>
          <w:sz w:val="28"/>
          <w:szCs w:val="28"/>
        </w:rPr>
      </w:pPr>
    </w:p>
    <w:p w14:paraId="54678CEC" w14:textId="77777777" w:rsidR="003E3F32" w:rsidRDefault="003E3F32" w:rsidP="00C479CA">
      <w:pPr>
        <w:jc w:val="both"/>
        <w:rPr>
          <w:rFonts w:asciiTheme="minorBidi" w:hAnsiTheme="minorBidi"/>
          <w:sz w:val="28"/>
          <w:szCs w:val="28"/>
        </w:rPr>
      </w:pPr>
    </w:p>
    <w:p w14:paraId="530EB6D2" w14:textId="77777777" w:rsidR="003E3F32" w:rsidRDefault="003E3F32" w:rsidP="00C479CA">
      <w:pPr>
        <w:jc w:val="both"/>
        <w:rPr>
          <w:rFonts w:asciiTheme="minorBidi" w:hAnsiTheme="minorBidi"/>
          <w:sz w:val="28"/>
          <w:szCs w:val="28"/>
        </w:rPr>
      </w:pPr>
    </w:p>
    <w:p w14:paraId="69A76627" w14:textId="77777777" w:rsidR="003E3F32" w:rsidRDefault="003E3F32" w:rsidP="00C479CA">
      <w:pPr>
        <w:jc w:val="both"/>
        <w:rPr>
          <w:rFonts w:asciiTheme="minorBidi" w:hAnsiTheme="minorBidi"/>
          <w:sz w:val="28"/>
          <w:szCs w:val="28"/>
        </w:rPr>
      </w:pPr>
    </w:p>
    <w:p w14:paraId="5E06471E" w14:textId="77777777" w:rsidR="003E3F32" w:rsidRDefault="003E3F32" w:rsidP="00C479CA">
      <w:pPr>
        <w:jc w:val="both"/>
        <w:rPr>
          <w:rFonts w:asciiTheme="minorBidi" w:hAnsiTheme="minorBidi"/>
          <w:sz w:val="28"/>
          <w:szCs w:val="28"/>
        </w:rPr>
      </w:pPr>
    </w:p>
    <w:p w14:paraId="759EF022" w14:textId="77777777" w:rsidR="003E3F32" w:rsidRDefault="003E3F32" w:rsidP="00C479CA">
      <w:pPr>
        <w:jc w:val="both"/>
        <w:rPr>
          <w:rFonts w:asciiTheme="minorBidi" w:hAnsiTheme="minorBidi"/>
          <w:sz w:val="28"/>
          <w:szCs w:val="28"/>
        </w:rPr>
      </w:pPr>
    </w:p>
    <w:p w14:paraId="61E03A17" w14:textId="77777777" w:rsidR="003E3F32" w:rsidRDefault="003E3F32" w:rsidP="00C479CA">
      <w:pPr>
        <w:jc w:val="both"/>
        <w:rPr>
          <w:rFonts w:asciiTheme="minorBidi" w:hAnsiTheme="minorBidi"/>
          <w:sz w:val="28"/>
          <w:szCs w:val="28"/>
        </w:rPr>
      </w:pPr>
    </w:p>
    <w:p w14:paraId="060D6B7E" w14:textId="77777777" w:rsidR="003E3F32" w:rsidRDefault="003E3F32" w:rsidP="00C479CA">
      <w:pPr>
        <w:jc w:val="both"/>
        <w:rPr>
          <w:rFonts w:asciiTheme="minorBidi" w:hAnsiTheme="minorBidi"/>
          <w:sz w:val="28"/>
          <w:szCs w:val="28"/>
        </w:rPr>
      </w:pPr>
    </w:p>
    <w:p w14:paraId="257FF28B" w14:textId="77777777" w:rsidR="003E3F32" w:rsidRDefault="003E3F32" w:rsidP="00C479CA">
      <w:pPr>
        <w:jc w:val="both"/>
        <w:rPr>
          <w:rFonts w:asciiTheme="minorBidi" w:hAnsiTheme="minorBidi"/>
          <w:sz w:val="28"/>
          <w:szCs w:val="28"/>
        </w:rPr>
      </w:pPr>
    </w:p>
    <w:p w14:paraId="65F66A36" w14:textId="77777777" w:rsidR="003E3F32" w:rsidRDefault="003E3F32" w:rsidP="00C479CA">
      <w:pPr>
        <w:jc w:val="both"/>
        <w:rPr>
          <w:rFonts w:asciiTheme="minorBidi" w:hAnsiTheme="minorBidi"/>
          <w:sz w:val="28"/>
          <w:szCs w:val="28"/>
        </w:rPr>
      </w:pPr>
    </w:p>
    <w:p w14:paraId="2370E52C" w14:textId="77777777" w:rsidR="003E3F32" w:rsidRDefault="003E3F32" w:rsidP="00C479CA">
      <w:pPr>
        <w:jc w:val="both"/>
        <w:rPr>
          <w:rFonts w:asciiTheme="minorBidi" w:hAnsiTheme="minorBidi"/>
          <w:sz w:val="28"/>
          <w:szCs w:val="28"/>
        </w:rPr>
      </w:pPr>
    </w:p>
    <w:p w14:paraId="56CC42F8" w14:textId="77777777" w:rsidR="003E3F32" w:rsidRDefault="003E3F32" w:rsidP="00C479CA">
      <w:pPr>
        <w:jc w:val="both"/>
        <w:rPr>
          <w:rFonts w:asciiTheme="minorBidi" w:hAnsiTheme="minorBidi"/>
          <w:sz w:val="28"/>
          <w:szCs w:val="28"/>
        </w:rPr>
      </w:pPr>
    </w:p>
    <w:p w14:paraId="1A2108EA" w14:textId="77777777" w:rsidR="003E3F32" w:rsidRDefault="003E3F32" w:rsidP="00C479CA">
      <w:pPr>
        <w:jc w:val="both"/>
        <w:rPr>
          <w:rFonts w:asciiTheme="minorBidi" w:hAnsiTheme="minorBidi"/>
          <w:sz w:val="28"/>
          <w:szCs w:val="28"/>
        </w:rPr>
      </w:pPr>
    </w:p>
    <w:p w14:paraId="7082ED10" w14:textId="77777777" w:rsidR="003E3F32" w:rsidRDefault="003E3F32" w:rsidP="00C479CA">
      <w:pPr>
        <w:jc w:val="both"/>
        <w:rPr>
          <w:rFonts w:asciiTheme="minorBidi" w:hAnsiTheme="minorBidi"/>
          <w:sz w:val="28"/>
          <w:szCs w:val="28"/>
        </w:rPr>
      </w:pPr>
    </w:p>
    <w:p w14:paraId="09277844" w14:textId="77777777" w:rsidR="003E3F32" w:rsidRDefault="003E3F32" w:rsidP="00C479CA">
      <w:pPr>
        <w:jc w:val="both"/>
        <w:rPr>
          <w:rFonts w:asciiTheme="minorBidi" w:hAnsiTheme="minorBidi"/>
          <w:sz w:val="28"/>
          <w:szCs w:val="28"/>
        </w:rPr>
      </w:pPr>
    </w:p>
    <w:p w14:paraId="3402A02F" w14:textId="77777777" w:rsidR="003E3F32" w:rsidRDefault="003E3F32" w:rsidP="00C479CA">
      <w:pPr>
        <w:jc w:val="both"/>
        <w:rPr>
          <w:rFonts w:asciiTheme="minorBidi" w:hAnsiTheme="minorBidi"/>
          <w:sz w:val="28"/>
          <w:szCs w:val="28"/>
        </w:rPr>
      </w:pPr>
    </w:p>
    <w:p w14:paraId="0C5FEBF3" w14:textId="77777777" w:rsidR="003E3F32" w:rsidRDefault="003E3F32" w:rsidP="00C479CA">
      <w:pPr>
        <w:jc w:val="both"/>
        <w:rPr>
          <w:rFonts w:asciiTheme="minorBidi" w:hAnsiTheme="minorBidi"/>
          <w:sz w:val="28"/>
          <w:szCs w:val="28"/>
        </w:rPr>
      </w:pPr>
    </w:p>
    <w:p w14:paraId="23882501" w14:textId="77777777" w:rsidR="003E3F32" w:rsidRDefault="003E3F32" w:rsidP="00C479CA">
      <w:pPr>
        <w:jc w:val="both"/>
        <w:rPr>
          <w:rFonts w:asciiTheme="minorBidi" w:hAnsiTheme="minorBidi"/>
          <w:sz w:val="28"/>
          <w:szCs w:val="28"/>
        </w:rPr>
      </w:pPr>
    </w:p>
    <w:p w14:paraId="5B580ADF" w14:textId="77777777" w:rsidR="003E3F32" w:rsidRDefault="003E3F32" w:rsidP="00C479CA">
      <w:pPr>
        <w:jc w:val="both"/>
        <w:rPr>
          <w:rFonts w:asciiTheme="minorBidi" w:hAnsiTheme="minorBidi"/>
          <w:sz w:val="28"/>
          <w:szCs w:val="28"/>
        </w:rPr>
      </w:pPr>
    </w:p>
    <w:p w14:paraId="4984F664" w14:textId="77777777" w:rsidR="003E3F32" w:rsidRDefault="003E3F32" w:rsidP="00C479CA">
      <w:pPr>
        <w:jc w:val="both"/>
        <w:rPr>
          <w:rFonts w:asciiTheme="minorBidi" w:hAnsiTheme="minorBidi"/>
          <w:sz w:val="28"/>
          <w:szCs w:val="28"/>
        </w:rPr>
      </w:pPr>
    </w:p>
    <w:p w14:paraId="595DACC6" w14:textId="77777777" w:rsidR="004E7485" w:rsidRDefault="004E7485" w:rsidP="002A6E88">
      <w:pPr>
        <w:spacing w:line="360" w:lineRule="auto"/>
        <w:rPr>
          <w:rFonts w:asciiTheme="minorBidi" w:hAnsiTheme="minorBidi" w:cstheme="minorBidi"/>
          <w:b/>
          <w:bCs/>
          <w:sz w:val="22"/>
          <w:szCs w:val="22"/>
        </w:rPr>
      </w:pPr>
    </w:p>
    <w:p w14:paraId="407BB619" w14:textId="77777777" w:rsidR="00AB790F" w:rsidRDefault="00AB790F" w:rsidP="002A6E88">
      <w:pPr>
        <w:spacing w:line="360" w:lineRule="auto"/>
        <w:rPr>
          <w:rFonts w:asciiTheme="minorBidi" w:hAnsiTheme="minorBidi" w:cstheme="minorBidi"/>
          <w:b/>
          <w:bCs/>
          <w:sz w:val="22"/>
          <w:szCs w:val="22"/>
        </w:rPr>
      </w:pPr>
    </w:p>
    <w:p w14:paraId="267856B8" w14:textId="77777777" w:rsidR="00AB790F" w:rsidRDefault="00AB790F" w:rsidP="002A6E88">
      <w:pPr>
        <w:spacing w:line="360" w:lineRule="auto"/>
        <w:rPr>
          <w:rFonts w:asciiTheme="minorBidi" w:hAnsiTheme="minorBidi" w:cstheme="minorBidi"/>
          <w:b/>
          <w:bCs/>
          <w:sz w:val="22"/>
          <w:szCs w:val="22"/>
        </w:rPr>
      </w:pPr>
    </w:p>
    <w:p w14:paraId="4957091E" w14:textId="6505B186" w:rsidR="00AC290F" w:rsidRDefault="00AC290F" w:rsidP="002A6E88">
      <w:pPr>
        <w:spacing w:line="360" w:lineRule="auto"/>
        <w:rPr>
          <w:rFonts w:asciiTheme="minorBidi" w:hAnsiTheme="minorBidi" w:cstheme="minorBidi"/>
          <w:b/>
          <w:bCs/>
          <w:sz w:val="22"/>
          <w:szCs w:val="22"/>
        </w:rPr>
      </w:pPr>
      <w:r>
        <w:rPr>
          <w:rFonts w:asciiTheme="minorBidi" w:hAnsiTheme="minorBidi" w:cstheme="minorBidi"/>
          <w:b/>
          <w:bCs/>
          <w:sz w:val="22"/>
          <w:szCs w:val="22"/>
        </w:rPr>
        <w:t>Task1</w:t>
      </w:r>
    </w:p>
    <w:p w14:paraId="25DD572F" w14:textId="50B84C61" w:rsidR="00543092" w:rsidRDefault="00CD4045" w:rsidP="002A6E88">
      <w:pPr>
        <w:spacing w:line="360" w:lineRule="auto"/>
        <w:rPr>
          <w:rFonts w:asciiTheme="minorBidi" w:hAnsiTheme="minorBidi" w:cstheme="minorBidi"/>
          <w:sz w:val="22"/>
          <w:szCs w:val="22"/>
        </w:rPr>
      </w:pPr>
      <w:r w:rsidRPr="002A6E88">
        <w:rPr>
          <w:rFonts w:asciiTheme="minorBidi" w:hAnsiTheme="minorBidi" w:cstheme="minorBidi"/>
          <w:b/>
          <w:bCs/>
          <w:sz w:val="22"/>
          <w:szCs w:val="22"/>
        </w:rPr>
        <w:t>To</w:t>
      </w:r>
      <w:r w:rsidR="001C50BF" w:rsidRPr="002A6E88">
        <w:rPr>
          <w:rFonts w:asciiTheme="minorBidi" w:hAnsiTheme="minorBidi" w:cstheme="minorBidi"/>
          <w:b/>
          <w:bCs/>
          <w:sz w:val="22"/>
          <w:szCs w:val="22"/>
        </w:rPr>
        <w:t>:</w:t>
      </w:r>
      <w:r w:rsidR="00EF4698" w:rsidRPr="002A6E88">
        <w:rPr>
          <w:rStyle w:val="Heading1Char"/>
          <w:rFonts w:asciiTheme="minorBidi" w:hAnsiTheme="minorBidi" w:cstheme="minorBidi"/>
          <w:sz w:val="22"/>
          <w:szCs w:val="22"/>
        </w:rPr>
        <w:t xml:space="preserve"> </w:t>
      </w:r>
      <w:r w:rsidR="00EF4698" w:rsidRPr="002A6E88">
        <w:rPr>
          <w:rStyle w:val="Strong"/>
          <w:rFonts w:asciiTheme="minorBidi" w:hAnsiTheme="minorBidi" w:cstheme="minorBidi"/>
          <w:b w:val="0"/>
          <w:bCs w:val="0"/>
          <w:sz w:val="22"/>
          <w:szCs w:val="22"/>
        </w:rPr>
        <w:t>Councillor Timothy (Tim) Huxtable</w:t>
      </w:r>
      <w:r w:rsidR="00EF4698" w:rsidRPr="002A6E88">
        <w:rPr>
          <w:rFonts w:asciiTheme="minorBidi" w:hAnsiTheme="minorBidi" w:cstheme="minorBidi"/>
          <w:sz w:val="22"/>
          <w:szCs w:val="22"/>
        </w:rPr>
        <w:t xml:space="preserve"> Hall Green South Ward Council House Victoria Square Birmingham B1 1BB</w:t>
      </w:r>
    </w:p>
    <w:p w14:paraId="663D282A" w14:textId="4E664548" w:rsidR="001C50BF" w:rsidRPr="002A6E88" w:rsidRDefault="00543092" w:rsidP="002A6E88">
      <w:pPr>
        <w:spacing w:line="360" w:lineRule="auto"/>
        <w:rPr>
          <w:rFonts w:asciiTheme="minorBidi" w:hAnsiTheme="minorBidi" w:cstheme="minorBidi"/>
          <w:sz w:val="22"/>
          <w:szCs w:val="22"/>
        </w:rPr>
      </w:pPr>
      <w:r w:rsidRPr="006F498C">
        <w:rPr>
          <w:rFonts w:asciiTheme="minorBidi" w:hAnsiTheme="minorBidi" w:cstheme="minorBidi"/>
          <w:b/>
          <w:bCs/>
          <w:sz w:val="22"/>
          <w:szCs w:val="22"/>
        </w:rPr>
        <w:t>S</w:t>
      </w:r>
      <w:r w:rsidR="006F498C" w:rsidRPr="006F498C">
        <w:rPr>
          <w:rFonts w:asciiTheme="minorBidi" w:hAnsiTheme="minorBidi" w:cstheme="minorBidi"/>
          <w:b/>
          <w:bCs/>
          <w:sz w:val="22"/>
          <w:szCs w:val="22"/>
        </w:rPr>
        <w:t>ubjec</w:t>
      </w:r>
      <w:r w:rsidR="006F498C">
        <w:rPr>
          <w:rFonts w:asciiTheme="minorBidi" w:hAnsiTheme="minorBidi" w:cstheme="minorBidi"/>
          <w:sz w:val="22"/>
          <w:szCs w:val="22"/>
        </w:rPr>
        <w:t>t:</w:t>
      </w:r>
      <w:r w:rsidR="00510EDE" w:rsidRPr="00510EDE">
        <w:rPr>
          <w:rFonts w:asciiTheme="minorBidi" w:hAnsiTheme="minorBidi" w:cstheme="minorBidi"/>
          <w:sz w:val="22"/>
          <w:szCs w:val="22"/>
        </w:rPr>
        <w:t xml:space="preserve"> </w:t>
      </w:r>
      <w:r w:rsidR="00510EDE" w:rsidRPr="002A6E88">
        <w:rPr>
          <w:rFonts w:asciiTheme="minorBidi" w:hAnsiTheme="minorBidi" w:cstheme="minorBidi"/>
          <w:sz w:val="22"/>
          <w:szCs w:val="22"/>
        </w:rPr>
        <w:t xml:space="preserve">Addressing the Shortage of Community Disability Services in Hall Green, Birmingham       </w:t>
      </w:r>
      <w:r w:rsidR="001C50BF" w:rsidRPr="002A6E88">
        <w:rPr>
          <w:rFonts w:asciiTheme="minorBidi" w:hAnsiTheme="minorBidi" w:cstheme="minorBidi"/>
          <w:sz w:val="22"/>
          <w:szCs w:val="22"/>
        </w:rPr>
        <w:br/>
      </w:r>
      <w:r w:rsidR="001C50BF" w:rsidRPr="002A6E88">
        <w:rPr>
          <w:rFonts w:asciiTheme="minorBidi" w:hAnsiTheme="minorBidi" w:cstheme="minorBidi"/>
          <w:b/>
          <w:bCs/>
          <w:sz w:val="22"/>
          <w:szCs w:val="22"/>
        </w:rPr>
        <w:t>From:</w:t>
      </w:r>
      <w:r w:rsidR="001C50BF" w:rsidRPr="002A6E88">
        <w:rPr>
          <w:rFonts w:asciiTheme="minorBidi" w:hAnsiTheme="minorBidi" w:cstheme="minorBidi"/>
          <w:sz w:val="22"/>
          <w:szCs w:val="22"/>
        </w:rPr>
        <w:t xml:space="preserve"> Marwa Mohammed</w:t>
      </w:r>
      <w:r w:rsidR="001C50BF" w:rsidRPr="002A6E88">
        <w:rPr>
          <w:rFonts w:asciiTheme="minorBidi" w:hAnsiTheme="minorBidi" w:cstheme="minorBidi"/>
          <w:sz w:val="22"/>
          <w:szCs w:val="22"/>
        </w:rPr>
        <w:br/>
      </w:r>
      <w:r w:rsidR="001C50BF" w:rsidRPr="002A6E88">
        <w:rPr>
          <w:rFonts w:asciiTheme="minorBidi" w:hAnsiTheme="minorBidi" w:cstheme="minorBidi"/>
          <w:b/>
          <w:bCs/>
          <w:sz w:val="22"/>
          <w:szCs w:val="22"/>
        </w:rPr>
        <w:t>Date:</w:t>
      </w:r>
      <w:r w:rsidR="001C50BF" w:rsidRPr="002A6E88">
        <w:rPr>
          <w:rFonts w:asciiTheme="minorBidi" w:hAnsiTheme="minorBidi" w:cstheme="minorBidi"/>
          <w:sz w:val="22"/>
          <w:szCs w:val="22"/>
        </w:rPr>
        <w:t xml:space="preserve"> 04/10/2026</w:t>
      </w:r>
      <w:r w:rsidR="001C50BF" w:rsidRPr="002A6E88">
        <w:rPr>
          <w:rFonts w:asciiTheme="minorBidi" w:hAnsiTheme="minorBidi" w:cstheme="minorBidi"/>
          <w:sz w:val="22"/>
          <w:szCs w:val="22"/>
        </w:rPr>
        <w:br/>
      </w:r>
    </w:p>
    <w:p w14:paraId="7A6ABF30" w14:textId="77777777" w:rsidR="005972B5" w:rsidRPr="002A6E88" w:rsidRDefault="005972B5" w:rsidP="002A6E88">
      <w:pPr>
        <w:spacing w:line="360" w:lineRule="auto"/>
        <w:rPr>
          <w:rFonts w:asciiTheme="minorBidi" w:hAnsiTheme="minorBidi" w:cstheme="minorBidi"/>
          <w:b/>
          <w:bCs/>
          <w:sz w:val="22"/>
          <w:szCs w:val="22"/>
        </w:rPr>
      </w:pPr>
    </w:p>
    <w:p w14:paraId="54D0F2ED" w14:textId="77777777" w:rsidR="005972B5" w:rsidRPr="002A6E88" w:rsidRDefault="005972B5" w:rsidP="002A6E88">
      <w:pPr>
        <w:spacing w:after="160" w:line="360" w:lineRule="auto"/>
        <w:rPr>
          <w:rFonts w:asciiTheme="minorBidi" w:hAnsiTheme="minorBidi" w:cstheme="minorBidi"/>
          <w:b/>
          <w:bCs/>
          <w:sz w:val="22"/>
          <w:szCs w:val="22"/>
        </w:rPr>
      </w:pPr>
      <w:r w:rsidRPr="002A6E88">
        <w:rPr>
          <w:rFonts w:asciiTheme="minorBidi" w:hAnsiTheme="minorBidi" w:cstheme="minorBidi"/>
          <w:b/>
          <w:bCs/>
          <w:sz w:val="22"/>
          <w:szCs w:val="22"/>
        </w:rPr>
        <w:br w:type="page"/>
      </w:r>
    </w:p>
    <w:p w14:paraId="20C9672C" w14:textId="65E60F3D" w:rsidR="00AE7EBF" w:rsidRPr="00A915CB" w:rsidRDefault="003B4C91" w:rsidP="00A915CB">
      <w:pPr>
        <w:spacing w:line="360" w:lineRule="auto"/>
        <w:rPr>
          <w:rFonts w:asciiTheme="minorBidi" w:hAnsiTheme="minorBidi" w:cstheme="minorBidi"/>
          <w:sz w:val="22"/>
          <w:szCs w:val="22"/>
        </w:rPr>
      </w:pPr>
      <w:r w:rsidRPr="00A915CB">
        <w:rPr>
          <w:rFonts w:asciiTheme="minorBidi" w:hAnsiTheme="minorBidi" w:cstheme="minorBidi"/>
          <w:b/>
          <w:bCs/>
          <w:sz w:val="22"/>
          <w:szCs w:val="22"/>
        </w:rPr>
        <w:lastRenderedPageBreak/>
        <w:t>Introdu</w:t>
      </w:r>
      <w:r w:rsidR="00AE7EBF" w:rsidRPr="00A915CB">
        <w:rPr>
          <w:rFonts w:asciiTheme="minorBidi" w:hAnsiTheme="minorBidi" w:cstheme="minorBidi"/>
          <w:b/>
          <w:bCs/>
          <w:sz w:val="22"/>
          <w:szCs w:val="22"/>
        </w:rPr>
        <w:t>ction</w:t>
      </w:r>
      <w:r w:rsidR="00310942" w:rsidRPr="00A915CB">
        <w:rPr>
          <w:rFonts w:asciiTheme="minorBidi" w:hAnsiTheme="minorBidi" w:cstheme="minorBidi"/>
          <w:sz w:val="22"/>
          <w:szCs w:val="22"/>
        </w:rPr>
        <w:t xml:space="preserve"> </w:t>
      </w:r>
    </w:p>
    <w:p w14:paraId="709696FB" w14:textId="46EA2CE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This report highlights the growing shortage of community disability services in Hall Green and how it affects disabled residents and their families. These services include outreach support, day opportunities, respite care, and independent living support. They play an important role in helping people live safely and with dignity. However, recent staff shortages and longer waiting times have made it more difficult for residents to access the support they need.</w:t>
      </w:r>
    </w:p>
    <w:p w14:paraId="5C2AFDB7"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The Care Act sets out clear responsibilities for local authorities to support individual wellbeing, prevent needs from becoming more serious, and ensure adults with disabilities receive suitable care and support. These duties provide the basis for improving local services in Hall Green. Birmingham City Council should act now to tackle service shortages, reduce inequalities and fulfil its legal responsibilities. This report highlights the effects of the shortage and recommends improvements.</w:t>
      </w:r>
    </w:p>
    <w:p w14:paraId="785429EC"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b/>
          <w:bCs/>
          <w:sz w:val="22"/>
          <w:szCs w:val="22"/>
        </w:rPr>
        <w:t>Impact on the Community</w:t>
      </w:r>
    </w:p>
    <w:p w14:paraId="4FD937C6" w14:textId="72E357A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 xml:space="preserve">The lack of community disability services in Hall Green affects disabled adults, carers and families in several important ways. Many </w:t>
      </w:r>
      <w:r w:rsidR="00B74559" w:rsidRPr="00A915CB">
        <w:rPr>
          <w:rFonts w:asciiTheme="minorBidi" w:hAnsiTheme="minorBidi" w:cstheme="minorBidi"/>
          <w:sz w:val="22"/>
          <w:szCs w:val="22"/>
        </w:rPr>
        <w:t>residents</w:t>
      </w:r>
      <w:r w:rsidRPr="00A915CB">
        <w:rPr>
          <w:rFonts w:asciiTheme="minorBidi" w:hAnsiTheme="minorBidi" w:cstheme="minorBidi"/>
          <w:sz w:val="22"/>
          <w:szCs w:val="22"/>
        </w:rPr>
        <w:t xml:space="preserve"> face long waits for assessments, a shortage of available personal assistants and fewer opportunities to take part in community activities. These problems conflict with the Care Act's wellbeing principle, which focuses on personal dignity, social involvement, and control over everyday life (Department of Health and Social Care, 2014). When support services are not available, people may experience greater isolation, less independence and poorer mental health.</w:t>
      </w:r>
    </w:p>
    <w:p w14:paraId="5B3D7647"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Prevention and early support are important parts of the Care Act. Community support, including outreach programmes, mobility support, and social activities, can prevent people's needs from worsening. Studies suggest that early support can reduce hospital admissions and improve overall wellbeing (Glasby and Dickinson, 2014). The lack of services in Hall Green also increases pressure on health and social care services, which runs against the Act's responsibility to prevent people's needs from worsening.</w:t>
      </w:r>
    </w:p>
    <w:p w14:paraId="5FEF6958"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b/>
          <w:bCs/>
          <w:sz w:val="22"/>
          <w:szCs w:val="22"/>
        </w:rPr>
        <w:t>Recommendations</w:t>
      </w:r>
    </w:p>
    <w:p w14:paraId="7EA92FDA"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Carers are also greatly affected. Without regular respite care or community support, carers may experience stress, tiredness and problems keeping their jobs. This worsens inequality, especially for families with less money. Research shows that disabled people living in poorer areas often face more difficulties getting the services they need, which can lead to greater social isolation (Bambra, Smith and Pearce, 2015). The lack of services in Hall Green may worsen these inequalities.</w:t>
      </w:r>
    </w:p>
    <w:p w14:paraId="3B9DCB10" w14:textId="10F8E135"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 xml:space="preserve">Another problem is that some </w:t>
      </w:r>
      <w:r w:rsidR="00B74559" w:rsidRPr="00A915CB">
        <w:rPr>
          <w:rFonts w:asciiTheme="minorBidi" w:hAnsiTheme="minorBidi" w:cstheme="minorBidi"/>
          <w:sz w:val="22"/>
          <w:szCs w:val="22"/>
        </w:rPr>
        <w:t>residents</w:t>
      </w:r>
      <w:r w:rsidRPr="00A915CB">
        <w:rPr>
          <w:rFonts w:asciiTheme="minorBidi" w:hAnsiTheme="minorBidi" w:cstheme="minorBidi"/>
          <w:sz w:val="22"/>
          <w:szCs w:val="22"/>
        </w:rPr>
        <w:t xml:space="preserve"> must travel outside Hall Green to get the services they need. This can weaken their connections to the local community and runs against the Care Act’s focus on helping people stay involved in their local area. Improving local services </w:t>
      </w:r>
      <w:r w:rsidRPr="00A915CB">
        <w:rPr>
          <w:rFonts w:asciiTheme="minorBidi" w:hAnsiTheme="minorBidi" w:cstheme="minorBidi"/>
          <w:sz w:val="22"/>
          <w:szCs w:val="22"/>
        </w:rPr>
        <w:lastRenderedPageBreak/>
        <w:t>helps councils meet their legal responsibilities and ensure all residents have fair access to support.</w:t>
      </w:r>
    </w:p>
    <w:p w14:paraId="2F83EADF"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To address the lack of community disability services in Hall Green, Birmingham City Council should take practical steps aligned with the Care Act.</w:t>
      </w:r>
    </w:p>
    <w:p w14:paraId="72D6407B"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The Council should invest more in community-based disability programmes. Providing more day activities, outreach support and services that help people live independently would help meet their needs and improve their wellbeing. Evidence suggests community-based programmes can reduce long-term costs by preventing crises (</w:t>
      </w:r>
      <w:proofErr w:type="spellStart"/>
      <w:r w:rsidRPr="00A915CB">
        <w:rPr>
          <w:rFonts w:asciiTheme="minorBidi" w:hAnsiTheme="minorBidi" w:cstheme="minorBidi"/>
          <w:sz w:val="22"/>
          <w:szCs w:val="22"/>
        </w:rPr>
        <w:t>Lymbery</w:t>
      </w:r>
      <w:proofErr w:type="spellEnd"/>
      <w:r w:rsidRPr="00A915CB">
        <w:rPr>
          <w:rFonts w:asciiTheme="minorBidi" w:hAnsiTheme="minorBidi" w:cstheme="minorBidi"/>
          <w:sz w:val="22"/>
          <w:szCs w:val="22"/>
        </w:rPr>
        <w:t>, 2014).</w:t>
      </w:r>
    </w:p>
    <w:p w14:paraId="207495DD"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The Council should also improve prevention and early support services. More social activity groups, mobility training and digital skills programmes would help people feel less isolated and become more independent. These services support the Care Act’s aim of preventing people's needs from becoming more serious.</w:t>
      </w:r>
    </w:p>
    <w:p w14:paraId="33A5F768"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More support workers are also needed. The Council should employ and retain trained support workers to ensure assessments are completed on time, and care is available when needed. It could partner with local colleges and training providers to help more people enter disability support roles and build a reliable, skilled workforce.</w:t>
      </w:r>
    </w:p>
    <w:p w14:paraId="01112C7F"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The Council should also work more closely with voluntary and community organisations. Local charities and disability groups already provide important support, and working together could help more people access these services. Involving disabled people in planning services can help ensure their needs and experiences are considered, supporting the Care Act’s focus on personalised care.</w:t>
      </w:r>
    </w:p>
    <w:p w14:paraId="0AE4C434"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Finally, setting up a Hall Green Disability Advisory Panel would help identify service gaps and ensure improvements are followed up. Disabled residents, carers, service providers and councillors should take part so that local people can have a say in how services are improved.</w:t>
      </w:r>
    </w:p>
    <w:p w14:paraId="0547BDFC"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b/>
          <w:bCs/>
          <w:sz w:val="22"/>
          <w:szCs w:val="22"/>
        </w:rPr>
        <w:t>Conclusion</w:t>
      </w:r>
    </w:p>
    <w:p w14:paraId="2C502947"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The lack of community disability services in Hall Green is having a big impact on disabled people, carers and the local community. The Care Act gives clear guidance that Birmingham City Council should support people's wellbeing, prevent their needs from becoming more serious and make sure everyone has fair access to support.</w:t>
      </w:r>
    </w:p>
    <w:p w14:paraId="1A4C57E2" w14:textId="77777777" w:rsidR="00310942" w:rsidRPr="00A915CB" w:rsidRDefault="00310942" w:rsidP="00A915CB">
      <w:pPr>
        <w:spacing w:line="360" w:lineRule="auto"/>
        <w:rPr>
          <w:rFonts w:asciiTheme="minorBidi" w:hAnsiTheme="minorBidi" w:cstheme="minorBidi"/>
          <w:sz w:val="22"/>
          <w:szCs w:val="22"/>
        </w:rPr>
      </w:pPr>
      <w:r w:rsidRPr="00A915CB">
        <w:rPr>
          <w:rFonts w:asciiTheme="minorBidi" w:hAnsiTheme="minorBidi" w:cstheme="minorBidi"/>
          <w:sz w:val="22"/>
          <w:szCs w:val="22"/>
        </w:rPr>
        <w:t>Improving local services is important to meet these responsibilities, reduce isolation and inequality, and lower the pressure on health and social care services. By investing more in early support services, expanding community programmes, and increasing the number of skilled support workers, the Council can create a more welcoming, supportive environment for everyone living in the area.</w:t>
      </w:r>
    </w:p>
    <w:p w14:paraId="4CB51138" w14:textId="16C15309" w:rsidR="00CF5272" w:rsidRPr="0073342E" w:rsidRDefault="00CF5272" w:rsidP="00D72197">
      <w:pPr>
        <w:pStyle w:val="NormalWeb"/>
        <w:spacing w:line="360" w:lineRule="auto"/>
        <w:rPr>
          <w:rFonts w:asciiTheme="minorBidi" w:hAnsiTheme="minorBidi" w:cstheme="minorBidi"/>
          <w:b/>
          <w:bCs/>
          <w:sz w:val="22"/>
          <w:szCs w:val="22"/>
        </w:rPr>
      </w:pPr>
    </w:p>
    <w:p w14:paraId="70BA20E6" w14:textId="77777777" w:rsidR="00455148" w:rsidRPr="0055558D" w:rsidRDefault="00455148" w:rsidP="0055558D">
      <w:pPr>
        <w:spacing w:before="240" w:after="120" w:line="360" w:lineRule="auto"/>
        <w:outlineLvl w:val="1"/>
        <w:rPr>
          <w:rFonts w:asciiTheme="minorBidi" w:hAnsiTheme="minorBidi" w:cstheme="minorBidi"/>
          <w:b/>
          <w:bCs/>
          <w:sz w:val="22"/>
          <w:szCs w:val="22"/>
        </w:rPr>
      </w:pPr>
    </w:p>
    <w:p w14:paraId="7D4F0B8F" w14:textId="4D535C72" w:rsidR="00415DC7" w:rsidRDefault="00681999" w:rsidP="0055558D">
      <w:pPr>
        <w:spacing w:before="100" w:beforeAutospacing="1" w:after="100" w:afterAutospacing="1" w:line="360" w:lineRule="auto"/>
        <w:outlineLvl w:val="0"/>
        <w:rPr>
          <w:rFonts w:asciiTheme="minorBidi" w:hAnsiTheme="minorBidi" w:cstheme="minorBidi"/>
          <w:b/>
          <w:bCs/>
          <w:kern w:val="36"/>
          <w:sz w:val="22"/>
          <w:szCs w:val="22"/>
        </w:rPr>
      </w:pPr>
      <w:r>
        <w:rPr>
          <w:rFonts w:asciiTheme="minorBidi" w:hAnsiTheme="minorBidi" w:cstheme="minorBidi"/>
          <w:b/>
          <w:bCs/>
          <w:kern w:val="36"/>
          <w:sz w:val="22"/>
          <w:szCs w:val="22"/>
        </w:rPr>
        <w:t>Task 2</w:t>
      </w:r>
      <w:r w:rsidR="003005A6">
        <w:rPr>
          <w:rFonts w:asciiTheme="minorBidi" w:hAnsiTheme="minorBidi" w:cstheme="minorBidi"/>
          <w:b/>
          <w:bCs/>
          <w:kern w:val="36"/>
          <w:sz w:val="22"/>
          <w:szCs w:val="22"/>
        </w:rPr>
        <w:t xml:space="preserve"> </w:t>
      </w:r>
    </w:p>
    <w:p w14:paraId="38B9CEF9" w14:textId="695858AE" w:rsidR="000308B5" w:rsidRPr="0055558D" w:rsidRDefault="000308B5" w:rsidP="0055558D">
      <w:pPr>
        <w:spacing w:before="100" w:beforeAutospacing="1" w:after="100" w:afterAutospacing="1" w:line="360" w:lineRule="auto"/>
        <w:outlineLvl w:val="0"/>
        <w:rPr>
          <w:rFonts w:asciiTheme="minorBidi" w:hAnsiTheme="minorBidi" w:cstheme="minorBidi"/>
          <w:b/>
          <w:bCs/>
          <w:kern w:val="36"/>
          <w:sz w:val="22"/>
          <w:szCs w:val="22"/>
        </w:rPr>
      </w:pPr>
      <w:r w:rsidRPr="0055558D">
        <w:rPr>
          <w:rFonts w:asciiTheme="minorBidi" w:hAnsiTheme="minorBidi" w:cstheme="minorBidi"/>
          <w:b/>
          <w:bCs/>
          <w:kern w:val="36"/>
          <w:sz w:val="22"/>
          <w:szCs w:val="22"/>
        </w:rPr>
        <w:t>Dentistry Services: Development, Purpose and Impact on Service Users</w:t>
      </w:r>
    </w:p>
    <w:p w14:paraId="4B4604F1" w14:textId="77777777" w:rsidR="000308B5" w:rsidRDefault="000308B5" w:rsidP="0055558D">
      <w:pPr>
        <w:spacing w:before="100" w:beforeAutospacing="1" w:after="100" w:afterAutospacing="1" w:line="360" w:lineRule="auto"/>
        <w:outlineLvl w:val="1"/>
        <w:rPr>
          <w:rFonts w:asciiTheme="minorBidi" w:hAnsiTheme="minorBidi" w:cstheme="minorBidi"/>
          <w:b/>
          <w:bCs/>
          <w:sz w:val="22"/>
          <w:szCs w:val="22"/>
        </w:rPr>
      </w:pPr>
      <w:r w:rsidRPr="0055558D">
        <w:rPr>
          <w:rFonts w:asciiTheme="minorBidi" w:hAnsiTheme="minorBidi" w:cstheme="minorBidi"/>
          <w:b/>
          <w:bCs/>
          <w:sz w:val="22"/>
          <w:szCs w:val="22"/>
        </w:rPr>
        <w:t>Introduction</w:t>
      </w:r>
    </w:p>
    <w:p w14:paraId="68E8B8A9" w14:textId="7FAF0E57"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 xml:space="preserve">Dentistry is a major component of healthcare in the UK and many people depending on dental services to look after their oral health and general wellbeing. Oral health directly affects your ability to eat, speak and socialise and greatly impacts people's </w:t>
      </w:r>
      <w:r w:rsidR="002C7353" w:rsidRPr="002C7353">
        <w:rPr>
          <w:rFonts w:asciiTheme="minorBidi" w:hAnsiTheme="minorBidi" w:cstheme="minorBidi"/>
          <w:sz w:val="22"/>
          <w:szCs w:val="22"/>
        </w:rPr>
        <w:t>self-esteem</w:t>
      </w:r>
      <w:r w:rsidRPr="002C7353">
        <w:rPr>
          <w:rFonts w:asciiTheme="minorBidi" w:hAnsiTheme="minorBidi" w:cstheme="minorBidi"/>
          <w:sz w:val="22"/>
          <w:szCs w:val="22"/>
        </w:rPr>
        <w:t>. Poor oral health can lead to pain, infection and other long term health issues. Dentistry has evolved from an unregulated trade to a professional healthcare service underpinned by research and evidence, delivered via both the NHS and private sector. This essay considers the history of dentistry, the policies and regulations that have shaped it, and the benefits and difficulties people face in accessing dental services. The discussion is based on academic research and policy sources from 2024 and 2025.</w:t>
      </w:r>
    </w:p>
    <w:p w14:paraId="43012527" w14:textId="77777777" w:rsidR="00104EB1" w:rsidRPr="002C7353" w:rsidRDefault="00104EB1" w:rsidP="002C7353">
      <w:pPr>
        <w:spacing w:before="120" w:after="120" w:line="360" w:lineRule="auto"/>
        <w:outlineLvl w:val="1"/>
        <w:rPr>
          <w:rFonts w:asciiTheme="minorBidi" w:hAnsiTheme="minorBidi" w:cstheme="minorBidi"/>
          <w:b/>
          <w:bCs/>
          <w:sz w:val="22"/>
          <w:szCs w:val="22"/>
        </w:rPr>
      </w:pPr>
      <w:r w:rsidRPr="002C7353">
        <w:rPr>
          <w:rFonts w:asciiTheme="minorBidi" w:hAnsiTheme="minorBidi" w:cstheme="minorBidi"/>
          <w:b/>
          <w:bCs/>
          <w:sz w:val="22"/>
          <w:szCs w:val="22"/>
        </w:rPr>
        <w:t>Historical Development and Current Function</w:t>
      </w:r>
    </w:p>
    <w:p w14:paraId="1DFB2961" w14:textId="77777777"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Today's UK dental profession evolved from early 20th century reforms intended to protect patients from unsafe dental treatment. Before those reforms, no regulated dental profession existed and untrained people routinely provided dental treatment. The Dentists Act 1921 was the first major step in establishing a regulatory framework (Tidman, 2025). This marked the point when dentistry became a profession requiring specialist skills and qualifications rather than just another trade.</w:t>
      </w:r>
    </w:p>
    <w:p w14:paraId="476F2A68" w14:textId="0E06CE4A"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 xml:space="preserve">The Dentists Act 1957 brought about another significant change in the form of the establishment of the General Dental Council (GDC). The GDC continues to be responsible for the regulation of professional standards, the monitoring of fitness to practise and the protection of the public (General Dental Council, 2024). These </w:t>
      </w:r>
      <w:r w:rsidR="002C7353" w:rsidRPr="002C7353">
        <w:rPr>
          <w:rFonts w:asciiTheme="minorBidi" w:hAnsiTheme="minorBidi" w:cstheme="minorBidi"/>
          <w:sz w:val="22"/>
          <w:szCs w:val="22"/>
        </w:rPr>
        <w:t>where</w:t>
      </w:r>
      <w:r w:rsidRPr="002C7353">
        <w:rPr>
          <w:rFonts w:asciiTheme="minorBidi" w:hAnsiTheme="minorBidi" w:cstheme="minorBidi"/>
          <w:sz w:val="22"/>
          <w:szCs w:val="22"/>
        </w:rPr>
        <w:t xml:space="preserve"> all important changes as dental disease was still very common and access to safe dental care was by no means assured.</w:t>
      </w:r>
    </w:p>
    <w:p w14:paraId="0EBAAC27" w14:textId="77777777"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A major change occurred in 1948 with the inclusion of dentistry in the newly established National Health Service. The aim was to provide free dental treatment for all, in response to the appalling state of oral health that had been seen during and after the Second World War (House of Commons Health and Social Care Committee, 2024). There was a huge demand for treatment and access improved considerably. Financial problems however led to the introduction of patient charges in 1951 and that is the genesis of the NHS/private arrangement which we have today.</w:t>
      </w:r>
    </w:p>
    <w:p w14:paraId="2A6B1BE0" w14:textId="366AD81F"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lastRenderedPageBreak/>
        <w:t xml:space="preserve">Later in the 20th century there were </w:t>
      </w:r>
      <w:r w:rsidR="002C7353" w:rsidRPr="002C7353">
        <w:rPr>
          <w:rFonts w:asciiTheme="minorBidi" w:hAnsiTheme="minorBidi" w:cstheme="minorBidi"/>
          <w:sz w:val="22"/>
          <w:szCs w:val="22"/>
        </w:rPr>
        <w:t>several</w:t>
      </w:r>
      <w:r w:rsidRPr="002C7353">
        <w:rPr>
          <w:rFonts w:asciiTheme="minorBidi" w:hAnsiTheme="minorBidi" w:cstheme="minorBidi"/>
          <w:sz w:val="22"/>
          <w:szCs w:val="22"/>
        </w:rPr>
        <w:t xml:space="preserve"> changes to dentistry. The GDS model itself remained essentially unchanged until the 1990s when new payment systems were introduced with the intention of incentivising preventive care (Tidman, 2025). In 2006 a further change was made with the introduction of the banded NHS charging system which was intended to make things simpler but has been criticised for not actually doing enough to promote preventive work (NHS England, 2025).</w:t>
      </w:r>
    </w:p>
    <w:p w14:paraId="6A1933B1" w14:textId="69A1F749"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 xml:space="preserve">Dental care is provided via practices, community dental services, and specialist hospital departments. The bulk of NHS dental care is for routine treatment (examinations, fillings, extractions) and private practice will often offer the more cosmetic or optional treatments. Training is very demanding and the profession is heavily regulated to ensure that safe, </w:t>
      </w:r>
      <w:r w:rsidR="00810E3B" w:rsidRPr="002C7353">
        <w:rPr>
          <w:rFonts w:asciiTheme="minorBidi" w:hAnsiTheme="minorBidi" w:cstheme="minorBidi"/>
          <w:sz w:val="22"/>
          <w:szCs w:val="22"/>
        </w:rPr>
        <w:t>evidence-based</w:t>
      </w:r>
      <w:r w:rsidRPr="002C7353">
        <w:rPr>
          <w:rFonts w:asciiTheme="minorBidi" w:hAnsiTheme="minorBidi" w:cstheme="minorBidi"/>
          <w:sz w:val="22"/>
          <w:szCs w:val="22"/>
        </w:rPr>
        <w:t xml:space="preserve"> care is delivered (Cockcroft, 2025).</w:t>
      </w:r>
    </w:p>
    <w:p w14:paraId="63E10CE7" w14:textId="77777777" w:rsidR="00104EB1" w:rsidRPr="002C7353" w:rsidRDefault="00104EB1" w:rsidP="002C7353">
      <w:pPr>
        <w:spacing w:before="120" w:after="120" w:line="360" w:lineRule="auto"/>
        <w:outlineLvl w:val="1"/>
        <w:rPr>
          <w:rFonts w:asciiTheme="minorBidi" w:hAnsiTheme="minorBidi" w:cstheme="minorBidi"/>
          <w:b/>
          <w:bCs/>
          <w:sz w:val="22"/>
          <w:szCs w:val="22"/>
        </w:rPr>
      </w:pPr>
      <w:r w:rsidRPr="002C7353">
        <w:rPr>
          <w:rFonts w:asciiTheme="minorBidi" w:hAnsiTheme="minorBidi" w:cstheme="minorBidi"/>
          <w:b/>
          <w:bCs/>
          <w:sz w:val="22"/>
          <w:szCs w:val="22"/>
        </w:rPr>
        <w:t>Critical Evaluation and Significance for Service Users</w:t>
      </w:r>
    </w:p>
    <w:p w14:paraId="4BB8E092" w14:textId="3BB33344"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 xml:space="preserve">Dental care is a major contributor to quality of life. Good teeth and gums make eating, talking and socialising a lot easier whereas poor dental health can lead to pain, infection and problems with </w:t>
      </w:r>
      <w:r w:rsidR="00810E3B" w:rsidRPr="002C7353">
        <w:rPr>
          <w:rFonts w:asciiTheme="minorBidi" w:hAnsiTheme="minorBidi" w:cstheme="minorBidi"/>
          <w:sz w:val="22"/>
          <w:szCs w:val="22"/>
        </w:rPr>
        <w:t>day-to-day</w:t>
      </w:r>
      <w:r w:rsidRPr="002C7353">
        <w:rPr>
          <w:rFonts w:asciiTheme="minorBidi" w:hAnsiTheme="minorBidi" w:cstheme="minorBidi"/>
          <w:sz w:val="22"/>
          <w:szCs w:val="22"/>
        </w:rPr>
        <w:t xml:space="preserve"> living. Preventive measures (fluoride, oral health promotion, public health campaigns etc) have had a huge impact in reducing dental decay over the </w:t>
      </w:r>
      <w:r w:rsidR="00810E3B" w:rsidRPr="002C7353">
        <w:rPr>
          <w:rFonts w:asciiTheme="minorBidi" w:hAnsiTheme="minorBidi" w:cstheme="minorBidi"/>
          <w:sz w:val="22"/>
          <w:szCs w:val="22"/>
        </w:rPr>
        <w:t>mid-20th</w:t>
      </w:r>
      <w:r w:rsidRPr="002C7353">
        <w:rPr>
          <w:rFonts w:asciiTheme="minorBidi" w:hAnsiTheme="minorBidi" w:cstheme="minorBidi"/>
          <w:sz w:val="22"/>
          <w:szCs w:val="22"/>
        </w:rPr>
        <w:t xml:space="preserve"> century (Public Health England, 2024).</w:t>
      </w:r>
    </w:p>
    <w:p w14:paraId="0E8C1509" w14:textId="77777777"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Despite all that's been done, dental services are still in a very difficult position. Getting an NHS dentist is still a huge issue for many people. Some practices are simply not taking on any new NHS patients and others have very long waiting lists. The problem is exacerbated by workforce shortages, dissatisfaction with the NHS contract and increased demand (NHS England, 2025). People in the most disadvantaged areas are obviously going to be at a greater disadvantage and are also in general in worse oral health. As Beeson, Vernazza and Sowden (2025) point out, dental inequality remains a major public health issue.</w:t>
      </w:r>
    </w:p>
    <w:p w14:paraId="2F0FC580" w14:textId="63BA86AD"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 xml:space="preserve">Despite all that, dental services do have their advantages. There are professional standards in place to ensure a certain standard of treatment is </w:t>
      </w:r>
      <w:r w:rsidR="009E2657" w:rsidRPr="002C7353">
        <w:rPr>
          <w:rFonts w:asciiTheme="minorBidi" w:hAnsiTheme="minorBidi" w:cstheme="minorBidi"/>
          <w:sz w:val="22"/>
          <w:szCs w:val="22"/>
        </w:rPr>
        <w:t>maintained,</w:t>
      </w:r>
      <w:r w:rsidRPr="002C7353">
        <w:rPr>
          <w:rFonts w:asciiTheme="minorBidi" w:hAnsiTheme="minorBidi" w:cstheme="minorBidi"/>
          <w:sz w:val="22"/>
          <w:szCs w:val="22"/>
        </w:rPr>
        <w:t xml:space="preserve"> and community dental teams are there to look after patients' needs (including those with disabilities and those with severe dental anxiety). There is also the option of both NHS and private treatment which gives patients some choice, although of course the cost of treatment can be a barrier to access for some people.</w:t>
      </w:r>
    </w:p>
    <w:p w14:paraId="0B188111" w14:textId="77777777"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Over time, moving away from unregulated dental work toward publicly funded care and professional oversight has improved public health. Yet the legacy of cost</w:t>
      </w:r>
      <w:r w:rsidRPr="002C7353">
        <w:rPr>
          <w:rFonts w:asciiTheme="minorBidi" w:hAnsiTheme="minorBidi" w:cstheme="minorBidi"/>
          <w:sz w:val="22"/>
          <w:szCs w:val="22"/>
        </w:rPr>
        <w:noBreakHyphen/>
        <w:t>control measures and contract reforms continues to shape how dentistry operates today, sometimes restricting preventive work and contributing to workforce challenges (House of Commons Health and Social Care Committee, 2024). These issues affect patients' experiences and show why changes are needed to make dental care more accessible.</w:t>
      </w:r>
    </w:p>
    <w:p w14:paraId="461C1A2E" w14:textId="77777777" w:rsidR="00104EB1" w:rsidRPr="002C7353" w:rsidRDefault="00104EB1" w:rsidP="002C7353">
      <w:pPr>
        <w:spacing w:before="120" w:after="120" w:line="360" w:lineRule="auto"/>
        <w:outlineLvl w:val="1"/>
        <w:rPr>
          <w:rFonts w:asciiTheme="minorBidi" w:hAnsiTheme="minorBidi" w:cstheme="minorBidi"/>
          <w:b/>
          <w:bCs/>
          <w:sz w:val="22"/>
          <w:szCs w:val="22"/>
        </w:rPr>
      </w:pPr>
      <w:r w:rsidRPr="002C7353">
        <w:rPr>
          <w:rFonts w:asciiTheme="minorBidi" w:hAnsiTheme="minorBidi" w:cstheme="minorBidi"/>
          <w:b/>
          <w:bCs/>
          <w:sz w:val="22"/>
          <w:szCs w:val="22"/>
        </w:rPr>
        <w:lastRenderedPageBreak/>
        <w:t>Conclusion</w:t>
      </w:r>
    </w:p>
    <w:p w14:paraId="3F25289C" w14:textId="77777777" w:rsidR="00104EB1" w:rsidRPr="002C7353" w:rsidRDefault="00104EB1" w:rsidP="002C7353">
      <w:pPr>
        <w:spacing w:line="360" w:lineRule="auto"/>
        <w:rPr>
          <w:rFonts w:asciiTheme="minorBidi" w:hAnsiTheme="minorBidi" w:cstheme="minorBidi"/>
          <w:sz w:val="22"/>
          <w:szCs w:val="22"/>
        </w:rPr>
      </w:pPr>
      <w:r w:rsidRPr="002C7353">
        <w:rPr>
          <w:rFonts w:asciiTheme="minorBidi" w:hAnsiTheme="minorBidi" w:cstheme="minorBidi"/>
          <w:sz w:val="22"/>
          <w:szCs w:val="22"/>
        </w:rPr>
        <w:t>Dentistry has evolved over time through a long history of regulation, public health need and policy change. It is now a vital part of the health service in terms of providing for oral health and general wellbeing. The service provides a very high standard of care and has achieved a great deal in prevention. However, issues remain around access, funding, and inequalities. It is only by understanding the history of the service and how it functions today that we can fully appreciate its strengths and its weaknesses and therefore see why it is so important to keep on improving it.</w:t>
      </w:r>
    </w:p>
    <w:p w14:paraId="0CA20E6C" w14:textId="77777777" w:rsidR="00104EB1" w:rsidRDefault="00104EB1" w:rsidP="0055558D">
      <w:pPr>
        <w:spacing w:before="100" w:beforeAutospacing="1" w:after="100" w:afterAutospacing="1" w:line="360" w:lineRule="auto"/>
        <w:outlineLvl w:val="1"/>
        <w:rPr>
          <w:rFonts w:asciiTheme="minorBidi" w:hAnsiTheme="minorBidi" w:cstheme="minorBidi"/>
          <w:b/>
          <w:bCs/>
          <w:sz w:val="22"/>
          <w:szCs w:val="22"/>
        </w:rPr>
      </w:pPr>
    </w:p>
    <w:p w14:paraId="3D2DDDDF" w14:textId="77777777" w:rsidR="008546F2" w:rsidRPr="0055558D" w:rsidRDefault="008546F2" w:rsidP="0055558D">
      <w:pPr>
        <w:spacing w:before="100" w:beforeAutospacing="1" w:after="100" w:afterAutospacing="1" w:line="360" w:lineRule="auto"/>
        <w:rPr>
          <w:rFonts w:asciiTheme="minorBidi" w:hAnsiTheme="minorBidi" w:cstheme="minorBidi"/>
          <w:sz w:val="22"/>
          <w:szCs w:val="22"/>
        </w:rPr>
      </w:pPr>
    </w:p>
    <w:p w14:paraId="1EF55041" w14:textId="77777777" w:rsidR="008546F2" w:rsidRPr="0055558D" w:rsidRDefault="008546F2" w:rsidP="0055558D">
      <w:pPr>
        <w:spacing w:before="100" w:beforeAutospacing="1" w:after="100" w:afterAutospacing="1" w:line="360" w:lineRule="auto"/>
        <w:rPr>
          <w:rFonts w:asciiTheme="minorBidi" w:hAnsiTheme="minorBidi" w:cstheme="minorBidi"/>
          <w:sz w:val="22"/>
          <w:szCs w:val="22"/>
        </w:rPr>
      </w:pPr>
    </w:p>
    <w:p w14:paraId="6119677E" w14:textId="77777777" w:rsidR="008546F2" w:rsidRDefault="008546F2" w:rsidP="0055558D">
      <w:pPr>
        <w:spacing w:before="100" w:beforeAutospacing="1" w:after="100" w:afterAutospacing="1" w:line="360" w:lineRule="auto"/>
        <w:rPr>
          <w:rFonts w:asciiTheme="minorBidi" w:hAnsiTheme="minorBidi" w:cstheme="minorBidi"/>
          <w:sz w:val="22"/>
          <w:szCs w:val="22"/>
        </w:rPr>
      </w:pPr>
    </w:p>
    <w:p w14:paraId="09A950D0"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43E71AFE"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61674565"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4EDC6A87"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18C181B1"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59197EC9"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28105CA4"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30B945CA"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61AE2FD0"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60BADD27"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06AD9928" w14:textId="77777777" w:rsidR="000B42F5" w:rsidRDefault="000B42F5" w:rsidP="0055558D">
      <w:pPr>
        <w:spacing w:before="100" w:beforeAutospacing="1" w:after="100" w:afterAutospacing="1" w:line="360" w:lineRule="auto"/>
        <w:rPr>
          <w:rFonts w:asciiTheme="minorBidi" w:hAnsiTheme="minorBidi" w:cstheme="minorBidi"/>
          <w:sz w:val="22"/>
          <w:szCs w:val="22"/>
        </w:rPr>
      </w:pPr>
    </w:p>
    <w:p w14:paraId="04EDD8D1" w14:textId="77777777" w:rsidR="000B42F5" w:rsidRPr="0055558D" w:rsidRDefault="000B42F5" w:rsidP="0055558D">
      <w:pPr>
        <w:spacing w:before="100" w:beforeAutospacing="1" w:after="100" w:afterAutospacing="1" w:line="360" w:lineRule="auto"/>
        <w:rPr>
          <w:rFonts w:asciiTheme="minorBidi" w:hAnsiTheme="minorBidi" w:cstheme="minorBidi"/>
          <w:sz w:val="22"/>
          <w:szCs w:val="22"/>
        </w:rPr>
      </w:pPr>
    </w:p>
    <w:p w14:paraId="047B0EEA" w14:textId="77777777" w:rsidR="008546F2" w:rsidRPr="0055558D" w:rsidRDefault="008546F2" w:rsidP="0055558D">
      <w:pPr>
        <w:spacing w:before="100" w:beforeAutospacing="1" w:after="100" w:afterAutospacing="1" w:line="360" w:lineRule="auto"/>
        <w:rPr>
          <w:rFonts w:asciiTheme="minorBidi" w:hAnsiTheme="minorBidi" w:cstheme="minorBidi"/>
          <w:sz w:val="22"/>
          <w:szCs w:val="22"/>
        </w:rPr>
      </w:pPr>
    </w:p>
    <w:p w14:paraId="32CDF2DC" w14:textId="7B6A9391" w:rsidR="000308B5" w:rsidRPr="0055558D" w:rsidRDefault="000308B5" w:rsidP="00AE081A">
      <w:pPr>
        <w:spacing w:before="100" w:beforeAutospacing="1" w:after="100" w:afterAutospacing="1" w:line="360" w:lineRule="auto"/>
        <w:outlineLvl w:val="0"/>
        <w:rPr>
          <w:rFonts w:asciiTheme="minorBidi" w:hAnsiTheme="minorBidi" w:cstheme="minorBidi"/>
          <w:b/>
          <w:bCs/>
          <w:kern w:val="36"/>
          <w:sz w:val="22"/>
          <w:szCs w:val="22"/>
        </w:rPr>
      </w:pPr>
      <w:r w:rsidRPr="0055558D">
        <w:rPr>
          <w:rFonts w:asciiTheme="minorBidi" w:hAnsiTheme="minorBidi" w:cstheme="minorBidi"/>
          <w:b/>
          <w:bCs/>
          <w:kern w:val="36"/>
          <w:sz w:val="22"/>
          <w:szCs w:val="22"/>
        </w:rPr>
        <w:t xml:space="preserve">References </w:t>
      </w:r>
    </w:p>
    <w:p w14:paraId="19F4AE69"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 xml:space="preserve">Bailey, E. and </w:t>
      </w:r>
      <w:proofErr w:type="spellStart"/>
      <w:r w:rsidRPr="00F62CF1">
        <w:rPr>
          <w:rStyle w:val="Strong"/>
          <w:rFonts w:asciiTheme="minorBidi" w:hAnsiTheme="minorBidi" w:cstheme="minorBidi"/>
          <w:b w:val="0"/>
          <w:bCs w:val="0"/>
          <w:sz w:val="22"/>
          <w:szCs w:val="22"/>
        </w:rPr>
        <w:t>Dungarwalla</w:t>
      </w:r>
      <w:proofErr w:type="spellEnd"/>
      <w:r w:rsidRPr="00F62CF1">
        <w:rPr>
          <w:rStyle w:val="Strong"/>
          <w:rFonts w:asciiTheme="minorBidi" w:hAnsiTheme="minorBidi" w:cstheme="minorBidi"/>
          <w:b w:val="0"/>
          <w:bCs w:val="0"/>
          <w:sz w:val="22"/>
          <w:szCs w:val="22"/>
        </w:rPr>
        <w:t>, M</w:t>
      </w:r>
      <w:r w:rsidRPr="00F62CF1">
        <w:rPr>
          <w:rStyle w:val="Strong"/>
          <w:rFonts w:asciiTheme="minorBidi" w:hAnsiTheme="minorBidi" w:cstheme="minorBidi"/>
          <w:sz w:val="22"/>
          <w:szCs w:val="22"/>
        </w:rPr>
        <w:t xml:space="preserve">. </w:t>
      </w:r>
      <w:r w:rsidRPr="00F62CF1">
        <w:rPr>
          <w:rStyle w:val="Strong"/>
          <w:rFonts w:asciiTheme="minorBidi" w:hAnsiTheme="minorBidi" w:cstheme="minorBidi"/>
          <w:b w:val="0"/>
          <w:bCs w:val="0"/>
          <w:sz w:val="22"/>
          <w:szCs w:val="22"/>
        </w:rPr>
        <w:t>(2025</w:t>
      </w:r>
      <w:r w:rsidRPr="00F62CF1">
        <w:rPr>
          <w:rStyle w:val="Strong"/>
          <w:rFonts w:asciiTheme="minorBidi" w:hAnsiTheme="minorBidi" w:cstheme="minorBidi"/>
          <w:sz w:val="22"/>
          <w:szCs w:val="22"/>
        </w:rPr>
        <w:t>)</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Patient safety in dentistry – a decade in the making.</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British Dental Journal</w:t>
      </w:r>
      <w:r w:rsidRPr="00F62CF1">
        <w:rPr>
          <w:rFonts w:asciiTheme="minorBidi" w:hAnsiTheme="minorBidi" w:cstheme="minorBidi"/>
          <w:sz w:val="22"/>
          <w:szCs w:val="22"/>
        </w:rPr>
        <w:t>, 23 May.</w:t>
      </w:r>
    </w:p>
    <w:p w14:paraId="5AD3C1F1"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Bambra, C., Smith, K.E. and Pearce, J. (2025)</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Scaling Up: The Politics of Health and Place.</w:t>
      </w:r>
      <w:r w:rsidRPr="00F62CF1">
        <w:rPr>
          <w:rFonts w:asciiTheme="minorBidi" w:hAnsiTheme="minorBidi" w:cstheme="minorBidi"/>
          <w:sz w:val="22"/>
          <w:szCs w:val="22"/>
        </w:rPr>
        <w:t xml:space="preserve"> 2nd </w:t>
      </w:r>
      <w:proofErr w:type="spellStart"/>
      <w:r w:rsidRPr="00F62CF1">
        <w:rPr>
          <w:rFonts w:asciiTheme="minorBidi" w:hAnsiTheme="minorBidi" w:cstheme="minorBidi"/>
          <w:sz w:val="22"/>
          <w:szCs w:val="22"/>
        </w:rPr>
        <w:t>edn</w:t>
      </w:r>
      <w:proofErr w:type="spellEnd"/>
      <w:r w:rsidRPr="00F62CF1">
        <w:rPr>
          <w:rFonts w:asciiTheme="minorBidi" w:hAnsiTheme="minorBidi" w:cstheme="minorBidi"/>
          <w:sz w:val="22"/>
          <w:szCs w:val="22"/>
        </w:rPr>
        <w:t>. Bristol: Policy Press.</w:t>
      </w:r>
    </w:p>
    <w:p w14:paraId="08C4258D"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Beeson, M.J., Vernazza, C.R. and Sowden, S.L. (2025)</w:t>
      </w:r>
      <w:r w:rsidRPr="00F62CF1">
        <w:rPr>
          <w:rFonts w:asciiTheme="minorBidi" w:hAnsiTheme="minorBidi" w:cstheme="minorBidi"/>
          <w:b/>
          <w:bCs/>
          <w:sz w:val="22"/>
          <w:szCs w:val="22"/>
        </w:rPr>
        <w:t xml:space="preserve"> </w:t>
      </w:r>
      <w:r w:rsidRPr="00F62CF1">
        <w:rPr>
          <w:rStyle w:val="Emphasis"/>
          <w:rFonts w:asciiTheme="minorBidi" w:hAnsiTheme="minorBidi" w:cstheme="minorBidi"/>
          <w:sz w:val="22"/>
          <w:szCs w:val="22"/>
        </w:rPr>
        <w:t>At the Deep End of dental inequality.</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British Dental Journal</w:t>
      </w:r>
      <w:r w:rsidRPr="00F62CF1">
        <w:rPr>
          <w:rFonts w:asciiTheme="minorBidi" w:hAnsiTheme="minorBidi" w:cstheme="minorBidi"/>
          <w:sz w:val="22"/>
          <w:szCs w:val="22"/>
        </w:rPr>
        <w:t>, 8 August.</w:t>
      </w:r>
    </w:p>
    <w:p w14:paraId="67E15462"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Birmingham City Council (2026</w:t>
      </w:r>
      <w:r w:rsidRPr="00F62CF1">
        <w:rPr>
          <w:rStyle w:val="Strong"/>
          <w:rFonts w:asciiTheme="minorBidi" w:hAnsiTheme="minorBidi" w:cstheme="minorBidi"/>
          <w:sz w:val="22"/>
          <w:szCs w:val="22"/>
        </w:rPr>
        <w:t>)</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Councillor Timothy Huxtable, Hall Green South Ward.</w:t>
      </w:r>
      <w:r w:rsidRPr="00F62CF1">
        <w:rPr>
          <w:rFonts w:asciiTheme="minorBidi" w:hAnsiTheme="minorBidi" w:cstheme="minorBidi"/>
          <w:sz w:val="22"/>
          <w:szCs w:val="22"/>
        </w:rPr>
        <w:t xml:space="preserve"> Birmingham: Birmingham City Council.</w:t>
      </w:r>
    </w:p>
    <w:p w14:paraId="4A6F1C5A"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Cockcroft, B. (2025)</w:t>
      </w:r>
      <w:r w:rsidRPr="00F62CF1">
        <w:rPr>
          <w:rFonts w:asciiTheme="minorBidi" w:hAnsiTheme="minorBidi" w:cstheme="minorBidi"/>
          <w:sz w:val="22"/>
          <w:szCs w:val="22"/>
        </w:rPr>
        <w:t xml:space="preserve"> Dentistry, dental services, oral health and change over time: Part 1 – Origins. </w:t>
      </w:r>
      <w:r w:rsidRPr="00F62CF1">
        <w:rPr>
          <w:rStyle w:val="Emphasis"/>
          <w:rFonts w:asciiTheme="minorBidi" w:hAnsiTheme="minorBidi" w:cstheme="minorBidi"/>
          <w:sz w:val="22"/>
          <w:szCs w:val="22"/>
        </w:rPr>
        <w:t>BDJ In Practice</w:t>
      </w:r>
      <w:r w:rsidRPr="00F62CF1">
        <w:rPr>
          <w:rFonts w:asciiTheme="minorBidi" w:hAnsiTheme="minorBidi" w:cstheme="minorBidi"/>
          <w:sz w:val="22"/>
          <w:szCs w:val="22"/>
        </w:rPr>
        <w:t>, 38, pp. 224–226.</w:t>
      </w:r>
    </w:p>
    <w:p w14:paraId="239F7FFD"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Department of Health and Social Care (2014)</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Care Act Statutory Guidance.</w:t>
      </w:r>
      <w:r w:rsidRPr="00F62CF1">
        <w:rPr>
          <w:rFonts w:asciiTheme="minorBidi" w:hAnsiTheme="minorBidi" w:cstheme="minorBidi"/>
          <w:sz w:val="22"/>
          <w:szCs w:val="22"/>
        </w:rPr>
        <w:t xml:space="preserve"> London: DHSC.</w:t>
      </w:r>
    </w:p>
    <w:p w14:paraId="38FDD7D7"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Forshaw, R. (2025)</w:t>
      </w:r>
      <w:r w:rsidRPr="00F62CF1">
        <w:rPr>
          <w:rFonts w:asciiTheme="minorBidi" w:hAnsiTheme="minorBidi" w:cstheme="minorBidi"/>
          <w:sz w:val="22"/>
          <w:szCs w:val="22"/>
        </w:rPr>
        <w:t xml:space="preserve"> Dentistry and dental care in antiquity: Part 1 – Prehistory, Mesopotamia, Israel, Etruria and the Far East. </w:t>
      </w:r>
      <w:r w:rsidRPr="00F62CF1">
        <w:rPr>
          <w:rStyle w:val="Emphasis"/>
          <w:rFonts w:asciiTheme="minorBidi" w:hAnsiTheme="minorBidi" w:cstheme="minorBidi"/>
          <w:sz w:val="22"/>
          <w:szCs w:val="22"/>
        </w:rPr>
        <w:t>British Dental Journal</w:t>
      </w:r>
      <w:r w:rsidRPr="00F62CF1">
        <w:rPr>
          <w:rFonts w:asciiTheme="minorBidi" w:hAnsiTheme="minorBidi" w:cstheme="minorBidi"/>
          <w:sz w:val="22"/>
          <w:szCs w:val="22"/>
        </w:rPr>
        <w:t>, 19 December.</w:t>
      </w:r>
    </w:p>
    <w:p w14:paraId="7D4E1F27"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General Dental Council (2024)</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Annual Report and Accounts 2024.</w:t>
      </w:r>
      <w:r w:rsidRPr="00F62CF1">
        <w:rPr>
          <w:rFonts w:asciiTheme="minorBidi" w:hAnsiTheme="minorBidi" w:cstheme="minorBidi"/>
          <w:sz w:val="22"/>
          <w:szCs w:val="22"/>
        </w:rPr>
        <w:t xml:space="preserve"> London: GDC.</w:t>
      </w:r>
    </w:p>
    <w:p w14:paraId="390E2962"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Glasby, J. and Dickinson, H. (2014)</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Partnership Working in Health and Social Care.</w:t>
      </w:r>
      <w:r w:rsidRPr="00F62CF1">
        <w:rPr>
          <w:rFonts w:asciiTheme="minorBidi" w:hAnsiTheme="minorBidi" w:cstheme="minorBidi"/>
          <w:sz w:val="22"/>
          <w:szCs w:val="22"/>
        </w:rPr>
        <w:t xml:space="preserve"> Bristol: Policy Press.</w:t>
      </w:r>
    </w:p>
    <w:p w14:paraId="6F566526"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House of Commons Health and Social Care Committee (2024</w:t>
      </w:r>
      <w:r w:rsidRPr="00F62CF1">
        <w:rPr>
          <w:rStyle w:val="Strong"/>
          <w:rFonts w:asciiTheme="minorBidi" w:hAnsiTheme="minorBidi" w:cstheme="minorBidi"/>
          <w:sz w:val="22"/>
          <w:szCs w:val="22"/>
        </w:rPr>
        <w:t>)</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NHS Dentistry: Progress Review.</w:t>
      </w:r>
      <w:r w:rsidRPr="00F62CF1">
        <w:rPr>
          <w:rFonts w:asciiTheme="minorBidi" w:hAnsiTheme="minorBidi" w:cstheme="minorBidi"/>
          <w:sz w:val="22"/>
          <w:szCs w:val="22"/>
        </w:rPr>
        <w:t xml:space="preserve"> London: UK Parliament.</w:t>
      </w:r>
    </w:p>
    <w:p w14:paraId="607346C2" w14:textId="77777777" w:rsidR="000C24EE" w:rsidRPr="00F62CF1" w:rsidRDefault="000C24EE" w:rsidP="00E06837">
      <w:pPr>
        <w:pStyle w:val="NormalWeb"/>
        <w:spacing w:line="360" w:lineRule="auto"/>
        <w:rPr>
          <w:rFonts w:asciiTheme="minorBidi" w:hAnsiTheme="minorBidi" w:cstheme="minorBidi"/>
          <w:sz w:val="22"/>
          <w:szCs w:val="22"/>
        </w:rPr>
      </w:pPr>
      <w:proofErr w:type="spellStart"/>
      <w:r w:rsidRPr="00F62CF1">
        <w:rPr>
          <w:rStyle w:val="Strong"/>
          <w:rFonts w:asciiTheme="minorBidi" w:hAnsiTheme="minorBidi" w:cstheme="minorBidi"/>
          <w:b w:val="0"/>
          <w:bCs w:val="0"/>
          <w:sz w:val="22"/>
          <w:szCs w:val="22"/>
        </w:rPr>
        <w:t>Lymbery</w:t>
      </w:r>
      <w:proofErr w:type="spellEnd"/>
      <w:r w:rsidRPr="00F62CF1">
        <w:rPr>
          <w:rStyle w:val="Strong"/>
          <w:rFonts w:asciiTheme="minorBidi" w:hAnsiTheme="minorBidi" w:cstheme="minorBidi"/>
          <w:b w:val="0"/>
          <w:bCs w:val="0"/>
          <w:sz w:val="22"/>
          <w:szCs w:val="22"/>
        </w:rPr>
        <w:t>, M. (2014)</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Social Work and Personalisation.</w:t>
      </w:r>
      <w:r w:rsidRPr="00F62CF1">
        <w:rPr>
          <w:rFonts w:asciiTheme="minorBidi" w:hAnsiTheme="minorBidi" w:cstheme="minorBidi"/>
          <w:sz w:val="22"/>
          <w:szCs w:val="22"/>
        </w:rPr>
        <w:t xml:space="preserve"> London: Palgrave Macmillan.</w:t>
      </w:r>
    </w:p>
    <w:p w14:paraId="416E664E"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Morris, J. (2016)</w:t>
      </w:r>
      <w:r w:rsidRPr="00F62CF1">
        <w:rPr>
          <w:rFonts w:asciiTheme="minorBidi" w:hAnsiTheme="minorBidi" w:cstheme="minorBidi"/>
          <w:sz w:val="22"/>
          <w:szCs w:val="22"/>
        </w:rPr>
        <w:t xml:space="preserve"> ‘Community Support and Independent Living’. </w:t>
      </w:r>
      <w:r w:rsidRPr="00F62CF1">
        <w:rPr>
          <w:rStyle w:val="Emphasis"/>
          <w:rFonts w:asciiTheme="minorBidi" w:hAnsiTheme="minorBidi" w:cstheme="minorBidi"/>
          <w:sz w:val="22"/>
          <w:szCs w:val="22"/>
        </w:rPr>
        <w:t>Journal of Social Policy</w:t>
      </w:r>
      <w:r w:rsidRPr="00F62CF1">
        <w:rPr>
          <w:rFonts w:asciiTheme="minorBidi" w:hAnsiTheme="minorBidi" w:cstheme="minorBidi"/>
          <w:sz w:val="22"/>
          <w:szCs w:val="22"/>
        </w:rPr>
        <w:t>, pp. 455–472.</w:t>
      </w:r>
    </w:p>
    <w:p w14:paraId="43579268"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NHS England (2025)</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Improving NHS Dentistry: Access, Prevention and Workforce Strategy 2025–2030.</w:t>
      </w:r>
      <w:r w:rsidRPr="00F62CF1">
        <w:rPr>
          <w:rFonts w:asciiTheme="minorBidi" w:hAnsiTheme="minorBidi" w:cstheme="minorBidi"/>
          <w:sz w:val="22"/>
          <w:szCs w:val="22"/>
        </w:rPr>
        <w:t xml:space="preserve"> London: NHS England.</w:t>
      </w:r>
    </w:p>
    <w:p w14:paraId="119871FB"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lastRenderedPageBreak/>
        <w:t>Public Health England (2024)</w:t>
      </w:r>
      <w:r w:rsidRPr="00F62CF1">
        <w:rPr>
          <w:rFonts w:asciiTheme="minorBidi" w:hAnsiTheme="minorBidi" w:cstheme="minorBidi"/>
          <w:sz w:val="22"/>
          <w:szCs w:val="22"/>
        </w:rPr>
        <w:t xml:space="preserve"> </w:t>
      </w:r>
      <w:r w:rsidRPr="00F62CF1">
        <w:rPr>
          <w:rStyle w:val="Emphasis"/>
          <w:rFonts w:asciiTheme="minorBidi" w:hAnsiTheme="minorBidi" w:cstheme="minorBidi"/>
          <w:sz w:val="22"/>
          <w:szCs w:val="22"/>
        </w:rPr>
        <w:t>Oral Health Inequalities in England: Updated Evidence Review.</w:t>
      </w:r>
      <w:r w:rsidRPr="00F62CF1">
        <w:rPr>
          <w:rFonts w:asciiTheme="minorBidi" w:hAnsiTheme="minorBidi" w:cstheme="minorBidi"/>
          <w:sz w:val="22"/>
          <w:szCs w:val="22"/>
        </w:rPr>
        <w:t xml:space="preserve"> London: PHE.</w:t>
      </w:r>
    </w:p>
    <w:p w14:paraId="205967A1" w14:textId="77777777" w:rsidR="000C24EE" w:rsidRPr="00F62CF1" w:rsidRDefault="000C24EE" w:rsidP="00E06837">
      <w:pPr>
        <w:pStyle w:val="NormalWeb"/>
        <w:spacing w:line="360" w:lineRule="auto"/>
        <w:rPr>
          <w:rFonts w:asciiTheme="minorBidi" w:hAnsiTheme="minorBidi" w:cstheme="minorBidi"/>
          <w:sz w:val="22"/>
          <w:szCs w:val="22"/>
        </w:rPr>
      </w:pPr>
      <w:r w:rsidRPr="00F62CF1">
        <w:rPr>
          <w:rStyle w:val="Strong"/>
          <w:rFonts w:asciiTheme="minorBidi" w:hAnsiTheme="minorBidi" w:cstheme="minorBidi"/>
          <w:b w:val="0"/>
          <w:bCs w:val="0"/>
          <w:sz w:val="22"/>
          <w:szCs w:val="22"/>
        </w:rPr>
        <w:t>Tidman, S. (2025)</w:t>
      </w:r>
      <w:r w:rsidRPr="00F62CF1">
        <w:rPr>
          <w:rFonts w:asciiTheme="minorBidi" w:hAnsiTheme="minorBidi" w:cstheme="minorBidi"/>
          <w:sz w:val="22"/>
          <w:szCs w:val="22"/>
        </w:rPr>
        <w:t xml:space="preserve"> Dentistry timeline: developments in UK dentistry 1920–2025. </w:t>
      </w:r>
      <w:r w:rsidRPr="00F62CF1">
        <w:rPr>
          <w:rStyle w:val="Emphasis"/>
          <w:rFonts w:asciiTheme="minorBidi" w:hAnsiTheme="minorBidi" w:cstheme="minorBidi"/>
          <w:sz w:val="22"/>
          <w:szCs w:val="22"/>
        </w:rPr>
        <w:t>British Dental Journal.</w:t>
      </w:r>
    </w:p>
    <w:p w14:paraId="26AB7E6E" w14:textId="77777777" w:rsidR="000B0BA9" w:rsidRDefault="000B0BA9" w:rsidP="000B0BA9">
      <w:pPr>
        <w:spacing w:line="360" w:lineRule="auto"/>
        <w:rPr>
          <w:rFonts w:asciiTheme="minorBidi" w:hAnsiTheme="minorBidi" w:cstheme="minorBidi"/>
          <w:sz w:val="22"/>
          <w:szCs w:val="22"/>
        </w:rPr>
      </w:pPr>
    </w:p>
    <w:p w14:paraId="4959E1F0" w14:textId="77777777" w:rsidR="000B0BA9" w:rsidRDefault="000B0BA9" w:rsidP="000B0BA9">
      <w:pPr>
        <w:spacing w:line="360" w:lineRule="auto"/>
        <w:rPr>
          <w:rFonts w:asciiTheme="minorBidi" w:hAnsiTheme="minorBidi" w:cstheme="minorBidi"/>
          <w:sz w:val="22"/>
          <w:szCs w:val="22"/>
        </w:rPr>
      </w:pPr>
    </w:p>
    <w:p w14:paraId="0E2DA0D2" w14:textId="77777777" w:rsidR="000B0BA9" w:rsidRDefault="000B0BA9" w:rsidP="000B0BA9">
      <w:pPr>
        <w:spacing w:line="360" w:lineRule="auto"/>
        <w:rPr>
          <w:rFonts w:asciiTheme="minorBidi" w:hAnsiTheme="minorBidi" w:cstheme="minorBidi"/>
          <w:sz w:val="22"/>
          <w:szCs w:val="22"/>
        </w:rPr>
      </w:pPr>
    </w:p>
    <w:p w14:paraId="38D27827" w14:textId="77777777" w:rsidR="000B0BA9" w:rsidRDefault="000B0BA9" w:rsidP="000B0BA9">
      <w:pPr>
        <w:spacing w:line="360" w:lineRule="auto"/>
        <w:rPr>
          <w:rFonts w:asciiTheme="minorBidi" w:hAnsiTheme="minorBidi" w:cstheme="minorBidi"/>
          <w:sz w:val="22"/>
          <w:szCs w:val="22"/>
        </w:rPr>
      </w:pPr>
    </w:p>
    <w:p w14:paraId="3E52C974" w14:textId="77777777" w:rsidR="000B0BA9" w:rsidRDefault="000B0BA9" w:rsidP="000B0BA9">
      <w:pPr>
        <w:spacing w:line="360" w:lineRule="auto"/>
        <w:rPr>
          <w:rFonts w:asciiTheme="minorBidi" w:hAnsiTheme="minorBidi" w:cstheme="minorBidi"/>
          <w:sz w:val="22"/>
          <w:szCs w:val="22"/>
        </w:rPr>
      </w:pPr>
    </w:p>
    <w:p w14:paraId="73804F71" w14:textId="77777777" w:rsidR="000B0BA9" w:rsidRDefault="000B0BA9" w:rsidP="000B0BA9">
      <w:pPr>
        <w:spacing w:line="360" w:lineRule="auto"/>
        <w:rPr>
          <w:rFonts w:asciiTheme="minorBidi" w:hAnsiTheme="minorBidi" w:cstheme="minorBidi"/>
          <w:sz w:val="22"/>
          <w:szCs w:val="22"/>
        </w:rPr>
      </w:pPr>
    </w:p>
    <w:p w14:paraId="41D7A57B" w14:textId="77777777" w:rsidR="000B0BA9" w:rsidRDefault="000B0BA9" w:rsidP="000B0BA9">
      <w:pPr>
        <w:spacing w:line="360" w:lineRule="auto"/>
        <w:rPr>
          <w:rFonts w:asciiTheme="minorBidi" w:hAnsiTheme="minorBidi" w:cstheme="minorBidi"/>
          <w:sz w:val="22"/>
          <w:szCs w:val="22"/>
        </w:rPr>
      </w:pPr>
    </w:p>
    <w:p w14:paraId="1C01FED9" w14:textId="77777777" w:rsidR="000B0BA9" w:rsidRDefault="000B0BA9" w:rsidP="000B0BA9">
      <w:pPr>
        <w:spacing w:line="360" w:lineRule="auto"/>
        <w:rPr>
          <w:rFonts w:asciiTheme="minorBidi" w:hAnsiTheme="minorBidi" w:cstheme="minorBidi"/>
          <w:sz w:val="22"/>
          <w:szCs w:val="22"/>
        </w:rPr>
      </w:pPr>
    </w:p>
    <w:p w14:paraId="284895BF" w14:textId="77777777" w:rsidR="000B0BA9" w:rsidRDefault="000B0BA9" w:rsidP="000B0BA9">
      <w:pPr>
        <w:spacing w:line="360" w:lineRule="auto"/>
        <w:rPr>
          <w:rFonts w:asciiTheme="minorBidi" w:hAnsiTheme="minorBidi" w:cstheme="minorBidi"/>
          <w:sz w:val="22"/>
          <w:szCs w:val="22"/>
        </w:rPr>
      </w:pPr>
    </w:p>
    <w:p w14:paraId="7DFE8F95" w14:textId="77777777" w:rsidR="000B0BA9" w:rsidRDefault="000B0BA9" w:rsidP="000B0BA9">
      <w:pPr>
        <w:spacing w:line="360" w:lineRule="auto"/>
        <w:rPr>
          <w:rFonts w:asciiTheme="minorBidi" w:hAnsiTheme="minorBidi" w:cstheme="minorBidi"/>
          <w:sz w:val="22"/>
          <w:szCs w:val="22"/>
        </w:rPr>
      </w:pPr>
    </w:p>
    <w:p w14:paraId="421202A0" w14:textId="77777777" w:rsidR="000B0BA9" w:rsidRDefault="000B0BA9" w:rsidP="000B0BA9">
      <w:pPr>
        <w:spacing w:line="360" w:lineRule="auto"/>
        <w:rPr>
          <w:rFonts w:asciiTheme="minorBidi" w:hAnsiTheme="minorBidi" w:cstheme="minorBidi"/>
          <w:sz w:val="22"/>
          <w:szCs w:val="22"/>
        </w:rPr>
      </w:pPr>
    </w:p>
    <w:p w14:paraId="17263E0E" w14:textId="77777777" w:rsidR="000B0BA9" w:rsidRDefault="000B0BA9" w:rsidP="000B0BA9">
      <w:pPr>
        <w:spacing w:line="360" w:lineRule="auto"/>
        <w:rPr>
          <w:rFonts w:asciiTheme="minorBidi" w:hAnsiTheme="minorBidi" w:cstheme="minorBidi"/>
          <w:sz w:val="22"/>
          <w:szCs w:val="22"/>
        </w:rPr>
      </w:pPr>
    </w:p>
    <w:p w14:paraId="4C8310E4" w14:textId="77777777" w:rsidR="000B0BA9" w:rsidRDefault="000B0BA9" w:rsidP="000B0BA9">
      <w:pPr>
        <w:spacing w:line="360" w:lineRule="auto"/>
        <w:rPr>
          <w:rFonts w:asciiTheme="minorBidi" w:hAnsiTheme="minorBidi" w:cstheme="minorBidi"/>
          <w:sz w:val="22"/>
          <w:szCs w:val="22"/>
        </w:rPr>
      </w:pPr>
    </w:p>
    <w:p w14:paraId="3A0C26FE" w14:textId="77777777" w:rsidR="000B0BA9" w:rsidRDefault="000B0BA9" w:rsidP="000B0BA9">
      <w:pPr>
        <w:spacing w:line="360" w:lineRule="auto"/>
        <w:rPr>
          <w:rFonts w:asciiTheme="minorBidi" w:hAnsiTheme="minorBidi" w:cstheme="minorBidi"/>
          <w:sz w:val="22"/>
          <w:szCs w:val="22"/>
        </w:rPr>
      </w:pPr>
    </w:p>
    <w:p w14:paraId="72794FF8" w14:textId="77777777" w:rsidR="000B0BA9" w:rsidRDefault="000B0BA9" w:rsidP="000B0BA9">
      <w:pPr>
        <w:spacing w:line="360" w:lineRule="auto"/>
        <w:rPr>
          <w:rFonts w:asciiTheme="minorBidi" w:hAnsiTheme="minorBidi" w:cstheme="minorBidi"/>
          <w:sz w:val="22"/>
          <w:szCs w:val="22"/>
        </w:rPr>
      </w:pPr>
    </w:p>
    <w:p w14:paraId="4F3988B4" w14:textId="77777777" w:rsidR="000B0BA9" w:rsidRDefault="000B0BA9" w:rsidP="000B0BA9">
      <w:pPr>
        <w:spacing w:line="360" w:lineRule="auto"/>
        <w:rPr>
          <w:rFonts w:asciiTheme="minorBidi" w:hAnsiTheme="minorBidi" w:cstheme="minorBidi"/>
          <w:sz w:val="22"/>
          <w:szCs w:val="22"/>
        </w:rPr>
      </w:pPr>
    </w:p>
    <w:p w14:paraId="061747C2" w14:textId="77777777" w:rsidR="000B0BA9" w:rsidRDefault="000B0BA9" w:rsidP="000B0BA9">
      <w:pPr>
        <w:spacing w:line="360" w:lineRule="auto"/>
        <w:rPr>
          <w:rFonts w:asciiTheme="minorBidi" w:hAnsiTheme="minorBidi" w:cstheme="minorBidi"/>
          <w:sz w:val="22"/>
          <w:szCs w:val="22"/>
        </w:rPr>
      </w:pPr>
    </w:p>
    <w:p w14:paraId="1D3C7317" w14:textId="77777777" w:rsidR="000B0BA9" w:rsidRDefault="000B0BA9" w:rsidP="000B0BA9">
      <w:pPr>
        <w:spacing w:line="360" w:lineRule="auto"/>
        <w:rPr>
          <w:rFonts w:asciiTheme="minorBidi" w:hAnsiTheme="minorBidi" w:cstheme="minorBidi"/>
          <w:sz w:val="22"/>
          <w:szCs w:val="22"/>
        </w:rPr>
      </w:pPr>
    </w:p>
    <w:p w14:paraId="3B88CF26" w14:textId="77777777" w:rsidR="000B0BA9" w:rsidRDefault="000B0BA9" w:rsidP="000B0BA9">
      <w:pPr>
        <w:spacing w:line="360" w:lineRule="auto"/>
        <w:rPr>
          <w:rFonts w:asciiTheme="minorBidi" w:hAnsiTheme="minorBidi" w:cstheme="minorBidi"/>
          <w:sz w:val="22"/>
          <w:szCs w:val="22"/>
        </w:rPr>
      </w:pPr>
    </w:p>
    <w:p w14:paraId="62CFC574" w14:textId="77777777" w:rsidR="000B0BA9" w:rsidRDefault="000B0BA9" w:rsidP="000B0BA9">
      <w:pPr>
        <w:spacing w:line="360" w:lineRule="auto"/>
        <w:rPr>
          <w:rFonts w:asciiTheme="minorBidi" w:hAnsiTheme="minorBidi" w:cstheme="minorBidi"/>
          <w:sz w:val="22"/>
          <w:szCs w:val="22"/>
        </w:rPr>
      </w:pPr>
    </w:p>
    <w:p w14:paraId="6BA14FE1" w14:textId="77777777" w:rsidR="000B0BA9" w:rsidRDefault="000B0BA9" w:rsidP="000B0BA9">
      <w:pPr>
        <w:spacing w:line="360" w:lineRule="auto"/>
        <w:rPr>
          <w:rFonts w:asciiTheme="minorBidi" w:hAnsiTheme="minorBidi" w:cstheme="minorBidi"/>
          <w:sz w:val="22"/>
          <w:szCs w:val="22"/>
        </w:rPr>
      </w:pPr>
    </w:p>
    <w:p w14:paraId="74533109" w14:textId="77777777" w:rsidR="000B0BA9" w:rsidRDefault="000B0BA9" w:rsidP="000B0BA9">
      <w:pPr>
        <w:spacing w:line="360" w:lineRule="auto"/>
        <w:rPr>
          <w:rFonts w:asciiTheme="minorBidi" w:hAnsiTheme="minorBidi" w:cstheme="minorBidi"/>
          <w:sz w:val="22"/>
          <w:szCs w:val="22"/>
        </w:rPr>
      </w:pPr>
    </w:p>
    <w:p w14:paraId="5FC7A49A" w14:textId="77777777" w:rsidR="000B0BA9" w:rsidRDefault="000B0BA9" w:rsidP="000B0BA9">
      <w:pPr>
        <w:spacing w:line="360" w:lineRule="auto"/>
        <w:rPr>
          <w:rFonts w:asciiTheme="minorBidi" w:hAnsiTheme="minorBidi" w:cstheme="minorBidi"/>
          <w:sz w:val="22"/>
          <w:szCs w:val="22"/>
        </w:rPr>
      </w:pPr>
    </w:p>
    <w:p w14:paraId="42DD4F4D" w14:textId="77777777" w:rsidR="000B0BA9" w:rsidRDefault="000B0BA9" w:rsidP="000B0BA9">
      <w:pPr>
        <w:spacing w:line="360" w:lineRule="auto"/>
        <w:rPr>
          <w:rFonts w:asciiTheme="minorBidi" w:hAnsiTheme="minorBidi" w:cstheme="minorBidi"/>
          <w:sz w:val="22"/>
          <w:szCs w:val="22"/>
        </w:rPr>
      </w:pPr>
    </w:p>
    <w:p w14:paraId="64576C2D" w14:textId="77777777" w:rsidR="000B0BA9" w:rsidRDefault="000B0BA9" w:rsidP="000B0BA9">
      <w:pPr>
        <w:spacing w:line="360" w:lineRule="auto"/>
        <w:rPr>
          <w:rFonts w:asciiTheme="minorBidi" w:hAnsiTheme="minorBidi" w:cstheme="minorBidi"/>
          <w:sz w:val="22"/>
          <w:szCs w:val="22"/>
        </w:rPr>
      </w:pPr>
    </w:p>
    <w:p w14:paraId="7C752D2D" w14:textId="77777777" w:rsidR="008574BC" w:rsidRDefault="008574BC" w:rsidP="000B0BA9">
      <w:pPr>
        <w:spacing w:line="360" w:lineRule="auto"/>
        <w:rPr>
          <w:rFonts w:asciiTheme="minorBidi" w:hAnsiTheme="minorBidi" w:cstheme="minorBidi"/>
          <w:sz w:val="22"/>
          <w:szCs w:val="22"/>
        </w:rPr>
      </w:pPr>
    </w:p>
    <w:p w14:paraId="2D2B6901" w14:textId="77777777" w:rsidR="008574BC" w:rsidRDefault="008574BC" w:rsidP="000B0BA9">
      <w:pPr>
        <w:spacing w:line="360" w:lineRule="auto"/>
        <w:rPr>
          <w:rFonts w:asciiTheme="minorBidi" w:hAnsiTheme="minorBidi" w:cstheme="minorBidi"/>
          <w:sz w:val="22"/>
          <w:szCs w:val="22"/>
        </w:rPr>
      </w:pPr>
    </w:p>
    <w:p w14:paraId="3296E50B" w14:textId="77777777" w:rsidR="008574BC" w:rsidRDefault="008574BC" w:rsidP="000B0BA9">
      <w:pPr>
        <w:spacing w:line="360" w:lineRule="auto"/>
        <w:rPr>
          <w:rFonts w:asciiTheme="minorBidi" w:hAnsiTheme="minorBidi" w:cstheme="minorBidi"/>
          <w:sz w:val="22"/>
          <w:szCs w:val="22"/>
        </w:rPr>
      </w:pPr>
    </w:p>
    <w:p w14:paraId="11430E81" w14:textId="77777777" w:rsidR="008574BC" w:rsidRDefault="008574BC" w:rsidP="000B0BA9">
      <w:pPr>
        <w:spacing w:line="360" w:lineRule="auto"/>
        <w:rPr>
          <w:rFonts w:asciiTheme="minorBidi" w:hAnsiTheme="minorBidi" w:cstheme="minorBidi"/>
          <w:sz w:val="22"/>
          <w:szCs w:val="22"/>
        </w:rPr>
      </w:pPr>
    </w:p>
    <w:p w14:paraId="375EC77C" w14:textId="77777777" w:rsidR="008574BC" w:rsidRDefault="008574BC" w:rsidP="000B0BA9">
      <w:pPr>
        <w:spacing w:line="360" w:lineRule="auto"/>
        <w:rPr>
          <w:rFonts w:asciiTheme="minorBidi" w:hAnsiTheme="minorBidi" w:cstheme="minorBidi"/>
          <w:sz w:val="22"/>
          <w:szCs w:val="22"/>
        </w:rPr>
      </w:pPr>
    </w:p>
    <w:p w14:paraId="53D9D48E" w14:textId="5BE32D89" w:rsidR="00AF2405" w:rsidRPr="00AF2405" w:rsidRDefault="00AF2405" w:rsidP="00AF2405">
      <w:pPr>
        <w:tabs>
          <w:tab w:val="left" w:pos="3788"/>
        </w:tabs>
        <w:rPr>
          <w:rFonts w:asciiTheme="minorBidi" w:hAnsiTheme="minorBidi" w:cstheme="minorBidi"/>
          <w:sz w:val="22"/>
          <w:szCs w:val="22"/>
        </w:rPr>
      </w:pPr>
    </w:p>
    <w:sectPr w:rsidR="00AF2405" w:rsidRPr="00AF240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5347E" w14:textId="77777777" w:rsidR="00D563E9" w:rsidRDefault="00D563E9" w:rsidP="006F2871">
      <w:r>
        <w:separator/>
      </w:r>
    </w:p>
  </w:endnote>
  <w:endnote w:type="continuationSeparator" w:id="0">
    <w:p w14:paraId="3FFB1131" w14:textId="77777777" w:rsidR="00D563E9" w:rsidRDefault="00D563E9" w:rsidP="006F28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6970733"/>
      <w:docPartObj>
        <w:docPartGallery w:val="Page Numbers (Bottom of Page)"/>
        <w:docPartUnique/>
      </w:docPartObj>
    </w:sdtPr>
    <w:sdtEndPr>
      <w:rPr>
        <w:noProof/>
      </w:rPr>
    </w:sdtEndPr>
    <w:sdtContent>
      <w:p w14:paraId="255EBC73" w14:textId="23727A90" w:rsidR="006F2871" w:rsidRDefault="006F28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51553C" w14:textId="77777777" w:rsidR="006F2871" w:rsidRDefault="006F2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4DF9B" w14:textId="77777777" w:rsidR="00D563E9" w:rsidRDefault="00D563E9" w:rsidP="006F2871">
      <w:r>
        <w:separator/>
      </w:r>
    </w:p>
  </w:footnote>
  <w:footnote w:type="continuationSeparator" w:id="0">
    <w:p w14:paraId="74F7641C" w14:textId="77777777" w:rsidR="00D563E9" w:rsidRDefault="00D563E9" w:rsidP="006F28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F011E5"/>
    <w:multiLevelType w:val="hybridMultilevel"/>
    <w:tmpl w:val="D160D456"/>
    <w:lvl w:ilvl="0" w:tplc="10366B90">
      <w:start w:val="1"/>
      <w:numFmt w:val="decimal"/>
      <w:lvlText w:val="%1-"/>
      <w:lvlJc w:val="left"/>
      <w:pPr>
        <w:ind w:left="720" w:hanging="360"/>
      </w:pPr>
      <w:rPr>
        <w:rFonts w:asciiTheme="minorBidi" w:hAnsiTheme="minorBid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16D693"/>
    <w:multiLevelType w:val="hybridMultilevel"/>
    <w:tmpl w:val="E4A29B6C"/>
    <w:lvl w:ilvl="0" w:tplc="FA8C9A36">
      <w:start w:val="1"/>
      <w:numFmt w:val="decimal"/>
      <w:lvlText w:val="%1."/>
      <w:lvlJc w:val="left"/>
      <w:pPr>
        <w:ind w:left="360" w:hanging="360"/>
      </w:pPr>
      <w:rPr>
        <w:rFonts w:ascii="Arial" w:hAnsi="Arial" w:hint="default"/>
      </w:rPr>
    </w:lvl>
    <w:lvl w:ilvl="1" w:tplc="74B0F5AE">
      <w:start w:val="1"/>
      <w:numFmt w:val="lowerLetter"/>
      <w:lvlText w:val="%2."/>
      <w:lvlJc w:val="left"/>
      <w:pPr>
        <w:ind w:left="654" w:hanging="360"/>
      </w:pPr>
    </w:lvl>
    <w:lvl w:ilvl="2" w:tplc="BF244044">
      <w:start w:val="1"/>
      <w:numFmt w:val="lowerRoman"/>
      <w:lvlText w:val="%3."/>
      <w:lvlJc w:val="right"/>
      <w:pPr>
        <w:ind w:left="1374" w:hanging="180"/>
      </w:pPr>
    </w:lvl>
    <w:lvl w:ilvl="3" w:tplc="E76E209A">
      <w:start w:val="1"/>
      <w:numFmt w:val="decimal"/>
      <w:lvlText w:val="%4."/>
      <w:lvlJc w:val="left"/>
      <w:pPr>
        <w:ind w:left="2094" w:hanging="360"/>
      </w:pPr>
    </w:lvl>
    <w:lvl w:ilvl="4" w:tplc="17BCE3EC">
      <w:start w:val="1"/>
      <w:numFmt w:val="lowerLetter"/>
      <w:lvlText w:val="%5."/>
      <w:lvlJc w:val="left"/>
      <w:pPr>
        <w:ind w:left="2814" w:hanging="360"/>
      </w:pPr>
    </w:lvl>
    <w:lvl w:ilvl="5" w:tplc="6130C42C">
      <w:start w:val="1"/>
      <w:numFmt w:val="lowerRoman"/>
      <w:lvlText w:val="%6."/>
      <w:lvlJc w:val="right"/>
      <w:pPr>
        <w:ind w:left="3534" w:hanging="180"/>
      </w:pPr>
    </w:lvl>
    <w:lvl w:ilvl="6" w:tplc="601470EA">
      <w:start w:val="1"/>
      <w:numFmt w:val="decimal"/>
      <w:lvlText w:val="%7."/>
      <w:lvlJc w:val="left"/>
      <w:pPr>
        <w:ind w:left="4254" w:hanging="360"/>
      </w:pPr>
    </w:lvl>
    <w:lvl w:ilvl="7" w:tplc="4232E4C6">
      <w:start w:val="1"/>
      <w:numFmt w:val="lowerLetter"/>
      <w:lvlText w:val="%8."/>
      <w:lvlJc w:val="left"/>
      <w:pPr>
        <w:ind w:left="4974" w:hanging="360"/>
      </w:pPr>
    </w:lvl>
    <w:lvl w:ilvl="8" w:tplc="26DAD9EA">
      <w:start w:val="1"/>
      <w:numFmt w:val="lowerRoman"/>
      <w:lvlText w:val="%9."/>
      <w:lvlJc w:val="right"/>
      <w:pPr>
        <w:ind w:left="5694" w:hanging="180"/>
      </w:pPr>
    </w:lvl>
  </w:abstractNum>
  <w:num w:numId="1" w16cid:durableId="753740976">
    <w:abstractNumId w:val="1"/>
  </w:num>
  <w:num w:numId="2" w16cid:durableId="82186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CBD"/>
    <w:rsid w:val="000034C3"/>
    <w:rsid w:val="00010DFC"/>
    <w:rsid w:val="0001542A"/>
    <w:rsid w:val="000308B5"/>
    <w:rsid w:val="000611F6"/>
    <w:rsid w:val="000766BC"/>
    <w:rsid w:val="000B0BA9"/>
    <w:rsid w:val="000B42F5"/>
    <w:rsid w:val="000B7E70"/>
    <w:rsid w:val="000C24EE"/>
    <w:rsid w:val="000D389B"/>
    <w:rsid w:val="000E581E"/>
    <w:rsid w:val="000F1154"/>
    <w:rsid w:val="00104EB1"/>
    <w:rsid w:val="00110BBA"/>
    <w:rsid w:val="0012143E"/>
    <w:rsid w:val="00132A92"/>
    <w:rsid w:val="001567B1"/>
    <w:rsid w:val="0017152A"/>
    <w:rsid w:val="001A189A"/>
    <w:rsid w:val="001A4B30"/>
    <w:rsid w:val="001C50BF"/>
    <w:rsid w:val="001F3B8E"/>
    <w:rsid w:val="002410F5"/>
    <w:rsid w:val="00256CF3"/>
    <w:rsid w:val="002A396E"/>
    <w:rsid w:val="002A6E88"/>
    <w:rsid w:val="002B700C"/>
    <w:rsid w:val="002C7353"/>
    <w:rsid w:val="003005A6"/>
    <w:rsid w:val="00310942"/>
    <w:rsid w:val="003224A0"/>
    <w:rsid w:val="003270E6"/>
    <w:rsid w:val="00373A78"/>
    <w:rsid w:val="00380180"/>
    <w:rsid w:val="003B4C91"/>
    <w:rsid w:val="003E18E9"/>
    <w:rsid w:val="003E1E07"/>
    <w:rsid w:val="003E3F32"/>
    <w:rsid w:val="00412FA6"/>
    <w:rsid w:val="00415DC7"/>
    <w:rsid w:val="00422FB5"/>
    <w:rsid w:val="00433633"/>
    <w:rsid w:val="00450D0A"/>
    <w:rsid w:val="004539F6"/>
    <w:rsid w:val="00455148"/>
    <w:rsid w:val="0048227C"/>
    <w:rsid w:val="00492D07"/>
    <w:rsid w:val="004E5EA7"/>
    <w:rsid w:val="004E7485"/>
    <w:rsid w:val="0050773E"/>
    <w:rsid w:val="00510EDE"/>
    <w:rsid w:val="005143FC"/>
    <w:rsid w:val="00524CC7"/>
    <w:rsid w:val="0052518B"/>
    <w:rsid w:val="00543092"/>
    <w:rsid w:val="0055558D"/>
    <w:rsid w:val="00592AE2"/>
    <w:rsid w:val="00596AB5"/>
    <w:rsid w:val="005972B5"/>
    <w:rsid w:val="005C4F5F"/>
    <w:rsid w:val="005F04D4"/>
    <w:rsid w:val="005F33CF"/>
    <w:rsid w:val="00611904"/>
    <w:rsid w:val="00650C68"/>
    <w:rsid w:val="006622CB"/>
    <w:rsid w:val="00662AC2"/>
    <w:rsid w:val="00673F71"/>
    <w:rsid w:val="006809BC"/>
    <w:rsid w:val="00681999"/>
    <w:rsid w:val="00690238"/>
    <w:rsid w:val="00691521"/>
    <w:rsid w:val="006A2BB5"/>
    <w:rsid w:val="006B0159"/>
    <w:rsid w:val="006C1E99"/>
    <w:rsid w:val="006D1CB8"/>
    <w:rsid w:val="006D3094"/>
    <w:rsid w:val="006D67D0"/>
    <w:rsid w:val="006F2871"/>
    <w:rsid w:val="006F498C"/>
    <w:rsid w:val="0071558F"/>
    <w:rsid w:val="00723222"/>
    <w:rsid w:val="0073342E"/>
    <w:rsid w:val="00752ACF"/>
    <w:rsid w:val="00755D4F"/>
    <w:rsid w:val="00757C6D"/>
    <w:rsid w:val="007606E6"/>
    <w:rsid w:val="007A150A"/>
    <w:rsid w:val="007B543B"/>
    <w:rsid w:val="007C6CD8"/>
    <w:rsid w:val="007E5A2D"/>
    <w:rsid w:val="00810E3B"/>
    <w:rsid w:val="00830C4C"/>
    <w:rsid w:val="00836C5C"/>
    <w:rsid w:val="0084492F"/>
    <w:rsid w:val="008546F2"/>
    <w:rsid w:val="008574BC"/>
    <w:rsid w:val="00863E03"/>
    <w:rsid w:val="008944DD"/>
    <w:rsid w:val="008B3400"/>
    <w:rsid w:val="008F51A2"/>
    <w:rsid w:val="008F5E02"/>
    <w:rsid w:val="008F619E"/>
    <w:rsid w:val="00926426"/>
    <w:rsid w:val="009440F7"/>
    <w:rsid w:val="00945CBD"/>
    <w:rsid w:val="00953979"/>
    <w:rsid w:val="0096700F"/>
    <w:rsid w:val="009B0798"/>
    <w:rsid w:val="009B6257"/>
    <w:rsid w:val="009C5A29"/>
    <w:rsid w:val="009E2657"/>
    <w:rsid w:val="00A12B29"/>
    <w:rsid w:val="00A14785"/>
    <w:rsid w:val="00A45677"/>
    <w:rsid w:val="00A579DC"/>
    <w:rsid w:val="00A73C1B"/>
    <w:rsid w:val="00A915CB"/>
    <w:rsid w:val="00AB790F"/>
    <w:rsid w:val="00AC290F"/>
    <w:rsid w:val="00AD7489"/>
    <w:rsid w:val="00AE081A"/>
    <w:rsid w:val="00AE7EBF"/>
    <w:rsid w:val="00AF1889"/>
    <w:rsid w:val="00AF2405"/>
    <w:rsid w:val="00B10259"/>
    <w:rsid w:val="00B125F6"/>
    <w:rsid w:val="00B62C32"/>
    <w:rsid w:val="00B74559"/>
    <w:rsid w:val="00B7483D"/>
    <w:rsid w:val="00B75E7F"/>
    <w:rsid w:val="00B87D79"/>
    <w:rsid w:val="00B92105"/>
    <w:rsid w:val="00BA1026"/>
    <w:rsid w:val="00BA52DF"/>
    <w:rsid w:val="00BA7238"/>
    <w:rsid w:val="00BB5623"/>
    <w:rsid w:val="00BD3A8F"/>
    <w:rsid w:val="00C479CA"/>
    <w:rsid w:val="00C770D9"/>
    <w:rsid w:val="00CA2B43"/>
    <w:rsid w:val="00CA64F2"/>
    <w:rsid w:val="00CC1332"/>
    <w:rsid w:val="00CD4045"/>
    <w:rsid w:val="00CD50EC"/>
    <w:rsid w:val="00CE0D51"/>
    <w:rsid w:val="00CF5272"/>
    <w:rsid w:val="00D22B2B"/>
    <w:rsid w:val="00D3797C"/>
    <w:rsid w:val="00D563E9"/>
    <w:rsid w:val="00D72197"/>
    <w:rsid w:val="00D77E9E"/>
    <w:rsid w:val="00D9717A"/>
    <w:rsid w:val="00DA626A"/>
    <w:rsid w:val="00DF02DC"/>
    <w:rsid w:val="00E057AC"/>
    <w:rsid w:val="00E06837"/>
    <w:rsid w:val="00E1009A"/>
    <w:rsid w:val="00E44F6B"/>
    <w:rsid w:val="00E47A71"/>
    <w:rsid w:val="00E73486"/>
    <w:rsid w:val="00E93405"/>
    <w:rsid w:val="00EC147A"/>
    <w:rsid w:val="00ED6A87"/>
    <w:rsid w:val="00EE3CBD"/>
    <w:rsid w:val="00EF4698"/>
    <w:rsid w:val="00EF6927"/>
    <w:rsid w:val="00F12E2B"/>
    <w:rsid w:val="00F30624"/>
    <w:rsid w:val="00F62CF1"/>
    <w:rsid w:val="00F702D3"/>
    <w:rsid w:val="00FE0D4E"/>
    <w:rsid w:val="00FF2FD4"/>
    <w:rsid w:val="00FF7A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D2117"/>
  <w15:chartTrackingRefBased/>
  <w15:docId w15:val="{40B12538-47CC-4F4E-B7A5-761B23248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CBD"/>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E3C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3C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C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C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C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C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C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3C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CBD"/>
    <w:rPr>
      <w:rFonts w:eastAsiaTheme="majorEastAsia" w:cstheme="majorBidi"/>
      <w:color w:val="272727" w:themeColor="text1" w:themeTint="D8"/>
    </w:rPr>
  </w:style>
  <w:style w:type="paragraph" w:styleId="Title">
    <w:name w:val="Title"/>
    <w:basedOn w:val="Normal"/>
    <w:next w:val="Normal"/>
    <w:link w:val="TitleChar"/>
    <w:uiPriority w:val="10"/>
    <w:qFormat/>
    <w:rsid w:val="00EE3C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CBD"/>
    <w:pPr>
      <w:spacing w:before="160"/>
      <w:jc w:val="center"/>
    </w:pPr>
    <w:rPr>
      <w:i/>
      <w:iCs/>
      <w:color w:val="404040" w:themeColor="text1" w:themeTint="BF"/>
    </w:rPr>
  </w:style>
  <w:style w:type="character" w:customStyle="1" w:styleId="QuoteChar">
    <w:name w:val="Quote Char"/>
    <w:basedOn w:val="DefaultParagraphFont"/>
    <w:link w:val="Quote"/>
    <w:uiPriority w:val="29"/>
    <w:rsid w:val="00EE3CBD"/>
    <w:rPr>
      <w:i/>
      <w:iCs/>
      <w:color w:val="404040" w:themeColor="text1" w:themeTint="BF"/>
    </w:rPr>
  </w:style>
  <w:style w:type="paragraph" w:styleId="ListParagraph">
    <w:name w:val="List Paragraph"/>
    <w:basedOn w:val="Normal"/>
    <w:uiPriority w:val="34"/>
    <w:qFormat/>
    <w:rsid w:val="00EE3CBD"/>
    <w:pPr>
      <w:ind w:left="720"/>
      <w:contextualSpacing/>
    </w:pPr>
  </w:style>
  <w:style w:type="character" w:styleId="IntenseEmphasis">
    <w:name w:val="Intense Emphasis"/>
    <w:basedOn w:val="DefaultParagraphFont"/>
    <w:uiPriority w:val="21"/>
    <w:qFormat/>
    <w:rsid w:val="00EE3CBD"/>
    <w:rPr>
      <w:i/>
      <w:iCs/>
      <w:color w:val="0F4761" w:themeColor="accent1" w:themeShade="BF"/>
    </w:rPr>
  </w:style>
  <w:style w:type="paragraph" w:styleId="IntenseQuote">
    <w:name w:val="Intense Quote"/>
    <w:basedOn w:val="Normal"/>
    <w:next w:val="Normal"/>
    <w:link w:val="IntenseQuoteChar"/>
    <w:uiPriority w:val="30"/>
    <w:qFormat/>
    <w:rsid w:val="00EE3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CBD"/>
    <w:rPr>
      <w:i/>
      <w:iCs/>
      <w:color w:val="0F4761" w:themeColor="accent1" w:themeShade="BF"/>
    </w:rPr>
  </w:style>
  <w:style w:type="character" w:styleId="IntenseReference">
    <w:name w:val="Intense Reference"/>
    <w:basedOn w:val="DefaultParagraphFont"/>
    <w:uiPriority w:val="32"/>
    <w:qFormat/>
    <w:rsid w:val="00EE3CBD"/>
    <w:rPr>
      <w:b/>
      <w:bCs/>
      <w:smallCaps/>
      <w:color w:val="0F4761" w:themeColor="accent1" w:themeShade="BF"/>
      <w:spacing w:val="5"/>
    </w:rPr>
  </w:style>
  <w:style w:type="paragraph" w:styleId="Header">
    <w:name w:val="header"/>
    <w:basedOn w:val="Normal"/>
    <w:link w:val="HeaderChar"/>
    <w:uiPriority w:val="99"/>
    <w:unhideWhenUsed/>
    <w:rsid w:val="006F2871"/>
    <w:pPr>
      <w:tabs>
        <w:tab w:val="center" w:pos="4513"/>
        <w:tab w:val="right" w:pos="9026"/>
      </w:tabs>
    </w:pPr>
  </w:style>
  <w:style w:type="character" w:customStyle="1" w:styleId="HeaderChar">
    <w:name w:val="Header Char"/>
    <w:basedOn w:val="DefaultParagraphFont"/>
    <w:link w:val="Header"/>
    <w:uiPriority w:val="99"/>
    <w:rsid w:val="006F287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6F2871"/>
    <w:pPr>
      <w:tabs>
        <w:tab w:val="center" w:pos="4513"/>
        <w:tab w:val="right" w:pos="9026"/>
      </w:tabs>
    </w:pPr>
  </w:style>
  <w:style w:type="character" w:customStyle="1" w:styleId="FooterChar">
    <w:name w:val="Footer Char"/>
    <w:basedOn w:val="DefaultParagraphFont"/>
    <w:link w:val="Footer"/>
    <w:uiPriority w:val="99"/>
    <w:rsid w:val="006F2871"/>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semiHidden/>
    <w:unhideWhenUsed/>
    <w:rsid w:val="0048227C"/>
    <w:rPr>
      <w:color w:val="0000FF"/>
      <w:u w:val="single"/>
    </w:rPr>
  </w:style>
  <w:style w:type="character" w:styleId="Emphasis">
    <w:name w:val="Emphasis"/>
    <w:basedOn w:val="DefaultParagraphFont"/>
    <w:uiPriority w:val="20"/>
    <w:qFormat/>
    <w:rsid w:val="00EC147A"/>
    <w:rPr>
      <w:i/>
      <w:iCs/>
    </w:rPr>
  </w:style>
  <w:style w:type="paragraph" w:styleId="NormalWeb">
    <w:name w:val="Normal (Web)"/>
    <w:basedOn w:val="Normal"/>
    <w:uiPriority w:val="99"/>
    <w:unhideWhenUsed/>
    <w:rsid w:val="00F702D3"/>
    <w:pPr>
      <w:spacing w:before="100" w:beforeAutospacing="1" w:after="100" w:afterAutospacing="1"/>
    </w:pPr>
    <w:rPr>
      <w:sz w:val="24"/>
      <w:szCs w:val="24"/>
    </w:rPr>
  </w:style>
  <w:style w:type="character" w:styleId="Strong">
    <w:name w:val="Strong"/>
    <w:basedOn w:val="DefaultParagraphFont"/>
    <w:uiPriority w:val="22"/>
    <w:qFormat/>
    <w:rsid w:val="00EF46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721646b9bbc2f327cde33bc444507892">
  <xsd:schema xmlns:xsd="http://www.w3.org/2001/XMLSchema" xmlns:xs="http://www.w3.org/2001/XMLSchema" xmlns:p="http://schemas.microsoft.com/office/2006/metadata/properties" xmlns:ns3="930350eb-f8df-4f84-845c-a06ee073f72d" targetNamespace="http://schemas.microsoft.com/office/2006/metadata/properties" ma:root="true" ma:fieldsID="130564709a7ff536a65fa0364064013b"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5C722535-050A-45B9-94D2-3DD1C4DE67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D21F0-B7A6-42BD-9D18-446A2DF7A415}">
  <ds:schemaRefs>
    <ds:schemaRef ds:uri="http://schemas.microsoft.com/sharepoint/v3/contenttype/forms"/>
  </ds:schemaRefs>
</ds:datastoreItem>
</file>

<file path=customXml/itemProps3.xml><?xml version="1.0" encoding="utf-8"?>
<ds:datastoreItem xmlns:ds="http://schemas.openxmlformats.org/officeDocument/2006/customXml" ds:itemID="{203C48C7-ECE7-475C-B2EE-F6D218745C17}">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9</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 Mohammed</dc:creator>
  <cp:keywords/>
  <dc:description/>
  <cp:lastModifiedBy>Marwa Mohammed</cp:lastModifiedBy>
  <cp:revision>155</cp:revision>
  <dcterms:created xsi:type="dcterms:W3CDTF">2026-10-04T20:43:00Z</dcterms:created>
  <dcterms:modified xsi:type="dcterms:W3CDTF">2026-10-18T12:33:00Z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