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5DA1" w:rsidRDefault="00B75DA1" w:rsidP="00B75DA1"/>
    <w:p w:rsidR="00B75DA1" w:rsidRDefault="00387CA3" w:rsidP="00B75DA1">
      <w:r>
        <w:rPr>
          <w:noProof/>
        </w:rPr>
        <w:drawing>
          <wp:inline distT="0" distB="0" distL="0" distR="0">
            <wp:extent cx="3009900" cy="2000250"/>
            <wp:effectExtent l="1905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 cstate="print"/>
                    <a:srcRect/>
                    <a:stretch>
                      <a:fillRect/>
                    </a:stretch>
                  </pic:blipFill>
                  <pic:spPr bwMode="auto">
                    <a:xfrm>
                      <a:off x="0" y="0"/>
                      <a:ext cx="3009900" cy="2000250"/>
                    </a:xfrm>
                    <a:prstGeom prst="rect">
                      <a:avLst/>
                    </a:prstGeom>
                    <a:noFill/>
                    <a:ln w="9525">
                      <a:noFill/>
                      <a:miter lim="800000"/>
                      <a:headEnd/>
                      <a:tailEnd/>
                    </a:ln>
                  </pic:spPr>
                </pic:pic>
              </a:graphicData>
            </a:graphic>
          </wp:inline>
        </w:drawing>
      </w:r>
    </w:p>
    <w:p w:rsidR="001B7A92" w:rsidRDefault="001B7A92" w:rsidP="00B75DA1"/>
    <w:p w:rsidR="001B7A92" w:rsidRDefault="001B7A92" w:rsidP="00B75DA1"/>
    <w:p w:rsidR="001B7A92" w:rsidRDefault="001B7A92" w:rsidP="00B75DA1"/>
    <w:p w:rsidR="001B7A92" w:rsidRDefault="001B7A92" w:rsidP="00B75DA1"/>
    <w:tbl>
      <w:tblPr>
        <w:tblStyle w:val="LightShading1"/>
        <w:tblW w:w="0" w:type="auto"/>
        <w:tblLook w:val="04A0"/>
      </w:tblPr>
      <w:tblGrid>
        <w:gridCol w:w="9576"/>
      </w:tblGrid>
      <w:tr w:rsidR="00387CA3" w:rsidTr="00387CA3">
        <w:trPr>
          <w:cnfStyle w:val="100000000000"/>
        </w:trPr>
        <w:tc>
          <w:tcPr>
            <w:cnfStyle w:val="001000000000"/>
            <w:tcW w:w="9576" w:type="dxa"/>
            <w:tcBorders>
              <w:top w:val="single" w:sz="12" w:space="0" w:color="auto"/>
              <w:bottom w:val="single" w:sz="12" w:space="0" w:color="auto"/>
            </w:tcBorders>
          </w:tcPr>
          <w:p w:rsidR="00387CA3" w:rsidRPr="00387CA3" w:rsidRDefault="00387CA3" w:rsidP="00B75DA1">
            <w:pPr>
              <w:rPr>
                <w:sz w:val="40"/>
                <w:szCs w:val="40"/>
              </w:rPr>
            </w:pPr>
            <w:r>
              <w:rPr>
                <w:sz w:val="40"/>
                <w:szCs w:val="40"/>
              </w:rPr>
              <w:t>Assignment 1 (Human Resource Management)</w:t>
            </w:r>
          </w:p>
        </w:tc>
      </w:tr>
    </w:tbl>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B75DA1" w:rsidRDefault="00B75DA1" w:rsidP="00B75DA1"/>
    <w:tbl>
      <w:tblPr>
        <w:tblStyle w:val="LightShading1"/>
        <w:tblW w:w="0" w:type="auto"/>
        <w:tblLook w:val="04A0"/>
      </w:tblPr>
      <w:tblGrid>
        <w:gridCol w:w="9576"/>
      </w:tblGrid>
      <w:tr w:rsidR="00387CA3" w:rsidTr="00387CA3">
        <w:trPr>
          <w:cnfStyle w:val="100000000000"/>
        </w:trPr>
        <w:tc>
          <w:tcPr>
            <w:cnfStyle w:val="001000000000"/>
            <w:tcW w:w="9576" w:type="dxa"/>
            <w:tcBorders>
              <w:top w:val="single" w:sz="12" w:space="0" w:color="auto"/>
              <w:bottom w:val="single" w:sz="12" w:space="0" w:color="auto"/>
            </w:tcBorders>
          </w:tcPr>
          <w:p w:rsidR="00387CA3" w:rsidRPr="00387CA3" w:rsidRDefault="00387CA3" w:rsidP="00B75DA1">
            <w:pPr>
              <w:rPr>
                <w:sz w:val="32"/>
                <w:szCs w:val="32"/>
              </w:rPr>
            </w:pPr>
            <w:r>
              <w:t xml:space="preserve">                                                                                                </w:t>
            </w:r>
            <w:r w:rsidRPr="00387CA3">
              <w:rPr>
                <w:sz w:val="32"/>
                <w:szCs w:val="32"/>
              </w:rPr>
              <w:t>STUDENT NAME: NEHA RANI</w:t>
            </w:r>
          </w:p>
          <w:p w:rsidR="00387CA3" w:rsidRPr="00387CA3" w:rsidRDefault="00387CA3" w:rsidP="00B75DA1">
            <w:pPr>
              <w:rPr>
                <w:sz w:val="32"/>
                <w:szCs w:val="32"/>
              </w:rPr>
            </w:pPr>
            <w:r w:rsidRPr="00387CA3">
              <w:rPr>
                <w:sz w:val="32"/>
                <w:szCs w:val="32"/>
              </w:rPr>
              <w:t xml:space="preserve">                                                               </w:t>
            </w:r>
            <w:r>
              <w:rPr>
                <w:sz w:val="32"/>
                <w:szCs w:val="32"/>
              </w:rPr>
              <w:t xml:space="preserve">  </w:t>
            </w:r>
            <w:r w:rsidRPr="00387CA3">
              <w:rPr>
                <w:sz w:val="32"/>
                <w:szCs w:val="32"/>
              </w:rPr>
              <w:t xml:space="preserve"> STUDENT ID: 1920677</w:t>
            </w:r>
          </w:p>
          <w:p w:rsidR="00387CA3" w:rsidRPr="00387CA3" w:rsidRDefault="00387CA3" w:rsidP="00B75DA1">
            <w:pPr>
              <w:rPr>
                <w:sz w:val="32"/>
                <w:szCs w:val="32"/>
              </w:rPr>
            </w:pPr>
            <w:r w:rsidRPr="00387CA3">
              <w:rPr>
                <w:sz w:val="32"/>
                <w:szCs w:val="32"/>
              </w:rPr>
              <w:t xml:space="preserve">                                                              </w:t>
            </w:r>
            <w:r>
              <w:rPr>
                <w:sz w:val="32"/>
                <w:szCs w:val="32"/>
              </w:rPr>
              <w:t xml:space="preserve">    SUBMITTED TO:</w:t>
            </w:r>
          </w:p>
          <w:p w:rsidR="00387CA3" w:rsidRPr="00B75DA1" w:rsidRDefault="00387CA3" w:rsidP="00387CA3">
            <w:pPr>
              <w:rPr>
                <w:sz w:val="36"/>
                <w:szCs w:val="36"/>
              </w:rPr>
            </w:pPr>
            <w:r>
              <w:rPr>
                <w:sz w:val="36"/>
                <w:szCs w:val="36"/>
              </w:rPr>
              <w:t xml:space="preserve">                                                           </w:t>
            </w:r>
            <w:r w:rsidRPr="00387CA3">
              <w:rPr>
                <w:sz w:val="32"/>
                <w:szCs w:val="32"/>
              </w:rPr>
              <w:t>COURSE CODE: LCMB7000</w:t>
            </w:r>
          </w:p>
          <w:p w:rsidR="00387CA3" w:rsidRDefault="00387CA3" w:rsidP="00B75DA1"/>
        </w:tc>
      </w:tr>
    </w:tbl>
    <w:p w:rsidR="00B75DA1" w:rsidRDefault="00B75DA1" w:rsidP="00B75DA1"/>
    <w:p w:rsidR="00B75DA1" w:rsidRDefault="00B75DA1" w:rsidP="00B75DA1"/>
    <w:p w:rsidR="00B75DA1" w:rsidRDefault="00B75DA1" w:rsidP="00B75DA1"/>
    <w:p w:rsidR="00B75DA1" w:rsidRDefault="00B75DA1" w:rsidP="00B75DA1"/>
    <w:tbl>
      <w:tblPr>
        <w:tblStyle w:val="LightShading1"/>
        <w:tblW w:w="0" w:type="auto"/>
        <w:tblLook w:val="04A0"/>
      </w:tblPr>
      <w:tblGrid>
        <w:gridCol w:w="1548"/>
        <w:gridCol w:w="6030"/>
        <w:gridCol w:w="1998"/>
      </w:tblGrid>
      <w:tr w:rsidR="001B7A92" w:rsidTr="00C94AAC">
        <w:trPr>
          <w:cnfStyle w:val="100000000000"/>
        </w:trPr>
        <w:tc>
          <w:tcPr>
            <w:cnfStyle w:val="001000000000"/>
            <w:tcW w:w="1548" w:type="dxa"/>
            <w:tcBorders>
              <w:top w:val="single" w:sz="12" w:space="0" w:color="auto"/>
              <w:bottom w:val="single" w:sz="12" w:space="0" w:color="auto"/>
            </w:tcBorders>
          </w:tcPr>
          <w:p w:rsidR="001B7A92" w:rsidRPr="001B7A92" w:rsidRDefault="00C94AAC" w:rsidP="00B75DA1">
            <w:pPr>
              <w:rPr>
                <w:sz w:val="32"/>
                <w:szCs w:val="32"/>
              </w:rPr>
            </w:pPr>
            <w:r>
              <w:rPr>
                <w:sz w:val="32"/>
                <w:szCs w:val="32"/>
              </w:rPr>
              <w:t xml:space="preserve">Serial </w:t>
            </w:r>
            <w:r w:rsidR="001B7A92">
              <w:rPr>
                <w:sz w:val="32"/>
                <w:szCs w:val="32"/>
              </w:rPr>
              <w:t>No.</w:t>
            </w:r>
          </w:p>
        </w:tc>
        <w:tc>
          <w:tcPr>
            <w:tcW w:w="6030" w:type="dxa"/>
            <w:tcBorders>
              <w:top w:val="single" w:sz="12" w:space="0" w:color="auto"/>
              <w:bottom w:val="single" w:sz="12" w:space="0" w:color="auto"/>
            </w:tcBorders>
          </w:tcPr>
          <w:p w:rsidR="001B7A92" w:rsidRPr="001B7A92" w:rsidRDefault="001B7A92" w:rsidP="00B75DA1">
            <w:pPr>
              <w:cnfStyle w:val="100000000000"/>
              <w:rPr>
                <w:sz w:val="32"/>
                <w:szCs w:val="32"/>
              </w:rPr>
            </w:pPr>
            <w:r>
              <w:rPr>
                <w:sz w:val="32"/>
                <w:szCs w:val="32"/>
              </w:rPr>
              <w:t xml:space="preserve">                  Topic Name</w:t>
            </w:r>
          </w:p>
        </w:tc>
        <w:tc>
          <w:tcPr>
            <w:tcW w:w="1998" w:type="dxa"/>
            <w:tcBorders>
              <w:top w:val="single" w:sz="12" w:space="0" w:color="auto"/>
              <w:bottom w:val="single" w:sz="12" w:space="0" w:color="auto"/>
            </w:tcBorders>
          </w:tcPr>
          <w:p w:rsidR="001B7A92" w:rsidRPr="001B7A92" w:rsidRDefault="001B7A92" w:rsidP="00B75DA1">
            <w:pPr>
              <w:cnfStyle w:val="100000000000"/>
              <w:rPr>
                <w:sz w:val="32"/>
                <w:szCs w:val="32"/>
              </w:rPr>
            </w:pPr>
            <w:r>
              <w:t xml:space="preserve">       </w:t>
            </w:r>
            <w:r>
              <w:rPr>
                <w:sz w:val="32"/>
                <w:szCs w:val="32"/>
              </w:rPr>
              <w:t xml:space="preserve">Page </w:t>
            </w:r>
            <w:r w:rsidR="00C94AAC">
              <w:rPr>
                <w:sz w:val="32"/>
                <w:szCs w:val="32"/>
              </w:rPr>
              <w:t>No.</w:t>
            </w:r>
          </w:p>
        </w:tc>
      </w:tr>
      <w:tr w:rsidR="001B7A92" w:rsidTr="00C94AAC">
        <w:trPr>
          <w:cnfStyle w:val="000000100000"/>
        </w:trPr>
        <w:tc>
          <w:tcPr>
            <w:cnfStyle w:val="001000000000"/>
            <w:tcW w:w="1548" w:type="dxa"/>
            <w:tcBorders>
              <w:top w:val="single" w:sz="12" w:space="0" w:color="auto"/>
            </w:tcBorders>
          </w:tcPr>
          <w:p w:rsidR="001B7A92" w:rsidRPr="001B7A92" w:rsidRDefault="001B7A92" w:rsidP="001B7A92">
            <w:pPr>
              <w:rPr>
                <w:sz w:val="26"/>
                <w:szCs w:val="26"/>
              </w:rPr>
            </w:pPr>
            <w:r w:rsidRPr="001B7A92">
              <w:rPr>
                <w:sz w:val="26"/>
                <w:szCs w:val="26"/>
              </w:rPr>
              <w:t xml:space="preserve">     1.</w:t>
            </w:r>
          </w:p>
        </w:tc>
        <w:tc>
          <w:tcPr>
            <w:tcW w:w="6030" w:type="dxa"/>
            <w:tcBorders>
              <w:top w:val="single" w:sz="12" w:space="0" w:color="auto"/>
            </w:tcBorders>
          </w:tcPr>
          <w:p w:rsidR="001B7A92" w:rsidRPr="001B7A92" w:rsidRDefault="001B7A92" w:rsidP="00B75DA1">
            <w:pPr>
              <w:cnfStyle w:val="000000100000"/>
              <w:rPr>
                <w:sz w:val="26"/>
                <w:szCs w:val="26"/>
              </w:rPr>
            </w:pPr>
            <w:r w:rsidRPr="001B7A92">
              <w:rPr>
                <w:sz w:val="26"/>
                <w:szCs w:val="26"/>
              </w:rPr>
              <w:t>Intro of HRM, Its Functions, Role, Sectors</w:t>
            </w:r>
          </w:p>
        </w:tc>
        <w:tc>
          <w:tcPr>
            <w:tcW w:w="1998" w:type="dxa"/>
            <w:tcBorders>
              <w:top w:val="single" w:sz="12" w:space="0" w:color="auto"/>
            </w:tcBorders>
          </w:tcPr>
          <w:p w:rsidR="001B7A92" w:rsidRPr="001B7A92" w:rsidRDefault="001B7A92" w:rsidP="00B75DA1">
            <w:pPr>
              <w:cnfStyle w:val="000000100000"/>
              <w:rPr>
                <w:sz w:val="26"/>
                <w:szCs w:val="26"/>
              </w:rPr>
            </w:pPr>
            <w:r>
              <w:rPr>
                <w:sz w:val="26"/>
                <w:szCs w:val="26"/>
              </w:rPr>
              <w:t xml:space="preserve">                 2</w:t>
            </w:r>
          </w:p>
        </w:tc>
      </w:tr>
      <w:tr w:rsidR="001B7A92" w:rsidTr="00C94AAC">
        <w:tc>
          <w:tcPr>
            <w:cnfStyle w:val="001000000000"/>
            <w:tcW w:w="1548" w:type="dxa"/>
          </w:tcPr>
          <w:p w:rsidR="001B7A92" w:rsidRPr="001B7A92" w:rsidRDefault="001B7A92" w:rsidP="00B75DA1">
            <w:pPr>
              <w:rPr>
                <w:sz w:val="26"/>
                <w:szCs w:val="26"/>
              </w:rPr>
            </w:pPr>
          </w:p>
        </w:tc>
        <w:tc>
          <w:tcPr>
            <w:tcW w:w="6030" w:type="dxa"/>
          </w:tcPr>
          <w:p w:rsidR="001B7A92" w:rsidRPr="001B7A92" w:rsidRDefault="001B7A92" w:rsidP="00B75DA1">
            <w:pPr>
              <w:cnfStyle w:val="000000000000"/>
              <w:rPr>
                <w:sz w:val="26"/>
                <w:szCs w:val="26"/>
              </w:rPr>
            </w:pPr>
          </w:p>
        </w:tc>
        <w:tc>
          <w:tcPr>
            <w:tcW w:w="1998" w:type="dxa"/>
          </w:tcPr>
          <w:p w:rsidR="001B7A92" w:rsidRPr="001B7A92" w:rsidRDefault="001B7A92" w:rsidP="00B75DA1">
            <w:pPr>
              <w:cnfStyle w:val="000000000000"/>
              <w:rPr>
                <w:sz w:val="26"/>
                <w:szCs w:val="26"/>
              </w:rPr>
            </w:pPr>
          </w:p>
        </w:tc>
      </w:tr>
      <w:tr w:rsidR="001B7A92" w:rsidTr="00C94AAC">
        <w:trPr>
          <w:cnfStyle w:val="000000100000"/>
        </w:trPr>
        <w:tc>
          <w:tcPr>
            <w:cnfStyle w:val="001000000000"/>
            <w:tcW w:w="1548" w:type="dxa"/>
          </w:tcPr>
          <w:p w:rsidR="001B7A92" w:rsidRPr="001B7A92" w:rsidRDefault="001B7A92" w:rsidP="001B7A92">
            <w:pPr>
              <w:rPr>
                <w:sz w:val="26"/>
                <w:szCs w:val="26"/>
              </w:rPr>
            </w:pPr>
            <w:r w:rsidRPr="001B7A92">
              <w:rPr>
                <w:sz w:val="26"/>
                <w:szCs w:val="26"/>
              </w:rPr>
              <w:t xml:space="preserve">     2.</w:t>
            </w:r>
          </w:p>
        </w:tc>
        <w:tc>
          <w:tcPr>
            <w:tcW w:w="6030" w:type="dxa"/>
          </w:tcPr>
          <w:p w:rsidR="001B7A92" w:rsidRPr="00C94AAC" w:rsidRDefault="00C94AAC" w:rsidP="00C94AAC">
            <w:pPr>
              <w:cnfStyle w:val="000000100000"/>
              <w:rPr>
                <w:sz w:val="26"/>
                <w:szCs w:val="26"/>
              </w:rPr>
            </w:pPr>
            <w:r w:rsidRPr="00C94AAC">
              <w:rPr>
                <w:sz w:val="26"/>
                <w:szCs w:val="26"/>
              </w:rPr>
              <w:t>Organization design, culture and development</w:t>
            </w:r>
            <w:r>
              <w:rPr>
                <w:sz w:val="26"/>
                <w:szCs w:val="26"/>
              </w:rPr>
              <w:t>, Analysis of internal &amp; external environment</w:t>
            </w:r>
          </w:p>
        </w:tc>
        <w:tc>
          <w:tcPr>
            <w:tcW w:w="1998" w:type="dxa"/>
          </w:tcPr>
          <w:p w:rsidR="001B7A92" w:rsidRPr="001B7A92" w:rsidRDefault="001B7A92" w:rsidP="00B75DA1">
            <w:pPr>
              <w:cnfStyle w:val="000000100000"/>
              <w:rPr>
                <w:sz w:val="26"/>
                <w:szCs w:val="26"/>
              </w:rPr>
            </w:pPr>
            <w:r>
              <w:rPr>
                <w:sz w:val="26"/>
                <w:szCs w:val="26"/>
              </w:rPr>
              <w:t xml:space="preserve">                 5</w:t>
            </w:r>
          </w:p>
        </w:tc>
      </w:tr>
      <w:tr w:rsidR="001B7A92" w:rsidTr="00C94AAC">
        <w:tc>
          <w:tcPr>
            <w:cnfStyle w:val="001000000000"/>
            <w:tcW w:w="1548" w:type="dxa"/>
          </w:tcPr>
          <w:p w:rsidR="001B7A92" w:rsidRPr="001B7A92" w:rsidRDefault="001B7A92" w:rsidP="00B75DA1">
            <w:pPr>
              <w:rPr>
                <w:sz w:val="26"/>
                <w:szCs w:val="26"/>
              </w:rPr>
            </w:pPr>
          </w:p>
        </w:tc>
        <w:tc>
          <w:tcPr>
            <w:tcW w:w="6030" w:type="dxa"/>
          </w:tcPr>
          <w:p w:rsidR="001B7A92" w:rsidRPr="001B7A92" w:rsidRDefault="001B7A92" w:rsidP="00B75DA1">
            <w:pPr>
              <w:cnfStyle w:val="000000000000"/>
              <w:rPr>
                <w:sz w:val="26"/>
                <w:szCs w:val="26"/>
              </w:rPr>
            </w:pPr>
          </w:p>
        </w:tc>
        <w:tc>
          <w:tcPr>
            <w:tcW w:w="1998" w:type="dxa"/>
          </w:tcPr>
          <w:p w:rsidR="001B7A92" w:rsidRPr="001B7A92" w:rsidRDefault="001B7A92" w:rsidP="00B75DA1">
            <w:pPr>
              <w:cnfStyle w:val="000000000000"/>
              <w:rPr>
                <w:sz w:val="26"/>
                <w:szCs w:val="26"/>
              </w:rPr>
            </w:pPr>
          </w:p>
        </w:tc>
      </w:tr>
      <w:tr w:rsidR="001B7A92" w:rsidTr="00C94AAC">
        <w:trPr>
          <w:cnfStyle w:val="000000100000"/>
        </w:trPr>
        <w:tc>
          <w:tcPr>
            <w:cnfStyle w:val="001000000000"/>
            <w:tcW w:w="1548" w:type="dxa"/>
          </w:tcPr>
          <w:p w:rsidR="001B7A92" w:rsidRPr="001B7A92" w:rsidRDefault="001B7A92" w:rsidP="001B7A92">
            <w:pPr>
              <w:rPr>
                <w:sz w:val="26"/>
                <w:szCs w:val="26"/>
              </w:rPr>
            </w:pPr>
            <w:r>
              <w:rPr>
                <w:sz w:val="26"/>
                <w:szCs w:val="26"/>
              </w:rPr>
              <w:t xml:space="preserve">     3.</w:t>
            </w:r>
          </w:p>
        </w:tc>
        <w:tc>
          <w:tcPr>
            <w:tcW w:w="6030" w:type="dxa"/>
          </w:tcPr>
          <w:p w:rsidR="001B7A92" w:rsidRPr="001B7A92" w:rsidRDefault="00CD3405" w:rsidP="00B75DA1">
            <w:pPr>
              <w:cnfStyle w:val="000000100000"/>
              <w:rPr>
                <w:sz w:val="26"/>
                <w:szCs w:val="26"/>
              </w:rPr>
            </w:pPr>
            <w:r>
              <w:rPr>
                <w:sz w:val="28"/>
                <w:szCs w:val="28"/>
              </w:rPr>
              <w:t>C</w:t>
            </w:r>
            <w:r w:rsidRPr="008617AB">
              <w:rPr>
                <w:sz w:val="28"/>
                <w:szCs w:val="28"/>
              </w:rPr>
              <w:t>ritical analysis of current and predicted changes in the external environment</w:t>
            </w:r>
          </w:p>
        </w:tc>
        <w:tc>
          <w:tcPr>
            <w:tcW w:w="1998" w:type="dxa"/>
          </w:tcPr>
          <w:p w:rsidR="001B7A92" w:rsidRPr="001B7A92" w:rsidRDefault="00CD3405" w:rsidP="00B75DA1">
            <w:pPr>
              <w:cnfStyle w:val="000000100000"/>
              <w:rPr>
                <w:sz w:val="26"/>
                <w:szCs w:val="26"/>
              </w:rPr>
            </w:pPr>
            <w:r>
              <w:rPr>
                <w:sz w:val="26"/>
                <w:szCs w:val="26"/>
              </w:rPr>
              <w:t xml:space="preserve">                 5</w:t>
            </w:r>
          </w:p>
        </w:tc>
      </w:tr>
      <w:tr w:rsidR="001B7A92" w:rsidTr="00C94AAC">
        <w:tc>
          <w:tcPr>
            <w:cnfStyle w:val="001000000000"/>
            <w:tcW w:w="1548" w:type="dxa"/>
          </w:tcPr>
          <w:p w:rsidR="001B7A92" w:rsidRPr="001B7A92" w:rsidRDefault="001B7A92" w:rsidP="00B75DA1">
            <w:pPr>
              <w:rPr>
                <w:sz w:val="26"/>
                <w:szCs w:val="26"/>
              </w:rPr>
            </w:pPr>
          </w:p>
        </w:tc>
        <w:tc>
          <w:tcPr>
            <w:tcW w:w="6030" w:type="dxa"/>
          </w:tcPr>
          <w:p w:rsidR="001B7A92" w:rsidRPr="001B7A92" w:rsidRDefault="001B7A92" w:rsidP="00B75DA1">
            <w:pPr>
              <w:cnfStyle w:val="000000000000"/>
              <w:rPr>
                <w:sz w:val="26"/>
                <w:szCs w:val="26"/>
              </w:rPr>
            </w:pPr>
          </w:p>
        </w:tc>
        <w:tc>
          <w:tcPr>
            <w:tcW w:w="1998" w:type="dxa"/>
          </w:tcPr>
          <w:p w:rsidR="001B7A92" w:rsidRPr="001B7A92" w:rsidRDefault="001B7A92" w:rsidP="00B75DA1">
            <w:pPr>
              <w:cnfStyle w:val="000000000000"/>
              <w:rPr>
                <w:sz w:val="26"/>
                <w:szCs w:val="26"/>
              </w:rPr>
            </w:pPr>
          </w:p>
        </w:tc>
      </w:tr>
      <w:tr w:rsidR="001B7A92" w:rsidTr="00C94AAC">
        <w:trPr>
          <w:cnfStyle w:val="000000100000"/>
        </w:trPr>
        <w:tc>
          <w:tcPr>
            <w:cnfStyle w:val="001000000000"/>
            <w:tcW w:w="1548" w:type="dxa"/>
          </w:tcPr>
          <w:p w:rsidR="001B7A92" w:rsidRPr="001B7A92" w:rsidRDefault="001B7A92" w:rsidP="00B75DA1">
            <w:pPr>
              <w:rPr>
                <w:sz w:val="26"/>
                <w:szCs w:val="26"/>
              </w:rPr>
            </w:pPr>
            <w:r>
              <w:rPr>
                <w:sz w:val="26"/>
                <w:szCs w:val="26"/>
              </w:rPr>
              <w:t xml:space="preserve">     4.</w:t>
            </w:r>
          </w:p>
        </w:tc>
        <w:tc>
          <w:tcPr>
            <w:tcW w:w="6030" w:type="dxa"/>
          </w:tcPr>
          <w:p w:rsidR="001B7A92" w:rsidRPr="001B7A92" w:rsidRDefault="00CD3405" w:rsidP="00B75DA1">
            <w:pPr>
              <w:cnfStyle w:val="000000100000"/>
              <w:rPr>
                <w:sz w:val="26"/>
                <w:szCs w:val="26"/>
              </w:rPr>
            </w:pPr>
            <w:r>
              <w:rPr>
                <w:sz w:val="28"/>
                <w:szCs w:val="28"/>
              </w:rPr>
              <w:t>Critical Analysis of relations between changes in the external environment and company’s people resourcing strategy</w:t>
            </w:r>
          </w:p>
        </w:tc>
        <w:tc>
          <w:tcPr>
            <w:tcW w:w="1998" w:type="dxa"/>
          </w:tcPr>
          <w:p w:rsidR="001B7A92" w:rsidRPr="001B7A92" w:rsidRDefault="00CD3405" w:rsidP="00B75DA1">
            <w:pPr>
              <w:cnfStyle w:val="000000100000"/>
              <w:rPr>
                <w:sz w:val="26"/>
                <w:szCs w:val="26"/>
              </w:rPr>
            </w:pPr>
            <w:r>
              <w:rPr>
                <w:sz w:val="26"/>
                <w:szCs w:val="26"/>
              </w:rPr>
              <w:t xml:space="preserve">                 11</w:t>
            </w:r>
          </w:p>
        </w:tc>
      </w:tr>
      <w:tr w:rsidR="001B7A92" w:rsidTr="00C94AAC">
        <w:tc>
          <w:tcPr>
            <w:cnfStyle w:val="001000000000"/>
            <w:tcW w:w="1548" w:type="dxa"/>
          </w:tcPr>
          <w:p w:rsidR="001B7A92" w:rsidRDefault="001B7A92" w:rsidP="00B75DA1">
            <w:pPr>
              <w:rPr>
                <w:sz w:val="26"/>
                <w:szCs w:val="26"/>
              </w:rPr>
            </w:pPr>
          </w:p>
        </w:tc>
        <w:tc>
          <w:tcPr>
            <w:tcW w:w="6030" w:type="dxa"/>
          </w:tcPr>
          <w:p w:rsidR="001B7A92" w:rsidRPr="001B7A92" w:rsidRDefault="001B7A92" w:rsidP="00B75DA1">
            <w:pPr>
              <w:cnfStyle w:val="000000000000"/>
              <w:rPr>
                <w:sz w:val="26"/>
                <w:szCs w:val="26"/>
              </w:rPr>
            </w:pPr>
          </w:p>
        </w:tc>
        <w:tc>
          <w:tcPr>
            <w:tcW w:w="1998" w:type="dxa"/>
          </w:tcPr>
          <w:p w:rsidR="001B7A92" w:rsidRPr="001B7A92" w:rsidRDefault="001B7A92" w:rsidP="00B75DA1">
            <w:pPr>
              <w:cnfStyle w:val="000000000000"/>
              <w:rPr>
                <w:sz w:val="26"/>
                <w:szCs w:val="26"/>
              </w:rPr>
            </w:pPr>
          </w:p>
        </w:tc>
      </w:tr>
      <w:tr w:rsidR="001B7A92" w:rsidTr="00C94AAC">
        <w:trPr>
          <w:cnfStyle w:val="000000100000"/>
        </w:trPr>
        <w:tc>
          <w:tcPr>
            <w:cnfStyle w:val="001000000000"/>
            <w:tcW w:w="1548" w:type="dxa"/>
          </w:tcPr>
          <w:p w:rsidR="001B7A92" w:rsidRDefault="001B7A92" w:rsidP="00B75DA1">
            <w:pPr>
              <w:rPr>
                <w:sz w:val="26"/>
                <w:szCs w:val="26"/>
              </w:rPr>
            </w:pPr>
            <w:r>
              <w:rPr>
                <w:sz w:val="26"/>
                <w:szCs w:val="26"/>
              </w:rPr>
              <w:t xml:space="preserve">     5.</w:t>
            </w:r>
          </w:p>
        </w:tc>
        <w:tc>
          <w:tcPr>
            <w:tcW w:w="6030" w:type="dxa"/>
          </w:tcPr>
          <w:p w:rsidR="001B7A92" w:rsidRPr="001B7A92" w:rsidRDefault="00CD3405" w:rsidP="00B75DA1">
            <w:pPr>
              <w:cnfStyle w:val="000000100000"/>
              <w:rPr>
                <w:sz w:val="26"/>
                <w:szCs w:val="26"/>
              </w:rPr>
            </w:pPr>
            <w:r>
              <w:rPr>
                <w:sz w:val="26"/>
                <w:szCs w:val="26"/>
              </w:rPr>
              <w:t xml:space="preserve">Strategies of MTN </w:t>
            </w:r>
          </w:p>
        </w:tc>
        <w:tc>
          <w:tcPr>
            <w:tcW w:w="1998" w:type="dxa"/>
          </w:tcPr>
          <w:p w:rsidR="001B7A92" w:rsidRPr="001B7A92" w:rsidRDefault="00F564B2" w:rsidP="00B75DA1">
            <w:pPr>
              <w:cnfStyle w:val="000000100000"/>
              <w:rPr>
                <w:sz w:val="26"/>
                <w:szCs w:val="26"/>
              </w:rPr>
            </w:pPr>
            <w:r>
              <w:rPr>
                <w:sz w:val="26"/>
                <w:szCs w:val="26"/>
              </w:rPr>
              <w:t xml:space="preserve">                 11</w:t>
            </w:r>
          </w:p>
        </w:tc>
      </w:tr>
      <w:tr w:rsidR="001B7A92" w:rsidTr="00C94AAC">
        <w:tc>
          <w:tcPr>
            <w:cnfStyle w:val="001000000000"/>
            <w:tcW w:w="1548" w:type="dxa"/>
          </w:tcPr>
          <w:p w:rsidR="001B7A92" w:rsidRDefault="001B7A92" w:rsidP="00B75DA1">
            <w:pPr>
              <w:rPr>
                <w:sz w:val="26"/>
                <w:szCs w:val="26"/>
              </w:rPr>
            </w:pPr>
            <w:r>
              <w:rPr>
                <w:sz w:val="26"/>
                <w:szCs w:val="26"/>
              </w:rPr>
              <w:t xml:space="preserve"> </w:t>
            </w:r>
          </w:p>
        </w:tc>
        <w:tc>
          <w:tcPr>
            <w:tcW w:w="6030" w:type="dxa"/>
          </w:tcPr>
          <w:p w:rsidR="001B7A92" w:rsidRPr="001B7A92" w:rsidRDefault="001B7A92" w:rsidP="00B75DA1">
            <w:pPr>
              <w:cnfStyle w:val="000000000000"/>
              <w:rPr>
                <w:sz w:val="26"/>
                <w:szCs w:val="26"/>
              </w:rPr>
            </w:pPr>
          </w:p>
        </w:tc>
        <w:tc>
          <w:tcPr>
            <w:tcW w:w="1998" w:type="dxa"/>
          </w:tcPr>
          <w:p w:rsidR="001B7A92" w:rsidRPr="001B7A92" w:rsidRDefault="001B7A92" w:rsidP="00B75DA1">
            <w:pPr>
              <w:cnfStyle w:val="000000000000"/>
              <w:rPr>
                <w:sz w:val="26"/>
                <w:szCs w:val="26"/>
              </w:rPr>
            </w:pPr>
          </w:p>
        </w:tc>
      </w:tr>
      <w:tr w:rsidR="001B7A92" w:rsidTr="00C94AAC">
        <w:trPr>
          <w:cnfStyle w:val="000000100000"/>
        </w:trPr>
        <w:tc>
          <w:tcPr>
            <w:cnfStyle w:val="001000000000"/>
            <w:tcW w:w="1548" w:type="dxa"/>
          </w:tcPr>
          <w:p w:rsidR="001B7A92" w:rsidRDefault="001B7A92" w:rsidP="00B75DA1">
            <w:pPr>
              <w:rPr>
                <w:sz w:val="26"/>
                <w:szCs w:val="26"/>
              </w:rPr>
            </w:pPr>
            <w:r>
              <w:rPr>
                <w:sz w:val="26"/>
                <w:szCs w:val="26"/>
              </w:rPr>
              <w:t xml:space="preserve">     6.</w:t>
            </w:r>
          </w:p>
        </w:tc>
        <w:tc>
          <w:tcPr>
            <w:tcW w:w="6030" w:type="dxa"/>
          </w:tcPr>
          <w:p w:rsidR="001B7A92" w:rsidRPr="001B7A92" w:rsidRDefault="00F564B2" w:rsidP="00B75DA1">
            <w:pPr>
              <w:cnfStyle w:val="000000100000"/>
              <w:rPr>
                <w:sz w:val="26"/>
                <w:szCs w:val="26"/>
              </w:rPr>
            </w:pPr>
            <w:r>
              <w:rPr>
                <w:sz w:val="26"/>
                <w:szCs w:val="26"/>
              </w:rPr>
              <w:t>Conclusion</w:t>
            </w:r>
          </w:p>
        </w:tc>
        <w:tc>
          <w:tcPr>
            <w:tcW w:w="1998" w:type="dxa"/>
          </w:tcPr>
          <w:p w:rsidR="001B7A92" w:rsidRPr="001B7A92" w:rsidRDefault="00F564B2" w:rsidP="00B75DA1">
            <w:pPr>
              <w:cnfStyle w:val="000000100000"/>
              <w:rPr>
                <w:sz w:val="26"/>
                <w:szCs w:val="26"/>
              </w:rPr>
            </w:pPr>
            <w:r>
              <w:rPr>
                <w:sz w:val="26"/>
                <w:szCs w:val="26"/>
              </w:rPr>
              <w:t xml:space="preserve">                 13</w:t>
            </w:r>
          </w:p>
        </w:tc>
      </w:tr>
      <w:tr w:rsidR="001B7A92" w:rsidTr="00C94AAC">
        <w:tc>
          <w:tcPr>
            <w:cnfStyle w:val="001000000000"/>
            <w:tcW w:w="1548" w:type="dxa"/>
          </w:tcPr>
          <w:p w:rsidR="001B7A92" w:rsidRDefault="001B7A92" w:rsidP="00B75DA1">
            <w:pPr>
              <w:rPr>
                <w:sz w:val="26"/>
                <w:szCs w:val="26"/>
              </w:rPr>
            </w:pPr>
          </w:p>
        </w:tc>
        <w:tc>
          <w:tcPr>
            <w:tcW w:w="6030" w:type="dxa"/>
          </w:tcPr>
          <w:p w:rsidR="001B7A92" w:rsidRPr="001B7A92" w:rsidRDefault="001B7A92" w:rsidP="00B75DA1">
            <w:pPr>
              <w:cnfStyle w:val="000000000000"/>
              <w:rPr>
                <w:sz w:val="26"/>
                <w:szCs w:val="26"/>
              </w:rPr>
            </w:pPr>
          </w:p>
        </w:tc>
        <w:tc>
          <w:tcPr>
            <w:tcW w:w="1998" w:type="dxa"/>
          </w:tcPr>
          <w:p w:rsidR="001B7A92" w:rsidRPr="001B7A92" w:rsidRDefault="001B7A92" w:rsidP="00B75DA1">
            <w:pPr>
              <w:cnfStyle w:val="000000000000"/>
              <w:rPr>
                <w:sz w:val="26"/>
                <w:szCs w:val="26"/>
              </w:rPr>
            </w:pPr>
          </w:p>
        </w:tc>
      </w:tr>
      <w:tr w:rsidR="00F564B2" w:rsidTr="00C94AAC">
        <w:trPr>
          <w:cnfStyle w:val="000000100000"/>
        </w:trPr>
        <w:tc>
          <w:tcPr>
            <w:cnfStyle w:val="001000000000"/>
            <w:tcW w:w="1548" w:type="dxa"/>
          </w:tcPr>
          <w:p w:rsidR="00F564B2" w:rsidRDefault="00F564B2" w:rsidP="00997A1E">
            <w:pPr>
              <w:rPr>
                <w:sz w:val="26"/>
                <w:szCs w:val="26"/>
              </w:rPr>
            </w:pPr>
            <w:r>
              <w:rPr>
                <w:sz w:val="26"/>
                <w:szCs w:val="26"/>
              </w:rPr>
              <w:t xml:space="preserve">     7.</w:t>
            </w:r>
          </w:p>
        </w:tc>
        <w:tc>
          <w:tcPr>
            <w:tcW w:w="6030" w:type="dxa"/>
          </w:tcPr>
          <w:p w:rsidR="00F564B2" w:rsidRPr="001B7A92" w:rsidRDefault="00F564B2" w:rsidP="00997A1E">
            <w:pPr>
              <w:cnfStyle w:val="000000100000"/>
              <w:rPr>
                <w:sz w:val="26"/>
                <w:szCs w:val="26"/>
              </w:rPr>
            </w:pPr>
            <w:r>
              <w:rPr>
                <w:sz w:val="26"/>
                <w:szCs w:val="26"/>
              </w:rPr>
              <w:t>References</w:t>
            </w:r>
          </w:p>
        </w:tc>
        <w:tc>
          <w:tcPr>
            <w:tcW w:w="1998" w:type="dxa"/>
          </w:tcPr>
          <w:p w:rsidR="00F564B2" w:rsidRPr="001B7A92" w:rsidRDefault="00F564B2" w:rsidP="00B75DA1">
            <w:pPr>
              <w:cnfStyle w:val="000000100000"/>
              <w:rPr>
                <w:sz w:val="26"/>
                <w:szCs w:val="26"/>
              </w:rPr>
            </w:pPr>
            <w:r>
              <w:rPr>
                <w:sz w:val="26"/>
                <w:szCs w:val="26"/>
              </w:rPr>
              <w:t xml:space="preserve">                 13</w:t>
            </w:r>
          </w:p>
        </w:tc>
      </w:tr>
      <w:tr w:rsidR="00F564B2" w:rsidTr="00C94AAC">
        <w:tc>
          <w:tcPr>
            <w:cnfStyle w:val="001000000000"/>
            <w:tcW w:w="1548" w:type="dxa"/>
            <w:tcBorders>
              <w:bottom w:val="single" w:sz="12" w:space="0" w:color="auto"/>
            </w:tcBorders>
          </w:tcPr>
          <w:p w:rsidR="00F564B2" w:rsidRDefault="00F564B2" w:rsidP="00B75DA1">
            <w:pPr>
              <w:rPr>
                <w:sz w:val="26"/>
                <w:szCs w:val="26"/>
              </w:rPr>
            </w:pPr>
          </w:p>
        </w:tc>
        <w:tc>
          <w:tcPr>
            <w:tcW w:w="6030" w:type="dxa"/>
            <w:tcBorders>
              <w:bottom w:val="single" w:sz="12" w:space="0" w:color="auto"/>
            </w:tcBorders>
          </w:tcPr>
          <w:p w:rsidR="00F564B2" w:rsidRPr="001B7A92" w:rsidRDefault="00F564B2" w:rsidP="00B75DA1">
            <w:pPr>
              <w:cnfStyle w:val="000000000000"/>
              <w:rPr>
                <w:sz w:val="26"/>
                <w:szCs w:val="26"/>
              </w:rPr>
            </w:pPr>
          </w:p>
        </w:tc>
        <w:tc>
          <w:tcPr>
            <w:tcW w:w="1998" w:type="dxa"/>
            <w:tcBorders>
              <w:bottom w:val="single" w:sz="12" w:space="0" w:color="auto"/>
            </w:tcBorders>
          </w:tcPr>
          <w:p w:rsidR="00F564B2" w:rsidRPr="001B7A92" w:rsidRDefault="00F564B2" w:rsidP="00B75DA1">
            <w:pPr>
              <w:cnfStyle w:val="000000000000"/>
              <w:rPr>
                <w:sz w:val="26"/>
                <w:szCs w:val="26"/>
              </w:rPr>
            </w:pPr>
          </w:p>
        </w:tc>
      </w:tr>
    </w:tbl>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B75DA1" w:rsidRDefault="00B75DA1" w:rsidP="00B75DA1"/>
    <w:p w:rsidR="00207D8E" w:rsidRDefault="00B75DA1" w:rsidP="00207D8E">
      <w:pPr>
        <w:rPr>
          <w:b/>
          <w:sz w:val="28"/>
          <w:szCs w:val="28"/>
        </w:rPr>
      </w:pPr>
      <w:r w:rsidRPr="00B75DA1">
        <w:rPr>
          <w:b/>
          <w:sz w:val="28"/>
          <w:szCs w:val="28"/>
        </w:rPr>
        <w:t>Question 1:</w:t>
      </w:r>
    </w:p>
    <w:tbl>
      <w:tblPr>
        <w:tblStyle w:val="LightShading1"/>
        <w:tblW w:w="0" w:type="auto"/>
        <w:tblLook w:val="04A0"/>
      </w:tblPr>
      <w:tblGrid>
        <w:gridCol w:w="9576"/>
      </w:tblGrid>
      <w:tr w:rsidR="00207D8E" w:rsidTr="00207D8E">
        <w:trPr>
          <w:cnfStyle w:val="100000000000"/>
        </w:trPr>
        <w:tc>
          <w:tcPr>
            <w:cnfStyle w:val="001000000000"/>
            <w:tcW w:w="9576" w:type="dxa"/>
            <w:tcBorders>
              <w:top w:val="single" w:sz="12" w:space="0" w:color="auto"/>
              <w:bottom w:val="single" w:sz="12" w:space="0" w:color="auto"/>
            </w:tcBorders>
          </w:tcPr>
          <w:p w:rsidR="00207D8E" w:rsidRPr="00207D8E" w:rsidRDefault="00207D8E" w:rsidP="00207D8E">
            <w:pPr>
              <w:rPr>
                <w:sz w:val="28"/>
                <w:szCs w:val="28"/>
              </w:rPr>
            </w:pPr>
            <w:r>
              <w:rPr>
                <w:sz w:val="28"/>
                <w:szCs w:val="28"/>
              </w:rPr>
              <w:t xml:space="preserve">Introduction of </w:t>
            </w:r>
            <w:r w:rsidRPr="00207D8E">
              <w:rPr>
                <w:sz w:val="28"/>
                <w:szCs w:val="28"/>
              </w:rPr>
              <w:t>HRM?</w:t>
            </w:r>
          </w:p>
        </w:tc>
      </w:tr>
    </w:tbl>
    <w:p w:rsidR="00B75DA1" w:rsidRDefault="00B75DA1" w:rsidP="00B75DA1">
      <w:pPr>
        <w:rPr>
          <w:sz w:val="28"/>
          <w:szCs w:val="28"/>
        </w:rPr>
      </w:pPr>
      <w:r w:rsidRPr="00207D8E">
        <w:rPr>
          <w:sz w:val="28"/>
          <w:szCs w:val="28"/>
        </w:rPr>
        <w:t>Answer:</w:t>
      </w:r>
      <w:r>
        <w:rPr>
          <w:sz w:val="28"/>
          <w:szCs w:val="28"/>
        </w:rPr>
        <w:t xml:space="preserve"> Human Resource Management</w:t>
      </w:r>
      <w:r w:rsidRPr="00B75DA1">
        <w:rPr>
          <w:sz w:val="28"/>
          <w:szCs w:val="28"/>
        </w:rPr>
        <w:t xml:space="preserve"> is the faculty work that is worried about acquisition, advancement, remuneration, joining, and support of the staff of an association to add to the achievements of the association's goals. Hence, staff the executives is the arranging, sorting out, coordinating, and controlling the exhibi</w:t>
      </w:r>
      <w:r w:rsidR="00E9378B">
        <w:rPr>
          <w:sz w:val="28"/>
          <w:szCs w:val="28"/>
        </w:rPr>
        <w:t xml:space="preserve">tion of those usable capacities. </w:t>
      </w:r>
      <w:r w:rsidRPr="00B75DA1">
        <w:rPr>
          <w:sz w:val="28"/>
          <w:szCs w:val="28"/>
        </w:rPr>
        <w:t>It is the method of overseeing individuals at work so they giv</w:t>
      </w:r>
      <w:r w:rsidR="000F2864">
        <w:rPr>
          <w:sz w:val="28"/>
          <w:szCs w:val="28"/>
        </w:rPr>
        <w:t>e their best to the association</w:t>
      </w:r>
      <w:r w:rsidR="00F97579">
        <w:rPr>
          <w:sz w:val="28"/>
          <w:szCs w:val="28"/>
        </w:rPr>
        <w:t>.</w:t>
      </w:r>
      <w:r w:rsidR="001C75F3">
        <w:rPr>
          <w:sz w:val="28"/>
          <w:szCs w:val="28"/>
        </w:rPr>
        <w:t xml:space="preserve"> </w:t>
      </w:r>
    </w:p>
    <w:tbl>
      <w:tblPr>
        <w:tblStyle w:val="LightShading1"/>
        <w:tblW w:w="9711" w:type="dxa"/>
        <w:tblLook w:val="04A0"/>
      </w:tblPr>
      <w:tblGrid>
        <w:gridCol w:w="9711"/>
      </w:tblGrid>
      <w:tr w:rsidR="00207D8E" w:rsidTr="00207D8E">
        <w:trPr>
          <w:cnfStyle w:val="100000000000"/>
          <w:trHeight w:val="345"/>
        </w:trPr>
        <w:tc>
          <w:tcPr>
            <w:cnfStyle w:val="001000000000"/>
            <w:tcW w:w="9711" w:type="dxa"/>
            <w:tcBorders>
              <w:top w:val="single" w:sz="12" w:space="0" w:color="auto"/>
              <w:bottom w:val="single" w:sz="12" w:space="0" w:color="auto"/>
            </w:tcBorders>
          </w:tcPr>
          <w:p w:rsidR="00207D8E" w:rsidRPr="00207D8E" w:rsidRDefault="00207D8E" w:rsidP="00B75DA1">
            <w:pPr>
              <w:rPr>
                <w:sz w:val="28"/>
                <w:szCs w:val="28"/>
              </w:rPr>
            </w:pPr>
            <w:r w:rsidRPr="00207D8E">
              <w:rPr>
                <w:sz w:val="28"/>
                <w:szCs w:val="28"/>
              </w:rPr>
              <w:t>Functions of Human Resource Management</w:t>
            </w:r>
          </w:p>
        </w:tc>
      </w:tr>
    </w:tbl>
    <w:p w:rsidR="001B7A92" w:rsidRDefault="00207D8E" w:rsidP="00207D8E">
      <w:pPr>
        <w:rPr>
          <w:sz w:val="28"/>
          <w:szCs w:val="28"/>
        </w:rPr>
      </w:pPr>
      <w:r w:rsidRPr="00207D8E">
        <w:rPr>
          <w:sz w:val="28"/>
          <w:szCs w:val="28"/>
        </w:rPr>
        <w:t xml:space="preserve">Human Resources management has a significant task to carry out in preparing associations to meet the </w:t>
      </w:r>
      <w:r w:rsidR="006E141E">
        <w:rPr>
          <w:sz w:val="28"/>
          <w:szCs w:val="28"/>
        </w:rPr>
        <w:t>challenges of an expanding &amp;</w:t>
      </w:r>
      <w:r w:rsidRPr="00207D8E">
        <w:rPr>
          <w:sz w:val="28"/>
          <w:szCs w:val="28"/>
        </w:rPr>
        <w:t xml:space="preserve"> increasingly competitive sector. Increas</w:t>
      </w:r>
      <w:r>
        <w:rPr>
          <w:sz w:val="28"/>
          <w:szCs w:val="28"/>
        </w:rPr>
        <w:t xml:space="preserve">e in staff numbers, contractual </w:t>
      </w:r>
      <w:r w:rsidRPr="00207D8E">
        <w:rPr>
          <w:sz w:val="28"/>
          <w:szCs w:val="28"/>
        </w:rPr>
        <w:t xml:space="preserve">broadening and changes in segment profile which urge the HR administrators to reconfigure the job </w:t>
      </w:r>
      <w:r w:rsidR="006E141E">
        <w:rPr>
          <w:sz w:val="28"/>
          <w:szCs w:val="28"/>
        </w:rPr>
        <w:t>&amp;</w:t>
      </w:r>
      <w:r w:rsidRPr="00207D8E">
        <w:rPr>
          <w:sz w:val="28"/>
          <w:szCs w:val="28"/>
        </w:rPr>
        <w:t xml:space="preserve"> significance of human resources management. </w:t>
      </w:r>
      <w:r w:rsidR="006E141E">
        <w:rPr>
          <w:sz w:val="28"/>
          <w:szCs w:val="28"/>
        </w:rPr>
        <w:t>T</w:t>
      </w:r>
      <w:r w:rsidRPr="00207D8E">
        <w:rPr>
          <w:sz w:val="28"/>
          <w:szCs w:val="28"/>
        </w:rPr>
        <w:t>he capacities are rece</w:t>
      </w:r>
      <w:r>
        <w:rPr>
          <w:sz w:val="28"/>
          <w:szCs w:val="28"/>
        </w:rPr>
        <w:t xml:space="preserve">ptive to current staffing needs </w:t>
      </w:r>
      <w:r w:rsidRPr="00207D8E">
        <w:rPr>
          <w:sz w:val="28"/>
          <w:szCs w:val="28"/>
        </w:rPr>
        <w:t>but can be proactive in res</w:t>
      </w:r>
      <w:r>
        <w:rPr>
          <w:sz w:val="28"/>
          <w:szCs w:val="28"/>
        </w:rPr>
        <w:t>haping organizational objecti</w:t>
      </w:r>
      <w:r w:rsidR="006E141E">
        <w:rPr>
          <w:sz w:val="28"/>
          <w:szCs w:val="28"/>
        </w:rPr>
        <w:t>ve</w:t>
      </w:r>
      <w:r w:rsidRPr="00207D8E">
        <w:rPr>
          <w:sz w:val="28"/>
          <w:szCs w:val="28"/>
        </w:rPr>
        <w:t>.</w:t>
      </w:r>
      <w:r>
        <w:rPr>
          <w:sz w:val="28"/>
          <w:szCs w:val="28"/>
        </w:rPr>
        <w:t xml:space="preserve">  </w:t>
      </w:r>
      <w:r>
        <w:rPr>
          <w:noProof/>
          <w:sz w:val="28"/>
          <w:szCs w:val="28"/>
        </w:rPr>
        <w:drawing>
          <wp:inline distT="0" distB="0" distL="0" distR="0">
            <wp:extent cx="4752975" cy="3400425"/>
            <wp:effectExtent l="1905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cstate="print"/>
                    <a:srcRect/>
                    <a:stretch>
                      <a:fillRect/>
                    </a:stretch>
                  </pic:blipFill>
                  <pic:spPr bwMode="auto">
                    <a:xfrm>
                      <a:off x="0" y="0"/>
                      <a:ext cx="4752975" cy="3400425"/>
                    </a:xfrm>
                    <a:prstGeom prst="rect">
                      <a:avLst/>
                    </a:prstGeom>
                    <a:noFill/>
                    <a:ln w="9525">
                      <a:noFill/>
                      <a:miter lim="800000"/>
                      <a:headEnd/>
                      <a:tailEnd/>
                    </a:ln>
                  </pic:spPr>
                </pic:pic>
              </a:graphicData>
            </a:graphic>
          </wp:inline>
        </w:drawing>
      </w:r>
    </w:p>
    <w:p w:rsidR="00C94AAC" w:rsidRDefault="00C94AAC" w:rsidP="00207D8E">
      <w:pPr>
        <w:rPr>
          <w:sz w:val="28"/>
          <w:szCs w:val="28"/>
        </w:rPr>
      </w:pPr>
    </w:p>
    <w:p w:rsidR="00387CA3" w:rsidRDefault="00387CA3" w:rsidP="00207D8E">
      <w:pPr>
        <w:rPr>
          <w:sz w:val="28"/>
          <w:szCs w:val="28"/>
        </w:rPr>
      </w:pPr>
    </w:p>
    <w:tbl>
      <w:tblPr>
        <w:tblStyle w:val="LightShading1"/>
        <w:tblW w:w="0" w:type="auto"/>
        <w:tblLook w:val="04A0"/>
      </w:tblPr>
      <w:tblGrid>
        <w:gridCol w:w="9576"/>
      </w:tblGrid>
      <w:tr w:rsidR="00207D8E" w:rsidTr="00207D8E">
        <w:trPr>
          <w:cnfStyle w:val="100000000000"/>
        </w:trPr>
        <w:tc>
          <w:tcPr>
            <w:cnfStyle w:val="001000000000"/>
            <w:tcW w:w="9576" w:type="dxa"/>
            <w:tcBorders>
              <w:top w:val="single" w:sz="12" w:space="0" w:color="auto"/>
              <w:bottom w:val="single" w:sz="12" w:space="0" w:color="auto"/>
            </w:tcBorders>
          </w:tcPr>
          <w:p w:rsidR="00207D8E" w:rsidRDefault="00207D8E" w:rsidP="00207D8E">
            <w:pPr>
              <w:rPr>
                <w:sz w:val="28"/>
                <w:szCs w:val="28"/>
              </w:rPr>
            </w:pPr>
            <w:r>
              <w:rPr>
                <w:sz w:val="28"/>
                <w:szCs w:val="28"/>
              </w:rPr>
              <w:t>Roles of Human Resource Management</w:t>
            </w:r>
          </w:p>
        </w:tc>
      </w:tr>
    </w:tbl>
    <w:p w:rsidR="00207D8E" w:rsidRDefault="00207D8E" w:rsidP="00207D8E">
      <w:pPr>
        <w:rPr>
          <w:sz w:val="28"/>
          <w:szCs w:val="28"/>
        </w:rPr>
      </w:pPr>
      <w:r>
        <w:rPr>
          <w:sz w:val="28"/>
          <w:szCs w:val="28"/>
        </w:rPr>
        <w:t>Answer: The role</w:t>
      </w:r>
      <w:r w:rsidRPr="00207D8E">
        <w:rPr>
          <w:sz w:val="28"/>
          <w:szCs w:val="28"/>
        </w:rPr>
        <w:t xml:space="preserve"> of HRM is to design, create, and manage approaches and projects intended to utilize an association's HR. It is that part of the executives who are worried about the individuals at work and with their relationship inside endeavors. Its goals are: </w:t>
      </w:r>
    </w:p>
    <w:p w:rsidR="00207D8E" w:rsidRPr="00207D8E" w:rsidRDefault="00207D8E" w:rsidP="00207D8E">
      <w:pPr>
        <w:rPr>
          <w:sz w:val="28"/>
          <w:szCs w:val="28"/>
        </w:rPr>
      </w:pPr>
      <w:r w:rsidRPr="00207D8E">
        <w:rPr>
          <w:sz w:val="28"/>
          <w:szCs w:val="28"/>
        </w:rPr>
        <w:t xml:space="preserve">(a) </w:t>
      </w:r>
      <w:r>
        <w:rPr>
          <w:sz w:val="28"/>
          <w:szCs w:val="28"/>
        </w:rPr>
        <w:t>Effective</w:t>
      </w:r>
      <w:r w:rsidRPr="00207D8E">
        <w:rPr>
          <w:sz w:val="28"/>
          <w:szCs w:val="28"/>
        </w:rPr>
        <w:t xml:space="preserve"> use of HR </w:t>
      </w:r>
    </w:p>
    <w:p w:rsidR="00207D8E" w:rsidRDefault="00207D8E" w:rsidP="00207D8E">
      <w:pPr>
        <w:rPr>
          <w:sz w:val="28"/>
          <w:szCs w:val="28"/>
        </w:rPr>
      </w:pPr>
      <w:r>
        <w:rPr>
          <w:sz w:val="28"/>
          <w:szCs w:val="28"/>
        </w:rPr>
        <w:t>(b) Desirable</w:t>
      </w:r>
      <w:r w:rsidRPr="00207D8E">
        <w:rPr>
          <w:sz w:val="28"/>
          <w:szCs w:val="28"/>
        </w:rPr>
        <w:t xml:space="preserve"> working connections among all individuals from the associations, </w:t>
      </w:r>
    </w:p>
    <w:p w:rsidR="001B7A92" w:rsidRDefault="00207D8E" w:rsidP="00207D8E">
      <w:pPr>
        <w:rPr>
          <w:sz w:val="28"/>
          <w:szCs w:val="28"/>
        </w:rPr>
      </w:pPr>
      <w:r w:rsidRPr="00207D8E">
        <w:rPr>
          <w:sz w:val="28"/>
          <w:szCs w:val="28"/>
        </w:rPr>
        <w:t>(</w:t>
      </w:r>
      <w:r>
        <w:rPr>
          <w:sz w:val="28"/>
          <w:szCs w:val="28"/>
        </w:rPr>
        <w:t>c) M</w:t>
      </w:r>
      <w:r w:rsidRPr="00207D8E">
        <w:rPr>
          <w:sz w:val="28"/>
          <w:szCs w:val="28"/>
        </w:rPr>
        <w:t>ost extreme individual turn of events. HR work is basically authoritative and proficient. HR staff zeroed in on directing advantages and other financial and operational capacities and didn't consider themselves having an impact on the company's general system</w:t>
      </w:r>
      <w:r w:rsidR="006E141E">
        <w:rPr>
          <w:sz w:val="28"/>
          <w:szCs w:val="28"/>
        </w:rPr>
        <w:t>.</w:t>
      </w:r>
    </w:p>
    <w:tbl>
      <w:tblPr>
        <w:tblStyle w:val="LightShading1"/>
        <w:tblW w:w="0" w:type="auto"/>
        <w:tblLook w:val="04A0"/>
      </w:tblPr>
      <w:tblGrid>
        <w:gridCol w:w="9576"/>
      </w:tblGrid>
      <w:tr w:rsidR="00207D8E" w:rsidTr="00207D8E">
        <w:trPr>
          <w:cnfStyle w:val="100000000000"/>
        </w:trPr>
        <w:tc>
          <w:tcPr>
            <w:cnfStyle w:val="001000000000"/>
            <w:tcW w:w="9576" w:type="dxa"/>
            <w:tcBorders>
              <w:top w:val="single" w:sz="12" w:space="0" w:color="auto"/>
              <w:bottom w:val="single" w:sz="12" w:space="0" w:color="auto"/>
            </w:tcBorders>
          </w:tcPr>
          <w:p w:rsidR="00207D8E" w:rsidRPr="00207D8E" w:rsidRDefault="00207D8E" w:rsidP="00207D8E">
            <w:pPr>
              <w:rPr>
                <w:sz w:val="28"/>
                <w:szCs w:val="28"/>
              </w:rPr>
            </w:pPr>
            <w:r w:rsidRPr="00207D8E">
              <w:rPr>
                <w:sz w:val="28"/>
                <w:szCs w:val="28"/>
              </w:rPr>
              <w:t>Small, medium and large enterprises nationally and internationally</w:t>
            </w:r>
          </w:p>
        </w:tc>
      </w:tr>
    </w:tbl>
    <w:p w:rsidR="00207D8E" w:rsidRDefault="00207D8E" w:rsidP="00207D8E">
      <w:pPr>
        <w:rPr>
          <w:sz w:val="28"/>
          <w:szCs w:val="28"/>
        </w:rPr>
      </w:pPr>
      <w:r>
        <w:rPr>
          <w:sz w:val="28"/>
          <w:szCs w:val="28"/>
        </w:rPr>
        <w:t xml:space="preserve">Answer: </w:t>
      </w:r>
      <w:r w:rsidRPr="00207D8E">
        <w:rPr>
          <w:sz w:val="28"/>
          <w:szCs w:val="28"/>
        </w:rPr>
        <w:t>Learning of Human Resource Management is a made inside Small and Medium Industries situated in Dundigal modern domain in Hyderabad, Telangana State. The defeat of the learning shows that most of the units perform not has any human asset strategy instead of Telangana. In any case, they follow identical Human Resource rehearses like the Recruitment cycle, Selection measure, Training execution, execution evaluation reparation, Grievance response, and soon in an arbitrary and abstract technique. This paper proposed an expert come extremely close to different sizes of human asset the board in the light of a grouping of requirements the little and medium enterprises run over Telangana State.</w:t>
      </w:r>
    </w:p>
    <w:p w:rsidR="001C75F3" w:rsidRDefault="001C75F3" w:rsidP="00B75DA1">
      <w:pPr>
        <w:rPr>
          <w:sz w:val="28"/>
          <w:szCs w:val="28"/>
        </w:rPr>
      </w:pPr>
    </w:p>
    <w:p w:rsidR="001C75F3" w:rsidRDefault="001C75F3" w:rsidP="00B75DA1">
      <w:pPr>
        <w:rPr>
          <w:sz w:val="28"/>
          <w:szCs w:val="28"/>
        </w:rPr>
      </w:pPr>
    </w:p>
    <w:p w:rsidR="001C75F3" w:rsidRDefault="001C75F3" w:rsidP="00B75DA1">
      <w:pPr>
        <w:rPr>
          <w:sz w:val="28"/>
          <w:szCs w:val="28"/>
        </w:rPr>
      </w:pPr>
    </w:p>
    <w:p w:rsidR="001C75F3" w:rsidRDefault="001C75F3" w:rsidP="00B75DA1">
      <w:pPr>
        <w:rPr>
          <w:sz w:val="28"/>
          <w:szCs w:val="28"/>
        </w:rPr>
      </w:pPr>
    </w:p>
    <w:p w:rsidR="008617AB" w:rsidRDefault="008617AB" w:rsidP="00B75DA1">
      <w:pPr>
        <w:rPr>
          <w:b/>
          <w:sz w:val="28"/>
          <w:szCs w:val="28"/>
        </w:rPr>
      </w:pPr>
    </w:p>
    <w:p w:rsidR="008617AB" w:rsidRDefault="008617AB" w:rsidP="00B75DA1">
      <w:pPr>
        <w:rPr>
          <w:b/>
          <w:sz w:val="28"/>
          <w:szCs w:val="28"/>
        </w:rPr>
      </w:pPr>
    </w:p>
    <w:tbl>
      <w:tblPr>
        <w:tblStyle w:val="LightShading1"/>
        <w:tblW w:w="0" w:type="auto"/>
        <w:tblLook w:val="04A0"/>
      </w:tblPr>
      <w:tblGrid>
        <w:gridCol w:w="9576"/>
      </w:tblGrid>
      <w:tr w:rsidR="008617AB" w:rsidTr="008617AB">
        <w:trPr>
          <w:cnfStyle w:val="100000000000"/>
        </w:trPr>
        <w:tc>
          <w:tcPr>
            <w:cnfStyle w:val="001000000000"/>
            <w:tcW w:w="9576" w:type="dxa"/>
            <w:tcBorders>
              <w:top w:val="single" w:sz="12" w:space="0" w:color="auto"/>
              <w:bottom w:val="single" w:sz="12" w:space="0" w:color="auto"/>
            </w:tcBorders>
          </w:tcPr>
          <w:p w:rsidR="008617AB" w:rsidRPr="008617AB" w:rsidRDefault="008617AB" w:rsidP="00B75DA1">
            <w:pPr>
              <w:rPr>
                <w:sz w:val="28"/>
                <w:szCs w:val="28"/>
              </w:rPr>
            </w:pPr>
            <w:r w:rsidRPr="008617AB">
              <w:rPr>
                <w:sz w:val="28"/>
                <w:szCs w:val="28"/>
              </w:rPr>
              <w:t>Abstract</w:t>
            </w:r>
          </w:p>
        </w:tc>
      </w:tr>
    </w:tbl>
    <w:p w:rsidR="008617AB" w:rsidRDefault="008617AB" w:rsidP="00B75DA1">
      <w:pPr>
        <w:rPr>
          <w:sz w:val="28"/>
          <w:szCs w:val="28"/>
        </w:rPr>
      </w:pPr>
      <w:r w:rsidRPr="008617AB">
        <w:rPr>
          <w:sz w:val="28"/>
          <w:szCs w:val="28"/>
        </w:rPr>
        <w:t>The goal of this investigation is to inspect precisely the current and anticipated changes in the outside climate of MTN Group Limited that is one of the bi</w:t>
      </w:r>
      <w:r>
        <w:rPr>
          <w:sz w:val="28"/>
          <w:szCs w:val="28"/>
        </w:rPr>
        <w:t>ggest media transmission organiz</w:t>
      </w:r>
      <w:r w:rsidRPr="008617AB">
        <w:rPr>
          <w:sz w:val="28"/>
          <w:szCs w:val="28"/>
        </w:rPr>
        <w:t>ations in South Africa. Thus, this examination will give a significant audit of the connection between outside climate changes and the individuals resourcing technique of MTN. The organization's reaction is to outside climate changes will be surveyed and assessed.</w:t>
      </w:r>
    </w:p>
    <w:tbl>
      <w:tblPr>
        <w:tblStyle w:val="LightShading1"/>
        <w:tblW w:w="0" w:type="auto"/>
        <w:tblLook w:val="04A0"/>
      </w:tblPr>
      <w:tblGrid>
        <w:gridCol w:w="9576"/>
      </w:tblGrid>
      <w:tr w:rsidR="008617AB" w:rsidTr="008617AB">
        <w:trPr>
          <w:cnfStyle w:val="100000000000"/>
        </w:trPr>
        <w:tc>
          <w:tcPr>
            <w:cnfStyle w:val="001000000000"/>
            <w:tcW w:w="9576" w:type="dxa"/>
            <w:tcBorders>
              <w:top w:val="single" w:sz="12" w:space="0" w:color="auto"/>
              <w:bottom w:val="single" w:sz="12" w:space="0" w:color="auto"/>
            </w:tcBorders>
          </w:tcPr>
          <w:p w:rsidR="008617AB" w:rsidRDefault="008617AB" w:rsidP="00B75DA1">
            <w:pPr>
              <w:rPr>
                <w:sz w:val="28"/>
                <w:szCs w:val="28"/>
              </w:rPr>
            </w:pPr>
            <w:r>
              <w:rPr>
                <w:sz w:val="28"/>
                <w:szCs w:val="28"/>
              </w:rPr>
              <w:t>Introduction</w:t>
            </w:r>
          </w:p>
        </w:tc>
      </w:tr>
    </w:tbl>
    <w:p w:rsidR="008617AB" w:rsidRDefault="008617AB" w:rsidP="00B75DA1">
      <w:pPr>
        <w:rPr>
          <w:sz w:val="28"/>
          <w:szCs w:val="28"/>
        </w:rPr>
      </w:pPr>
      <w:r w:rsidRPr="008617AB">
        <w:rPr>
          <w:sz w:val="28"/>
          <w:szCs w:val="28"/>
        </w:rPr>
        <w:t>MTN Group Limited, once in the past M-Cell is a South African global portable broadcast communications organization, working in numerous African, European, and Asian nations. Its administrative center is in Johannesburg. It is the eighth biggest versatile organization administrator on the planet and the biggest in Africa. Dynamic in more than 20 nations, 33% of organization income comes from Nigeria. The organization was established in 1994 as M-Cell with help from the South African government. In 1995, it supplanted its then-CEO, John Beck, with Robert (Bob) Chaphe. In 2001, the organization announced that its controlling investor was Johnnic Holdings, and the administrator was Irene Charnley. In 2002, Phuthuma Nhleko turned into the CEO, supplanting then-CEO Paul Edwards, who had put resources into extension to Nigeria.</w:t>
      </w:r>
    </w:p>
    <w:tbl>
      <w:tblPr>
        <w:tblStyle w:val="LightShading1"/>
        <w:tblW w:w="0" w:type="auto"/>
        <w:tblLook w:val="04A0"/>
      </w:tblPr>
      <w:tblGrid>
        <w:gridCol w:w="9576"/>
      </w:tblGrid>
      <w:tr w:rsidR="008617AB" w:rsidTr="008617AB">
        <w:trPr>
          <w:cnfStyle w:val="100000000000"/>
        </w:trPr>
        <w:tc>
          <w:tcPr>
            <w:cnfStyle w:val="001000000000"/>
            <w:tcW w:w="9576" w:type="dxa"/>
            <w:tcBorders>
              <w:top w:val="single" w:sz="12" w:space="0" w:color="auto"/>
              <w:bottom w:val="single" w:sz="12" w:space="0" w:color="auto"/>
            </w:tcBorders>
          </w:tcPr>
          <w:p w:rsidR="008617AB" w:rsidRDefault="008617AB" w:rsidP="00B75DA1">
            <w:pPr>
              <w:rPr>
                <w:sz w:val="28"/>
                <w:szCs w:val="28"/>
              </w:rPr>
            </w:pPr>
            <w:r>
              <w:rPr>
                <w:sz w:val="28"/>
                <w:szCs w:val="28"/>
              </w:rPr>
              <w:t>C</w:t>
            </w:r>
            <w:r w:rsidRPr="008617AB">
              <w:rPr>
                <w:sz w:val="28"/>
                <w:szCs w:val="28"/>
              </w:rPr>
              <w:t xml:space="preserve">ritical analysis of current and predicted changes in the external environment changes of MTN Group Limited in the context of </w:t>
            </w:r>
            <w:r>
              <w:rPr>
                <w:sz w:val="28"/>
                <w:szCs w:val="28"/>
              </w:rPr>
              <w:t>labour</w:t>
            </w:r>
            <w:r w:rsidRPr="008617AB">
              <w:rPr>
                <w:sz w:val="28"/>
                <w:szCs w:val="28"/>
              </w:rPr>
              <w:t xml:space="preserve"> markets and HR strategy</w:t>
            </w:r>
          </w:p>
        </w:tc>
      </w:tr>
    </w:tbl>
    <w:p w:rsidR="00C94AAC" w:rsidRDefault="008617AB" w:rsidP="00B75DA1">
      <w:pPr>
        <w:rPr>
          <w:sz w:val="28"/>
          <w:szCs w:val="28"/>
        </w:rPr>
      </w:pPr>
      <w:r>
        <w:rPr>
          <w:sz w:val="28"/>
          <w:szCs w:val="28"/>
        </w:rPr>
        <w:t xml:space="preserve">Before analyzing the current and predicted changes in external environment first of all I explained what external environment is. It is </w:t>
      </w:r>
      <w:r w:rsidRPr="008617AB">
        <w:rPr>
          <w:sz w:val="28"/>
          <w:szCs w:val="28"/>
        </w:rPr>
        <w:t xml:space="preserve"> a gathering of elements or conditions that are outside the association yet influence it somewhat. Each association must comprehend key parts of its external environment since foundations don't exist alone. They communicate with different elements and are impacted by a wide scope of occasions, circumstances, and other player's choices </w:t>
      </w:r>
      <w:r w:rsidRPr="008617AB">
        <w:rPr>
          <w:sz w:val="28"/>
          <w:szCs w:val="28"/>
        </w:rPr>
        <w:lastRenderedPageBreak/>
        <w:t>that are out of their control. Regardless of how the firm controls its internal processes, there are numerous different viewpoints that likewise impact the exhibition and influence benefit and development.</w:t>
      </w:r>
    </w:p>
    <w:p w:rsidR="008617AB" w:rsidRDefault="008617AB" w:rsidP="00B75DA1">
      <w:pPr>
        <w:rPr>
          <w:sz w:val="28"/>
          <w:szCs w:val="28"/>
        </w:rPr>
      </w:pPr>
      <w:r w:rsidRPr="008617AB">
        <w:rPr>
          <w:sz w:val="28"/>
          <w:szCs w:val="28"/>
        </w:rPr>
        <w:t>For examine the current strategic marketing MTN utilize both internal and external environment such as SWOT (Strength, Weakness, Opportunity and Threat, and PESTEL (Political, Economic, Social, Technology, Environment, and Legal) investigation strategies are adopted.</w:t>
      </w:r>
    </w:p>
    <w:tbl>
      <w:tblPr>
        <w:tblStyle w:val="LightShading1"/>
        <w:tblW w:w="0" w:type="auto"/>
        <w:tblLook w:val="04A0"/>
      </w:tblPr>
      <w:tblGrid>
        <w:gridCol w:w="9576"/>
      </w:tblGrid>
      <w:tr w:rsidR="008617AB" w:rsidTr="008617AB">
        <w:trPr>
          <w:cnfStyle w:val="100000000000"/>
        </w:trPr>
        <w:tc>
          <w:tcPr>
            <w:cnfStyle w:val="001000000000"/>
            <w:tcW w:w="9576" w:type="dxa"/>
            <w:tcBorders>
              <w:top w:val="single" w:sz="12" w:space="0" w:color="auto"/>
              <w:bottom w:val="single" w:sz="12" w:space="0" w:color="auto"/>
            </w:tcBorders>
          </w:tcPr>
          <w:p w:rsidR="008617AB" w:rsidRPr="008617AB" w:rsidRDefault="008617AB" w:rsidP="008617AB">
            <w:pPr>
              <w:shd w:val="clear" w:color="auto" w:fill="FFFFFF"/>
              <w:rPr>
                <w:rFonts w:eastAsia="Times New Roman" w:cs="Arial"/>
                <w:sz w:val="28"/>
                <w:szCs w:val="28"/>
              </w:rPr>
            </w:pPr>
            <w:r w:rsidRPr="008617AB">
              <w:rPr>
                <w:rFonts w:eastAsia="Times New Roman" w:cs="Arial"/>
                <w:sz w:val="28"/>
                <w:szCs w:val="28"/>
              </w:rPr>
              <w:t>External Analysis Opportunities</w:t>
            </w:r>
          </w:p>
        </w:tc>
      </w:tr>
    </w:tbl>
    <w:p w:rsidR="008617AB" w:rsidRDefault="00FB595B" w:rsidP="00B75DA1">
      <w:pPr>
        <w:rPr>
          <w:sz w:val="28"/>
          <w:szCs w:val="28"/>
        </w:rPr>
      </w:pPr>
      <w:r w:rsidRPr="00FB595B">
        <w:rPr>
          <w:sz w:val="28"/>
          <w:szCs w:val="28"/>
        </w:rPr>
        <w:t>The Nigerian economy has been developing since the time it has achieved popularity based administration. Since the presentation of mobile services, the interest in media transmission has truly been exceptionally high in all districts of the country. This shows that MTN is presented with the occasion to keep staying on the lookout for quite a while to address individuals' issues. Because of the measure of creating networks in Nigeria, along these lines, MTN Nigeria actually has the chances of having more mass in creating locale. In the 53 African nations, MTN Nigeria has a chance to put resources into the rest of them.</w:t>
      </w:r>
    </w:p>
    <w:tbl>
      <w:tblPr>
        <w:tblStyle w:val="LightShading1"/>
        <w:tblW w:w="0" w:type="auto"/>
        <w:tblLook w:val="04A0"/>
      </w:tblPr>
      <w:tblGrid>
        <w:gridCol w:w="9576"/>
      </w:tblGrid>
      <w:tr w:rsidR="00FB595B" w:rsidTr="00FB595B">
        <w:trPr>
          <w:cnfStyle w:val="100000000000"/>
        </w:trPr>
        <w:tc>
          <w:tcPr>
            <w:cnfStyle w:val="001000000000"/>
            <w:tcW w:w="9576" w:type="dxa"/>
            <w:tcBorders>
              <w:top w:val="single" w:sz="12" w:space="0" w:color="auto"/>
              <w:bottom w:val="single" w:sz="12" w:space="0" w:color="auto"/>
            </w:tcBorders>
          </w:tcPr>
          <w:p w:rsidR="00FB595B" w:rsidRDefault="00FB595B" w:rsidP="00B75DA1">
            <w:pPr>
              <w:rPr>
                <w:sz w:val="28"/>
                <w:szCs w:val="28"/>
              </w:rPr>
            </w:pPr>
            <w:r>
              <w:rPr>
                <w:sz w:val="28"/>
                <w:szCs w:val="28"/>
              </w:rPr>
              <w:t>Threats</w:t>
            </w:r>
          </w:p>
        </w:tc>
      </w:tr>
    </w:tbl>
    <w:p w:rsidR="00FB595B" w:rsidRDefault="00FB595B" w:rsidP="00B75DA1">
      <w:pPr>
        <w:rPr>
          <w:sz w:val="28"/>
          <w:szCs w:val="28"/>
        </w:rPr>
      </w:pPr>
      <w:r w:rsidRPr="00FB595B">
        <w:rPr>
          <w:sz w:val="28"/>
          <w:szCs w:val="28"/>
        </w:rPr>
        <w:t xml:space="preserve">There are three other MTN rivals in the media transmission industry in Nigeria, for example, Zain, Multilink, and Globacom that represent an incredible danger to the organization, in view of the tremendous number of development as they are introducing masses in a similar locale MTN is working and offering paces of calls at a less expensive rate in examination with MTN. In spite of the fact that the financial emergency represents an incredible danger to the economy of the world and it is influencing most of the organizations, for example, MTN on the grounds that individuals and clients of MTN are aware of the way they spend. </w:t>
      </w:r>
    </w:p>
    <w:tbl>
      <w:tblPr>
        <w:tblStyle w:val="LightShading1"/>
        <w:tblW w:w="0" w:type="auto"/>
        <w:tblLook w:val="04A0"/>
      </w:tblPr>
      <w:tblGrid>
        <w:gridCol w:w="9576"/>
      </w:tblGrid>
      <w:tr w:rsidR="00FB595B" w:rsidTr="00FB595B">
        <w:trPr>
          <w:cnfStyle w:val="100000000000"/>
        </w:trPr>
        <w:tc>
          <w:tcPr>
            <w:cnfStyle w:val="001000000000"/>
            <w:tcW w:w="9576" w:type="dxa"/>
            <w:tcBorders>
              <w:top w:val="single" w:sz="12" w:space="0" w:color="auto"/>
              <w:bottom w:val="single" w:sz="12" w:space="0" w:color="auto"/>
            </w:tcBorders>
          </w:tcPr>
          <w:p w:rsidR="00FB595B" w:rsidRPr="00FB595B" w:rsidRDefault="00FB595B" w:rsidP="00FB595B">
            <w:pPr>
              <w:shd w:val="clear" w:color="auto" w:fill="FFFFFF"/>
              <w:rPr>
                <w:rFonts w:eastAsia="Times New Roman" w:cs="Arial"/>
                <w:sz w:val="28"/>
                <w:szCs w:val="28"/>
              </w:rPr>
            </w:pPr>
            <w:r w:rsidRPr="00FB595B">
              <w:rPr>
                <w:rFonts w:eastAsia="Times New Roman" w:cs="Arial"/>
                <w:sz w:val="28"/>
                <w:szCs w:val="28"/>
              </w:rPr>
              <w:t>(PESTEL Analysis</w:t>
            </w:r>
            <w:r>
              <w:rPr>
                <w:rFonts w:eastAsia="Times New Roman" w:cs="Arial"/>
                <w:sz w:val="28"/>
                <w:szCs w:val="28"/>
              </w:rPr>
              <w:t>)</w:t>
            </w:r>
            <w:r w:rsidRPr="00FB595B">
              <w:rPr>
                <w:rFonts w:eastAsia="Times New Roman" w:cs="Arial"/>
                <w:sz w:val="28"/>
                <w:szCs w:val="28"/>
              </w:rPr>
              <w:t xml:space="preserve"> Political Factors</w:t>
            </w:r>
          </w:p>
        </w:tc>
      </w:tr>
    </w:tbl>
    <w:p w:rsidR="00FB595B" w:rsidRDefault="00FB595B" w:rsidP="00B75DA1">
      <w:pPr>
        <w:rPr>
          <w:sz w:val="28"/>
          <w:szCs w:val="28"/>
        </w:rPr>
      </w:pPr>
      <w:r w:rsidRPr="00FB595B">
        <w:rPr>
          <w:sz w:val="28"/>
          <w:szCs w:val="28"/>
        </w:rPr>
        <w:t xml:space="preserve">Taking a gander at the public authority dependability in the nation with a lot of clients in the less steady areas like the northern piece of Nigeria promoting procedure is a significant conversation. The public authority and social shakiness in that area contrarily influence the opportunities for MTN to work its </w:t>
      </w:r>
      <w:r w:rsidRPr="00FB595B">
        <w:rPr>
          <w:sz w:val="28"/>
          <w:szCs w:val="28"/>
        </w:rPr>
        <w:lastRenderedPageBreak/>
        <w:t>administrations. This can emerge from the changing lawful structures, security guidelines, and other full-scale ecological powers.</w:t>
      </w:r>
    </w:p>
    <w:tbl>
      <w:tblPr>
        <w:tblStyle w:val="LightShading1"/>
        <w:tblW w:w="0" w:type="auto"/>
        <w:tblLook w:val="04A0"/>
      </w:tblPr>
      <w:tblGrid>
        <w:gridCol w:w="9576"/>
      </w:tblGrid>
      <w:tr w:rsidR="00FB595B" w:rsidTr="00FB595B">
        <w:trPr>
          <w:cnfStyle w:val="100000000000"/>
        </w:trPr>
        <w:tc>
          <w:tcPr>
            <w:cnfStyle w:val="001000000000"/>
            <w:tcW w:w="9576" w:type="dxa"/>
            <w:tcBorders>
              <w:top w:val="single" w:sz="12" w:space="0" w:color="auto"/>
              <w:bottom w:val="single" w:sz="12" w:space="0" w:color="auto"/>
            </w:tcBorders>
          </w:tcPr>
          <w:p w:rsidR="00FB595B" w:rsidRPr="00425A39" w:rsidRDefault="00FB595B" w:rsidP="00B75DA1">
            <w:pPr>
              <w:rPr>
                <w:sz w:val="28"/>
                <w:szCs w:val="28"/>
              </w:rPr>
            </w:pPr>
            <w:r w:rsidRPr="00425A39">
              <w:rPr>
                <w:rFonts w:cs="Arial"/>
                <w:sz w:val="28"/>
                <w:szCs w:val="28"/>
                <w:shd w:val="clear" w:color="auto" w:fill="FFFFFF"/>
              </w:rPr>
              <w:t>Economic factors</w:t>
            </w:r>
          </w:p>
        </w:tc>
      </w:tr>
    </w:tbl>
    <w:p w:rsidR="00425A39" w:rsidRPr="00425A39" w:rsidRDefault="00425A39" w:rsidP="00425A39">
      <w:pPr>
        <w:rPr>
          <w:sz w:val="28"/>
          <w:szCs w:val="28"/>
        </w:rPr>
      </w:pPr>
      <w:r w:rsidRPr="00425A39">
        <w:rPr>
          <w:sz w:val="28"/>
          <w:szCs w:val="28"/>
        </w:rPr>
        <w:t>The monetary circumstance of the nation is significant for the showcasing technique of MTN in media communications. It very well may be hard for patrons and financial plan to be found for e-business ventures in the dubious monetary strife, which is in presence presently in the business procedure at MTN Nigeria. Data innovation in most of the nations in West Africa has been soiled by soiled monetary, social, political, and natural issues. The desire for its development is being stifled by some social indecencies, for example, social impediments. They incorporate the disposition and training of IT experts, population, education, social foundations, legitimate system, and some more.</w:t>
      </w:r>
    </w:p>
    <w:tbl>
      <w:tblPr>
        <w:tblStyle w:val="LightShading1"/>
        <w:tblW w:w="0" w:type="auto"/>
        <w:tblLook w:val="04A0"/>
      </w:tblPr>
      <w:tblGrid>
        <w:gridCol w:w="9576"/>
      </w:tblGrid>
      <w:tr w:rsidR="00425A39" w:rsidTr="00425A39">
        <w:trPr>
          <w:cnfStyle w:val="100000000000"/>
        </w:trPr>
        <w:tc>
          <w:tcPr>
            <w:cnfStyle w:val="001000000000"/>
            <w:tcW w:w="9576" w:type="dxa"/>
            <w:tcBorders>
              <w:top w:val="single" w:sz="12" w:space="0" w:color="auto"/>
              <w:bottom w:val="single" w:sz="12" w:space="0" w:color="auto"/>
            </w:tcBorders>
          </w:tcPr>
          <w:p w:rsidR="00425A39" w:rsidRPr="00425A39" w:rsidRDefault="00425A39" w:rsidP="00B75DA1">
            <w:pPr>
              <w:rPr>
                <w:sz w:val="28"/>
                <w:szCs w:val="28"/>
              </w:rPr>
            </w:pPr>
            <w:r w:rsidRPr="00425A39">
              <w:rPr>
                <w:rFonts w:cs="Arial"/>
                <w:sz w:val="28"/>
                <w:szCs w:val="28"/>
                <w:shd w:val="clear" w:color="auto" w:fill="FFFFFF"/>
              </w:rPr>
              <w:t>Socio-cultural Factors</w:t>
            </w:r>
          </w:p>
        </w:tc>
      </w:tr>
    </w:tbl>
    <w:p w:rsidR="00425A39" w:rsidRDefault="00425A39" w:rsidP="00425A39">
      <w:pPr>
        <w:rPr>
          <w:sz w:val="28"/>
          <w:szCs w:val="28"/>
        </w:rPr>
      </w:pPr>
      <w:r w:rsidRPr="00425A39">
        <w:rPr>
          <w:sz w:val="28"/>
          <w:szCs w:val="28"/>
        </w:rPr>
        <w:t>Various types of socio-social powers impact the media communications industry which incorporates trust and e preparation influences the overall climate outside MTN and to some extent influences its inward strength and shortcoming.</w:t>
      </w:r>
    </w:p>
    <w:tbl>
      <w:tblPr>
        <w:tblStyle w:val="LightShading1"/>
        <w:tblW w:w="0" w:type="auto"/>
        <w:tblLook w:val="04A0"/>
      </w:tblPr>
      <w:tblGrid>
        <w:gridCol w:w="9576"/>
      </w:tblGrid>
      <w:tr w:rsidR="00425A39" w:rsidTr="00425A39">
        <w:trPr>
          <w:cnfStyle w:val="100000000000"/>
        </w:trPr>
        <w:tc>
          <w:tcPr>
            <w:cnfStyle w:val="001000000000"/>
            <w:tcW w:w="9576" w:type="dxa"/>
            <w:tcBorders>
              <w:top w:val="single" w:sz="12" w:space="0" w:color="auto"/>
              <w:bottom w:val="single" w:sz="12" w:space="0" w:color="auto"/>
            </w:tcBorders>
          </w:tcPr>
          <w:p w:rsidR="00425A39" w:rsidRPr="00425A39" w:rsidRDefault="00425A39" w:rsidP="00425A39">
            <w:pPr>
              <w:rPr>
                <w:sz w:val="28"/>
                <w:szCs w:val="28"/>
              </w:rPr>
            </w:pPr>
            <w:r w:rsidRPr="00425A39">
              <w:rPr>
                <w:rFonts w:cs="Arial"/>
                <w:sz w:val="28"/>
                <w:szCs w:val="28"/>
                <w:shd w:val="clear" w:color="auto" w:fill="FFFFFF"/>
              </w:rPr>
              <w:t>Technological factors</w:t>
            </w:r>
          </w:p>
        </w:tc>
      </w:tr>
    </w:tbl>
    <w:p w:rsidR="00425A39" w:rsidRDefault="00425A39" w:rsidP="00425A39">
      <w:pPr>
        <w:rPr>
          <w:sz w:val="28"/>
          <w:szCs w:val="28"/>
        </w:rPr>
      </w:pPr>
      <w:r w:rsidRPr="00425A39">
        <w:rPr>
          <w:sz w:val="28"/>
          <w:szCs w:val="28"/>
        </w:rPr>
        <w:t>Technological adoption in Nigeria is as yet in an extremely beginning stage; however organizations and people are quick considering its selection and ensure they use it in interfacing with each other. The mechanical degree of the framework in African nations like Nigeria is developing progressively and it is required to develop to an impressive degree in five years time.</w:t>
      </w:r>
    </w:p>
    <w:tbl>
      <w:tblPr>
        <w:tblStyle w:val="LightShading1"/>
        <w:tblW w:w="0" w:type="auto"/>
        <w:tblLook w:val="04A0"/>
      </w:tblPr>
      <w:tblGrid>
        <w:gridCol w:w="9576"/>
      </w:tblGrid>
      <w:tr w:rsidR="00425A39" w:rsidTr="00425A39">
        <w:trPr>
          <w:cnfStyle w:val="100000000000"/>
        </w:trPr>
        <w:tc>
          <w:tcPr>
            <w:cnfStyle w:val="001000000000"/>
            <w:tcW w:w="9576" w:type="dxa"/>
            <w:tcBorders>
              <w:top w:val="single" w:sz="12" w:space="0" w:color="auto"/>
              <w:bottom w:val="single" w:sz="12" w:space="0" w:color="auto"/>
            </w:tcBorders>
          </w:tcPr>
          <w:p w:rsidR="00425A39" w:rsidRPr="00425A39" w:rsidRDefault="00425A39" w:rsidP="00425A39">
            <w:pPr>
              <w:rPr>
                <w:sz w:val="28"/>
                <w:szCs w:val="28"/>
              </w:rPr>
            </w:pPr>
            <w:r w:rsidRPr="00425A39">
              <w:rPr>
                <w:rFonts w:cs="Arial"/>
                <w:sz w:val="28"/>
                <w:szCs w:val="28"/>
                <w:shd w:val="clear" w:color="auto" w:fill="FFFFFF"/>
              </w:rPr>
              <w:t>Environmental factors</w:t>
            </w:r>
          </w:p>
        </w:tc>
      </w:tr>
    </w:tbl>
    <w:p w:rsidR="00425A39" w:rsidRDefault="00425A39" w:rsidP="00425A39">
      <w:pPr>
        <w:rPr>
          <w:sz w:val="28"/>
          <w:szCs w:val="28"/>
        </w:rPr>
      </w:pPr>
      <w:r w:rsidRPr="00425A39">
        <w:rPr>
          <w:sz w:val="28"/>
          <w:szCs w:val="28"/>
        </w:rPr>
        <w:t>The environmental factors</w:t>
      </w:r>
      <w:r>
        <w:rPr>
          <w:sz w:val="28"/>
          <w:szCs w:val="28"/>
        </w:rPr>
        <w:t xml:space="preserve"> </w:t>
      </w:r>
      <w:r w:rsidRPr="00425A39">
        <w:rPr>
          <w:sz w:val="28"/>
          <w:szCs w:val="28"/>
        </w:rPr>
        <w:t xml:space="preserve">can possibly impact key showcasing because of weights from government and Non-administrative associations to diminish the number of assets utilized in offering types of assistance. Embracing paperless workplaces and invoicing and requesting should be an all-around thought about the measure to this. Factors, for example, natural contamination influence the manner in which MTN works its masses on the grounds that, insignificant pieces of nations like Nigeria, it needs to run on producing plants to give its organization </w:t>
      </w:r>
      <w:r w:rsidRPr="00425A39">
        <w:rPr>
          <w:sz w:val="28"/>
          <w:szCs w:val="28"/>
        </w:rPr>
        <w:lastRenderedPageBreak/>
        <w:t>administrations. The organization actually embraces paper printed energize cards which all add to the ecological components that are constrained on MTN and other organization specialist co-ops.</w:t>
      </w:r>
    </w:p>
    <w:tbl>
      <w:tblPr>
        <w:tblStyle w:val="LightShading1"/>
        <w:tblW w:w="0" w:type="auto"/>
        <w:tblLook w:val="04A0"/>
      </w:tblPr>
      <w:tblGrid>
        <w:gridCol w:w="9576"/>
      </w:tblGrid>
      <w:tr w:rsidR="00425A39" w:rsidTr="00425A39">
        <w:trPr>
          <w:cnfStyle w:val="100000000000"/>
        </w:trPr>
        <w:tc>
          <w:tcPr>
            <w:cnfStyle w:val="001000000000"/>
            <w:tcW w:w="9576" w:type="dxa"/>
            <w:tcBorders>
              <w:top w:val="single" w:sz="12" w:space="0" w:color="auto"/>
              <w:bottom w:val="single" w:sz="12" w:space="0" w:color="auto"/>
            </w:tcBorders>
          </w:tcPr>
          <w:p w:rsidR="00425A39" w:rsidRPr="00425A39" w:rsidRDefault="00425A39" w:rsidP="00425A39">
            <w:pPr>
              <w:rPr>
                <w:sz w:val="28"/>
                <w:szCs w:val="28"/>
              </w:rPr>
            </w:pPr>
            <w:r w:rsidRPr="00425A39">
              <w:rPr>
                <w:rFonts w:cs="Arial"/>
                <w:sz w:val="28"/>
                <w:szCs w:val="28"/>
                <w:shd w:val="clear" w:color="auto" w:fill="FFFFFF"/>
              </w:rPr>
              <w:t>Legal factors</w:t>
            </w:r>
          </w:p>
        </w:tc>
      </w:tr>
    </w:tbl>
    <w:p w:rsidR="00D57DBD" w:rsidRPr="00D57DBD" w:rsidRDefault="00425A39" w:rsidP="005A4015">
      <w:pPr>
        <w:rPr>
          <w:sz w:val="28"/>
          <w:szCs w:val="28"/>
        </w:rPr>
      </w:pPr>
      <w:r w:rsidRPr="00425A39">
        <w:rPr>
          <w:sz w:val="28"/>
          <w:szCs w:val="28"/>
        </w:rPr>
        <w:t>Deciding the sort of lawful structure in which one is working can be extremely troublesome because of the sort of organizations run in giving organization administrations in media communications organizations. For associations like MTN, which have procured a ton of worldwide direction the media communications business is changing the potential outcomes. The simplicity for MTN as a media transmission organization in working with the diverse lawful conditions can improve them from getting away from the lawful issues. In particular, if the lawful climate isn't manageable for the organization they have more prominent simplicity to migrate to different locales, at that point on the off chance that they are customary organizations. They can do this and add to the financial turn of events and development of other neighborhood economies including the pace of monetary commitment and tax assessment.</w:t>
      </w:r>
    </w:p>
    <w:tbl>
      <w:tblPr>
        <w:tblStyle w:val="LightShading1"/>
        <w:tblW w:w="0" w:type="auto"/>
        <w:tblLook w:val="04A0"/>
      </w:tblPr>
      <w:tblGrid>
        <w:gridCol w:w="9576"/>
      </w:tblGrid>
      <w:tr w:rsidR="008617AB" w:rsidTr="00425A39">
        <w:trPr>
          <w:cnfStyle w:val="100000000000"/>
        </w:trPr>
        <w:tc>
          <w:tcPr>
            <w:cnfStyle w:val="001000000000"/>
            <w:tcW w:w="9576" w:type="dxa"/>
            <w:tcBorders>
              <w:top w:val="single" w:sz="12" w:space="0" w:color="auto"/>
              <w:bottom w:val="single" w:sz="12" w:space="0" w:color="auto"/>
            </w:tcBorders>
          </w:tcPr>
          <w:p w:rsidR="008617AB" w:rsidRPr="008617AB" w:rsidRDefault="008617AB" w:rsidP="00B75DA1">
            <w:pPr>
              <w:rPr>
                <w:sz w:val="28"/>
                <w:szCs w:val="28"/>
              </w:rPr>
            </w:pPr>
            <w:r w:rsidRPr="008617AB">
              <w:rPr>
                <w:sz w:val="28"/>
                <w:szCs w:val="28"/>
              </w:rPr>
              <w:t>Internal Analysis (SWOT)</w:t>
            </w:r>
          </w:p>
        </w:tc>
      </w:tr>
    </w:tbl>
    <w:p w:rsidR="008617AB" w:rsidRPr="008617AB" w:rsidRDefault="008617AB" w:rsidP="008617AB">
      <w:pPr>
        <w:rPr>
          <w:sz w:val="28"/>
          <w:szCs w:val="28"/>
        </w:rPr>
      </w:pPr>
      <w:r>
        <w:rPr>
          <w:b/>
          <w:sz w:val="28"/>
          <w:szCs w:val="28"/>
        </w:rPr>
        <w:t>Strength</w:t>
      </w:r>
      <w:r w:rsidRPr="008617AB">
        <w:rPr>
          <w:sz w:val="28"/>
          <w:szCs w:val="28"/>
        </w:rPr>
        <w:t xml:space="preserve">: MTN is the primary mobile communication organization in Nigeria that has had the option to gain solid mastery in the Nigerian market. An ongoing Nigerian Telecommunications Union (NTU) review demonstrated that MTN has the control of about 60% of the market and are progressively growing in examination with an opponent association like Econet that began activities few months after MTN Nigeria however had an arrangement of issues of possession, having been obtained by VMobile, and as of late Zaine, which came about because of Econet not having the option to adapt in the Nigerian market </w:t>
      </w:r>
    </w:p>
    <w:p w:rsidR="008617AB" w:rsidRDefault="008617AB" w:rsidP="008617AB">
      <w:pPr>
        <w:rPr>
          <w:sz w:val="28"/>
          <w:szCs w:val="28"/>
        </w:rPr>
      </w:pPr>
      <w:r w:rsidRPr="008617AB">
        <w:rPr>
          <w:sz w:val="28"/>
          <w:szCs w:val="28"/>
        </w:rPr>
        <w:t>That's the way that MTN has ruled the Nigerian market as the main versatile media transmission supplier, they had the option to have strength on the lookout. This predominance of the piece of the overall industry gives them a high turnover rate concerning the number of endorsers and deals. The benefit distinction among MTN and different organizations giving media transmission administrations in Nigeria is extremely wide</w:t>
      </w:r>
      <w:r>
        <w:rPr>
          <w:sz w:val="28"/>
          <w:szCs w:val="28"/>
        </w:rPr>
        <w:t>.</w:t>
      </w:r>
      <w:r w:rsidRPr="008617AB">
        <w:t xml:space="preserve"> </w:t>
      </w:r>
      <w:r>
        <w:t xml:space="preserve"> </w:t>
      </w:r>
      <w:r w:rsidRPr="008617AB">
        <w:rPr>
          <w:sz w:val="28"/>
          <w:szCs w:val="28"/>
        </w:rPr>
        <w:t xml:space="preserve">With respect to Marketing Mix, for </w:t>
      </w:r>
      <w:r w:rsidRPr="008617AB">
        <w:rPr>
          <w:sz w:val="28"/>
          <w:szCs w:val="28"/>
        </w:rPr>
        <w:lastRenderedPageBreak/>
        <w:t xml:space="preserve">example, promoting and show, MTN has had the option to rule the Television stations to publicize their items and administrations. </w:t>
      </w:r>
    </w:p>
    <w:tbl>
      <w:tblPr>
        <w:tblStyle w:val="LightShading1"/>
        <w:tblW w:w="0" w:type="auto"/>
        <w:tblLook w:val="04A0"/>
      </w:tblPr>
      <w:tblGrid>
        <w:gridCol w:w="9576"/>
      </w:tblGrid>
      <w:tr w:rsidR="008617AB" w:rsidTr="008617AB">
        <w:trPr>
          <w:cnfStyle w:val="100000000000"/>
        </w:trPr>
        <w:tc>
          <w:tcPr>
            <w:cnfStyle w:val="001000000000"/>
            <w:tcW w:w="9576" w:type="dxa"/>
            <w:tcBorders>
              <w:top w:val="single" w:sz="12" w:space="0" w:color="auto"/>
              <w:bottom w:val="single" w:sz="12" w:space="0" w:color="auto"/>
            </w:tcBorders>
          </w:tcPr>
          <w:p w:rsidR="008617AB" w:rsidRDefault="008617AB" w:rsidP="008617AB">
            <w:pPr>
              <w:rPr>
                <w:sz w:val="28"/>
                <w:szCs w:val="28"/>
              </w:rPr>
            </w:pPr>
            <w:r>
              <w:rPr>
                <w:sz w:val="28"/>
                <w:szCs w:val="28"/>
              </w:rPr>
              <w:t>Weaknesses</w:t>
            </w:r>
          </w:p>
        </w:tc>
      </w:tr>
    </w:tbl>
    <w:p w:rsidR="00425A39" w:rsidRDefault="008617AB" w:rsidP="008617AB">
      <w:pPr>
        <w:rPr>
          <w:sz w:val="28"/>
          <w:szCs w:val="28"/>
        </w:rPr>
      </w:pPr>
      <w:r w:rsidRPr="008617AB">
        <w:rPr>
          <w:sz w:val="28"/>
          <w:szCs w:val="28"/>
        </w:rPr>
        <w:t>MTN still lingers behind concerning innovation contrasted with other global organizations. They have helpless portable gathering in significant pieces of Nigeria and this influences the way and viability of the administrations they proffer. At times their call benefits typically conflict with each other. Calls are not successfully conveyed to beneficiaries. Internet providers they additionally give are extremely moderate and disappointing.</w:t>
      </w:r>
    </w:p>
    <w:tbl>
      <w:tblPr>
        <w:tblStyle w:val="LightShading1"/>
        <w:tblW w:w="0" w:type="auto"/>
        <w:tblLook w:val="04A0"/>
      </w:tblPr>
      <w:tblGrid>
        <w:gridCol w:w="9576"/>
      </w:tblGrid>
      <w:tr w:rsidR="00425A39" w:rsidTr="00425A39">
        <w:trPr>
          <w:cnfStyle w:val="100000000000"/>
        </w:trPr>
        <w:tc>
          <w:tcPr>
            <w:cnfStyle w:val="001000000000"/>
            <w:tcW w:w="9576" w:type="dxa"/>
            <w:tcBorders>
              <w:top w:val="single" w:sz="12" w:space="0" w:color="auto"/>
              <w:bottom w:val="single" w:sz="12" w:space="0" w:color="auto"/>
            </w:tcBorders>
          </w:tcPr>
          <w:p w:rsidR="00425A39" w:rsidRDefault="00425A39" w:rsidP="008617AB">
            <w:pPr>
              <w:rPr>
                <w:sz w:val="28"/>
                <w:szCs w:val="28"/>
              </w:rPr>
            </w:pPr>
            <w:r>
              <w:rPr>
                <w:sz w:val="28"/>
                <w:szCs w:val="28"/>
              </w:rPr>
              <w:t>Critical Analysis of relations between changes in the external environment and company’s people resourcing strategy</w:t>
            </w:r>
          </w:p>
        </w:tc>
      </w:tr>
    </w:tbl>
    <w:p w:rsidR="00425A39" w:rsidRDefault="00425A39" w:rsidP="008617AB">
      <w:pPr>
        <w:rPr>
          <w:sz w:val="28"/>
          <w:szCs w:val="28"/>
        </w:rPr>
      </w:pPr>
      <w:r>
        <w:rPr>
          <w:sz w:val="28"/>
          <w:szCs w:val="28"/>
        </w:rPr>
        <w:t xml:space="preserve">In this topic I examine on relation between changes in the external environment and company’s people resourcing strategy. I also explained about Strategic Human Resource Management which means it </w:t>
      </w:r>
      <w:r w:rsidRPr="00425A39">
        <w:rPr>
          <w:sz w:val="28"/>
          <w:szCs w:val="28"/>
        </w:rPr>
        <w:t xml:space="preserve">is worried about the commitments human asset procedures make to hierarchical adequacy, and the manners by which these commitments are accomplished. There are three SHRM ideas elite administration (superior working), high responsibility the board, and high inclusion the executives. Key administration, in basic words, is the way toward recognizing and executing the organization's or </w:t>
      </w:r>
      <w:r w:rsidR="000714E2" w:rsidRPr="00425A39">
        <w:rPr>
          <w:sz w:val="28"/>
          <w:szCs w:val="28"/>
        </w:rPr>
        <w:t>associations</w:t>
      </w:r>
      <w:r w:rsidRPr="00425A39">
        <w:rPr>
          <w:sz w:val="28"/>
          <w:szCs w:val="28"/>
        </w:rPr>
        <w:t xml:space="preserve"> central goal by coordinating appropriately its abilities with the necessities or with the requests of its current circumstance.</w:t>
      </w:r>
    </w:p>
    <w:p w:rsidR="008617AB" w:rsidRDefault="000714E2" w:rsidP="008617AB">
      <w:pPr>
        <w:rPr>
          <w:sz w:val="28"/>
          <w:szCs w:val="28"/>
        </w:rPr>
      </w:pPr>
      <w:r>
        <w:rPr>
          <w:sz w:val="28"/>
          <w:szCs w:val="28"/>
        </w:rPr>
        <w:t>A brief description of each strategy and its relation to the MTN environment changes in given below:</w:t>
      </w:r>
    </w:p>
    <w:p w:rsidR="000714E2" w:rsidRPr="000714E2" w:rsidRDefault="000714E2" w:rsidP="000714E2">
      <w:pPr>
        <w:shd w:val="clear" w:color="auto" w:fill="FFFFFF"/>
        <w:spacing w:after="0" w:line="240" w:lineRule="auto"/>
        <w:outlineLvl w:val="3"/>
        <w:rPr>
          <w:rFonts w:eastAsia="Times New Roman" w:cs="Arial"/>
          <w:color w:val="1B1B1B"/>
          <w:sz w:val="28"/>
          <w:szCs w:val="28"/>
        </w:rPr>
      </w:pPr>
      <w:r w:rsidRPr="000714E2">
        <w:rPr>
          <w:rFonts w:ascii="Arial" w:eastAsia="Times New Roman" w:hAnsi="Arial" w:cs="Arial"/>
          <w:color w:val="1B1B1B"/>
          <w:sz w:val="30"/>
          <w:szCs w:val="30"/>
        </w:rPr>
        <w:t>Organizational Sca</w:t>
      </w:r>
      <w:r>
        <w:rPr>
          <w:rFonts w:ascii="Arial" w:eastAsia="Times New Roman" w:hAnsi="Arial" w:cs="Arial"/>
          <w:color w:val="1B1B1B"/>
          <w:sz w:val="30"/>
          <w:szCs w:val="30"/>
        </w:rPr>
        <w:t xml:space="preserve">n: </w:t>
      </w:r>
      <w:r w:rsidRPr="000714E2">
        <w:rPr>
          <w:rFonts w:eastAsia="Times New Roman" w:cs="Arial"/>
          <w:color w:val="1B1B1B"/>
          <w:sz w:val="28"/>
          <w:szCs w:val="28"/>
        </w:rPr>
        <w:t xml:space="preserve">An authoritative output can give a guide to execute savvy and powerful hierarchical changes. Key measurements, for example, vision, system, subsidizing, initiative, staff, volunteers, qualities, promoting and correspondence, foundation, monetary wellbeing, and advancement are totally thought about. In view of your association's output, and working in organization, suggestions will be given to assist you with satisfying your central goal. </w:t>
      </w:r>
    </w:p>
    <w:p w:rsidR="000714E2" w:rsidRPr="000714E2" w:rsidRDefault="000714E2" w:rsidP="000714E2">
      <w:pPr>
        <w:shd w:val="clear" w:color="auto" w:fill="FFFFFF"/>
        <w:spacing w:after="0" w:line="240" w:lineRule="auto"/>
        <w:outlineLvl w:val="3"/>
        <w:rPr>
          <w:rFonts w:eastAsia="Times New Roman" w:cs="Arial"/>
          <w:color w:val="1B1B1B"/>
          <w:sz w:val="28"/>
          <w:szCs w:val="28"/>
        </w:rPr>
      </w:pPr>
    </w:p>
    <w:p w:rsidR="000714E2" w:rsidRPr="000714E2" w:rsidRDefault="000714E2" w:rsidP="000714E2">
      <w:pPr>
        <w:pStyle w:val="Heading4"/>
        <w:shd w:val="clear" w:color="auto" w:fill="FFFFFF"/>
        <w:spacing w:before="0" w:beforeAutospacing="0" w:after="360" w:afterAutospacing="0"/>
        <w:rPr>
          <w:rFonts w:ascii="Arial" w:hAnsi="Arial" w:cs="Arial"/>
          <w:b w:val="0"/>
          <w:bCs w:val="0"/>
          <w:color w:val="1B1B1B"/>
          <w:sz w:val="30"/>
          <w:szCs w:val="30"/>
        </w:rPr>
      </w:pPr>
      <w:r>
        <w:rPr>
          <w:rFonts w:ascii="Arial" w:hAnsi="Arial" w:cs="Arial"/>
          <w:b w:val="0"/>
          <w:bCs w:val="0"/>
          <w:color w:val="1B1B1B"/>
          <w:sz w:val="30"/>
          <w:szCs w:val="30"/>
        </w:rPr>
        <w:lastRenderedPageBreak/>
        <w:t xml:space="preserve">Board Recruitment &amp; Engagement: </w:t>
      </w:r>
      <w:r w:rsidRPr="000714E2">
        <w:rPr>
          <w:rFonts w:asciiTheme="minorHAnsi" w:hAnsiTheme="minorHAnsi" w:cs="Arial"/>
          <w:b w:val="0"/>
          <w:color w:val="1B1B1B"/>
          <w:sz w:val="28"/>
          <w:szCs w:val="28"/>
        </w:rPr>
        <w:t xml:space="preserve">A successful Board requires vital enlistment of individuals. Furthermore, setting clear desires and giving preparing to each Board part will augment their viability as a lay chief. It is likewise imperative to hold coordinated and compelling Board and advisory group gatherings so their time is utilized shrewdly. Continuous clear and succinct correspondence among Board and staff likewise fills in as an instrument for advanced Boards. </w:t>
      </w:r>
    </w:p>
    <w:p w:rsidR="000714E2" w:rsidRPr="000714E2" w:rsidRDefault="000714E2" w:rsidP="000714E2">
      <w:pPr>
        <w:shd w:val="clear" w:color="auto" w:fill="FFFFFF"/>
        <w:spacing w:after="0" w:line="240" w:lineRule="auto"/>
        <w:outlineLvl w:val="3"/>
        <w:rPr>
          <w:rFonts w:eastAsia="Times New Roman" w:cs="Arial"/>
          <w:color w:val="1B1B1B"/>
          <w:sz w:val="28"/>
          <w:szCs w:val="28"/>
        </w:rPr>
      </w:pPr>
    </w:p>
    <w:p w:rsidR="000714E2" w:rsidRPr="000714E2" w:rsidRDefault="000714E2" w:rsidP="000714E2">
      <w:pPr>
        <w:pStyle w:val="Heading4"/>
        <w:shd w:val="clear" w:color="auto" w:fill="FFFFFF"/>
        <w:spacing w:before="0" w:beforeAutospacing="0" w:after="360" w:afterAutospacing="0"/>
        <w:rPr>
          <w:rFonts w:ascii="Arial" w:hAnsi="Arial" w:cs="Arial"/>
          <w:b w:val="0"/>
          <w:bCs w:val="0"/>
          <w:color w:val="1B1B1B"/>
          <w:sz w:val="30"/>
          <w:szCs w:val="30"/>
        </w:rPr>
      </w:pPr>
      <w:r>
        <w:rPr>
          <w:rFonts w:ascii="Arial" w:hAnsi="Arial" w:cs="Arial"/>
          <w:b w:val="0"/>
          <w:bCs w:val="0"/>
          <w:color w:val="1B1B1B"/>
          <w:sz w:val="30"/>
          <w:szCs w:val="30"/>
        </w:rPr>
        <w:t xml:space="preserve">Staff Growth &amp; Leadership: </w:t>
      </w:r>
      <w:r w:rsidRPr="000714E2">
        <w:rPr>
          <w:rFonts w:asciiTheme="minorHAnsi" w:hAnsiTheme="minorHAnsi" w:cs="Arial"/>
          <w:b w:val="0"/>
          <w:color w:val="1B1B1B"/>
          <w:sz w:val="28"/>
          <w:szCs w:val="28"/>
        </w:rPr>
        <w:t xml:space="preserve">Staff the board and administration are vital to keeping up a viable association. Your association's qualities and culture are basic to the strength of your staff. Connecting with staff in their own arrangement for development is basic to the imperativeness of your association. Recognizing the pioneers inside your association and furnishing them with occasions to develop will improve cooperation and viable staff the executives. Sprinkling fun in with the general mish-mash is the mystery ingredient to building up a firm staff climate. </w:t>
      </w:r>
    </w:p>
    <w:p w:rsidR="000714E2" w:rsidRPr="000714E2" w:rsidRDefault="000714E2" w:rsidP="000714E2">
      <w:pPr>
        <w:shd w:val="clear" w:color="auto" w:fill="FFFFFF"/>
        <w:spacing w:after="0" w:line="240" w:lineRule="auto"/>
        <w:outlineLvl w:val="3"/>
        <w:rPr>
          <w:rFonts w:eastAsia="Times New Roman" w:cs="Arial"/>
          <w:color w:val="1B1B1B"/>
          <w:sz w:val="28"/>
          <w:szCs w:val="28"/>
        </w:rPr>
      </w:pPr>
    </w:p>
    <w:p w:rsidR="000714E2" w:rsidRPr="000714E2" w:rsidRDefault="000714E2" w:rsidP="000714E2">
      <w:pPr>
        <w:pStyle w:val="Heading4"/>
        <w:shd w:val="clear" w:color="auto" w:fill="FFFFFF"/>
        <w:spacing w:before="0" w:beforeAutospacing="0" w:after="360" w:afterAutospacing="0"/>
        <w:rPr>
          <w:rFonts w:ascii="Arial" w:hAnsi="Arial" w:cs="Arial"/>
          <w:b w:val="0"/>
          <w:bCs w:val="0"/>
          <w:color w:val="1B1B1B"/>
          <w:sz w:val="30"/>
          <w:szCs w:val="30"/>
        </w:rPr>
      </w:pPr>
      <w:r>
        <w:rPr>
          <w:rFonts w:ascii="Arial" w:hAnsi="Arial" w:cs="Arial"/>
          <w:b w:val="0"/>
          <w:bCs w:val="0"/>
          <w:color w:val="1B1B1B"/>
          <w:sz w:val="30"/>
          <w:szCs w:val="30"/>
        </w:rPr>
        <w:t xml:space="preserve">Revenue Generation/Fundraising: </w:t>
      </w:r>
      <w:r w:rsidRPr="000714E2">
        <w:rPr>
          <w:rFonts w:asciiTheme="minorHAnsi" w:hAnsiTheme="minorHAnsi" w:cs="Arial"/>
          <w:b w:val="0"/>
          <w:color w:val="1B1B1B"/>
          <w:sz w:val="28"/>
          <w:szCs w:val="28"/>
        </w:rPr>
        <w:t xml:space="preserve">You, similar to each other not-for-profit, capacities with a component of vulnerability with regards to fund-raising to satisfy your central goal. What worked a year ago, </w:t>
      </w:r>
      <w:r>
        <w:rPr>
          <w:rFonts w:asciiTheme="minorHAnsi" w:hAnsiTheme="minorHAnsi" w:cs="Arial"/>
          <w:b w:val="0"/>
          <w:color w:val="1B1B1B"/>
          <w:sz w:val="28"/>
          <w:szCs w:val="28"/>
        </w:rPr>
        <w:t>m</w:t>
      </w:r>
      <w:r w:rsidRPr="000714E2">
        <w:rPr>
          <w:rFonts w:asciiTheme="minorHAnsi" w:hAnsiTheme="minorHAnsi" w:cs="Arial"/>
          <w:b w:val="0"/>
          <w:color w:val="1B1B1B"/>
          <w:sz w:val="28"/>
          <w:szCs w:val="28"/>
        </w:rPr>
        <w:t>ay not this year? Giving your associations' results will be basic as they will progressively attach to subsidizing. The administrative cash, givers, and establishments that you depended on have proceeded onward to another reason. An enhanced stream of income is basic consistently with an eye on finding new subsidizing accomplices and sources. Using on the web apparatuses and innovation is basic in this day and age</w:t>
      </w:r>
      <w:r w:rsidR="00C10C72">
        <w:rPr>
          <w:rFonts w:asciiTheme="minorHAnsi" w:hAnsiTheme="minorHAnsi" w:cs="Arial"/>
          <w:b w:val="0"/>
          <w:color w:val="1B1B1B"/>
          <w:sz w:val="28"/>
          <w:szCs w:val="28"/>
        </w:rPr>
        <w:t>.</w:t>
      </w:r>
      <w:r w:rsidRPr="000714E2">
        <w:rPr>
          <w:rFonts w:asciiTheme="minorHAnsi" w:hAnsiTheme="minorHAnsi" w:cs="Arial"/>
          <w:b w:val="0"/>
          <w:color w:val="1B1B1B"/>
          <w:sz w:val="28"/>
          <w:szCs w:val="28"/>
        </w:rPr>
        <w:t xml:space="preserve"> </w:t>
      </w:r>
    </w:p>
    <w:p w:rsidR="000714E2" w:rsidRPr="000714E2" w:rsidRDefault="000714E2" w:rsidP="000714E2">
      <w:pPr>
        <w:shd w:val="clear" w:color="auto" w:fill="FFFFFF"/>
        <w:spacing w:after="0" w:line="240" w:lineRule="auto"/>
        <w:outlineLvl w:val="3"/>
        <w:rPr>
          <w:rFonts w:eastAsia="Times New Roman" w:cs="Arial"/>
          <w:color w:val="1B1B1B"/>
          <w:sz w:val="28"/>
          <w:szCs w:val="28"/>
        </w:rPr>
      </w:pPr>
    </w:p>
    <w:p w:rsidR="000714E2" w:rsidRDefault="00180CF1" w:rsidP="00180CF1">
      <w:pPr>
        <w:pStyle w:val="Heading4"/>
        <w:shd w:val="clear" w:color="auto" w:fill="FFFFFF"/>
        <w:spacing w:before="0" w:beforeAutospacing="0" w:after="360" w:afterAutospacing="0"/>
        <w:rPr>
          <w:rFonts w:asciiTheme="minorHAnsi" w:hAnsiTheme="minorHAnsi" w:cs="Arial"/>
          <w:b w:val="0"/>
          <w:color w:val="1B1B1B"/>
          <w:sz w:val="28"/>
          <w:szCs w:val="28"/>
        </w:rPr>
      </w:pPr>
      <w:r>
        <w:rPr>
          <w:rFonts w:ascii="Arial" w:hAnsi="Arial" w:cs="Arial"/>
          <w:b w:val="0"/>
          <w:bCs w:val="0"/>
          <w:color w:val="1B1B1B"/>
          <w:sz w:val="30"/>
          <w:szCs w:val="30"/>
        </w:rPr>
        <w:t xml:space="preserve">Fiscal Management: </w:t>
      </w:r>
      <w:r w:rsidR="000714E2" w:rsidRPr="00180CF1">
        <w:rPr>
          <w:rFonts w:asciiTheme="minorHAnsi" w:hAnsiTheme="minorHAnsi" w:cs="Arial"/>
          <w:b w:val="0"/>
          <w:color w:val="1B1B1B"/>
          <w:sz w:val="28"/>
          <w:szCs w:val="28"/>
        </w:rPr>
        <w:t xml:space="preserve">Straightforwardness and away from of an association's financial wellbeing has never been more significant. As your association contends with other commendable mission-driven causes, the capacity to stay up with the latest monetary records will reinforce your capacity to show how being acceptable stewards of your assets can separate you. Being productive and successful with your financial operational cycles is one of the keys to your supportability. </w:t>
      </w:r>
    </w:p>
    <w:p w:rsidR="00180CF1" w:rsidRDefault="00180CF1" w:rsidP="00180CF1">
      <w:pPr>
        <w:pStyle w:val="Heading4"/>
        <w:shd w:val="clear" w:color="auto" w:fill="FFFFFF"/>
        <w:spacing w:before="0" w:beforeAutospacing="0" w:after="360" w:afterAutospacing="0"/>
        <w:rPr>
          <w:rFonts w:ascii="Arial" w:hAnsi="Arial" w:cs="Arial"/>
          <w:b w:val="0"/>
          <w:bCs w:val="0"/>
          <w:color w:val="1B1B1B"/>
          <w:sz w:val="30"/>
          <w:szCs w:val="30"/>
        </w:rPr>
      </w:pPr>
      <w:r>
        <w:rPr>
          <w:rFonts w:ascii="Arial" w:hAnsi="Arial" w:cs="Arial"/>
          <w:b w:val="0"/>
          <w:bCs w:val="0"/>
          <w:color w:val="1B1B1B"/>
          <w:sz w:val="30"/>
          <w:szCs w:val="30"/>
        </w:rPr>
        <w:lastRenderedPageBreak/>
        <w:t xml:space="preserve">Critical assessment and evaluation of MTN response to the changes in the external environment in the context of SHRM policy: </w:t>
      </w:r>
    </w:p>
    <w:p w:rsidR="00180CF1" w:rsidRDefault="00180CF1" w:rsidP="00180CF1">
      <w:pPr>
        <w:pStyle w:val="Heading4"/>
        <w:shd w:val="clear" w:color="auto" w:fill="FFFFFF"/>
        <w:spacing w:before="0" w:beforeAutospacing="0" w:after="360" w:afterAutospacing="0"/>
        <w:rPr>
          <w:rFonts w:asciiTheme="minorHAnsi" w:hAnsiTheme="minorHAnsi" w:cs="Arial"/>
          <w:b w:val="0"/>
          <w:bCs w:val="0"/>
          <w:color w:val="1B1B1B"/>
          <w:sz w:val="28"/>
          <w:szCs w:val="28"/>
        </w:rPr>
      </w:pPr>
      <w:r>
        <w:rPr>
          <w:rFonts w:asciiTheme="minorHAnsi" w:hAnsiTheme="minorHAnsi" w:cs="Arial"/>
          <w:b w:val="0"/>
          <w:bCs w:val="0"/>
          <w:color w:val="1B1B1B"/>
          <w:sz w:val="28"/>
          <w:szCs w:val="28"/>
        </w:rPr>
        <w:t>In this topic I explain how the MTN Company has responded to current change</w:t>
      </w:r>
      <w:r w:rsidRPr="00180CF1">
        <w:rPr>
          <w:rFonts w:asciiTheme="minorHAnsi" w:hAnsiTheme="minorHAnsi" w:cs="Arial"/>
          <w:b w:val="0"/>
          <w:bCs w:val="0"/>
          <w:color w:val="1B1B1B"/>
          <w:sz w:val="28"/>
          <w:szCs w:val="28"/>
        </w:rPr>
        <w:t xml:space="preserve"> </w:t>
      </w:r>
      <w:r>
        <w:rPr>
          <w:rFonts w:asciiTheme="minorHAnsi" w:hAnsiTheme="minorHAnsi" w:cs="Arial"/>
          <w:b w:val="0"/>
          <w:bCs w:val="0"/>
          <w:color w:val="1B1B1B"/>
          <w:sz w:val="28"/>
          <w:szCs w:val="28"/>
        </w:rPr>
        <w:t xml:space="preserve">in external environments </w:t>
      </w:r>
      <w:r w:rsidR="000D369B">
        <w:rPr>
          <w:rFonts w:asciiTheme="minorHAnsi" w:hAnsiTheme="minorHAnsi" w:cs="Arial"/>
          <w:b w:val="0"/>
          <w:bCs w:val="0"/>
          <w:color w:val="1B1B1B"/>
          <w:sz w:val="28"/>
          <w:szCs w:val="28"/>
        </w:rPr>
        <w:t>by adjusting strategies:</w:t>
      </w:r>
    </w:p>
    <w:p w:rsidR="00CD3405" w:rsidRDefault="000D369B" w:rsidP="000D369B">
      <w:pPr>
        <w:pStyle w:val="Heading4"/>
        <w:shd w:val="clear" w:color="auto" w:fill="FFFFFF"/>
        <w:spacing w:after="360"/>
        <w:rPr>
          <w:rFonts w:asciiTheme="minorHAnsi" w:hAnsiTheme="minorHAnsi" w:cs="Arial"/>
          <w:b w:val="0"/>
          <w:bCs w:val="0"/>
          <w:color w:val="1B1B1B"/>
          <w:sz w:val="28"/>
          <w:szCs w:val="28"/>
        </w:rPr>
      </w:pPr>
      <w:r w:rsidRPr="000D369B">
        <w:rPr>
          <w:rFonts w:asciiTheme="minorHAnsi" w:hAnsiTheme="minorHAnsi" w:cs="Arial"/>
          <w:b w:val="0"/>
          <w:bCs w:val="0"/>
          <w:color w:val="1B1B1B"/>
          <w:sz w:val="28"/>
          <w:szCs w:val="28"/>
        </w:rPr>
        <w:t xml:space="preserve">SHRM depends on two standards. First is the conviction with respect to the fundamental vital significance of the association's HR. This clarifies the possibility that each worker's very own characteristics, ability, conduct, and communication have an internal potential in detailing essential techniques and all the more critically, trying systems. Second is the idea that to raise vital strength in the association, the HRM rehearses are surely utilizable (Colbert, 2004). </w:t>
      </w:r>
    </w:p>
    <w:p w:rsidR="000D369B" w:rsidRDefault="000D369B" w:rsidP="00CD3405">
      <w:pPr>
        <w:pStyle w:val="Heading4"/>
        <w:shd w:val="clear" w:color="auto" w:fill="FFFFFF"/>
        <w:spacing w:after="360"/>
        <w:rPr>
          <w:rFonts w:asciiTheme="minorHAnsi" w:hAnsiTheme="minorHAnsi" w:cs="Arial"/>
          <w:b w:val="0"/>
          <w:bCs w:val="0"/>
          <w:color w:val="1B1B1B"/>
          <w:sz w:val="28"/>
          <w:szCs w:val="28"/>
        </w:rPr>
      </w:pPr>
      <w:r w:rsidRPr="000D369B">
        <w:rPr>
          <w:rFonts w:asciiTheme="minorHAnsi" w:hAnsiTheme="minorHAnsi" w:cs="Arial"/>
          <w:b w:val="0"/>
          <w:bCs w:val="0"/>
          <w:color w:val="1B1B1B"/>
          <w:sz w:val="28"/>
          <w:szCs w:val="28"/>
        </w:rPr>
        <w:t>As of late, SHRM has been valuable in crea</w:t>
      </w:r>
      <w:r>
        <w:rPr>
          <w:rFonts w:asciiTheme="minorHAnsi" w:hAnsiTheme="minorHAnsi" w:cs="Arial"/>
          <w:b w:val="0"/>
          <w:bCs w:val="0"/>
          <w:color w:val="1B1B1B"/>
          <w:sz w:val="28"/>
          <w:szCs w:val="28"/>
        </w:rPr>
        <w:t xml:space="preserve">ted nations. As indicated by </w:t>
      </w:r>
      <w:r w:rsidRPr="000D369B">
        <w:rPr>
          <w:rFonts w:asciiTheme="minorHAnsi" w:hAnsiTheme="minorHAnsi" w:cs="Arial"/>
          <w:b w:val="0"/>
          <w:bCs w:val="0"/>
          <w:color w:val="1B1B1B"/>
          <w:sz w:val="28"/>
          <w:szCs w:val="28"/>
        </w:rPr>
        <w:t xml:space="preserve"> explores, the greater part of associations in these nations by utilizing the consequences of the predefined methodologies could accomplish new abilities in their vital HRM. Fambrun and his associates accepted that the human asset frameworks and authoritative structures must be overseen so that they are predictable and viable with the hierarchical systems. Mill operator contends that HR techniques should be incorporated with corporate methodologies. For this incorporation, the administration measures in the field of HR should be facilitated and synchronized with different zones of the association's exercises (Armstrong and Baron, 2005).</w:t>
      </w:r>
    </w:p>
    <w:p w:rsidR="008617AB" w:rsidRDefault="00CD3405" w:rsidP="00CD3405">
      <w:pPr>
        <w:pStyle w:val="Heading4"/>
        <w:shd w:val="clear" w:color="auto" w:fill="FFFFFF"/>
        <w:spacing w:after="360"/>
        <w:rPr>
          <w:rFonts w:asciiTheme="minorHAnsi" w:hAnsiTheme="minorHAnsi" w:cs="Arial"/>
          <w:b w:val="0"/>
          <w:bCs w:val="0"/>
          <w:color w:val="1B1B1B"/>
          <w:sz w:val="28"/>
          <w:szCs w:val="28"/>
        </w:rPr>
      </w:pPr>
      <w:r w:rsidRPr="00CD3405">
        <w:rPr>
          <w:rFonts w:asciiTheme="minorHAnsi" w:hAnsiTheme="minorHAnsi" w:cs="Arial"/>
          <w:bCs w:val="0"/>
          <w:color w:val="1B1B1B"/>
          <w:sz w:val="28"/>
          <w:szCs w:val="28"/>
        </w:rPr>
        <w:t>Conclusion:</w:t>
      </w:r>
      <w:r>
        <w:rPr>
          <w:rFonts w:asciiTheme="minorHAnsi" w:hAnsiTheme="minorHAnsi" w:cs="Arial"/>
          <w:bCs w:val="0"/>
          <w:color w:val="1B1B1B"/>
          <w:sz w:val="28"/>
          <w:szCs w:val="28"/>
        </w:rPr>
        <w:t xml:space="preserve"> </w:t>
      </w:r>
      <w:r w:rsidRPr="00CD3405">
        <w:rPr>
          <w:rFonts w:asciiTheme="minorHAnsi" w:hAnsiTheme="minorHAnsi" w:cs="Arial"/>
          <w:b w:val="0"/>
          <w:bCs w:val="0"/>
          <w:color w:val="1B1B1B"/>
          <w:sz w:val="28"/>
          <w:szCs w:val="28"/>
        </w:rPr>
        <w:t>At this current second in Nigeria, MTN has had the option to give work to an immense measure of Nigerian individuals through the advancement of various showcasing exercises that the organization embraces. The organization likewise completes its commitments with respect to corporate social duties and has additionally given distinctive recreational focuses which likewise fill in as advancement for its image. The key promoting techniques received by the organization are all around arranged and executed with a reflection in transit the organization's exercises improve the brand and picture of the organization. MTN utilizes client calling focuses as one of their showcasing exercises and it gives results more than having experience focuses, calls give great and proficient intends to determine issues. MTN Nigeria is considerably more creative in their business thoughts and item improvement than its rivals on the lookout and this makes them in a generally excellent serious situation in Nigeria.</w:t>
      </w:r>
    </w:p>
    <w:p w:rsidR="00CD3405" w:rsidRDefault="00CD3405" w:rsidP="00CD3405">
      <w:pPr>
        <w:pStyle w:val="Heading4"/>
        <w:shd w:val="clear" w:color="auto" w:fill="FFFFFF"/>
        <w:spacing w:after="360"/>
        <w:rPr>
          <w:rFonts w:asciiTheme="minorHAnsi" w:hAnsiTheme="minorHAnsi" w:cs="Arial"/>
          <w:b w:val="0"/>
          <w:bCs w:val="0"/>
          <w:color w:val="1B1B1B"/>
          <w:sz w:val="28"/>
          <w:szCs w:val="28"/>
        </w:rPr>
      </w:pPr>
      <w:r>
        <w:rPr>
          <w:rFonts w:asciiTheme="minorHAnsi" w:hAnsiTheme="minorHAnsi" w:cs="Arial"/>
          <w:b w:val="0"/>
          <w:bCs w:val="0"/>
          <w:color w:val="1B1B1B"/>
          <w:sz w:val="28"/>
          <w:szCs w:val="28"/>
        </w:rPr>
        <w:lastRenderedPageBreak/>
        <w:t xml:space="preserve">References: </w:t>
      </w:r>
    </w:p>
    <w:p w:rsidR="00CD3405" w:rsidRPr="00CD3405" w:rsidRDefault="00CD3405" w:rsidP="00CD3405">
      <w:pPr>
        <w:pStyle w:val="normal0"/>
        <w:numPr>
          <w:ilvl w:val="0"/>
          <w:numId w:val="6"/>
        </w:numPr>
        <w:pBdr>
          <w:top w:val="none" w:sz="0" w:space="0" w:color="000000"/>
          <w:left w:val="none" w:sz="0" w:space="0" w:color="000000"/>
          <w:bottom w:val="none" w:sz="0" w:space="0" w:color="000000"/>
          <w:right w:val="none" w:sz="0" w:space="0" w:color="000000"/>
          <w:between w:val="none" w:sz="0" w:space="0" w:color="000000"/>
        </w:pBdr>
        <w:spacing w:after="300" w:line="240" w:lineRule="auto"/>
        <w:jc w:val="both"/>
        <w:rPr>
          <w:rFonts w:asciiTheme="minorHAnsi" w:hAnsiTheme="minorHAnsi"/>
          <w:sz w:val="28"/>
          <w:szCs w:val="28"/>
        </w:rPr>
      </w:pPr>
      <w:r w:rsidRPr="00CD3405">
        <w:rPr>
          <w:rFonts w:asciiTheme="minorHAnsi" w:hAnsiTheme="minorHAnsi"/>
          <w:sz w:val="28"/>
          <w:szCs w:val="28"/>
        </w:rPr>
        <w:t xml:space="preserve">-Aswathappa K(2008), Human Resource and Personnel Management (5th edition), Tata McGraw-Hill Publishing Company Ltd., New Delhi. </w:t>
      </w:r>
    </w:p>
    <w:p w:rsidR="00CD3405" w:rsidRPr="00CD3405" w:rsidRDefault="00CD3405" w:rsidP="00CD3405">
      <w:pPr>
        <w:pStyle w:val="normal0"/>
        <w:numPr>
          <w:ilvl w:val="0"/>
          <w:numId w:val="6"/>
        </w:numPr>
        <w:pBdr>
          <w:top w:val="none" w:sz="0" w:space="0" w:color="000000"/>
          <w:left w:val="none" w:sz="0" w:space="0" w:color="000000"/>
          <w:bottom w:val="none" w:sz="0" w:space="0" w:color="000000"/>
          <w:right w:val="none" w:sz="0" w:space="0" w:color="000000"/>
          <w:between w:val="none" w:sz="0" w:space="0" w:color="000000"/>
        </w:pBdr>
        <w:spacing w:after="300" w:line="240" w:lineRule="auto"/>
        <w:jc w:val="both"/>
        <w:rPr>
          <w:rFonts w:asciiTheme="minorHAnsi" w:hAnsiTheme="minorHAnsi"/>
          <w:sz w:val="28"/>
          <w:szCs w:val="28"/>
        </w:rPr>
      </w:pPr>
      <w:r w:rsidRPr="00CD3405">
        <w:rPr>
          <w:rFonts w:asciiTheme="minorHAnsi" w:hAnsiTheme="minorHAnsi"/>
          <w:sz w:val="28"/>
          <w:szCs w:val="28"/>
        </w:rPr>
        <w:t>Biswajeet Pattanayak (2001), Human Resource Management, Prentice Hall of India Pvt. Ltd., New Delhi.</w:t>
      </w:r>
    </w:p>
    <w:p w:rsidR="00CD3405" w:rsidRPr="00CD3405" w:rsidRDefault="00CD3405" w:rsidP="00CD3405">
      <w:pPr>
        <w:pStyle w:val="normal0"/>
        <w:numPr>
          <w:ilvl w:val="0"/>
          <w:numId w:val="6"/>
        </w:numPr>
        <w:pBdr>
          <w:top w:val="none" w:sz="0" w:space="0" w:color="000000"/>
          <w:left w:val="none" w:sz="0" w:space="0" w:color="000000"/>
          <w:bottom w:val="none" w:sz="0" w:space="0" w:color="000000"/>
          <w:right w:val="none" w:sz="0" w:space="0" w:color="000000"/>
          <w:between w:val="none" w:sz="0" w:space="0" w:color="000000"/>
        </w:pBdr>
        <w:spacing w:after="300" w:line="240" w:lineRule="auto"/>
        <w:jc w:val="both"/>
        <w:rPr>
          <w:rFonts w:asciiTheme="minorHAnsi" w:hAnsiTheme="minorHAnsi"/>
          <w:sz w:val="28"/>
          <w:szCs w:val="28"/>
        </w:rPr>
      </w:pPr>
      <w:r w:rsidRPr="00CD3405">
        <w:rPr>
          <w:rFonts w:asciiTheme="minorHAnsi" w:hAnsiTheme="minorHAnsi"/>
          <w:sz w:val="28"/>
          <w:szCs w:val="28"/>
        </w:rPr>
        <w:t>Lloyed L. Byers and Leslie W. Rue (1997), Human Resource Management (5th edition), The McGraw-Hill Companies, USA.</w:t>
      </w:r>
    </w:p>
    <w:p w:rsidR="00CD3405" w:rsidRPr="00CD3405" w:rsidRDefault="00CD3405" w:rsidP="00CD3405">
      <w:pPr>
        <w:pStyle w:val="normal0"/>
        <w:numPr>
          <w:ilvl w:val="0"/>
          <w:numId w:val="6"/>
        </w:numPr>
        <w:pBdr>
          <w:top w:val="none" w:sz="0" w:space="0" w:color="000000"/>
          <w:left w:val="none" w:sz="0" w:space="0" w:color="000000"/>
          <w:bottom w:val="none" w:sz="0" w:space="0" w:color="000000"/>
          <w:right w:val="none" w:sz="0" w:space="0" w:color="000000"/>
          <w:between w:val="none" w:sz="0" w:space="0" w:color="000000"/>
        </w:pBdr>
        <w:spacing w:after="300" w:line="240" w:lineRule="auto"/>
        <w:jc w:val="both"/>
        <w:rPr>
          <w:rFonts w:asciiTheme="minorHAnsi" w:hAnsiTheme="minorHAnsi"/>
          <w:sz w:val="28"/>
          <w:szCs w:val="28"/>
        </w:rPr>
      </w:pPr>
      <w:r w:rsidRPr="00CD3405">
        <w:rPr>
          <w:rFonts w:asciiTheme="minorHAnsi" w:hAnsiTheme="minorHAnsi"/>
          <w:sz w:val="28"/>
          <w:szCs w:val="28"/>
        </w:rPr>
        <w:t>Michael Armstrong (1999), A Handbook of Human Resource Management Practice (7th edition), Kogan Page Limited, 120 Pentonvelle Road, London.</w:t>
      </w:r>
    </w:p>
    <w:p w:rsidR="00CD3405" w:rsidRDefault="00CD3405" w:rsidP="00CD3405">
      <w:pPr>
        <w:pStyle w:val="normal0"/>
        <w:numPr>
          <w:ilvl w:val="0"/>
          <w:numId w:val="5"/>
        </w:numPr>
        <w:pBdr>
          <w:top w:val="none" w:sz="0" w:space="0" w:color="000000"/>
          <w:left w:val="none" w:sz="0" w:space="0" w:color="000000"/>
          <w:bottom w:val="none" w:sz="0" w:space="0" w:color="000000"/>
          <w:right w:val="none" w:sz="0" w:space="0" w:color="000000"/>
          <w:between w:val="none" w:sz="0" w:space="0" w:color="000000"/>
        </w:pBdr>
        <w:spacing w:after="300" w:line="240" w:lineRule="auto"/>
        <w:jc w:val="both"/>
        <w:rPr>
          <w:rFonts w:asciiTheme="minorHAnsi" w:hAnsiTheme="minorHAnsi"/>
          <w:sz w:val="28"/>
          <w:szCs w:val="28"/>
        </w:rPr>
      </w:pPr>
      <w:r w:rsidRPr="00CD3405">
        <w:rPr>
          <w:rFonts w:asciiTheme="minorHAnsi" w:hAnsiTheme="minorHAnsi"/>
          <w:sz w:val="28"/>
          <w:szCs w:val="28"/>
        </w:rPr>
        <w:t>Edward B. Philippo</w:t>
      </w:r>
      <w:r>
        <w:rPr>
          <w:rFonts w:asciiTheme="minorHAnsi" w:hAnsiTheme="minorHAnsi"/>
          <w:sz w:val="28"/>
          <w:szCs w:val="28"/>
        </w:rPr>
        <w:t xml:space="preserve"> </w:t>
      </w:r>
    </w:p>
    <w:p w:rsidR="00CD3405" w:rsidRPr="00CD3405" w:rsidRDefault="00CD3405" w:rsidP="00CD3405">
      <w:pPr>
        <w:pStyle w:val="normal0"/>
        <w:numPr>
          <w:ilvl w:val="0"/>
          <w:numId w:val="5"/>
        </w:numPr>
        <w:pBdr>
          <w:top w:val="none" w:sz="0" w:space="0" w:color="000000"/>
          <w:left w:val="none" w:sz="0" w:space="0" w:color="000000"/>
          <w:bottom w:val="none" w:sz="0" w:space="0" w:color="000000"/>
          <w:right w:val="none" w:sz="0" w:space="0" w:color="000000"/>
          <w:between w:val="none" w:sz="0" w:space="0" w:color="000000"/>
        </w:pBdr>
        <w:spacing w:after="300" w:line="240" w:lineRule="auto"/>
        <w:jc w:val="both"/>
        <w:rPr>
          <w:rFonts w:asciiTheme="minorHAnsi" w:hAnsiTheme="minorHAnsi"/>
          <w:sz w:val="28"/>
          <w:szCs w:val="28"/>
        </w:rPr>
      </w:pPr>
      <w:r w:rsidRPr="00CD3405">
        <w:rPr>
          <w:rFonts w:asciiTheme="minorHAnsi" w:hAnsiTheme="minorHAnsi"/>
          <w:sz w:val="28"/>
          <w:szCs w:val="28"/>
        </w:rPr>
        <w:t>Invancevich and Glueck</w:t>
      </w:r>
    </w:p>
    <w:p w:rsidR="00CD3405" w:rsidRPr="00CD3405" w:rsidRDefault="00CD3405" w:rsidP="00CD3405">
      <w:pPr>
        <w:pStyle w:val="Bibliography"/>
        <w:numPr>
          <w:ilvl w:val="0"/>
          <w:numId w:val="5"/>
        </w:numPr>
        <w:spacing w:line="240" w:lineRule="auto"/>
        <w:rPr>
          <w:rFonts w:cs="Times New Roman"/>
          <w:noProof/>
          <w:sz w:val="28"/>
          <w:szCs w:val="28"/>
        </w:rPr>
      </w:pPr>
      <w:r w:rsidRPr="00CD3405">
        <w:rPr>
          <w:rFonts w:cs="Times New Roman"/>
          <w:noProof/>
          <w:sz w:val="28"/>
          <w:szCs w:val="28"/>
        </w:rPr>
        <w:t xml:space="preserve">Adejumo, J., 2013. </w:t>
      </w:r>
      <w:r w:rsidRPr="00CD3405">
        <w:rPr>
          <w:rFonts w:cs="Times New Roman"/>
          <w:i/>
          <w:iCs/>
          <w:noProof/>
          <w:sz w:val="28"/>
          <w:szCs w:val="28"/>
        </w:rPr>
        <w:t xml:space="preserve">Etisalat Strategies Captivate Subscribers. </w:t>
      </w:r>
      <w:r w:rsidRPr="00CD3405">
        <w:rPr>
          <w:rFonts w:cs="Times New Roman"/>
          <w:noProof/>
          <w:sz w:val="28"/>
          <w:szCs w:val="28"/>
        </w:rPr>
        <w:t xml:space="preserve">[Online] </w:t>
      </w:r>
      <w:r w:rsidRPr="00CD3405">
        <w:rPr>
          <w:rFonts w:cs="Times New Roman"/>
          <w:noProof/>
          <w:sz w:val="28"/>
          <w:szCs w:val="28"/>
        </w:rPr>
        <w:br/>
        <w:t xml:space="preserve">Available at: </w:t>
      </w:r>
      <w:hyperlink r:id="rId10" w:history="1">
        <w:r w:rsidRPr="00BA6583">
          <w:rPr>
            <w:rStyle w:val="Hyperlink"/>
            <w:rFonts w:cs="Times New Roman"/>
            <w:noProof/>
            <w:sz w:val="28"/>
            <w:szCs w:val="28"/>
          </w:rPr>
          <w:t>http://www.hallmarknews.com/2013/etisalat-strategies-captivate-subscribers</w:t>
        </w:r>
      </w:hyperlink>
      <w:r>
        <w:rPr>
          <w:rFonts w:cs="Times New Roman"/>
          <w:noProof/>
          <w:sz w:val="28"/>
          <w:szCs w:val="28"/>
        </w:rPr>
        <w:t xml:space="preserve"> </w:t>
      </w:r>
      <w:r w:rsidRPr="00CD3405">
        <w:rPr>
          <w:rFonts w:cs="Times New Roman"/>
          <w:noProof/>
          <w:sz w:val="28"/>
          <w:szCs w:val="28"/>
        </w:rPr>
        <w:t>[Accessed 27 March 2014].</w:t>
      </w:r>
    </w:p>
    <w:p w:rsidR="00CD3405" w:rsidRPr="00CD3405" w:rsidRDefault="00CD3405" w:rsidP="00CD3405">
      <w:pPr>
        <w:pStyle w:val="Bibliography"/>
        <w:numPr>
          <w:ilvl w:val="0"/>
          <w:numId w:val="5"/>
        </w:numPr>
        <w:spacing w:line="240" w:lineRule="auto"/>
        <w:rPr>
          <w:rFonts w:cs="Times New Roman"/>
          <w:noProof/>
          <w:sz w:val="28"/>
          <w:szCs w:val="28"/>
        </w:rPr>
      </w:pPr>
      <w:r w:rsidRPr="00CD3405">
        <w:rPr>
          <w:rFonts w:cs="Times New Roman"/>
          <w:noProof/>
          <w:sz w:val="28"/>
          <w:szCs w:val="28"/>
        </w:rPr>
        <w:t xml:space="preserve">Cavero, S. &amp; Cebollada, J., 1997. Brand choice and marketing strategy: An application to the market of laundry detergent for delicate clothes in Spain. </w:t>
      </w:r>
      <w:r w:rsidRPr="00CD3405">
        <w:rPr>
          <w:rFonts w:cs="Times New Roman"/>
          <w:i/>
          <w:iCs/>
          <w:noProof/>
          <w:sz w:val="28"/>
          <w:szCs w:val="28"/>
        </w:rPr>
        <w:t xml:space="preserve">Journal of International Consumer Marketing, </w:t>
      </w:r>
      <w:r w:rsidRPr="00CD3405">
        <w:rPr>
          <w:rFonts w:cs="Times New Roman"/>
          <w:noProof/>
          <w:sz w:val="28"/>
          <w:szCs w:val="28"/>
        </w:rPr>
        <w:t>II(10), pp. 57-71.</w:t>
      </w:r>
    </w:p>
    <w:p w:rsidR="00CD3405" w:rsidRPr="00CD3405" w:rsidRDefault="00CD3405" w:rsidP="00CD3405">
      <w:pPr>
        <w:pStyle w:val="Bibliography"/>
        <w:numPr>
          <w:ilvl w:val="0"/>
          <w:numId w:val="5"/>
        </w:numPr>
        <w:spacing w:line="240" w:lineRule="auto"/>
        <w:rPr>
          <w:rFonts w:cs="Times New Roman"/>
          <w:noProof/>
          <w:sz w:val="28"/>
          <w:szCs w:val="28"/>
        </w:rPr>
      </w:pPr>
      <w:r w:rsidRPr="00CD3405">
        <w:rPr>
          <w:rFonts w:cs="Times New Roman"/>
          <w:noProof/>
          <w:sz w:val="28"/>
          <w:szCs w:val="28"/>
        </w:rPr>
        <w:t xml:space="preserve">Frances, O., 2006. Taxation policies brings fears to the telecommunication operators,;pp. </w:t>
      </w:r>
      <w:r w:rsidRPr="00CD3405">
        <w:rPr>
          <w:rFonts w:cs="Times New Roman"/>
          <w:i/>
          <w:iCs/>
          <w:noProof/>
          <w:sz w:val="28"/>
          <w:szCs w:val="28"/>
        </w:rPr>
        <w:t>Thisday Nigeria</w:t>
      </w:r>
      <w:r w:rsidRPr="00CD3405">
        <w:rPr>
          <w:rFonts w:cs="Times New Roman"/>
          <w:noProof/>
          <w:sz w:val="28"/>
          <w:szCs w:val="28"/>
        </w:rPr>
        <w:t>, pp. 10-11.</w:t>
      </w:r>
    </w:p>
    <w:p w:rsidR="00CD3405" w:rsidRPr="00CD3405" w:rsidRDefault="00CD3405" w:rsidP="00CD3405">
      <w:pPr>
        <w:pStyle w:val="Bibliography"/>
        <w:numPr>
          <w:ilvl w:val="0"/>
          <w:numId w:val="5"/>
        </w:numPr>
        <w:spacing w:line="240" w:lineRule="auto"/>
        <w:rPr>
          <w:rFonts w:cs="Times New Roman"/>
          <w:noProof/>
          <w:sz w:val="28"/>
          <w:szCs w:val="28"/>
        </w:rPr>
      </w:pPr>
      <w:r w:rsidRPr="00CD3405">
        <w:rPr>
          <w:rFonts w:cs="Times New Roman"/>
          <w:noProof/>
          <w:sz w:val="28"/>
          <w:szCs w:val="28"/>
        </w:rPr>
        <w:t xml:space="preserve">Gerry, J. &amp; Kevan, S., 2002. </w:t>
      </w:r>
      <w:r w:rsidRPr="00CD3405">
        <w:rPr>
          <w:rFonts w:cs="Times New Roman"/>
          <w:i/>
          <w:iCs/>
          <w:noProof/>
          <w:sz w:val="28"/>
          <w:szCs w:val="28"/>
        </w:rPr>
        <w:t xml:space="preserve">Exploring corporate strategy. </w:t>
      </w:r>
      <w:r w:rsidRPr="00CD3405">
        <w:rPr>
          <w:rFonts w:cs="Times New Roman"/>
          <w:noProof/>
          <w:sz w:val="28"/>
          <w:szCs w:val="28"/>
        </w:rPr>
        <w:t>6th ed. London: Prentice hall.</w:t>
      </w:r>
    </w:p>
    <w:p w:rsidR="00CD3405" w:rsidRPr="00CD3405" w:rsidRDefault="00CD3405" w:rsidP="00CD3405">
      <w:pPr>
        <w:pStyle w:val="Bibliography"/>
        <w:numPr>
          <w:ilvl w:val="0"/>
          <w:numId w:val="5"/>
        </w:numPr>
        <w:spacing w:line="240" w:lineRule="auto"/>
        <w:rPr>
          <w:rFonts w:cs="Times New Roman"/>
          <w:noProof/>
          <w:sz w:val="28"/>
          <w:szCs w:val="28"/>
        </w:rPr>
      </w:pPr>
      <w:r w:rsidRPr="00CD3405">
        <w:rPr>
          <w:rFonts w:cs="Times New Roman"/>
          <w:noProof/>
          <w:sz w:val="28"/>
          <w:szCs w:val="28"/>
        </w:rPr>
        <w:t xml:space="preserve">Godwin, J., 2013. </w:t>
      </w:r>
      <w:r w:rsidRPr="00CD3405">
        <w:rPr>
          <w:rFonts w:cs="Times New Roman"/>
          <w:i/>
          <w:iCs/>
          <w:noProof/>
          <w:sz w:val="28"/>
          <w:szCs w:val="28"/>
        </w:rPr>
        <w:t xml:space="preserve">Price competition, regulations impact MTN. </w:t>
      </w:r>
      <w:r w:rsidRPr="00CD3405">
        <w:rPr>
          <w:rFonts w:cs="Times New Roman"/>
          <w:noProof/>
          <w:sz w:val="28"/>
          <w:szCs w:val="28"/>
        </w:rPr>
        <w:t xml:space="preserve">[Online] </w:t>
      </w:r>
      <w:r w:rsidRPr="00CD3405">
        <w:rPr>
          <w:rFonts w:cs="Times New Roman"/>
          <w:noProof/>
          <w:sz w:val="28"/>
          <w:szCs w:val="28"/>
        </w:rPr>
        <w:br/>
      </w:r>
      <w:r w:rsidRPr="00CD3405">
        <w:rPr>
          <w:rFonts w:cs="Times New Roman"/>
          <w:noProof/>
          <w:sz w:val="28"/>
          <w:szCs w:val="28"/>
          <w:u w:val="single"/>
        </w:rPr>
        <w:t>http://www.itweb.co.za/index.php?option=com_content&amp;view=author&amp;id=1162</w:t>
      </w:r>
      <w:r w:rsidRPr="00CD3405">
        <w:rPr>
          <w:rFonts w:cs="Times New Roman"/>
          <w:noProof/>
          <w:sz w:val="28"/>
          <w:szCs w:val="28"/>
        </w:rPr>
        <w:br/>
        <w:t>[Accessed 24 March 2014].</w:t>
      </w:r>
    </w:p>
    <w:p w:rsidR="00CD3405" w:rsidRPr="00CD3405" w:rsidRDefault="00CD3405" w:rsidP="00CD3405">
      <w:pPr>
        <w:pStyle w:val="Bibliography"/>
        <w:numPr>
          <w:ilvl w:val="0"/>
          <w:numId w:val="5"/>
        </w:numPr>
        <w:spacing w:line="240" w:lineRule="auto"/>
        <w:rPr>
          <w:rFonts w:cs="Times New Roman"/>
          <w:noProof/>
          <w:sz w:val="28"/>
          <w:szCs w:val="28"/>
        </w:rPr>
      </w:pPr>
      <w:r w:rsidRPr="00CD3405">
        <w:rPr>
          <w:rFonts w:cs="Times New Roman"/>
          <w:noProof/>
          <w:sz w:val="28"/>
          <w:szCs w:val="28"/>
        </w:rPr>
        <w:t xml:space="preserve">MTN Group Limited, 2013. MTN Group Annual Report for the Financial Year Ended 31 December 2013.. </w:t>
      </w:r>
      <w:r w:rsidRPr="00CD3405">
        <w:rPr>
          <w:rFonts w:cs="Times New Roman"/>
          <w:i/>
          <w:iCs/>
          <w:noProof/>
          <w:sz w:val="28"/>
          <w:szCs w:val="28"/>
        </w:rPr>
        <w:t xml:space="preserve">MTN Group Annual Report </w:t>
      </w:r>
      <w:r w:rsidRPr="00CD3405">
        <w:rPr>
          <w:rFonts w:cs="Times New Roman"/>
          <w:noProof/>
          <w:sz w:val="28"/>
          <w:szCs w:val="28"/>
        </w:rPr>
        <w:t xml:space="preserve">, 31 December. </w:t>
      </w:r>
    </w:p>
    <w:p w:rsidR="00CD3405" w:rsidRPr="00CD3405" w:rsidRDefault="00CD3405" w:rsidP="00CD3405">
      <w:pPr>
        <w:pStyle w:val="Bibliography"/>
        <w:numPr>
          <w:ilvl w:val="0"/>
          <w:numId w:val="5"/>
        </w:numPr>
        <w:spacing w:line="240" w:lineRule="auto"/>
        <w:rPr>
          <w:rFonts w:cs="Times New Roman"/>
          <w:noProof/>
          <w:sz w:val="28"/>
          <w:szCs w:val="28"/>
        </w:rPr>
      </w:pPr>
      <w:r w:rsidRPr="00CD3405">
        <w:rPr>
          <w:rFonts w:cs="Times New Roman"/>
          <w:noProof/>
          <w:sz w:val="28"/>
          <w:szCs w:val="28"/>
        </w:rPr>
        <w:lastRenderedPageBreak/>
        <w:t xml:space="preserve">Nkanga, E., 2007. How have Telecoms subscribers fared?. </w:t>
      </w:r>
      <w:r w:rsidRPr="00CD3405">
        <w:rPr>
          <w:rFonts w:cs="Times New Roman"/>
          <w:i/>
          <w:iCs/>
          <w:noProof/>
          <w:sz w:val="28"/>
          <w:szCs w:val="28"/>
        </w:rPr>
        <w:t>Thisday Nigeria</w:t>
      </w:r>
      <w:r w:rsidRPr="00CD3405">
        <w:rPr>
          <w:rFonts w:cs="Times New Roman"/>
          <w:noProof/>
          <w:sz w:val="28"/>
          <w:szCs w:val="28"/>
        </w:rPr>
        <w:t>, pp. 5-6.</w:t>
      </w:r>
    </w:p>
    <w:p w:rsidR="00CD3405" w:rsidRPr="00CD3405" w:rsidRDefault="00CD3405" w:rsidP="00CD3405">
      <w:pPr>
        <w:pStyle w:val="Bibliography"/>
        <w:numPr>
          <w:ilvl w:val="0"/>
          <w:numId w:val="5"/>
        </w:numPr>
        <w:spacing w:line="240" w:lineRule="auto"/>
        <w:rPr>
          <w:rFonts w:cs="Times New Roman"/>
          <w:noProof/>
          <w:sz w:val="28"/>
          <w:szCs w:val="28"/>
        </w:rPr>
      </w:pPr>
      <w:r w:rsidRPr="00CD3405">
        <w:rPr>
          <w:rFonts w:cs="Times New Roman"/>
          <w:noProof/>
          <w:sz w:val="28"/>
          <w:szCs w:val="28"/>
        </w:rPr>
        <w:t xml:space="preserve">Ojo, M. O., 2013. </w:t>
      </w:r>
      <w:r w:rsidRPr="00CD3405">
        <w:rPr>
          <w:rFonts w:cs="Times New Roman"/>
          <w:i/>
          <w:iCs/>
          <w:noProof/>
          <w:sz w:val="28"/>
          <w:szCs w:val="28"/>
        </w:rPr>
        <w:t xml:space="preserve">Marketing Planning. </w:t>
      </w:r>
      <w:r w:rsidRPr="00CD3405">
        <w:rPr>
          <w:rFonts w:cs="Times New Roman"/>
          <w:noProof/>
          <w:sz w:val="28"/>
          <w:szCs w:val="28"/>
        </w:rPr>
        <w:t xml:space="preserve">[Online] </w:t>
      </w:r>
      <w:r w:rsidRPr="00CD3405">
        <w:rPr>
          <w:rFonts w:cs="Times New Roman"/>
          <w:noProof/>
          <w:sz w:val="28"/>
          <w:szCs w:val="28"/>
        </w:rPr>
        <w:br/>
        <w:t xml:space="preserve">Available at: </w:t>
      </w:r>
      <w:r w:rsidRPr="00CD3405">
        <w:rPr>
          <w:rFonts w:cs="Times New Roman"/>
          <w:noProof/>
          <w:sz w:val="28"/>
          <w:szCs w:val="28"/>
          <w:u w:val="single"/>
        </w:rPr>
        <w:t>http://murphyojo1.blogspot.com/2013/03/marketing-planning.html</w:t>
      </w:r>
      <w:r w:rsidRPr="00CD3405">
        <w:rPr>
          <w:rFonts w:cs="Times New Roman"/>
          <w:noProof/>
          <w:sz w:val="28"/>
          <w:szCs w:val="28"/>
        </w:rPr>
        <w:br/>
        <w:t>[Accessed 25 March 2014].</w:t>
      </w:r>
    </w:p>
    <w:p w:rsidR="00CD3405" w:rsidRDefault="00CD3405" w:rsidP="00CD3405">
      <w:pPr>
        <w:pStyle w:val="normal0"/>
        <w:numPr>
          <w:ilvl w:val="0"/>
          <w:numId w:val="5"/>
        </w:numPr>
        <w:pBdr>
          <w:top w:val="none" w:sz="0" w:space="0" w:color="000000"/>
          <w:left w:val="none" w:sz="0" w:space="0" w:color="000000"/>
          <w:bottom w:val="none" w:sz="0" w:space="0" w:color="000000"/>
          <w:right w:val="none" w:sz="0" w:space="2" w:color="000000"/>
          <w:between w:val="none" w:sz="0" w:space="0" w:color="000000"/>
        </w:pBdr>
        <w:spacing w:after="300" w:line="240" w:lineRule="auto"/>
        <w:jc w:val="both"/>
        <w:rPr>
          <w:rFonts w:asciiTheme="minorHAnsi" w:hAnsiTheme="minorHAnsi" w:cs="Times New Roman"/>
          <w:i/>
          <w:iCs/>
          <w:noProof/>
          <w:sz w:val="28"/>
          <w:szCs w:val="28"/>
        </w:rPr>
      </w:pPr>
      <w:r w:rsidRPr="00CD3405">
        <w:rPr>
          <w:rFonts w:asciiTheme="minorHAnsi" w:hAnsiTheme="minorHAnsi" w:cs="Times New Roman"/>
          <w:noProof/>
          <w:sz w:val="28"/>
          <w:szCs w:val="28"/>
        </w:rPr>
        <w:t xml:space="preserve">Osuagwu, P., 2012. </w:t>
      </w:r>
      <w:r w:rsidRPr="00CD3405">
        <w:rPr>
          <w:rFonts w:asciiTheme="minorHAnsi" w:hAnsiTheme="minorHAnsi" w:cs="Times New Roman"/>
          <w:i/>
          <w:iCs/>
          <w:noProof/>
          <w:sz w:val="28"/>
          <w:szCs w:val="28"/>
        </w:rPr>
        <w:t>MTN releases 2012 operating re</w:t>
      </w:r>
      <w:r>
        <w:rPr>
          <w:rFonts w:asciiTheme="minorHAnsi" w:hAnsiTheme="minorHAnsi" w:cs="Times New Roman"/>
          <w:i/>
          <w:iCs/>
          <w:noProof/>
          <w:sz w:val="28"/>
          <w:szCs w:val="28"/>
        </w:rPr>
        <w:t>sults, says 2012 was challenging in Nigeria.</w:t>
      </w:r>
    </w:p>
    <w:p w:rsidR="00CD3405" w:rsidRPr="00CD3405" w:rsidRDefault="00CD3405" w:rsidP="00CD3405">
      <w:pPr>
        <w:pStyle w:val="Heading4"/>
        <w:shd w:val="clear" w:color="auto" w:fill="FFFFFF"/>
        <w:spacing w:after="360"/>
        <w:rPr>
          <w:rFonts w:asciiTheme="minorHAnsi" w:hAnsiTheme="minorHAnsi" w:cs="Arial"/>
          <w:b w:val="0"/>
          <w:bCs w:val="0"/>
          <w:color w:val="1B1B1B"/>
          <w:sz w:val="28"/>
          <w:szCs w:val="28"/>
        </w:rPr>
      </w:pPr>
    </w:p>
    <w:p w:rsidR="001C75F3" w:rsidRDefault="001C75F3" w:rsidP="00B75DA1">
      <w:pPr>
        <w:rPr>
          <w:sz w:val="28"/>
          <w:szCs w:val="28"/>
        </w:rPr>
      </w:pPr>
    </w:p>
    <w:p w:rsidR="001C75F3" w:rsidRDefault="001C75F3" w:rsidP="00B75DA1">
      <w:pPr>
        <w:rPr>
          <w:sz w:val="28"/>
          <w:szCs w:val="28"/>
        </w:rPr>
      </w:pPr>
    </w:p>
    <w:p w:rsidR="001C75F3" w:rsidRDefault="001C75F3" w:rsidP="00B75DA1">
      <w:pPr>
        <w:rPr>
          <w:sz w:val="28"/>
          <w:szCs w:val="28"/>
        </w:rPr>
      </w:pPr>
    </w:p>
    <w:p w:rsidR="001C75F3" w:rsidRDefault="001C75F3" w:rsidP="00B75DA1">
      <w:pPr>
        <w:rPr>
          <w:sz w:val="28"/>
          <w:szCs w:val="28"/>
        </w:rPr>
      </w:pPr>
    </w:p>
    <w:p w:rsidR="001C75F3" w:rsidRDefault="001C75F3" w:rsidP="00B75DA1">
      <w:pPr>
        <w:rPr>
          <w:sz w:val="28"/>
          <w:szCs w:val="28"/>
        </w:rPr>
      </w:pPr>
    </w:p>
    <w:p w:rsidR="001C75F3" w:rsidRDefault="001C75F3" w:rsidP="00B75DA1">
      <w:pPr>
        <w:rPr>
          <w:sz w:val="28"/>
          <w:szCs w:val="28"/>
        </w:rPr>
      </w:pPr>
    </w:p>
    <w:p w:rsidR="001C75F3" w:rsidRDefault="001C75F3" w:rsidP="00B75DA1">
      <w:pPr>
        <w:rPr>
          <w:sz w:val="28"/>
          <w:szCs w:val="28"/>
        </w:rPr>
      </w:pPr>
    </w:p>
    <w:p w:rsidR="001C75F3" w:rsidRDefault="001C75F3" w:rsidP="00B75DA1">
      <w:pPr>
        <w:rPr>
          <w:sz w:val="28"/>
          <w:szCs w:val="28"/>
        </w:rPr>
      </w:pPr>
    </w:p>
    <w:p w:rsidR="001C75F3" w:rsidRDefault="001C75F3" w:rsidP="00B75DA1">
      <w:pPr>
        <w:rPr>
          <w:sz w:val="28"/>
          <w:szCs w:val="28"/>
        </w:rPr>
      </w:pPr>
    </w:p>
    <w:sectPr w:rsidR="001C75F3" w:rsidSect="00BB3E85">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107BE" w:rsidRDefault="005107BE" w:rsidP="00B75DA1">
      <w:pPr>
        <w:spacing w:after="0" w:line="240" w:lineRule="auto"/>
      </w:pPr>
      <w:r>
        <w:separator/>
      </w:r>
    </w:p>
  </w:endnote>
  <w:endnote w:type="continuationSeparator" w:id="0">
    <w:p w:rsidR="005107BE" w:rsidRDefault="005107BE" w:rsidP="00B75DA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5A39" w:rsidRDefault="00425A39">
    <w:pPr>
      <w:pStyle w:val="Footer"/>
      <w:pBdr>
        <w:top w:val="thinThickSmallGap" w:sz="24" w:space="1" w:color="622423" w:themeColor="accent2" w:themeShade="7F"/>
      </w:pBdr>
      <w:rPr>
        <w:rFonts w:asciiTheme="majorHAnsi" w:hAnsiTheme="majorHAnsi"/>
      </w:rPr>
    </w:pPr>
    <w:r>
      <w:rPr>
        <w:rFonts w:asciiTheme="majorHAnsi" w:hAnsiTheme="majorHAnsi"/>
      </w:rPr>
      <w:ptab w:relativeTo="margin" w:alignment="right" w:leader="none"/>
    </w:r>
    <w:r>
      <w:rPr>
        <w:rFonts w:asciiTheme="majorHAnsi" w:hAnsiTheme="majorHAnsi"/>
      </w:rPr>
      <w:t xml:space="preserve">Page </w:t>
    </w:r>
    <w:fldSimple w:instr=" PAGE   \* MERGEFORMAT ">
      <w:r w:rsidR="00C10C72" w:rsidRPr="00C10C72">
        <w:rPr>
          <w:rFonts w:asciiTheme="majorHAnsi" w:hAnsiTheme="majorHAnsi"/>
          <w:noProof/>
        </w:rPr>
        <w:t>13</w:t>
      </w:r>
    </w:fldSimple>
  </w:p>
  <w:p w:rsidR="00425A39" w:rsidRDefault="00425A3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107BE" w:rsidRDefault="005107BE" w:rsidP="00B75DA1">
      <w:pPr>
        <w:spacing w:after="0" w:line="240" w:lineRule="auto"/>
      </w:pPr>
      <w:r>
        <w:separator/>
      </w:r>
    </w:p>
  </w:footnote>
  <w:footnote w:type="continuationSeparator" w:id="0">
    <w:p w:rsidR="005107BE" w:rsidRDefault="005107BE" w:rsidP="00B75DA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5A39" w:rsidRDefault="00425A39">
    <w:pPr>
      <w:pStyle w:val="Header"/>
    </w:pPr>
    <w:r>
      <w:t xml:space="preserve">                                                                       </w:t>
    </w:r>
    <w:r w:rsidR="002A221B">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462.75pt;height:28.5pt">
          <v:shadow color="#868686"/>
          <v:textpath style="font-family:&quot;Arial Black&quot;;font-size:20pt;v-text-kern:t" trim="t" fitpath="t" string="LCMB7000 Human Resource Management"/>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57228C"/>
    <w:multiLevelType w:val="hybridMultilevel"/>
    <w:tmpl w:val="2F927F62"/>
    <w:lvl w:ilvl="0" w:tplc="B09E1B24">
      <w:start w:val="1"/>
      <w:numFmt w:val="bullet"/>
      <w:lvlText w:val="-"/>
      <w:lvlJc w:val="left"/>
      <w:pPr>
        <w:ind w:left="720"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B555EC2"/>
    <w:multiLevelType w:val="hybridMultilevel"/>
    <w:tmpl w:val="CD2206EA"/>
    <w:lvl w:ilvl="0" w:tplc="BB6EDFC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1AF22DF"/>
    <w:multiLevelType w:val="hybridMultilevel"/>
    <w:tmpl w:val="03C4BD0C"/>
    <w:lvl w:ilvl="0" w:tplc="BB6EDFC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8BB088A"/>
    <w:multiLevelType w:val="hybridMultilevel"/>
    <w:tmpl w:val="7414A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6695A1D"/>
    <w:multiLevelType w:val="hybridMultilevel"/>
    <w:tmpl w:val="A8266DB4"/>
    <w:lvl w:ilvl="0" w:tplc="B09E1B24">
      <w:start w:val="1"/>
      <w:numFmt w:val="bullet"/>
      <w:lvlText w:val="-"/>
      <w:lvlJc w:val="left"/>
      <w:pPr>
        <w:ind w:left="720"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9ED5473"/>
    <w:multiLevelType w:val="hybridMultilevel"/>
    <w:tmpl w:val="182838C8"/>
    <w:lvl w:ilvl="0" w:tplc="FD787C7C">
      <w:start w:val="1"/>
      <w:numFmt w:val="decimal"/>
      <w:lvlText w:val="%1."/>
      <w:lvlJc w:val="left"/>
      <w:pPr>
        <w:ind w:left="390" w:hanging="360"/>
      </w:pPr>
      <w:rPr>
        <w:rFonts w:hint="default"/>
      </w:rPr>
    </w:lvl>
    <w:lvl w:ilvl="1" w:tplc="04090019" w:tentative="1">
      <w:start w:val="1"/>
      <w:numFmt w:val="lowerLetter"/>
      <w:lvlText w:val="%2."/>
      <w:lvlJc w:val="left"/>
      <w:pPr>
        <w:ind w:left="1110" w:hanging="360"/>
      </w:pPr>
    </w:lvl>
    <w:lvl w:ilvl="2" w:tplc="0409001B" w:tentative="1">
      <w:start w:val="1"/>
      <w:numFmt w:val="lowerRoman"/>
      <w:lvlText w:val="%3."/>
      <w:lvlJc w:val="right"/>
      <w:pPr>
        <w:ind w:left="1830" w:hanging="180"/>
      </w:pPr>
    </w:lvl>
    <w:lvl w:ilvl="3" w:tplc="0409000F" w:tentative="1">
      <w:start w:val="1"/>
      <w:numFmt w:val="decimal"/>
      <w:lvlText w:val="%4."/>
      <w:lvlJc w:val="left"/>
      <w:pPr>
        <w:ind w:left="2550" w:hanging="360"/>
      </w:pPr>
    </w:lvl>
    <w:lvl w:ilvl="4" w:tplc="04090019" w:tentative="1">
      <w:start w:val="1"/>
      <w:numFmt w:val="lowerLetter"/>
      <w:lvlText w:val="%5."/>
      <w:lvlJc w:val="left"/>
      <w:pPr>
        <w:ind w:left="3270" w:hanging="360"/>
      </w:pPr>
    </w:lvl>
    <w:lvl w:ilvl="5" w:tplc="0409001B" w:tentative="1">
      <w:start w:val="1"/>
      <w:numFmt w:val="lowerRoman"/>
      <w:lvlText w:val="%6."/>
      <w:lvlJc w:val="right"/>
      <w:pPr>
        <w:ind w:left="3990" w:hanging="180"/>
      </w:pPr>
    </w:lvl>
    <w:lvl w:ilvl="6" w:tplc="0409000F" w:tentative="1">
      <w:start w:val="1"/>
      <w:numFmt w:val="decimal"/>
      <w:lvlText w:val="%7."/>
      <w:lvlJc w:val="left"/>
      <w:pPr>
        <w:ind w:left="4710" w:hanging="360"/>
      </w:pPr>
    </w:lvl>
    <w:lvl w:ilvl="7" w:tplc="04090019" w:tentative="1">
      <w:start w:val="1"/>
      <w:numFmt w:val="lowerLetter"/>
      <w:lvlText w:val="%8."/>
      <w:lvlJc w:val="left"/>
      <w:pPr>
        <w:ind w:left="5430" w:hanging="360"/>
      </w:pPr>
    </w:lvl>
    <w:lvl w:ilvl="8" w:tplc="0409001B" w:tentative="1">
      <w:start w:val="1"/>
      <w:numFmt w:val="lowerRoman"/>
      <w:lvlText w:val="%9."/>
      <w:lvlJc w:val="right"/>
      <w:pPr>
        <w:ind w:left="6150" w:hanging="180"/>
      </w:pPr>
    </w:lvl>
  </w:abstractNum>
  <w:num w:numId="1">
    <w:abstractNumId w:val="1"/>
  </w:num>
  <w:num w:numId="2">
    <w:abstractNumId w:val="3"/>
  </w:num>
  <w:num w:numId="3">
    <w:abstractNumId w:val="2"/>
  </w:num>
  <w:num w:numId="4">
    <w:abstractNumId w:val="5"/>
  </w:num>
  <w:num w:numId="5">
    <w:abstractNumId w:val="4"/>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6146"/>
  </w:hdrShapeDefaults>
  <w:footnotePr>
    <w:footnote w:id="-1"/>
    <w:footnote w:id="0"/>
  </w:footnotePr>
  <w:endnotePr>
    <w:endnote w:id="-1"/>
    <w:endnote w:id="0"/>
  </w:endnotePr>
  <w:compat/>
  <w:rsids>
    <w:rsidRoot w:val="00B75DA1"/>
    <w:rsid w:val="000337E0"/>
    <w:rsid w:val="000714E2"/>
    <w:rsid w:val="000D369B"/>
    <w:rsid w:val="000F2864"/>
    <w:rsid w:val="00180CF1"/>
    <w:rsid w:val="001B7A92"/>
    <w:rsid w:val="001C75F3"/>
    <w:rsid w:val="00207D8E"/>
    <w:rsid w:val="002A221B"/>
    <w:rsid w:val="00387CA3"/>
    <w:rsid w:val="00425A39"/>
    <w:rsid w:val="005107BE"/>
    <w:rsid w:val="005A4015"/>
    <w:rsid w:val="005D2B94"/>
    <w:rsid w:val="006E141E"/>
    <w:rsid w:val="008617AB"/>
    <w:rsid w:val="00B75DA1"/>
    <w:rsid w:val="00BB3E85"/>
    <w:rsid w:val="00C10C72"/>
    <w:rsid w:val="00C94AAC"/>
    <w:rsid w:val="00CD3405"/>
    <w:rsid w:val="00D57DBD"/>
    <w:rsid w:val="00E21AF1"/>
    <w:rsid w:val="00E9378B"/>
    <w:rsid w:val="00F564B2"/>
    <w:rsid w:val="00F97579"/>
    <w:rsid w:val="00FB595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3E85"/>
  </w:style>
  <w:style w:type="paragraph" w:styleId="Heading1">
    <w:name w:val="heading 1"/>
    <w:basedOn w:val="Normal"/>
    <w:next w:val="Normal"/>
    <w:link w:val="Heading1Char"/>
    <w:uiPriority w:val="9"/>
    <w:qFormat/>
    <w:rsid w:val="00B75DA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link w:val="Heading4Char"/>
    <w:uiPriority w:val="9"/>
    <w:qFormat/>
    <w:rsid w:val="000714E2"/>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DA1"/>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B75D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DA1"/>
    <w:rPr>
      <w:rFonts w:ascii="Tahoma" w:hAnsi="Tahoma" w:cs="Tahoma"/>
      <w:sz w:val="16"/>
      <w:szCs w:val="16"/>
    </w:rPr>
  </w:style>
  <w:style w:type="paragraph" w:styleId="Header">
    <w:name w:val="header"/>
    <w:basedOn w:val="Normal"/>
    <w:link w:val="HeaderChar"/>
    <w:uiPriority w:val="99"/>
    <w:semiHidden/>
    <w:unhideWhenUsed/>
    <w:rsid w:val="00B75DA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75DA1"/>
  </w:style>
  <w:style w:type="paragraph" w:styleId="Footer">
    <w:name w:val="footer"/>
    <w:basedOn w:val="Normal"/>
    <w:link w:val="FooterChar"/>
    <w:uiPriority w:val="99"/>
    <w:unhideWhenUsed/>
    <w:rsid w:val="00B75D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5DA1"/>
  </w:style>
  <w:style w:type="paragraph" w:styleId="ListParagraph">
    <w:name w:val="List Paragraph"/>
    <w:basedOn w:val="Normal"/>
    <w:uiPriority w:val="34"/>
    <w:qFormat/>
    <w:rsid w:val="000F2864"/>
    <w:pPr>
      <w:ind w:left="720"/>
      <w:contextualSpacing/>
    </w:pPr>
  </w:style>
  <w:style w:type="table" w:styleId="TableGrid">
    <w:name w:val="Table Grid"/>
    <w:basedOn w:val="TableNormal"/>
    <w:uiPriority w:val="59"/>
    <w:rsid w:val="00207D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1">
    <w:name w:val="Light Shading1"/>
    <w:basedOn w:val="TableNormal"/>
    <w:uiPriority w:val="60"/>
    <w:rsid w:val="00207D8E"/>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0714E2"/>
    <w:rPr>
      <w:rFonts w:ascii="Times New Roman" w:eastAsia="Times New Roman" w:hAnsi="Times New Roman" w:cs="Times New Roman"/>
      <w:b/>
      <w:bCs/>
      <w:sz w:val="24"/>
      <w:szCs w:val="24"/>
    </w:rPr>
  </w:style>
  <w:style w:type="paragraph" w:customStyle="1" w:styleId="normal0">
    <w:name w:val="normal"/>
    <w:rsid w:val="00CD3405"/>
    <w:pPr>
      <w:spacing w:after="0"/>
    </w:pPr>
    <w:rPr>
      <w:rFonts w:ascii="Arial" w:eastAsia="Arial" w:hAnsi="Arial" w:cs="Arial"/>
    </w:rPr>
  </w:style>
  <w:style w:type="paragraph" w:styleId="Bibliography">
    <w:name w:val="Bibliography"/>
    <w:basedOn w:val="Normal"/>
    <w:next w:val="Normal"/>
    <w:uiPriority w:val="37"/>
    <w:unhideWhenUsed/>
    <w:rsid w:val="00CD3405"/>
  </w:style>
  <w:style w:type="character" w:styleId="Hyperlink">
    <w:name w:val="Hyperlink"/>
    <w:basedOn w:val="DefaultParagraphFont"/>
    <w:uiPriority w:val="99"/>
    <w:unhideWhenUsed/>
    <w:rsid w:val="00CD340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467669284">
      <w:bodyDiv w:val="1"/>
      <w:marLeft w:val="0"/>
      <w:marRight w:val="0"/>
      <w:marTop w:val="0"/>
      <w:marBottom w:val="0"/>
      <w:divBdr>
        <w:top w:val="none" w:sz="0" w:space="0" w:color="auto"/>
        <w:left w:val="none" w:sz="0" w:space="0" w:color="auto"/>
        <w:bottom w:val="none" w:sz="0" w:space="0" w:color="auto"/>
        <w:right w:val="none" w:sz="0" w:space="0" w:color="auto"/>
      </w:divBdr>
    </w:div>
    <w:div w:id="601571574">
      <w:bodyDiv w:val="1"/>
      <w:marLeft w:val="0"/>
      <w:marRight w:val="0"/>
      <w:marTop w:val="0"/>
      <w:marBottom w:val="0"/>
      <w:divBdr>
        <w:top w:val="none" w:sz="0" w:space="0" w:color="auto"/>
        <w:left w:val="none" w:sz="0" w:space="0" w:color="auto"/>
        <w:bottom w:val="none" w:sz="0" w:space="0" w:color="auto"/>
        <w:right w:val="none" w:sz="0" w:space="0" w:color="auto"/>
      </w:divBdr>
    </w:div>
    <w:div w:id="644624769">
      <w:bodyDiv w:val="1"/>
      <w:marLeft w:val="0"/>
      <w:marRight w:val="0"/>
      <w:marTop w:val="0"/>
      <w:marBottom w:val="0"/>
      <w:divBdr>
        <w:top w:val="none" w:sz="0" w:space="0" w:color="auto"/>
        <w:left w:val="none" w:sz="0" w:space="0" w:color="auto"/>
        <w:bottom w:val="none" w:sz="0" w:space="0" w:color="auto"/>
        <w:right w:val="none" w:sz="0" w:space="0" w:color="auto"/>
      </w:divBdr>
    </w:div>
    <w:div w:id="1130170628">
      <w:bodyDiv w:val="1"/>
      <w:marLeft w:val="0"/>
      <w:marRight w:val="0"/>
      <w:marTop w:val="0"/>
      <w:marBottom w:val="0"/>
      <w:divBdr>
        <w:top w:val="none" w:sz="0" w:space="0" w:color="auto"/>
        <w:left w:val="none" w:sz="0" w:space="0" w:color="auto"/>
        <w:bottom w:val="none" w:sz="0" w:space="0" w:color="auto"/>
        <w:right w:val="none" w:sz="0" w:space="0" w:color="auto"/>
      </w:divBdr>
    </w:div>
    <w:div w:id="1658534642">
      <w:bodyDiv w:val="1"/>
      <w:marLeft w:val="0"/>
      <w:marRight w:val="0"/>
      <w:marTop w:val="0"/>
      <w:marBottom w:val="0"/>
      <w:divBdr>
        <w:top w:val="none" w:sz="0" w:space="0" w:color="auto"/>
        <w:left w:val="none" w:sz="0" w:space="0" w:color="auto"/>
        <w:bottom w:val="none" w:sz="0" w:space="0" w:color="auto"/>
        <w:right w:val="none" w:sz="0" w:space="0" w:color="auto"/>
      </w:divBdr>
    </w:div>
    <w:div w:id="1689288206">
      <w:bodyDiv w:val="1"/>
      <w:marLeft w:val="0"/>
      <w:marRight w:val="0"/>
      <w:marTop w:val="0"/>
      <w:marBottom w:val="0"/>
      <w:divBdr>
        <w:top w:val="none" w:sz="0" w:space="0" w:color="auto"/>
        <w:left w:val="none" w:sz="0" w:space="0" w:color="auto"/>
        <w:bottom w:val="none" w:sz="0" w:space="0" w:color="auto"/>
        <w:right w:val="none" w:sz="0" w:space="0" w:color="auto"/>
      </w:divBdr>
    </w:div>
    <w:div w:id="1818958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hallmarknews.com/2013/etisalat-strategies-captivate-subscrib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3DA1C51-7557-4C92-9E71-D161C0994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3035</Words>
  <Characters>17302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9</cp:revision>
  <dcterms:created xsi:type="dcterms:W3CDTF">2020-12-07T09:30:00Z</dcterms:created>
  <dcterms:modified xsi:type="dcterms:W3CDTF">2020-12-11T09:54:00Z</dcterms:modified>
</cp:coreProperties>
</file>