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DDA9C1" wp14:paraId="19245D35" wp14:textId="63CD0BE4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DDA9C1" w:rsidR="79206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Kayleigh Iacov</w:t>
      </w:r>
    </w:p>
    <w:p xmlns:wp14="http://schemas.microsoft.com/office/word/2010/wordml" w:rsidP="09DDA9C1" wp14:paraId="646D0773" wp14:textId="1AF27E0A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DDA9C1" w:rsidR="79206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HPAH6082</w:t>
      </w:r>
    </w:p>
    <w:p xmlns:wp14="http://schemas.microsoft.com/office/word/2010/wordml" w:rsidP="09DDA9C1" wp14:paraId="6484C6C1" wp14:textId="340C5FD2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DDA9C1" w:rsidR="79206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Ruth Parkes</w:t>
      </w:r>
    </w:p>
    <w:p xmlns:wp14="http://schemas.microsoft.com/office/word/2010/wordml" w:rsidP="09DDA9C1" wp14:paraId="0FB00F6C" wp14:textId="119AE09D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9DDA9C1" w:rsidR="79206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Due 1 February 2026</w:t>
      </w:r>
    </w:p>
    <w:p xmlns:wp14="http://schemas.microsoft.com/office/word/2010/wordml" wp14:paraId="5E5787A5" wp14:textId="07DC47E8"/>
    <w:p w:rsidR="79206C85" w:rsidP="09DDA9C1" w:rsidRDefault="79206C85" w14:paraId="12998022" w14:textId="07E4263C">
      <w:pPr>
        <w:jc w:val="center"/>
        <w:rPr>
          <w:rFonts w:ascii="Times New Roman" w:hAnsi="Times New Roman" w:eastAsia="Times New Roman" w:cs="Times New Roman"/>
        </w:rPr>
      </w:pPr>
      <w:r w:rsidRPr="09DDA9C1" w:rsidR="79206C85">
        <w:rPr>
          <w:rFonts w:ascii="Times New Roman" w:hAnsi="Times New Roman" w:eastAsia="Times New Roman" w:cs="Times New Roman"/>
        </w:rPr>
        <w:t xml:space="preserve">Alexander’s Encounter with </w:t>
      </w:r>
      <w:r w:rsidRPr="09DDA9C1" w:rsidR="79206C85">
        <w:rPr>
          <w:rFonts w:ascii="Times New Roman" w:hAnsi="Times New Roman" w:eastAsia="Times New Roman" w:cs="Times New Roman"/>
        </w:rPr>
        <w:t>Talestris</w:t>
      </w:r>
      <w:r w:rsidRPr="09DDA9C1" w:rsidR="79206C85">
        <w:rPr>
          <w:rFonts w:ascii="Times New Roman" w:hAnsi="Times New Roman" w:eastAsia="Times New Roman" w:cs="Times New Roman"/>
        </w:rPr>
        <w:t>: Account of Sources</w:t>
      </w:r>
    </w:p>
    <w:p w:rsidR="09DDA9C1" w:rsidP="09DDA9C1" w:rsidRDefault="09DDA9C1" w14:paraId="434DC4E7" w14:textId="7AB72020">
      <w:pPr>
        <w:jc w:val="center"/>
        <w:rPr>
          <w:rFonts w:ascii="Times New Roman" w:hAnsi="Times New Roman" w:eastAsia="Times New Roman" w:cs="Times New Roman"/>
        </w:rPr>
      </w:pPr>
    </w:p>
    <w:p w:rsidR="79206C85" w:rsidP="09DDA9C1" w:rsidRDefault="79206C85" w14:paraId="3906ED32" w14:textId="65B2E152">
      <w:pPr>
        <w:jc w:val="center"/>
        <w:rPr>
          <w:rFonts w:ascii="Times New Roman" w:hAnsi="Times New Roman" w:eastAsia="Times New Roman" w:cs="Times New Roman"/>
        </w:rPr>
      </w:pPr>
      <w:r w:rsidRPr="09DDA9C1" w:rsidR="79206C85">
        <w:rPr>
          <w:rFonts w:ascii="Times New Roman" w:hAnsi="Times New Roman" w:eastAsia="Times New Roman" w:cs="Times New Roman"/>
        </w:rPr>
        <w:t>Introduction</w:t>
      </w:r>
    </w:p>
    <w:p w:rsidR="61AA77F3" w:rsidP="09DDA9C1" w:rsidRDefault="61AA77F3" w14:paraId="34313162" w14:textId="2B7BC110">
      <w:pPr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61AA77F3">
        <w:rPr>
          <w:rFonts w:ascii="Times New Roman" w:hAnsi="Times New Roman" w:eastAsia="Times New Roman" w:cs="Times New Roman"/>
        </w:rPr>
        <w:t xml:space="preserve">Alexander the Great’s encounter with </w:t>
      </w:r>
      <w:r w:rsidRPr="09DDA9C1" w:rsidR="61AA77F3">
        <w:rPr>
          <w:rFonts w:ascii="Times New Roman" w:hAnsi="Times New Roman" w:eastAsia="Times New Roman" w:cs="Times New Roman"/>
        </w:rPr>
        <w:t>Talestris</w:t>
      </w:r>
      <w:r w:rsidRPr="09DDA9C1" w:rsidR="61AA77F3">
        <w:rPr>
          <w:rFonts w:ascii="Times New Roman" w:hAnsi="Times New Roman" w:eastAsia="Times New Roman" w:cs="Times New Roman"/>
        </w:rPr>
        <w:t>, the Amazon queen, holds a notable position within the literary canon of his life.</w:t>
      </w:r>
      <w:r w:rsidRPr="09DDA9C1" w:rsidR="18FE80C6">
        <w:rPr>
          <w:rFonts w:ascii="Times New Roman" w:hAnsi="Times New Roman" w:eastAsia="Times New Roman" w:cs="Times New Roman"/>
        </w:rPr>
        <w:t xml:space="preserve"> </w:t>
      </w:r>
      <w:r w:rsidRPr="09DDA9C1" w:rsidR="26C492B9">
        <w:rPr>
          <w:rFonts w:ascii="Times New Roman" w:hAnsi="Times New Roman" w:eastAsia="Times New Roman" w:cs="Times New Roman"/>
        </w:rPr>
        <w:t>Talestris</w:t>
      </w:r>
      <w:r w:rsidRPr="09DDA9C1" w:rsidR="26C492B9">
        <w:rPr>
          <w:rFonts w:ascii="Times New Roman" w:hAnsi="Times New Roman" w:eastAsia="Times New Roman" w:cs="Times New Roman"/>
        </w:rPr>
        <w:t xml:space="preserve">, depicted as the ruler of a society of warrior women, is said to have </w:t>
      </w:r>
      <w:r w:rsidRPr="09DDA9C1" w:rsidR="36317AF5">
        <w:rPr>
          <w:rFonts w:ascii="Times New Roman" w:hAnsi="Times New Roman" w:eastAsia="Times New Roman" w:cs="Times New Roman"/>
        </w:rPr>
        <w:t xml:space="preserve">sought Alexander’s temporary companionship not for </w:t>
      </w:r>
      <w:r w:rsidRPr="09DDA9C1" w:rsidR="00045E97">
        <w:rPr>
          <w:rFonts w:ascii="Times New Roman" w:hAnsi="Times New Roman" w:eastAsia="Times New Roman" w:cs="Times New Roman"/>
        </w:rPr>
        <w:t xml:space="preserve">political alliance or conquest, but to conceive a child by him, under the belief that the union of the greatest man and woman would produce extraordinary </w:t>
      </w:r>
      <w:r w:rsidRPr="09DDA9C1" w:rsidR="4A9042A5">
        <w:rPr>
          <w:rFonts w:ascii="Times New Roman" w:hAnsi="Times New Roman" w:eastAsia="Times New Roman" w:cs="Times New Roman"/>
        </w:rPr>
        <w:t>children</w:t>
      </w:r>
      <w:r w:rsidRPr="09DDA9C1" w:rsidR="00045E97">
        <w:rPr>
          <w:rFonts w:ascii="Times New Roman" w:hAnsi="Times New Roman" w:eastAsia="Times New Roman" w:cs="Times New Roman"/>
        </w:rPr>
        <w:t xml:space="preserve">. </w:t>
      </w:r>
      <w:r w:rsidRPr="09DDA9C1" w:rsidR="4A23002D">
        <w:rPr>
          <w:rFonts w:ascii="Times New Roman" w:hAnsi="Times New Roman" w:eastAsia="Times New Roman" w:cs="Times New Roman"/>
        </w:rPr>
        <w:t xml:space="preserve">This narrative </w:t>
      </w:r>
      <w:r w:rsidRPr="09DDA9C1" w:rsidR="05240407">
        <w:rPr>
          <w:rFonts w:ascii="Times New Roman" w:hAnsi="Times New Roman" w:eastAsia="Times New Roman" w:cs="Times New Roman"/>
        </w:rPr>
        <w:t>appears in various sources, each presenting it differently</w:t>
      </w:r>
      <w:r w:rsidRPr="09DDA9C1" w:rsidR="786F3339">
        <w:rPr>
          <w:rFonts w:ascii="Times New Roman" w:hAnsi="Times New Roman" w:eastAsia="Times New Roman" w:cs="Times New Roman"/>
        </w:rPr>
        <w:t>:</w:t>
      </w:r>
      <w:r w:rsidRPr="09DDA9C1" w:rsidR="05240407">
        <w:rPr>
          <w:rFonts w:ascii="Times New Roman" w:hAnsi="Times New Roman" w:eastAsia="Times New Roman" w:cs="Times New Roman"/>
        </w:rPr>
        <w:t xml:space="preserve"> </w:t>
      </w:r>
      <w:r w:rsidRPr="09DDA9C1" w:rsidR="5D54DA0C">
        <w:rPr>
          <w:rFonts w:ascii="Times New Roman" w:hAnsi="Times New Roman" w:eastAsia="Times New Roman" w:cs="Times New Roman"/>
        </w:rPr>
        <w:t xml:space="preserve">including </w:t>
      </w:r>
      <w:r w:rsidRPr="09DDA9C1" w:rsidR="6146B1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Quintus Curtius Rufus’ </w:t>
      </w:r>
      <w:r w:rsidRPr="09DDA9C1" w:rsidR="6146B16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Histories of Alexander the Great </w:t>
      </w:r>
      <w:r w:rsidRPr="09DDA9C1" w:rsidR="6146B1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(6.5.24-32), which offers a Roman historiographical account, </w:t>
      </w:r>
      <w:r w:rsidRPr="09DDA9C1" w:rsidR="6146B1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Walter of </w:t>
      </w:r>
      <w:r w:rsidRPr="09DDA9C1" w:rsidR="6146B1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Châtillon’s</w:t>
      </w:r>
      <w:r w:rsidRPr="09DDA9C1" w:rsidR="6146B1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DDA9C1" w:rsidR="6146B16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Alexandreis</w:t>
      </w:r>
      <w:r w:rsidRPr="09DDA9C1" w:rsidR="6146B1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(8.1-48), revising the story </w:t>
      </w:r>
      <w:r w:rsidRPr="09DDA9C1" w:rsidR="181687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into medieval epic poetry,</w:t>
      </w:r>
      <w:r w:rsidRPr="09DDA9C1" w:rsidR="6146B1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1389EC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moderating content to befit a Christian audience and play into current events</w:t>
      </w:r>
      <w:r w:rsidRPr="09DDA9C1" w:rsidR="6323BB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; and </w:t>
      </w:r>
      <w:r w:rsidRPr="09DDA9C1" w:rsidR="2AF3DD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medieval romance </w:t>
      </w:r>
      <w:r w:rsidRPr="09DDA9C1" w:rsidR="2AF3DDC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Historia de </w:t>
      </w:r>
      <w:r w:rsidRPr="09DDA9C1" w:rsidR="2AF3DDC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2AF3DDC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9DDA9C1" w:rsidR="2AF3DDC2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variations </w:t>
      </w:r>
      <w:r w:rsidRPr="09DDA9C1" w:rsidR="743176C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offer insight into differing moral and societal influences across time</w:t>
      </w:r>
      <w:r w:rsidRPr="09DDA9C1" w:rsidR="75EF2F89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9DDA9C1" w:rsidP="09DDA9C1" w:rsidRDefault="09DDA9C1" w14:paraId="2A56CFD8" w14:textId="6C216B5E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23BB4C" w:rsidP="09DDA9C1" w:rsidRDefault="6323BB4C" w14:paraId="6CBC6891" w14:textId="2D56531B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6323BB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Quintus Curtius Rufus 6.5.24-32</w:t>
      </w:r>
    </w:p>
    <w:p w:rsidR="2317FE33" w:rsidP="09DDA9C1" w:rsidRDefault="2317FE33" w14:paraId="1054E117" w14:textId="011DB80A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2317FE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Quintus Curtius Rufus, a first-century CE Roman historian, composed the </w:t>
      </w:r>
      <w:r w:rsidRPr="09DDA9C1" w:rsidR="2317FE3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Histories of Alexander the Great </w:t>
      </w:r>
      <w:r w:rsidRPr="09DDA9C1" w:rsidR="2317FE3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09DDA9C1" w:rsidR="6796EEE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prose narrative detailing the life of Alexander and his campaigns, incorporating </w:t>
      </w:r>
      <w:r w:rsidRPr="09DDA9C1" w:rsidR="3FA731F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both historical facts and legendary elements within his work, in the hopes of engaging a Roman audience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9DDA9C1" w:rsidR="2699B83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his account, the encounter between Alexander and 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occurs in 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Hyrcania</w:t>
      </w:r>
      <w:r w:rsidRPr="09DDA9C1" w:rsidR="01D23B6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where she a</w:t>
      </w:r>
      <w:r w:rsidRPr="09DDA9C1" w:rsidR="75DF162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rrives accompanied by group of her warrior women </w:t>
      </w:r>
      <w:r w:rsidRPr="09DDA9C1" w:rsidR="75DF162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seeking</w:t>
      </w:r>
      <w:r w:rsidRPr="09DDA9C1" w:rsidR="75DF162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09DDA9C1" w:rsidR="0680EAF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conceive</w:t>
      </w:r>
      <w:r w:rsidRPr="09DDA9C1" w:rsidR="75DF162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child by Alexander.</w:t>
      </w:r>
      <w:r w:rsidRPr="09DDA9C1" w:rsidR="5395B9A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argues that their partnership, despite it being only temporary, will produce offspring surpassing all others in strength and </w:t>
      </w:r>
      <w:r w:rsidRPr="09DDA9C1" w:rsidR="2E958BC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valour</w:t>
      </w:r>
      <w:r w:rsidRPr="09DDA9C1" w:rsidR="5395B9A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DDA9C1" w:rsidR="6FD75C4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 proposition</w:t>
      </w:r>
      <w:r w:rsidRPr="09DDA9C1" w:rsidR="5395B9A1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Alexander </w:t>
      </w:r>
      <w:r w:rsidRPr="09DDA9C1" w:rsidR="658ABBB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accepts, thus they spend thirteen nights together before</w:t>
      </w:r>
      <w:r w:rsidRPr="09DDA9C1" w:rsidR="1003505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10035056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parting</w:t>
      </w:r>
      <w:r w:rsidRPr="09DDA9C1" w:rsidR="658ABBB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9DDA9C1" w:rsidR="658ABBB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58ABBB3" w:rsidP="09DDA9C1" w:rsidRDefault="658ABBB3" w14:paraId="38BBD3C0" w14:textId="6C1EC1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658ABBB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purpose of Curtius Rufus’ narrative appears not only to </w:t>
      </w:r>
      <w:r w:rsidRPr="09DDA9C1" w:rsidR="5F66E6E7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propagate</w:t>
      </w:r>
      <w:r w:rsidRPr="09DDA9C1" w:rsidR="658ABBB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5D50EE3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moral implications of engaging with foreign customs, </w:t>
      </w:r>
      <w:r w:rsidRPr="09DDA9C1" w:rsidR="4308617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but equally to accentuate</w:t>
      </w:r>
      <w:r w:rsidRPr="09DDA9C1" w:rsidR="5D50EE3F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3BB67AAA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Alexander’s character. </w:t>
      </w:r>
      <w:r w:rsidRPr="09DDA9C1" w:rsidR="28F80C0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28F80C05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exemplifies </w:t>
      </w:r>
      <w:r w:rsidRPr="09DDA9C1" w:rsidR="0FF74B0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skill in combat</w:t>
      </w:r>
      <w:r w:rsidRPr="09DDA9C1" w:rsidR="3586AD14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is not at all shy or submissive in her request, while Alexander is presented as heroic and morally complex. Curtius Rufus’ </w:t>
      </w:r>
      <w:r w:rsidRPr="09DDA9C1" w:rsidR="679F34D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appears to </w:t>
      </w:r>
      <w:r w:rsidRPr="09DDA9C1" w:rsidR="679F34D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attempt</w:t>
      </w:r>
      <w:r w:rsidRPr="09DDA9C1" w:rsidR="679F34D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reflect Roman tastes for exotic, exciting stories serving as a character study, prioritising moral and literary significance over historical accuracy. Waldemar Heckel </w:t>
      </w:r>
      <w:r w:rsidRPr="09DDA9C1" w:rsidR="6CF5431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argues that it is widely believed that “Curtius has invented episodes or details rather than taken from his sources” (</w:t>
      </w:r>
      <w:r w:rsidRPr="09DDA9C1" w:rsidR="6CF543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Notes on Q. Curtius Rufus' History of Alexander, 1994)</w:t>
      </w:r>
      <w:r w:rsidRPr="09DDA9C1" w:rsidR="0078F77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DDA9C1" w:rsidR="0078F77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which further illustrates this. By situating Alexander within a context</w:t>
      </w:r>
      <w:r w:rsidRPr="09DDA9C1" w:rsidR="11CA2EDE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is both morally and culturally intricate, Curtius Rufus establishes a narrative framework that highlights the components most interesting to his intended audie</w:t>
      </w:r>
      <w:r w:rsidRPr="09DDA9C1" w:rsidR="13E4207B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nce, exploring the conflict and interaction with unfamiliar cultures.</w:t>
      </w:r>
      <w:r w:rsidRPr="09DDA9C1" w:rsidR="0078F77C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9DDA9C1" w:rsidP="09DDA9C1" w:rsidRDefault="09DDA9C1" w14:paraId="5D422335" w14:textId="03A8E9C6">
      <w:pPr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0437BA" w:rsidP="09DDA9C1" w:rsidRDefault="010437BA" w14:paraId="72E518DD" w14:textId="40B54960">
      <w:pPr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Walter of </w:t>
      </w: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Châtillon</w:t>
      </w: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Alexandreis</w:t>
      </w: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8.1-48</w:t>
      </w:r>
    </w:p>
    <w:p w:rsidR="253E4AC9" w:rsidP="09DDA9C1" w:rsidRDefault="253E4AC9" w14:paraId="1F22759A" w14:textId="085142DA">
      <w:pPr>
        <w:pStyle w:val="Normal"/>
        <w:ind w:firstLine="720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</w:pPr>
      <w:r w:rsidRPr="09DDA9C1" w:rsidR="253E4A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Walter of </w:t>
      </w:r>
      <w:r w:rsidRPr="09DDA9C1" w:rsidR="253E4AC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Châtillon’s </w:t>
      </w:r>
      <w:r w:rsidRPr="09DDA9C1" w:rsidR="253E4AC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Alexandreis, </w:t>
      </w:r>
      <w:r w:rsidRPr="09DDA9C1" w:rsidR="253E4AC9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composed in the late twelfth century, reworks the life of Alexander into a Latin epic poem</w:t>
      </w:r>
      <w:r w:rsidRPr="09DDA9C1" w:rsidR="57057DE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influenced by </w:t>
      </w:r>
      <w:r w:rsidRPr="09DDA9C1" w:rsidR="57057DE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previous</w:t>
      </w:r>
      <w:r w:rsidRPr="09DDA9C1" w:rsidR="57057DE1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classical writers such as Virgil and Lucian, while simultaneously </w:t>
      </w:r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adapting the content to align with moral values </w:t>
      </w:r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appropriate for</w:t>
      </w:r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a medieval Christian audience. Alexander’s interaction with </w:t>
      </w:r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Talestris</w:t>
      </w:r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is </w:t>
      </w:r>
      <w:bookmarkStart w:name="_Int_XONb0KNK" w:id="1548733222"/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included, but</w:t>
      </w:r>
      <w:bookmarkEnd w:id="1548733222"/>
      <w:r w:rsidRPr="09DDA9C1" w:rsidR="49211FDD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was significantly alte</w:t>
      </w:r>
      <w:r w:rsidRPr="09DDA9C1" w:rsidR="1C759DCF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red in relation to its tone and implications. In contrast to aligning with the idea that it was a consensual, mutually desired sexual encounter, this version is far more subdued and m</w:t>
      </w:r>
      <w:r w:rsidRPr="09DDA9C1" w:rsidR="1A3F67B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orally conscious. Talestris continued to be depicted as the queen of the Amazons, seeking Alexander for his renown, but the meeting is characterised more as </w:t>
      </w:r>
      <w:r w:rsidRPr="09DDA9C1" w:rsidR="2E185E7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an assessment of Alexander’s moral fibre and self-control, rather than pure indulgence. </w:t>
      </w:r>
      <w:r>
        <w:br/>
      </w:r>
      <w:r>
        <w:tab/>
      </w:r>
      <w:r w:rsidRPr="09DDA9C1" w:rsidR="10002EF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The sexual detail in this version is hugely diminished, fitting with more sensitive or conservative attitudes surrounding this period. The medieval at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titude surrounding literature was 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largely uneasy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regarding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explicit material, and while Walter of 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Châtillon’s</w:t>
      </w:r>
      <w:r w:rsidRPr="09DDA9C1" w:rsidR="1BDBDF52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work was hugel</w:t>
      </w:r>
      <w:r w:rsidRPr="09DDA9C1" w:rsidR="2DDCDE70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y popular when first published (Bridges, 2015), it is </w:t>
      </w:r>
      <w:r w:rsidRPr="09DDA9C1" w:rsidR="1AE6D3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unlikely to have recieved as much recognition had it been more descriptive. Alexander is depicted as </w:t>
      </w:r>
      <w:r w:rsidRPr="09DDA9C1" w:rsidR="1AE6D3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demonstrating</w:t>
      </w:r>
      <w:r w:rsidRPr="09DDA9C1" w:rsidR="1AE6D34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self-res</w:t>
      </w:r>
      <w:r w:rsidRPr="09DDA9C1" w:rsidR="0E19406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traint, </w:t>
      </w:r>
      <w:r w:rsidRPr="09DDA9C1" w:rsidR="0E19406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whereas</w:t>
      </w:r>
      <w:r w:rsidRPr="09DDA9C1" w:rsidR="0E19406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the Amazons, while still formidable, are portrayed with their otherness in mind, their socie</w:t>
      </w:r>
      <w:r w:rsidRPr="09DDA9C1" w:rsidR="116569D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ty filtered through a moralising lense reinforcing Christian and medieval gender norms. This </w:t>
      </w:r>
      <w:bookmarkStart w:name="_Int_Xf4AVunV" w:id="2111566620"/>
      <w:r w:rsidRPr="09DDA9C1" w:rsidR="116569D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in particular is</w:t>
      </w:r>
      <w:bookmarkEnd w:id="2111566620"/>
      <w:r w:rsidRPr="09DDA9C1" w:rsidR="116569D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bookmarkStart w:name="_Int_66UW9G8a" w:id="571242803"/>
      <w:r w:rsidRPr="09DDA9C1" w:rsidR="116569D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similar to</w:t>
      </w:r>
      <w:bookmarkEnd w:id="571242803"/>
      <w:r w:rsidRPr="09DDA9C1" w:rsidR="116569DE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 the account of Curtius Rufus, where the Amazons are used as a direct opposite of expected gender roles, </w:t>
      </w:r>
      <w:r w:rsidRPr="09DDA9C1" w:rsidR="5003C9C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 xml:space="preserve">as well as the </w:t>
      </w:r>
      <w:r w:rsidRPr="09DDA9C1" w:rsidR="5003C9C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Historia de </w:t>
      </w:r>
      <w:r w:rsidRPr="09DDA9C1" w:rsidR="5003C9C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Preliis</w:t>
      </w:r>
      <w:r w:rsidRPr="09DDA9C1" w:rsidR="5003C9C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, </w:t>
      </w:r>
      <w:r w:rsidRPr="09DDA9C1" w:rsidR="5003C9CB"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sz w:val="24"/>
          <w:szCs w:val="24"/>
          <w:lang w:val="en-GB"/>
        </w:rPr>
        <w:t>in which the strangeness of Amazonian customs is emphasised.</w:t>
      </w:r>
    </w:p>
    <w:p w:rsidR="09DDA9C1" w:rsidP="09DDA9C1" w:rsidRDefault="09DDA9C1" w14:paraId="6C9F5999" w14:textId="3C395039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0437BA" w:rsidP="09DDA9C1" w:rsidRDefault="010437BA" w14:paraId="354D2EDE" w14:textId="5BAAC515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Historia de </w:t>
      </w: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</w:p>
    <w:p w:rsidR="362A9433" w:rsidP="09DDA9C1" w:rsidRDefault="362A9433" w14:paraId="119FAC9F" w14:textId="718F1E9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362A9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Historia de </w:t>
      </w:r>
      <w:r w:rsidRPr="09DDA9C1" w:rsidR="362A9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362A94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a medieval prose deriving from the Alexander Romance tradition, offers the most mythological and embellishe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 account of Alexander’s encounter with 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In this version, it is presented as more of a marvel, emphasising the strangeness of the Amazonian customs and the ‘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otherness’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their customs</w:t>
      </w:r>
      <w:r w:rsidRPr="09DDA9C1" w:rsidR="183FEC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such as the 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weight placed on them “fight[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] on horseback” and them “number[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] one hundred thousand”</w:t>
      </w:r>
      <w:r w:rsidRPr="09DDA9C1" w:rsidR="5385FA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combat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9DDA9C1" w:rsidR="402D8EE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183FEC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3A4E81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09DDA9C1" w:rsidR="47425D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depicted </w:t>
      </w:r>
      <w:r w:rsidRPr="09DDA9C1" w:rsidR="37835E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 be</w:t>
      </w:r>
      <w:r w:rsidRPr="09DDA9C1" w:rsidR="47425D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actively seeking Alexander in order to bear a child by him, despite not explicitly stated, however the customary ritual of bearing children and raising them in their correct customary way is explained, </w:t>
      </w: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portrayed as a natural and commendable behaviour within her culture, with little moral constraint. </w:t>
      </w:r>
    </w:p>
    <w:p w:rsidR="0EC645AD" w:rsidP="09DDA9C1" w:rsidRDefault="0EC645AD" w14:paraId="6211C6BE" w14:textId="51C3E922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Unlike Walter of </w:t>
      </w: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Châtillon’s</w:t>
      </w: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moralistic epic or Curtius Rufus’ more historically focused account, the Historia de </w:t>
      </w: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0EC645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9DDA9C1" w:rsidR="158647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prioritises the more entertaining and fantastical elements</w:t>
      </w:r>
      <w:r w:rsidRPr="09DDA9C1" w:rsidR="06CAA5E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their encounter</w:t>
      </w:r>
      <w:r w:rsidRPr="09DDA9C1" w:rsidR="158647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presenting the Amazonian women as a direct inversion of ‘normal’ gender roles. This t</w:t>
      </w:r>
      <w:r w:rsidRPr="09DDA9C1" w:rsidR="69226E4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rope strongly appealed to medieval audiences fascinated by the exotic. </w:t>
      </w:r>
      <w:r w:rsidRPr="09DDA9C1" w:rsidR="61058F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Alexander’s participation in the encounter elevates his legendary status rather than questioning his morality, he is portrayed as a universal </w:t>
      </w:r>
      <w:r w:rsidRPr="09DDA9C1" w:rsidR="52F057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conqueror</w:t>
      </w:r>
      <w:r w:rsidRPr="09DDA9C1" w:rsidR="61058F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whos</w:t>
      </w:r>
      <w:r w:rsidRPr="09DDA9C1" w:rsidR="716DB6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09DDA9C1" w:rsidR="76339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greatness transcends the confines of a specific culture. His lack of moral discomfort</w:t>
      </w:r>
      <w:r w:rsidRPr="09DDA9C1" w:rsidR="30AD3D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shown in his willingness to provide the Amazons with “the finest gifts”</w:t>
      </w:r>
      <w:r w:rsidRPr="09DDA9C1" w:rsidR="76339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Historia de </w:t>
      </w:r>
      <w:r w:rsidRPr="09DDA9C1" w:rsidR="76339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76339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reflects its standing within the romance literature genre. </w:t>
      </w:r>
      <w:r w:rsidRPr="09DDA9C1" w:rsidR="5B377A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not intended to be purely historical and </w:t>
      </w:r>
      <w:bookmarkStart w:name="_Int_BjrwlzEu" w:id="554887616"/>
      <w:r w:rsidRPr="09DDA9C1" w:rsidR="5B377A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accurate, but</w:t>
      </w:r>
      <w:bookmarkEnd w:id="554887616"/>
      <w:r w:rsidRPr="09DDA9C1" w:rsidR="5B377A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serves as a narrative ‘story’ of sorts. This allows Alexander’s encounter with </w:t>
      </w:r>
      <w:r w:rsidRPr="09DDA9C1" w:rsidR="5B377A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5B377A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reinforce his mythical stature, rather than offering critique on his m</w:t>
      </w:r>
      <w:r w:rsidRPr="09DDA9C1" w:rsidR="3544E2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oral character.</w:t>
      </w:r>
    </w:p>
    <w:p w:rsidR="09DDA9C1" w:rsidP="09DDA9C1" w:rsidRDefault="09DDA9C1" w14:paraId="1C9F6074" w14:textId="58DBCE12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0437BA" w:rsidP="09DDA9C1" w:rsidRDefault="010437BA" w14:paraId="6D90A7EC" w14:textId="514A3B4C">
      <w:pPr>
        <w:pStyle w:val="Normal"/>
        <w:jc w:val="center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010437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Comparative Analysis</w:t>
      </w:r>
      <w:r w:rsidRPr="09DDA9C1" w:rsidR="569F48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&amp; Conclusion</w:t>
      </w:r>
    </w:p>
    <w:p w:rsidR="5F789E1E" w:rsidP="09DDA9C1" w:rsidRDefault="5F789E1E" w14:paraId="5967F954" w14:textId="036ACBAF">
      <w:pPr>
        <w:pStyle w:val="Normal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5F789E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Alexander’s encounter with </w:t>
      </w:r>
      <w:r w:rsidRPr="09DDA9C1" w:rsidR="5F789E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5F789E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exemplifies how a singular narrative can be reshaped across time to satisfy varying literary and cultural needs depend</w:t>
      </w:r>
      <w:r w:rsidRPr="09DDA9C1" w:rsidR="4D892B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ent on </w:t>
      </w:r>
      <w:bookmarkStart w:name="_Int_beEN8FQt" w:id="224568870"/>
      <w:r w:rsidRPr="09DDA9C1" w:rsidR="4D892B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time period</w:t>
      </w:r>
      <w:bookmarkEnd w:id="224568870"/>
      <w:r w:rsidRPr="09DDA9C1" w:rsidR="4D892B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audience. </w:t>
      </w:r>
      <w:r w:rsidRPr="09DDA9C1" w:rsidR="4989BB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Curtius Rufus writes within Roman historiography, placing emphasis on moral complexity and character analysis. </w:t>
      </w:r>
      <w:r w:rsidRPr="09DDA9C1" w:rsidR="56D029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To contrast, Walter of </w:t>
      </w:r>
      <w:r w:rsidRPr="09DDA9C1" w:rsidR="56D029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Châtillon’s adapts the encounter to fit within the medieval expectations of a Christian epic, his Alexander serving as a moral example, </w:t>
      </w:r>
      <w:r w:rsidRPr="09DDA9C1" w:rsidR="620C33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suppressing sexual </w:t>
      </w:r>
      <w:r w:rsidRPr="09DDA9C1" w:rsidR="620C33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excess</w:t>
      </w:r>
      <w:r w:rsidRPr="09DDA9C1" w:rsidR="620C33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practicing self-discipline. The Historia de </w:t>
      </w:r>
      <w:r w:rsidRPr="09DDA9C1" w:rsidR="620C33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620C335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differs most significantly, its primary focus on the conventions of </w:t>
      </w:r>
      <w:r w:rsidRPr="09DDA9C1" w:rsidR="697F7B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romance literature. Within this context, historical accuracy and moral evaluation is secondary to entertainment. </w:t>
      </w:r>
      <w:r w:rsidRPr="09DDA9C1" w:rsidR="697F7B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Talestris</w:t>
      </w:r>
      <w:r w:rsidRPr="09DDA9C1" w:rsidR="697F7B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Amazons are exaggerated to heighten </w:t>
      </w:r>
      <w:r w:rsidRPr="09DDA9C1" w:rsidR="689672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sense of cultural difference and ‘otherness</w:t>
      </w:r>
      <w:r w:rsidRPr="09DDA9C1" w:rsidR="689672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09DDA9C1" w:rsidR="689672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Alexander’s </w:t>
      </w:r>
      <w:r w:rsidRPr="09DDA9C1" w:rsidR="55CAC0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character </w:t>
      </w:r>
      <w:r w:rsidRPr="09DDA9C1" w:rsidR="689672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surrounding them </w:t>
      </w:r>
      <w:r w:rsidRPr="09DDA9C1" w:rsidR="1A538A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elevates his status without questioning his moral </w:t>
      </w:r>
      <w:r w:rsidRPr="09DDA9C1" w:rsidR="2AA4D1E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standing.</w:t>
      </w:r>
    </w:p>
    <w:p w:rsidR="09DDA9C1" w:rsidP="09DDA9C1" w:rsidRDefault="09DDA9C1" w14:paraId="14A71A4A" w14:textId="6E166952">
      <w:pPr>
        <w:jc w:val="center"/>
        <w:rPr>
          <w:rFonts w:ascii="Times New Roman" w:hAnsi="Times New Roman" w:eastAsia="Times New Roman" w:cs="Times New Roman"/>
        </w:rPr>
      </w:pPr>
    </w:p>
    <w:p w:rsidR="40C09DAC" w:rsidP="09DDA9C1" w:rsidRDefault="40C09DAC" w14:paraId="5BECF00A" w14:textId="0F7E2273">
      <w:pPr>
        <w:jc w:val="left"/>
        <w:rPr>
          <w:rFonts w:ascii="Times New Roman" w:hAnsi="Times New Roman" w:eastAsia="Times New Roman" w:cs="Times New Roman"/>
        </w:rPr>
      </w:pPr>
      <w:r w:rsidRPr="09DDA9C1" w:rsidR="40C09DAC">
        <w:rPr>
          <w:rFonts w:ascii="Times New Roman" w:hAnsi="Times New Roman" w:eastAsia="Times New Roman" w:cs="Times New Roman"/>
        </w:rPr>
        <w:t>Word count:</w:t>
      </w:r>
      <w:r w:rsidRPr="09DDA9C1" w:rsidR="4307BD8C">
        <w:rPr>
          <w:rFonts w:ascii="Times New Roman" w:hAnsi="Times New Roman" w:eastAsia="Times New Roman" w:cs="Times New Roman"/>
        </w:rPr>
        <w:t xml:space="preserve"> </w:t>
      </w:r>
      <w:r w:rsidRPr="09DDA9C1" w:rsidR="72E8FECC">
        <w:rPr>
          <w:rFonts w:ascii="Times New Roman" w:hAnsi="Times New Roman" w:eastAsia="Times New Roman" w:cs="Times New Roman"/>
        </w:rPr>
        <w:t>102</w:t>
      </w:r>
      <w:r w:rsidRPr="09DDA9C1" w:rsidR="6B7A36AD">
        <w:rPr>
          <w:rFonts w:ascii="Times New Roman" w:hAnsi="Times New Roman" w:eastAsia="Times New Roman" w:cs="Times New Roman"/>
        </w:rPr>
        <w:t>6</w:t>
      </w:r>
      <w:r w:rsidRPr="09DDA9C1" w:rsidR="72E8FECC">
        <w:rPr>
          <w:rFonts w:ascii="Times New Roman" w:hAnsi="Times New Roman" w:eastAsia="Times New Roman" w:cs="Times New Roman"/>
        </w:rPr>
        <w:t xml:space="preserve"> </w:t>
      </w:r>
      <w:r w:rsidRPr="09DDA9C1" w:rsidR="4307BD8C">
        <w:rPr>
          <w:rFonts w:ascii="Times New Roman" w:hAnsi="Times New Roman" w:eastAsia="Times New Roman" w:cs="Times New Roman"/>
        </w:rPr>
        <w:t>words</w:t>
      </w:r>
    </w:p>
    <w:p w:rsidR="40C09DAC" w:rsidP="09DDA9C1" w:rsidRDefault="40C09DAC" w14:paraId="7D68DA1D" w14:textId="20A40037">
      <w:pPr>
        <w:jc w:val="left"/>
        <w:rPr>
          <w:rFonts w:ascii="Times New Roman" w:hAnsi="Times New Roman" w:eastAsia="Times New Roman" w:cs="Times New Roman"/>
        </w:rPr>
      </w:pPr>
      <w:r w:rsidRPr="09DDA9C1" w:rsidR="40C09DAC">
        <w:rPr>
          <w:rFonts w:ascii="Times New Roman" w:hAnsi="Times New Roman" w:eastAsia="Times New Roman" w:cs="Times New Roman"/>
        </w:rPr>
        <w:t>Bibliography</w:t>
      </w:r>
    </w:p>
    <w:p w:rsidR="57DF9537" w:rsidP="09DDA9C1" w:rsidRDefault="57DF9537" w14:paraId="7C08D95E" w14:textId="2CE67DAE">
      <w:pPr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09DDA9C1" w:rsidR="57DF9537">
        <w:rPr>
          <w:rFonts w:ascii="Times New Roman" w:hAnsi="Times New Roman" w:eastAsia="Times New Roman" w:cs="Times New Roman"/>
        </w:rPr>
        <w:t xml:space="preserve">Townsend, D. (1996) </w:t>
      </w:r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 xml:space="preserve">Book Eight in </w:t>
      </w:r>
      <w:bookmarkStart w:name="_Int_aZfTAbtw" w:id="2120209166"/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>The</w:t>
      </w:r>
      <w:bookmarkEnd w:id="2120209166"/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 xml:space="preserve"> “</w:t>
      </w:r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>Alexandreis</w:t>
      </w:r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 xml:space="preserve">” of Walter of </w:t>
      </w:r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>Chatilon</w:t>
      </w:r>
      <w:r w:rsidRPr="09DDA9C1" w:rsidR="57DF9537">
        <w:rPr>
          <w:rFonts w:ascii="Times New Roman" w:hAnsi="Times New Roman" w:eastAsia="Times New Roman" w:cs="Times New Roman"/>
          <w:i w:val="1"/>
          <w:iCs w:val="1"/>
        </w:rPr>
        <w:t xml:space="preserve">: A Twelfth-Century Epic. </w:t>
      </w:r>
      <w:r w:rsidRPr="09DDA9C1" w:rsidR="57DF9537">
        <w:rPr>
          <w:rFonts w:ascii="Times New Roman" w:hAnsi="Times New Roman" w:eastAsia="Times New Roman" w:cs="Times New Roman"/>
          <w:i w:val="0"/>
          <w:iCs w:val="0"/>
        </w:rPr>
        <w:t>University of Pennsylvania Press.</w:t>
      </w:r>
      <w:r w:rsidRPr="09DDA9C1" w:rsidR="18225A19">
        <w:rPr>
          <w:rFonts w:ascii="Times New Roman" w:hAnsi="Times New Roman" w:eastAsia="Times New Roman" w:cs="Times New Roman"/>
          <w:i w:val="0"/>
          <w:iCs w:val="0"/>
        </w:rPr>
        <w:t xml:space="preserve"> [Translation]</w:t>
      </w:r>
    </w:p>
    <w:p w:rsidR="5E7311F9" w:rsidP="09DDA9C1" w:rsidRDefault="5E7311F9" w14:paraId="5DA0275E" w14:textId="7002CCBE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09DDA9C1" w:rsidR="5E7311F9">
        <w:rPr>
          <w:rFonts w:ascii="Times New Roman" w:hAnsi="Times New Roman" w:eastAsia="Times New Roman" w:cs="Times New Roman"/>
          <w:i w:val="0"/>
          <w:iCs w:val="0"/>
        </w:rPr>
        <w:t xml:space="preserve">Rolfe, J (1946) </w:t>
      </w:r>
      <w:r w:rsidRPr="09DDA9C1" w:rsidR="5E7311F9">
        <w:rPr>
          <w:rFonts w:ascii="Times New Roman" w:hAnsi="Times New Roman" w:eastAsia="Times New Roman" w:cs="Times New Roman"/>
          <w:i w:val="1"/>
          <w:iCs w:val="1"/>
        </w:rPr>
        <w:t xml:space="preserve">QUINTUS CURTIUS: History of Alexander. </w:t>
      </w:r>
      <w:r w:rsidRPr="09DDA9C1" w:rsidR="5E7311F9">
        <w:rPr>
          <w:rFonts w:ascii="Times New Roman" w:hAnsi="Times New Roman" w:eastAsia="Times New Roman" w:cs="Times New Roman"/>
          <w:i w:val="0"/>
          <w:iCs w:val="0"/>
        </w:rPr>
        <w:t>Harvard University Press. [Translation]</w:t>
      </w:r>
    </w:p>
    <w:p w:rsidR="74F7FDBD" w:rsidP="09DDA9C1" w:rsidRDefault="74F7FDBD" w14:paraId="53C27C46" w14:textId="13AF87D7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74F7FDBD">
        <w:rPr>
          <w:rFonts w:ascii="Times New Roman" w:hAnsi="Times New Roman" w:eastAsia="Times New Roman" w:cs="Times New Roman"/>
          <w:i w:val="0"/>
          <w:iCs w:val="0"/>
        </w:rPr>
        <w:t xml:space="preserve">Heckel, W (1994) </w:t>
      </w:r>
      <w:r w:rsidRPr="09DDA9C1" w:rsidR="0D88F72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Notes on Q. Curtius Rufus' History of Alexander. </w:t>
      </w:r>
      <w:r w:rsidRPr="09DDA9C1" w:rsidR="0D88F723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University of Calgary Press.</w:t>
      </w:r>
    </w:p>
    <w:p w:rsidR="42855360" w:rsidP="09DDA9C1" w:rsidRDefault="42855360" w14:paraId="35B4C181" w14:textId="4133414D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4285536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Bridges, V (2015) </w:t>
      </w:r>
      <w:r w:rsidRPr="09DDA9C1" w:rsidR="428553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Reading Walter of Chatillon’s </w:t>
      </w:r>
      <w:r w:rsidRPr="09DDA9C1" w:rsidR="428553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Alexandreis</w:t>
      </w:r>
      <w:r w:rsidRPr="09DDA9C1" w:rsidR="428553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 Medieval </w:t>
      </w:r>
      <w:r w:rsidRPr="09DDA9C1" w:rsidR="3146656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Anthologies. </w:t>
      </w:r>
      <w:r w:rsidRPr="09DDA9C1" w:rsidR="3146656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Pontifical Institute of Mediaeval Studies.</w:t>
      </w:r>
    </w:p>
    <w:p w:rsidR="00A2AD10" w:rsidP="09DDA9C1" w:rsidRDefault="00A2AD10" w14:paraId="4DD74F4C" w14:textId="5C8A59CE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  <w:r w:rsidRPr="09DDA9C1" w:rsidR="00A2AD10">
        <w:rPr>
          <w:rFonts w:ascii="Times New Roman" w:hAnsi="Times New Roman" w:eastAsia="Times New Roman" w:cs="Times New Roman"/>
          <w:i w:val="0"/>
          <w:iCs w:val="0"/>
        </w:rPr>
        <w:t xml:space="preserve">Pritchard, R (1992) </w:t>
      </w:r>
      <w:r w:rsidRPr="09DDA9C1" w:rsidR="00A2AD10">
        <w:rPr>
          <w:rFonts w:ascii="Times New Roman" w:hAnsi="Times New Roman" w:eastAsia="Times New Roman" w:cs="Times New Roman"/>
          <w:i w:val="1"/>
          <w:iCs w:val="1"/>
        </w:rPr>
        <w:t xml:space="preserve">Historia de Preliis, the J1 Version. </w:t>
      </w:r>
      <w:r w:rsidRPr="09DDA9C1" w:rsidR="00A2AD10">
        <w:rPr>
          <w:rFonts w:ascii="Times New Roman" w:hAnsi="Times New Roman" w:eastAsia="Times New Roman" w:cs="Times New Roman"/>
          <w:i w:val="0"/>
          <w:iCs w:val="0"/>
        </w:rPr>
        <w:t>P</w:t>
      </w:r>
      <w:r w:rsidRPr="09DDA9C1" w:rsidR="00A2AD1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ontifical Institute of Mediaeval Studies. [Translation]</w:t>
      </w:r>
      <w:r w:rsidRPr="09DDA9C1" w:rsidR="00A2AD1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0A2AD10" w:rsidP="09DDA9C1" w:rsidRDefault="00A2AD10" w14:paraId="35BF9199" w14:textId="60EDF5E1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DDA9C1" w:rsidR="00A2AD1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Stone, C (2016) </w:t>
      </w:r>
      <w:r w:rsidRPr="09DDA9C1" w:rsidR="00A2AD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Proud Kings, Polyglot Scribes, and the I3 Historia de </w:t>
      </w:r>
      <w:r w:rsidRPr="09DDA9C1" w:rsidR="00A2AD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preliis</w:t>
      </w:r>
      <w:r w:rsidRPr="09DDA9C1" w:rsidR="00A2AD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: The Origins of Latin Alexander Romance in Norman and </w:t>
      </w:r>
      <w:r w:rsidRPr="09DDA9C1" w:rsidR="00A2AD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Staufen</w:t>
      </w:r>
      <w:r w:rsidRPr="09DDA9C1" w:rsidR="00A2AD1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Italy. </w:t>
      </w:r>
      <w:r w:rsidRPr="09DDA9C1" w:rsidR="00A2AD10"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University of Chicago Press/The Medieval Academy of America.</w:t>
      </w:r>
    </w:p>
    <w:p w:rsidR="09DDA9C1" w:rsidP="09DDA9C1" w:rsidRDefault="09DDA9C1" w14:paraId="528EF4B3" w14:textId="19AC5D25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DDA9C1" w:rsidP="09DDA9C1" w:rsidRDefault="09DDA9C1" w14:paraId="0A2A4A5F" w14:textId="4D7F6695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9DDA9C1" w:rsidP="09DDA9C1" w:rsidRDefault="09DDA9C1" w14:paraId="7D9A58E5" w14:textId="1CF0B665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09DDA9C1" w:rsidP="09DDA9C1" w:rsidRDefault="09DDA9C1" w14:paraId="5DFFCBCC" w14:textId="4DDF199F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</w:rPr>
      </w:pPr>
    </w:p>
    <w:p w:rsidR="09DDA9C1" w:rsidP="09DDA9C1" w:rsidRDefault="09DDA9C1" w14:paraId="5EFD5272" w14:textId="2363325E">
      <w:pPr>
        <w:pStyle w:val="Normal"/>
        <w:jc w:val="left"/>
        <w:rPr>
          <w:rFonts w:ascii="Helvetica" w:hAnsi="Helvetica" w:eastAsia="Helvetica" w:cs="Helvetica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UhDEyUgn2JGNM" int2:id="Blo7g6qv">
      <int2:state int2:type="spell" int2:value="Rejected"/>
    </int2:textHash>
    <int2:textHash int2:hashCode="KPqDeQ91YHZopk" int2:id="oFvykkz9">
      <int2:state int2:type="spell" int2:value="Rejected"/>
    </int2:textHash>
    <int2:textHash int2:hashCode="684LiuzVGBVK1l" int2:id="kW1XffwS">
      <int2:state int2:type="spell" int2:value="Rejected"/>
    </int2:textHash>
    <int2:textHash int2:hashCode="S31jmbz7l9avVV" int2:id="BWUBLGoh">
      <int2:state int2:type="spell" int2:value="Rejected"/>
    </int2:textHash>
    <int2:textHash int2:hashCode="pkSFZcFa5cQEeH" int2:id="BmKITYoj">
      <int2:state int2:type="spell" int2:value="Rejected"/>
    </int2:textHash>
    <int2:bookmark int2:bookmarkName="_Int_66UW9G8a" int2:invalidationBookmarkName="" int2:hashCode="E1+Tt6RJBbZOzq" int2:id="PlDknnQL">
      <int2:state int2:type="style" int2:value="Rejected"/>
    </int2:bookmark>
    <int2:bookmark int2:bookmarkName="_Int_Xf4AVunV" int2:invalidationBookmarkName="" int2:hashCode="vYaB4yX294nK9+" int2:id="RRJXb30s">
      <int2:state int2:type="style" int2:value="Rejected"/>
    </int2:bookmark>
    <int2:bookmark int2:bookmarkName="_Int_beEN8FQt" int2:invalidationBookmarkName="" int2:hashCode="Xsnww9aQQK/jqv" int2:id="6Hnoizcl">
      <int2:state int2:type="style" int2:value="Rejected"/>
    </int2:bookmark>
    <int2:bookmark int2:bookmarkName="_Int_XONb0KNK" int2:invalidationBookmarkName="" int2:hashCode="6Y8LbPJnu2y2YR" int2:id="HyfREARM">
      <int2:state int2:type="gram" int2:value="Rejected"/>
    </int2:bookmark>
    <int2:bookmark int2:bookmarkName="_Int_BjrwlzEu" int2:invalidationBookmarkName="" int2:hashCode="D3hRii+SBRvfpt" int2:id="hFACOpEU">
      <int2:state int2:type="gram" int2:value="Rejected"/>
    </int2:bookmark>
    <int2:bookmark int2:bookmarkName="_Int_aZfTAbtw" int2:invalidationBookmarkName="" int2:hashCode="k+8N2CcQNoH87k" int2:id="mskiTwGr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685AF0"/>
    <w:rsid w:val="00045E97"/>
    <w:rsid w:val="0078F77C"/>
    <w:rsid w:val="00A2AD10"/>
    <w:rsid w:val="010437BA"/>
    <w:rsid w:val="01D23B6E"/>
    <w:rsid w:val="05240407"/>
    <w:rsid w:val="0652E8C9"/>
    <w:rsid w:val="0680EAF0"/>
    <w:rsid w:val="06CAA5E4"/>
    <w:rsid w:val="082F11B0"/>
    <w:rsid w:val="08F6E9DB"/>
    <w:rsid w:val="09DDA9C1"/>
    <w:rsid w:val="0BA2FE8D"/>
    <w:rsid w:val="0D88F723"/>
    <w:rsid w:val="0DB93B7F"/>
    <w:rsid w:val="0E19406E"/>
    <w:rsid w:val="0EC645AD"/>
    <w:rsid w:val="0FF74B0B"/>
    <w:rsid w:val="10002EF0"/>
    <w:rsid w:val="10035056"/>
    <w:rsid w:val="10E20D44"/>
    <w:rsid w:val="116569DE"/>
    <w:rsid w:val="11CA2EDE"/>
    <w:rsid w:val="136857C6"/>
    <w:rsid w:val="136B6940"/>
    <w:rsid w:val="1389ECB1"/>
    <w:rsid w:val="13E4207B"/>
    <w:rsid w:val="158647D2"/>
    <w:rsid w:val="16E878DB"/>
    <w:rsid w:val="17EA6BEB"/>
    <w:rsid w:val="18168750"/>
    <w:rsid w:val="18225A19"/>
    <w:rsid w:val="183FEC1A"/>
    <w:rsid w:val="18FE80C6"/>
    <w:rsid w:val="1A3F67B2"/>
    <w:rsid w:val="1A538A06"/>
    <w:rsid w:val="1AE6D34E"/>
    <w:rsid w:val="1BDBDF52"/>
    <w:rsid w:val="1BE64A02"/>
    <w:rsid w:val="1C759DCF"/>
    <w:rsid w:val="1D9977B6"/>
    <w:rsid w:val="1DB1FBE9"/>
    <w:rsid w:val="1DCDF153"/>
    <w:rsid w:val="1E6305F6"/>
    <w:rsid w:val="1F6E9ADD"/>
    <w:rsid w:val="21C1FA56"/>
    <w:rsid w:val="2317FE33"/>
    <w:rsid w:val="23A78260"/>
    <w:rsid w:val="253E4AC9"/>
    <w:rsid w:val="2699B83C"/>
    <w:rsid w:val="26C492B9"/>
    <w:rsid w:val="2711764D"/>
    <w:rsid w:val="277EB4F1"/>
    <w:rsid w:val="28870EA4"/>
    <w:rsid w:val="28F80C05"/>
    <w:rsid w:val="29A62352"/>
    <w:rsid w:val="2A3902D9"/>
    <w:rsid w:val="2A4CF0C2"/>
    <w:rsid w:val="2AA4D1E7"/>
    <w:rsid w:val="2AF3DDC2"/>
    <w:rsid w:val="2D241483"/>
    <w:rsid w:val="2DDCDE70"/>
    <w:rsid w:val="2E185E72"/>
    <w:rsid w:val="2E958BCB"/>
    <w:rsid w:val="2EF39800"/>
    <w:rsid w:val="2FE57ECE"/>
    <w:rsid w:val="302886B9"/>
    <w:rsid w:val="307BB1C2"/>
    <w:rsid w:val="30A735BF"/>
    <w:rsid w:val="30AD3D77"/>
    <w:rsid w:val="31466560"/>
    <w:rsid w:val="31EEC484"/>
    <w:rsid w:val="321F43C8"/>
    <w:rsid w:val="3544E297"/>
    <w:rsid w:val="3586AD14"/>
    <w:rsid w:val="35CA1B39"/>
    <w:rsid w:val="362A9433"/>
    <w:rsid w:val="36317AF5"/>
    <w:rsid w:val="36801B3B"/>
    <w:rsid w:val="37835E0B"/>
    <w:rsid w:val="3A4E81ED"/>
    <w:rsid w:val="3BB67AAA"/>
    <w:rsid w:val="3BECB903"/>
    <w:rsid w:val="3D1B7E04"/>
    <w:rsid w:val="3EBC938D"/>
    <w:rsid w:val="3FA731FC"/>
    <w:rsid w:val="402D8EE3"/>
    <w:rsid w:val="40C09DAC"/>
    <w:rsid w:val="42855360"/>
    <w:rsid w:val="42CA9741"/>
    <w:rsid w:val="4307BD8C"/>
    <w:rsid w:val="43086170"/>
    <w:rsid w:val="4733F254"/>
    <w:rsid w:val="4739438F"/>
    <w:rsid w:val="47425DB8"/>
    <w:rsid w:val="48F48378"/>
    <w:rsid w:val="49211FDD"/>
    <w:rsid w:val="4989BB13"/>
    <w:rsid w:val="4A23002D"/>
    <w:rsid w:val="4A9042A5"/>
    <w:rsid w:val="4B5391AE"/>
    <w:rsid w:val="4C685AF0"/>
    <w:rsid w:val="4C992188"/>
    <w:rsid w:val="4CAC6FDB"/>
    <w:rsid w:val="4CC95D17"/>
    <w:rsid w:val="4D892BF7"/>
    <w:rsid w:val="4DA4DE46"/>
    <w:rsid w:val="4DB1032F"/>
    <w:rsid w:val="4E17CC40"/>
    <w:rsid w:val="4EC356AA"/>
    <w:rsid w:val="4ECEE246"/>
    <w:rsid w:val="5003C9CB"/>
    <w:rsid w:val="507C89D9"/>
    <w:rsid w:val="50857DA1"/>
    <w:rsid w:val="51B93C08"/>
    <w:rsid w:val="52D9A258"/>
    <w:rsid w:val="52E7A107"/>
    <w:rsid w:val="52F05759"/>
    <w:rsid w:val="5385FA07"/>
    <w:rsid w:val="5395B9A1"/>
    <w:rsid w:val="53B3D033"/>
    <w:rsid w:val="55677A2E"/>
    <w:rsid w:val="55CAC027"/>
    <w:rsid w:val="55DE732A"/>
    <w:rsid w:val="569F487A"/>
    <w:rsid w:val="56D0290E"/>
    <w:rsid w:val="57057DE1"/>
    <w:rsid w:val="57DF9537"/>
    <w:rsid w:val="5805FC27"/>
    <w:rsid w:val="5B377A3A"/>
    <w:rsid w:val="5BE879BB"/>
    <w:rsid w:val="5BFB1151"/>
    <w:rsid w:val="5C7C0D0C"/>
    <w:rsid w:val="5D50EE3F"/>
    <w:rsid w:val="5D54DA0C"/>
    <w:rsid w:val="5E7311F9"/>
    <w:rsid w:val="5F66E6E7"/>
    <w:rsid w:val="5F789E1E"/>
    <w:rsid w:val="5FE17266"/>
    <w:rsid w:val="61058F26"/>
    <w:rsid w:val="6146B16E"/>
    <w:rsid w:val="61AA77F3"/>
    <w:rsid w:val="620C3356"/>
    <w:rsid w:val="62678A83"/>
    <w:rsid w:val="6323BB4C"/>
    <w:rsid w:val="658ABBB3"/>
    <w:rsid w:val="65F02DD5"/>
    <w:rsid w:val="66299626"/>
    <w:rsid w:val="666A2228"/>
    <w:rsid w:val="66922E63"/>
    <w:rsid w:val="6728524E"/>
    <w:rsid w:val="6796EEE6"/>
    <w:rsid w:val="679F34D0"/>
    <w:rsid w:val="68967238"/>
    <w:rsid w:val="68EEA327"/>
    <w:rsid w:val="69226E48"/>
    <w:rsid w:val="697F7B5C"/>
    <w:rsid w:val="6AA78706"/>
    <w:rsid w:val="6B13DDB7"/>
    <w:rsid w:val="6B6183D6"/>
    <w:rsid w:val="6B7A36AD"/>
    <w:rsid w:val="6BA83B56"/>
    <w:rsid w:val="6C6DFFA7"/>
    <w:rsid w:val="6CC926C2"/>
    <w:rsid w:val="6CF54310"/>
    <w:rsid w:val="6DF3F87B"/>
    <w:rsid w:val="6EFDF8AC"/>
    <w:rsid w:val="6FD75C43"/>
    <w:rsid w:val="70442806"/>
    <w:rsid w:val="70BAE4D8"/>
    <w:rsid w:val="716DB6A7"/>
    <w:rsid w:val="722C3378"/>
    <w:rsid w:val="72E8FECC"/>
    <w:rsid w:val="73B0105C"/>
    <w:rsid w:val="73B155EB"/>
    <w:rsid w:val="73BE2F64"/>
    <w:rsid w:val="743176C3"/>
    <w:rsid w:val="74F7FDBD"/>
    <w:rsid w:val="75DF162A"/>
    <w:rsid w:val="75EF2F89"/>
    <w:rsid w:val="7633935E"/>
    <w:rsid w:val="771F743E"/>
    <w:rsid w:val="77E91715"/>
    <w:rsid w:val="786F3339"/>
    <w:rsid w:val="79206C85"/>
    <w:rsid w:val="7963BD66"/>
    <w:rsid w:val="7CDAA0C8"/>
    <w:rsid w:val="7DA52C5F"/>
    <w:rsid w:val="7E12CACD"/>
    <w:rsid w:val="7E813CA2"/>
    <w:rsid w:val="7E8DB504"/>
    <w:rsid w:val="7F9DD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85AF0"/>
  <w15:chartTrackingRefBased/>
  <w15:docId w15:val="{28AB7A86-F0B6-49AA-9238-105D6855F1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cb294474a0d4c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Iacov (2305256)</dc:creator>
  <keywords/>
  <dc:description/>
  <lastModifiedBy>Kayleigh Iacov (2305256)</lastModifiedBy>
  <revision>2</revision>
  <dcterms:created xsi:type="dcterms:W3CDTF">2026-02-01T12:46:51.3492391Z</dcterms:created>
  <dcterms:modified xsi:type="dcterms:W3CDTF">2026-02-01T22:18:36.7490949Z</dcterms:modified>
</coreProperties>
</file>