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31B537" w14:textId="073956CD" w:rsidR="001F3095" w:rsidRPr="00D23E72" w:rsidRDefault="00353779" w:rsidP="001F3095">
      <w:pPr>
        <w:pStyle w:val="BasicParagraph"/>
        <w:suppressAutoHyphens/>
        <w:spacing w:line="240" w:lineRule="auto"/>
        <w:ind w:right="-79"/>
        <w:rPr>
          <w:rFonts w:asciiTheme="minorHAnsi" w:hAnsiTheme="minorHAnsi" w:cstheme="minorHAnsi"/>
          <w:color w:val="000000" w:themeColor="text1"/>
        </w:rPr>
      </w:pPr>
      <w:r>
        <w:rPr>
          <w:rFonts w:ascii="Segoe UI" w:hAnsi="Segoe UI" w:cs="Segoe UI"/>
          <w:color w:val="212529"/>
          <w:shd w:val="clear" w:color="auto" w:fill="FFFFFF"/>
        </w:rPr>
        <w:t xml:space="preserve">The library on campus holds volumes relating to graveyards, graveyard survey, </w:t>
      </w:r>
      <w:r w:rsidR="00D71499">
        <w:rPr>
          <w:rFonts w:ascii="Segoe UI" w:hAnsi="Segoe UI" w:cs="Segoe UI"/>
          <w:color w:val="212529"/>
          <w:shd w:val="clear" w:color="auto" w:fill="FFFFFF"/>
        </w:rPr>
        <w:t>commemoration</w:t>
      </w:r>
      <w:r>
        <w:rPr>
          <w:rFonts w:ascii="Segoe UI" w:hAnsi="Segoe UI" w:cs="Segoe UI"/>
          <w:color w:val="212529"/>
          <w:shd w:val="clear" w:color="auto" w:fill="FFFFFF"/>
        </w:rPr>
        <w:t xml:space="preserve"> and </w:t>
      </w:r>
      <w:r w:rsidR="00D71499">
        <w:rPr>
          <w:rFonts w:ascii="Segoe UI" w:hAnsi="Segoe UI" w:cs="Segoe UI"/>
          <w:color w:val="212529"/>
          <w:shd w:val="clear" w:color="auto" w:fill="FFFFFF"/>
        </w:rPr>
        <w:t>memorialisation</w:t>
      </w:r>
      <w:r>
        <w:rPr>
          <w:rFonts w:ascii="Segoe UI" w:hAnsi="Segoe UI" w:cs="Segoe UI"/>
          <w:color w:val="212529"/>
          <w:shd w:val="clear" w:color="auto" w:fill="FFFFFF"/>
        </w:rPr>
        <w:t>. You will need to do a library search depending on what focus you are taking.</w:t>
      </w:r>
    </w:p>
    <w:p w14:paraId="1A3BE130" w14:textId="15DD26A4" w:rsidR="001F3095" w:rsidRDefault="001F3095" w:rsidP="001F3095">
      <w:pPr>
        <w:pStyle w:val="BasicParagraph"/>
        <w:suppressAutoHyphens/>
        <w:spacing w:line="240" w:lineRule="auto"/>
        <w:rPr>
          <w:b/>
          <w:bCs/>
          <w:color w:val="000000" w:themeColor="text1"/>
          <w:lang w:val="en"/>
        </w:rPr>
      </w:pPr>
      <w:r w:rsidRPr="001F3095">
        <w:rPr>
          <w:b/>
          <w:bCs/>
          <w:color w:val="000000" w:themeColor="text1"/>
          <w:lang w:val="en"/>
        </w:rPr>
        <w:t>Suggested readings for graveyard survey 202</w:t>
      </w:r>
      <w:r w:rsidR="00D71499">
        <w:rPr>
          <w:b/>
          <w:bCs/>
          <w:color w:val="000000" w:themeColor="text1"/>
          <w:lang w:val="en"/>
        </w:rPr>
        <w:t>4</w:t>
      </w:r>
    </w:p>
    <w:p w14:paraId="517A2088" w14:textId="77777777" w:rsidR="001F3095" w:rsidRPr="001F3095" w:rsidRDefault="001F3095" w:rsidP="001F3095">
      <w:pPr>
        <w:pStyle w:val="BasicParagraph"/>
        <w:suppressAutoHyphens/>
        <w:spacing w:line="240" w:lineRule="auto"/>
        <w:rPr>
          <w:rFonts w:asciiTheme="minorHAnsi" w:hAnsiTheme="minorHAnsi" w:cstheme="minorHAnsi"/>
          <w:b/>
          <w:bCs/>
          <w:color w:val="000000" w:themeColor="text1"/>
        </w:rPr>
      </w:pPr>
    </w:p>
    <w:p w14:paraId="318F914A" w14:textId="2F45F04B" w:rsidR="001F3095" w:rsidRDefault="001F3095" w:rsidP="001F3095">
      <w:pPr>
        <w:pStyle w:val="BasicParagraph"/>
        <w:suppressAutoHyphens/>
        <w:spacing w:line="240" w:lineRule="auto"/>
        <w:rPr>
          <w:rFonts w:asciiTheme="minorHAnsi" w:hAnsiTheme="minorHAnsi" w:cstheme="minorHAnsi"/>
          <w:color w:val="000000" w:themeColor="text1"/>
        </w:rPr>
      </w:pPr>
      <w:r>
        <w:rPr>
          <w:color w:val="000000" w:themeColor="text1"/>
          <w:lang w:val="en"/>
        </w:rPr>
        <w:t>All reading material is available hard copy in the library, most of it is also available through the UWTSD library electronically</w:t>
      </w:r>
      <w:r>
        <w:rPr>
          <w:rFonts w:asciiTheme="minorHAnsi" w:hAnsiTheme="minorHAnsi" w:cstheme="minorHAnsi"/>
          <w:color w:val="000000" w:themeColor="text1"/>
        </w:rPr>
        <w:t>.</w:t>
      </w:r>
    </w:p>
    <w:p w14:paraId="14B4113D" w14:textId="77777777" w:rsidR="001F3095" w:rsidRDefault="001F3095" w:rsidP="001F3095">
      <w:pPr>
        <w:pStyle w:val="BasicParagraph"/>
        <w:suppressAutoHyphens/>
        <w:spacing w:line="240" w:lineRule="auto"/>
        <w:ind w:left="720" w:right="-79" w:hanging="720"/>
        <w:rPr>
          <w:rFonts w:asciiTheme="minorHAnsi" w:hAnsiTheme="minorHAnsi" w:cstheme="minorHAnsi"/>
          <w:color w:val="000000" w:themeColor="text1"/>
        </w:rPr>
      </w:pPr>
    </w:p>
    <w:p w14:paraId="00248665" w14:textId="56BDF303" w:rsidR="00D23E72" w:rsidRPr="00E84088" w:rsidRDefault="00D23E72" w:rsidP="001F3095">
      <w:pPr>
        <w:pStyle w:val="BasicParagraph"/>
        <w:suppressAutoHyphens/>
        <w:spacing w:line="240" w:lineRule="auto"/>
        <w:ind w:left="720" w:right="-79" w:hanging="720"/>
        <w:rPr>
          <w:rFonts w:asciiTheme="minorHAnsi" w:hAnsiTheme="minorHAnsi" w:cstheme="minorHAnsi"/>
          <w:color w:val="000000" w:themeColor="text1"/>
        </w:rPr>
      </w:pPr>
      <w:r w:rsidRPr="00E84088">
        <w:rPr>
          <w:rFonts w:asciiTheme="minorHAnsi" w:hAnsiTheme="minorHAnsi" w:cstheme="minorHAnsi"/>
          <w:color w:val="000000" w:themeColor="text1"/>
        </w:rPr>
        <w:t>Mytum, H. 1994. Language as Symbol in Churchyard Monuments: The Use of Welsh in</w:t>
      </w:r>
      <w:r w:rsidR="001F3095">
        <w:rPr>
          <w:rFonts w:asciiTheme="minorHAnsi" w:hAnsiTheme="minorHAnsi" w:cstheme="minorHAnsi"/>
          <w:color w:val="000000" w:themeColor="text1"/>
        </w:rPr>
        <w:t xml:space="preserve"> </w:t>
      </w:r>
      <w:r w:rsidRPr="00E84088">
        <w:rPr>
          <w:rFonts w:asciiTheme="minorHAnsi" w:hAnsiTheme="minorHAnsi" w:cstheme="minorHAnsi"/>
          <w:color w:val="000000" w:themeColor="text1"/>
        </w:rPr>
        <w:t xml:space="preserve">Nineteenth- and Twentieth-Century Pembrokeshire. World Archaeology, Vol. 26, No. 2, Communication and Language, pp. 252-267. </w:t>
      </w:r>
    </w:p>
    <w:p w14:paraId="4F3CD9D2" w14:textId="77777777" w:rsidR="00D23E72" w:rsidRPr="00E84088" w:rsidRDefault="00D23E72" w:rsidP="001F3095">
      <w:pPr>
        <w:pStyle w:val="BasicParagraph"/>
        <w:suppressAutoHyphens/>
        <w:spacing w:line="240" w:lineRule="auto"/>
        <w:ind w:left="720" w:right="-79" w:hanging="720"/>
        <w:rPr>
          <w:rFonts w:asciiTheme="minorHAnsi" w:hAnsiTheme="minorHAnsi" w:cstheme="minorHAnsi"/>
          <w:color w:val="000000" w:themeColor="text1"/>
        </w:rPr>
      </w:pPr>
    </w:p>
    <w:p w14:paraId="14B417F4" w14:textId="77777777" w:rsidR="00D23E72" w:rsidRPr="00E84088" w:rsidRDefault="00D23E72" w:rsidP="001F3095">
      <w:pPr>
        <w:pStyle w:val="BasicParagraph"/>
        <w:suppressAutoHyphens/>
        <w:spacing w:line="240" w:lineRule="auto"/>
        <w:ind w:left="720" w:right="-79" w:hanging="720"/>
        <w:rPr>
          <w:rFonts w:asciiTheme="minorHAnsi" w:hAnsiTheme="minorHAnsi" w:cstheme="minorHAnsi"/>
          <w:color w:val="000000" w:themeColor="text1"/>
        </w:rPr>
      </w:pPr>
      <w:r w:rsidRPr="00E84088">
        <w:rPr>
          <w:rFonts w:asciiTheme="minorHAnsi" w:hAnsiTheme="minorHAnsi" w:cstheme="minorHAnsi"/>
          <w:color w:val="000000" w:themeColor="text1"/>
        </w:rPr>
        <w:t xml:space="preserve">Mytum, H. C. 2000. </w:t>
      </w:r>
      <w:hyperlink r:id="rId6" w:history="1">
        <w:r w:rsidRPr="00E84088">
          <w:rPr>
            <w:rFonts w:asciiTheme="minorHAnsi" w:hAnsiTheme="minorHAnsi" w:cstheme="minorHAnsi"/>
            <w:bCs/>
            <w:i/>
            <w:color w:val="000000" w:themeColor="text1"/>
          </w:rPr>
          <w:t>Recording and analysing graveyards</w:t>
        </w:r>
      </w:hyperlink>
      <w:r w:rsidRPr="00E84088">
        <w:rPr>
          <w:rFonts w:asciiTheme="minorHAnsi" w:hAnsiTheme="minorHAnsi" w:cstheme="minorHAnsi"/>
          <w:color w:val="000000" w:themeColor="text1"/>
        </w:rPr>
        <w:t xml:space="preserve">. York: Council for British Archaeology. English Heritage. (on Moodle, available from </w:t>
      </w:r>
      <w:hyperlink r:id="rId7" w:history="1">
        <w:r w:rsidRPr="00E84088">
          <w:rPr>
            <w:rStyle w:val="Hyperlink"/>
            <w:rFonts w:asciiTheme="minorHAnsi" w:hAnsiTheme="minorHAnsi" w:cstheme="minorHAnsi"/>
          </w:rPr>
          <w:t>Council for British Archaeology | Practical Handbooks (archaeologyuk.org)</w:t>
        </w:r>
      </w:hyperlink>
      <w:r w:rsidRPr="00E84088">
        <w:rPr>
          <w:rFonts w:asciiTheme="minorHAnsi" w:hAnsiTheme="minorHAnsi" w:cstheme="minorHAnsi"/>
        </w:rPr>
        <w:t>, number 15</w:t>
      </w:r>
      <w:r w:rsidRPr="00E84088">
        <w:rPr>
          <w:rFonts w:asciiTheme="minorHAnsi" w:hAnsiTheme="minorHAnsi" w:cstheme="minorHAnsi"/>
          <w:color w:val="000000" w:themeColor="text1"/>
        </w:rPr>
        <w:t>)</w:t>
      </w:r>
    </w:p>
    <w:p w14:paraId="5C07A017" w14:textId="77777777" w:rsidR="00D23E72" w:rsidRPr="00E84088" w:rsidRDefault="00D23E72" w:rsidP="001F3095">
      <w:pPr>
        <w:pStyle w:val="BasicParagraph"/>
        <w:suppressAutoHyphens/>
        <w:spacing w:line="240" w:lineRule="auto"/>
        <w:ind w:left="720" w:right="-79" w:hanging="720"/>
        <w:rPr>
          <w:rFonts w:asciiTheme="minorHAnsi" w:hAnsiTheme="minorHAnsi" w:cstheme="minorHAnsi"/>
          <w:color w:val="000000" w:themeColor="text1"/>
        </w:rPr>
      </w:pPr>
    </w:p>
    <w:p w14:paraId="246F6D36" w14:textId="6C7D37FC" w:rsidR="00D23E72" w:rsidRPr="00E84088" w:rsidRDefault="00D23E72" w:rsidP="001F3095">
      <w:pPr>
        <w:pStyle w:val="BasicParagraph"/>
        <w:suppressAutoHyphens/>
        <w:spacing w:line="240" w:lineRule="auto"/>
        <w:ind w:left="720" w:right="-79" w:hanging="720"/>
        <w:rPr>
          <w:rFonts w:asciiTheme="minorHAnsi" w:hAnsiTheme="minorHAnsi" w:cstheme="minorHAnsi"/>
          <w:color w:val="000000" w:themeColor="text1"/>
        </w:rPr>
      </w:pPr>
      <w:r w:rsidRPr="00E84088">
        <w:rPr>
          <w:rFonts w:asciiTheme="minorHAnsi" w:hAnsiTheme="minorHAnsi" w:cstheme="minorHAnsi"/>
          <w:color w:val="000000" w:themeColor="text1"/>
        </w:rPr>
        <w:t xml:space="preserve">Mytum. H. 2002. The dating of graveyard memorials: The Evidence form the stones. </w:t>
      </w:r>
      <w:r w:rsidRPr="00E84088">
        <w:rPr>
          <w:rFonts w:asciiTheme="minorHAnsi" w:hAnsiTheme="minorHAnsi" w:cstheme="minorHAnsi"/>
          <w:i/>
          <w:iCs/>
          <w:color w:val="000000" w:themeColor="text1"/>
        </w:rPr>
        <w:t xml:space="preserve">Post-Medieval Archaeology </w:t>
      </w:r>
      <w:r w:rsidRPr="00E84088">
        <w:rPr>
          <w:rFonts w:asciiTheme="minorHAnsi" w:hAnsiTheme="minorHAnsi" w:cstheme="minorHAnsi"/>
          <w:iCs/>
          <w:color w:val="000000" w:themeColor="text1"/>
        </w:rPr>
        <w:t>Vol.</w:t>
      </w:r>
      <w:r w:rsidRPr="00E84088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r w:rsidRPr="00E84088">
        <w:rPr>
          <w:rFonts w:asciiTheme="minorHAnsi" w:hAnsiTheme="minorHAnsi" w:cstheme="minorHAnsi"/>
          <w:bCs/>
          <w:color w:val="000000" w:themeColor="text1"/>
        </w:rPr>
        <w:t>36, No.1,</w:t>
      </w:r>
      <w:r w:rsidRPr="00E84088">
        <w:rPr>
          <w:rFonts w:asciiTheme="minorHAnsi" w:hAnsiTheme="minorHAnsi" w:cstheme="minorHAnsi"/>
          <w:color w:val="000000" w:themeColor="text1"/>
        </w:rPr>
        <w:t xml:space="preserve"> 1-38. </w:t>
      </w:r>
    </w:p>
    <w:p w14:paraId="399E077A" w14:textId="77777777" w:rsidR="00D23E72" w:rsidRPr="00E84088" w:rsidRDefault="00D23E72" w:rsidP="001F3095">
      <w:pPr>
        <w:pStyle w:val="BasicParagraph"/>
        <w:suppressAutoHyphens/>
        <w:spacing w:line="240" w:lineRule="auto"/>
        <w:ind w:left="720" w:right="-79" w:hanging="720"/>
        <w:rPr>
          <w:rFonts w:asciiTheme="minorHAnsi" w:hAnsiTheme="minorHAnsi" w:cstheme="minorHAnsi"/>
          <w:color w:val="000000" w:themeColor="text1"/>
        </w:rPr>
      </w:pPr>
    </w:p>
    <w:p w14:paraId="36F50741" w14:textId="61BD6379" w:rsidR="00D23E72" w:rsidRPr="00E84088" w:rsidRDefault="00D23E72" w:rsidP="001F3095">
      <w:pPr>
        <w:pStyle w:val="BasicParagraph"/>
        <w:suppressAutoHyphens/>
        <w:spacing w:line="240" w:lineRule="auto"/>
        <w:ind w:left="720" w:right="-79" w:hanging="720"/>
        <w:rPr>
          <w:rFonts w:asciiTheme="minorHAnsi" w:hAnsiTheme="minorHAnsi" w:cstheme="minorHAnsi"/>
          <w:color w:val="000000" w:themeColor="text1"/>
        </w:rPr>
      </w:pPr>
      <w:r w:rsidRPr="00E84088">
        <w:rPr>
          <w:rFonts w:asciiTheme="minorHAnsi" w:hAnsiTheme="minorHAnsi" w:cstheme="minorHAnsi"/>
          <w:color w:val="000000" w:themeColor="text1"/>
        </w:rPr>
        <w:t xml:space="preserve">Mytum, H. 2006. Popular attitudes to memory, the body, and social identity: the rise of external commemoration in Britain, Ireland and New England. </w:t>
      </w:r>
      <w:r w:rsidRPr="00E84088">
        <w:rPr>
          <w:rFonts w:asciiTheme="minorHAnsi" w:hAnsiTheme="minorHAnsi" w:cstheme="minorHAnsi"/>
          <w:i/>
          <w:iCs/>
          <w:color w:val="000000" w:themeColor="text1"/>
        </w:rPr>
        <w:t xml:space="preserve">Post-Medieval Archaeology </w:t>
      </w:r>
      <w:r w:rsidRPr="00E84088">
        <w:rPr>
          <w:rFonts w:asciiTheme="minorHAnsi" w:hAnsiTheme="minorHAnsi" w:cstheme="minorHAnsi"/>
          <w:iCs/>
          <w:color w:val="000000" w:themeColor="text1"/>
        </w:rPr>
        <w:t>Vol.</w:t>
      </w:r>
      <w:r w:rsidRPr="00E84088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r w:rsidRPr="00E84088">
        <w:rPr>
          <w:rFonts w:asciiTheme="minorHAnsi" w:hAnsiTheme="minorHAnsi" w:cstheme="minorHAnsi"/>
          <w:bCs/>
          <w:color w:val="000000" w:themeColor="text1"/>
        </w:rPr>
        <w:t>40, No.1,</w:t>
      </w:r>
      <w:r w:rsidRPr="00E84088">
        <w:rPr>
          <w:rFonts w:asciiTheme="minorHAnsi" w:hAnsiTheme="minorHAnsi" w:cstheme="minorHAnsi"/>
          <w:color w:val="000000" w:themeColor="text1"/>
        </w:rPr>
        <w:t xml:space="preserve"> 96–110. </w:t>
      </w:r>
    </w:p>
    <w:p w14:paraId="2C7DB442" w14:textId="77777777" w:rsidR="00D23E72" w:rsidRPr="00E84088" w:rsidRDefault="00D23E72" w:rsidP="001F3095">
      <w:pPr>
        <w:spacing w:after="0" w:line="240" w:lineRule="auto"/>
        <w:ind w:left="720" w:hanging="720"/>
        <w:rPr>
          <w:rFonts w:cstheme="minorHAnsi"/>
          <w:color w:val="000000" w:themeColor="text1"/>
          <w:sz w:val="24"/>
          <w:szCs w:val="24"/>
        </w:rPr>
      </w:pPr>
    </w:p>
    <w:p w14:paraId="7FDE5DB8" w14:textId="71DDF0DE" w:rsidR="00D23E72" w:rsidRDefault="00D23E72" w:rsidP="001F3095">
      <w:pPr>
        <w:spacing w:after="0" w:line="240" w:lineRule="auto"/>
        <w:ind w:left="720" w:hanging="720"/>
        <w:rPr>
          <w:rFonts w:cstheme="minorHAnsi"/>
          <w:color w:val="000000" w:themeColor="text1"/>
          <w:sz w:val="24"/>
          <w:szCs w:val="24"/>
          <w:lang w:val="en"/>
        </w:rPr>
      </w:pPr>
      <w:r w:rsidRPr="00E84088">
        <w:rPr>
          <w:rFonts w:cstheme="minorHAnsi"/>
          <w:color w:val="000000" w:themeColor="text1"/>
          <w:sz w:val="24"/>
          <w:szCs w:val="24"/>
        </w:rPr>
        <w:t xml:space="preserve">Simpson, M. 2012. </w:t>
      </w:r>
      <w:r w:rsidRPr="00E84088">
        <w:rPr>
          <w:rFonts w:cstheme="minorHAnsi"/>
          <w:color w:val="000000" w:themeColor="text1"/>
          <w:sz w:val="24"/>
          <w:szCs w:val="24"/>
          <w:lang w:val="en"/>
        </w:rPr>
        <w:t xml:space="preserve">Graveyard Survey - The 'Lost Art' of Fieldwork? </w:t>
      </w:r>
      <w:r w:rsidRPr="00E84088">
        <w:rPr>
          <w:rFonts w:cstheme="minorHAnsi"/>
          <w:i/>
          <w:color w:val="000000" w:themeColor="text1"/>
          <w:sz w:val="24"/>
          <w:szCs w:val="24"/>
          <w:lang w:val="en"/>
        </w:rPr>
        <w:t>The Post Hole</w:t>
      </w:r>
      <w:r w:rsidRPr="00E84088">
        <w:rPr>
          <w:rFonts w:cstheme="minorHAnsi"/>
          <w:color w:val="000000" w:themeColor="text1"/>
          <w:sz w:val="24"/>
          <w:szCs w:val="24"/>
          <w:lang w:val="en"/>
        </w:rPr>
        <w:t xml:space="preserve">, issue 20. Available online at </w:t>
      </w:r>
      <w:hyperlink r:id="rId8" w:history="1">
        <w:r w:rsidRPr="00E84088">
          <w:rPr>
            <w:rStyle w:val="Hyperlink"/>
            <w:rFonts w:cstheme="minorHAnsi"/>
            <w:sz w:val="24"/>
            <w:szCs w:val="24"/>
            <w:lang w:val="en"/>
          </w:rPr>
          <w:t>http://www.theposthole.org/read/article/136</w:t>
        </w:r>
      </w:hyperlink>
      <w:r w:rsidRPr="00E84088">
        <w:rPr>
          <w:rFonts w:cstheme="minorHAnsi"/>
          <w:color w:val="000000" w:themeColor="text1"/>
          <w:sz w:val="24"/>
          <w:szCs w:val="24"/>
          <w:lang w:val="en"/>
        </w:rPr>
        <w:t>.</w:t>
      </w:r>
    </w:p>
    <w:p w14:paraId="6A6E5A8C" w14:textId="77777777" w:rsidR="00E84088" w:rsidRPr="00E84088" w:rsidRDefault="00E84088" w:rsidP="001F3095">
      <w:pPr>
        <w:spacing w:after="0" w:line="240" w:lineRule="auto"/>
        <w:ind w:left="720" w:hanging="720"/>
        <w:rPr>
          <w:rFonts w:cstheme="minorHAnsi"/>
          <w:color w:val="000000" w:themeColor="text1"/>
          <w:sz w:val="24"/>
          <w:szCs w:val="24"/>
          <w:lang w:val="en"/>
        </w:rPr>
      </w:pPr>
    </w:p>
    <w:p w14:paraId="2F5F30C0" w14:textId="69D98534" w:rsidR="00E84088" w:rsidRPr="00592772" w:rsidRDefault="00E84088" w:rsidP="001F3095">
      <w:pPr>
        <w:spacing w:after="0" w:line="240" w:lineRule="auto"/>
        <w:ind w:left="720" w:right="284" w:hanging="720"/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  <w:lang w:val="en"/>
        </w:rPr>
        <w:t xml:space="preserve">Stansfield. P. 2013 </w:t>
      </w:r>
      <w:r w:rsidRPr="00592772">
        <w:rPr>
          <w:rFonts w:cs="Times New Roman"/>
          <w:i/>
          <w:iCs/>
          <w:color w:val="000000" w:themeColor="text1"/>
          <w:sz w:val="24"/>
          <w:szCs w:val="24"/>
          <w:lang w:val="en"/>
        </w:rPr>
        <w:t>How to Read a Graveyard: Journeys in the company of the dead.</w:t>
      </w:r>
      <w:r>
        <w:rPr>
          <w:rFonts w:cs="Times New Roman"/>
          <w:color w:val="000000" w:themeColor="text1"/>
          <w:sz w:val="24"/>
          <w:szCs w:val="24"/>
          <w:lang w:val="en"/>
        </w:rPr>
        <w:t xml:space="preserve"> Bloomsbury Continuum </w:t>
      </w:r>
      <w:r w:rsidRPr="004033F6">
        <w:rPr>
          <w:rFonts w:cs="Arial"/>
          <w:sz w:val="24"/>
          <w:szCs w:val="24"/>
          <w:shd w:val="clear" w:color="auto" w:fill="F6F6F6"/>
        </w:rPr>
        <w:t>(</w:t>
      </w:r>
      <w:r>
        <w:rPr>
          <w:rFonts w:cs="Arial"/>
          <w:sz w:val="24"/>
          <w:szCs w:val="24"/>
          <w:shd w:val="clear" w:color="auto" w:fill="F6F6F6"/>
        </w:rPr>
        <w:t>Hard copy in the librar</w:t>
      </w:r>
      <w:r w:rsidR="00D466B4">
        <w:rPr>
          <w:rFonts w:cs="Arial"/>
          <w:sz w:val="24"/>
          <w:szCs w:val="24"/>
          <w:shd w:val="clear" w:color="auto" w:fill="F6F6F6"/>
        </w:rPr>
        <w:t>y</w:t>
      </w:r>
      <w:r w:rsidRPr="004033F6">
        <w:rPr>
          <w:sz w:val="24"/>
          <w:szCs w:val="24"/>
        </w:rPr>
        <w:t>)</w:t>
      </w:r>
    </w:p>
    <w:p w14:paraId="7606D9CC" w14:textId="164841F5" w:rsidR="00D23E72" w:rsidRPr="00E84088" w:rsidRDefault="00D23E72" w:rsidP="001F3095">
      <w:pPr>
        <w:spacing w:after="0" w:line="240" w:lineRule="auto"/>
        <w:ind w:left="720" w:hanging="720"/>
        <w:rPr>
          <w:rFonts w:cstheme="minorHAnsi"/>
          <w:sz w:val="24"/>
          <w:szCs w:val="24"/>
        </w:rPr>
      </w:pPr>
    </w:p>
    <w:p w14:paraId="79A40677" w14:textId="77777777" w:rsidR="00E84088" w:rsidRPr="00E84088" w:rsidRDefault="00E84088" w:rsidP="001F3095">
      <w:pPr>
        <w:spacing w:after="0" w:line="240" w:lineRule="auto"/>
        <w:ind w:left="720" w:hanging="720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E84088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Tarlow, S. 1999. </w:t>
      </w:r>
      <w:hyperlink r:id="rId9" w:history="1">
        <w:r w:rsidRPr="00E84088">
          <w:rPr>
            <w:rStyle w:val="Hyperlink"/>
            <w:rFonts w:eastAsia="Times New Roman" w:cstheme="minorHAnsi"/>
            <w:bCs/>
            <w:i/>
            <w:color w:val="000000" w:themeColor="text1"/>
            <w:sz w:val="24"/>
            <w:szCs w:val="24"/>
            <w:u w:val="none"/>
            <w:lang w:eastAsia="en-GB"/>
          </w:rPr>
          <w:t>Bereavement and Commemoration: an archaeology of mortality</w:t>
        </w:r>
      </w:hyperlink>
      <w:r w:rsidRPr="00E84088"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>.</w:t>
      </w:r>
      <w:r w:rsidRPr="00E84088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Oxford, UK ; Malden, Mass.: Blackwell Publishers, 1999. (Multiple hard copies available UWTSD)</w:t>
      </w:r>
    </w:p>
    <w:p w14:paraId="249907DB" w14:textId="77777777" w:rsidR="00E84088" w:rsidRPr="00E84088" w:rsidRDefault="00E84088" w:rsidP="001F3095">
      <w:pPr>
        <w:spacing w:after="0" w:line="240" w:lineRule="auto"/>
        <w:ind w:left="720" w:hanging="720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1DCF2385" w14:textId="4E687D8C" w:rsidR="00E84088" w:rsidRPr="00E84088" w:rsidRDefault="00E84088" w:rsidP="001F3095">
      <w:pPr>
        <w:spacing w:after="0" w:line="240" w:lineRule="auto"/>
        <w:ind w:left="720" w:hanging="720"/>
        <w:rPr>
          <w:rFonts w:cstheme="minorHAnsi"/>
          <w:color w:val="3A3A3A"/>
          <w:sz w:val="24"/>
          <w:szCs w:val="24"/>
          <w:shd w:val="clear" w:color="auto" w:fill="FFFFFF"/>
        </w:rPr>
      </w:pPr>
      <w:r w:rsidRPr="00E84088">
        <w:rPr>
          <w:rFonts w:cstheme="minorHAnsi"/>
          <w:color w:val="3A3A3A"/>
          <w:sz w:val="24"/>
          <w:szCs w:val="24"/>
          <w:shd w:val="clear" w:color="auto" w:fill="FFFFFF"/>
        </w:rPr>
        <w:t xml:space="preserve">Tarlow, S. and </w:t>
      </w:r>
      <w:r w:rsidRPr="00E84088">
        <w:rPr>
          <w:rFonts w:cstheme="minorHAnsi"/>
          <w:color w:val="3A3A3A"/>
          <w:sz w:val="24"/>
          <w:szCs w:val="24"/>
          <w:shd w:val="clear" w:color="auto" w:fill="F3F3F3"/>
        </w:rPr>
        <w:t xml:space="preserve">Michalak, K. </w:t>
      </w:r>
      <w:r w:rsidRPr="00E84088">
        <w:rPr>
          <w:rFonts w:cstheme="minorHAnsi"/>
          <w:color w:val="3A3A3A"/>
          <w:sz w:val="24"/>
          <w:szCs w:val="24"/>
          <w:shd w:val="clear" w:color="auto" w:fill="FFFFFF"/>
        </w:rPr>
        <w:t>2015. </w:t>
      </w:r>
      <w:r w:rsidRPr="00E84088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The Archaeology of Death in Post-medieval Europe</w:t>
      </w:r>
      <w:r w:rsidRPr="00E84088">
        <w:rPr>
          <w:rFonts w:cstheme="minorHAnsi"/>
          <w:color w:val="3A3A3A"/>
          <w:sz w:val="24"/>
          <w:szCs w:val="24"/>
          <w:shd w:val="clear" w:color="auto" w:fill="FFFFFF"/>
        </w:rPr>
        <w:t>. Warsaw; Berlin: De Gruyter (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 xml:space="preserve">Hardcopy </w:t>
      </w:r>
      <w:r w:rsidRPr="00E84088">
        <w:rPr>
          <w:rFonts w:cstheme="minorHAnsi"/>
          <w:color w:val="3A3A3A"/>
          <w:sz w:val="24"/>
          <w:szCs w:val="24"/>
          <w:shd w:val="clear" w:color="auto" w:fill="FFFFFF"/>
        </w:rPr>
        <w:t>in library and online access through UWTSD Library)</w:t>
      </w:r>
    </w:p>
    <w:p w14:paraId="2E925951" w14:textId="77777777" w:rsidR="00E84088" w:rsidRPr="00E84088" w:rsidRDefault="00E84088" w:rsidP="001F3095">
      <w:pPr>
        <w:spacing w:after="0" w:line="240" w:lineRule="auto"/>
        <w:ind w:left="720" w:hanging="720"/>
        <w:rPr>
          <w:rFonts w:cstheme="minorHAnsi"/>
          <w:color w:val="3A3A3A"/>
          <w:sz w:val="24"/>
          <w:szCs w:val="24"/>
          <w:shd w:val="clear" w:color="auto" w:fill="FFFFFF"/>
        </w:rPr>
      </w:pPr>
    </w:p>
    <w:p w14:paraId="3F795483" w14:textId="77777777" w:rsidR="00E84088" w:rsidRPr="00E84088" w:rsidRDefault="00E84088" w:rsidP="001F3095">
      <w:pPr>
        <w:spacing w:after="0" w:line="240" w:lineRule="auto"/>
        <w:ind w:left="720" w:hanging="720"/>
        <w:rPr>
          <w:rFonts w:cstheme="minorHAnsi"/>
          <w:color w:val="3A3A3A"/>
          <w:sz w:val="24"/>
          <w:szCs w:val="24"/>
          <w:shd w:val="clear" w:color="auto" w:fill="FFFFFF"/>
        </w:rPr>
      </w:pPr>
      <w:r w:rsidRPr="00E84088">
        <w:rPr>
          <w:rFonts w:cstheme="minorHAnsi"/>
          <w:color w:val="3A3A3A"/>
          <w:sz w:val="24"/>
          <w:szCs w:val="24"/>
          <w:shd w:val="clear" w:color="auto" w:fill="FFFFFF"/>
        </w:rPr>
        <w:t>Tarlow, S. &amp; Nilsson Stutz, L., 2013. </w:t>
      </w:r>
      <w:r w:rsidRPr="00E84088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The Oxford handbook of the archaeology of death and burial</w:t>
      </w:r>
      <w:r w:rsidRPr="00E84088">
        <w:rPr>
          <w:rFonts w:cstheme="minorHAnsi"/>
          <w:color w:val="3A3A3A"/>
          <w:sz w:val="24"/>
          <w:szCs w:val="24"/>
          <w:shd w:val="clear" w:color="auto" w:fill="FFFFFF"/>
        </w:rPr>
        <w:t>, Oxford: Oxford University press. (Hard copy only UWTSD Library)</w:t>
      </w:r>
    </w:p>
    <w:p w14:paraId="6D1723BA" w14:textId="57D6CF6A" w:rsidR="00E84088" w:rsidRDefault="00E84088" w:rsidP="00E84088">
      <w:pPr>
        <w:rPr>
          <w:lang w:val="en"/>
        </w:rPr>
      </w:pPr>
    </w:p>
    <w:p w14:paraId="164B0A4C" w14:textId="77777777" w:rsidR="001977C1" w:rsidRPr="00D23E72" w:rsidRDefault="001977C1" w:rsidP="00E84088">
      <w:pPr>
        <w:rPr>
          <w:lang w:val="en"/>
        </w:rPr>
      </w:pPr>
    </w:p>
    <w:sectPr w:rsidR="001977C1" w:rsidRPr="00D23E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C60DF4" w14:textId="77777777" w:rsidR="00B234BF" w:rsidRDefault="00B234BF" w:rsidP="00353779">
      <w:pPr>
        <w:spacing w:after="0" w:line="240" w:lineRule="auto"/>
      </w:pPr>
      <w:r>
        <w:separator/>
      </w:r>
    </w:p>
  </w:endnote>
  <w:endnote w:type="continuationSeparator" w:id="0">
    <w:p w14:paraId="1220F264" w14:textId="77777777" w:rsidR="00B234BF" w:rsidRDefault="00B234BF" w:rsidP="003537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1EF985" w14:textId="77777777" w:rsidR="00B234BF" w:rsidRDefault="00B234BF" w:rsidP="00353779">
      <w:pPr>
        <w:spacing w:after="0" w:line="240" w:lineRule="auto"/>
      </w:pPr>
      <w:r>
        <w:separator/>
      </w:r>
    </w:p>
  </w:footnote>
  <w:footnote w:type="continuationSeparator" w:id="0">
    <w:p w14:paraId="73BACEBA" w14:textId="77777777" w:rsidR="00B234BF" w:rsidRDefault="00B234BF" w:rsidP="0035377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461F"/>
    <w:rsid w:val="001977C1"/>
    <w:rsid w:val="001F3095"/>
    <w:rsid w:val="00216EB0"/>
    <w:rsid w:val="00353779"/>
    <w:rsid w:val="00B234BF"/>
    <w:rsid w:val="00C5461F"/>
    <w:rsid w:val="00D23E72"/>
    <w:rsid w:val="00D466B4"/>
    <w:rsid w:val="00D71499"/>
    <w:rsid w:val="00E840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D9B610"/>
  <w15:chartTrackingRefBased/>
  <w15:docId w15:val="{263D8D1A-F545-4DC8-9315-4F415ACCC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asicParagraph">
    <w:name w:val="[Basic Paragraph]"/>
    <w:basedOn w:val="Normal"/>
    <w:rsid w:val="00C5461F"/>
    <w:pPr>
      <w:autoSpaceDE w:val="0"/>
      <w:autoSpaceDN w:val="0"/>
      <w:adjustRightInd w:val="0"/>
      <w:spacing w:after="0" w:line="288" w:lineRule="auto"/>
    </w:pPr>
    <w:rPr>
      <w:rFonts w:ascii="Times New Roman" w:eastAsia="Times New Roman" w:hAnsi="Times New Roman" w:cs="Times New Roman"/>
      <w:color w:val="00000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5461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537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3779"/>
  </w:style>
  <w:style w:type="paragraph" w:styleId="Footer">
    <w:name w:val="footer"/>
    <w:basedOn w:val="Normal"/>
    <w:link w:val="FooterChar"/>
    <w:uiPriority w:val="99"/>
    <w:unhideWhenUsed/>
    <w:rsid w:val="003537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37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posthole.org/read/article/13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new.archaeologyuk.org/practical-handboo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tsd-l.worldcat.org/title/recording-and-analysing-graveyards/oclc/44693623&amp;referer=brief_results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tsd-l.worldcat.org/title/bereavement-and-commemoration-an-archaeology-of-mortality/oclc/40433212&amp;referer=brief_resul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345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2</cp:revision>
  <dcterms:created xsi:type="dcterms:W3CDTF">2024-02-19T20:32:00Z</dcterms:created>
  <dcterms:modified xsi:type="dcterms:W3CDTF">2024-02-19T20:32:00Z</dcterms:modified>
</cp:coreProperties>
</file>