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47153141"/>
        <w:docPartObj>
          <w:docPartGallery w:val="Cover Pages"/>
          <w:docPartUnique/>
        </w:docPartObj>
      </w:sdtPr>
      <w:sdtContent>
        <w:p w14:paraId="1723978A" w14:textId="218F1D04" w:rsidR="00F213B0" w:rsidRDefault="00F213B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B795662" wp14:editId="08F3D1D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DA9E518" w14:textId="791028BB" w:rsidR="00F213B0" w:rsidRDefault="00F213B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Jade Brown (2319007)</w:t>
                                      </w:r>
                                    </w:p>
                                  </w:sdtContent>
                                </w:sdt>
                                <w:p w14:paraId="39C69459" w14:textId="509EB435" w:rsidR="00F213B0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213B0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pplp</w:t>
                                      </w:r>
                                    </w:sdtContent>
                                  </w:sdt>
                                  <w:r w:rsidR="00F213B0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F213B0">
                                        <w:rPr>
                                          <w:color w:val="FFFFFF" w:themeColor="background1"/>
                                        </w:rPr>
                                        <w:t>Assignment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A669359" w14:textId="7BD7CB45" w:rsidR="00F213B0" w:rsidRDefault="00E216F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Attendance note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B795662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DA9E518" w14:textId="791028BB" w:rsidR="00F213B0" w:rsidRDefault="00F213B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Jade Brown (2319007)</w:t>
                                </w:r>
                              </w:p>
                            </w:sdtContent>
                          </w:sdt>
                          <w:p w14:paraId="39C69459" w14:textId="509EB435" w:rsidR="00F213B0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213B0">
                                  <w:rPr>
                                    <w:caps/>
                                    <w:color w:val="FFFFFF" w:themeColor="background1"/>
                                  </w:rPr>
                                  <w:t>pplp</w:t>
                                </w:r>
                              </w:sdtContent>
                            </w:sdt>
                            <w:r w:rsidR="00F213B0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F213B0">
                                  <w:rPr>
                                    <w:color w:val="FFFFFF" w:themeColor="background1"/>
                                  </w:rPr>
                                  <w:t>Assignment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A669359" w14:textId="7BD7CB45" w:rsidR="00F213B0" w:rsidRDefault="00E216F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Attendance note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A199BA0" w14:textId="77777777" w:rsidR="00F213B0" w:rsidRDefault="00F213B0" w:rsidP="00F213B0">
          <w:r>
            <w:br w:type="page"/>
          </w:r>
        </w:p>
        <w:p w14:paraId="0531DB2E" w14:textId="1414B969" w:rsidR="00F213B0" w:rsidRPr="00F213B0" w:rsidRDefault="00000000" w:rsidP="00F213B0"/>
      </w:sdtContent>
    </w:sdt>
    <w:p w14:paraId="64B232E0" w14:textId="0AE3D244" w:rsidR="00F213B0" w:rsidRPr="00F213B0" w:rsidRDefault="00E216F5" w:rsidP="00F213B0">
      <w:pPr>
        <w:rPr>
          <w:rFonts w:ascii="Times New Roman" w:hAnsi="Times New Roman" w:cs="Times New Roman"/>
        </w:rPr>
      </w:pPr>
      <w:r w:rsidRPr="00E216F5">
        <w:rPr>
          <w:rFonts w:ascii="Times New Roman" w:hAnsi="Times New Roman" w:cs="Times New Roman"/>
          <w:b/>
          <w:bCs/>
          <w:u w:val="single"/>
        </w:rPr>
        <w:t>Attendance Note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Date of Attendance:</w:t>
      </w:r>
      <w:r w:rsidR="00F213B0" w:rsidRPr="00F213B0">
        <w:rPr>
          <w:rFonts w:ascii="Times New Roman" w:hAnsi="Times New Roman" w:cs="Times New Roman"/>
        </w:rPr>
        <w:t xml:space="preserve"> </w:t>
      </w:r>
      <w:r w:rsidR="00F213B0" w:rsidRPr="00C108D1">
        <w:rPr>
          <w:rFonts w:ascii="Times New Roman" w:hAnsi="Times New Roman" w:cs="Times New Roman"/>
        </w:rPr>
        <w:t>30</w:t>
      </w:r>
      <w:r w:rsidR="00F213B0" w:rsidRPr="00C108D1">
        <w:rPr>
          <w:rFonts w:ascii="Times New Roman" w:hAnsi="Times New Roman" w:cs="Times New Roman"/>
          <w:vertAlign w:val="superscript"/>
        </w:rPr>
        <w:t>th</w:t>
      </w:r>
      <w:r w:rsidR="00F213B0" w:rsidRPr="00C108D1">
        <w:rPr>
          <w:rFonts w:ascii="Times New Roman" w:hAnsi="Times New Roman" w:cs="Times New Roman"/>
        </w:rPr>
        <w:t xml:space="preserve"> April 2026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Fee Earner:</w:t>
      </w:r>
      <w:r w:rsidR="00F213B0" w:rsidRPr="00F213B0">
        <w:rPr>
          <w:rFonts w:ascii="Times New Roman" w:hAnsi="Times New Roman" w:cs="Times New Roman"/>
        </w:rPr>
        <w:t xml:space="preserve"> Jade Brown (Trainee Solicitor)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Nature of Attendance:</w:t>
      </w:r>
      <w:r w:rsidR="00F213B0" w:rsidRPr="00F213B0">
        <w:rPr>
          <w:rFonts w:ascii="Times New Roman" w:hAnsi="Times New Roman" w:cs="Times New Roman"/>
        </w:rPr>
        <w:t xml:space="preserve"> Initial Client Interview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Time Spent:</w:t>
      </w:r>
      <w:r w:rsidR="00F213B0" w:rsidRPr="00F213B0">
        <w:rPr>
          <w:rFonts w:ascii="Times New Roman" w:hAnsi="Times New Roman" w:cs="Times New Roman"/>
        </w:rPr>
        <w:t xml:space="preserve"> 20 minutes</w:t>
      </w:r>
    </w:p>
    <w:p w14:paraId="39C57EDC" w14:textId="77777777" w:rsidR="00F213B0" w:rsidRPr="00C108D1" w:rsidRDefault="00F213B0" w:rsidP="00F213B0">
      <w:pPr>
        <w:rPr>
          <w:rFonts w:ascii="Times New Roman" w:hAnsi="Times New Roman" w:cs="Times New Roman"/>
        </w:rPr>
      </w:pPr>
    </w:p>
    <w:p w14:paraId="4C5C4881" w14:textId="4F98F395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CLIENT DETAILS</w:t>
      </w:r>
    </w:p>
    <w:p w14:paraId="0B565F2C" w14:textId="762B9F35" w:rsidR="00F213B0" w:rsidRPr="00C108D1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Name:</w:t>
      </w:r>
      <w:r w:rsidRPr="00F213B0">
        <w:rPr>
          <w:rFonts w:ascii="Times New Roman" w:hAnsi="Times New Roman" w:cs="Times New Roman"/>
        </w:rPr>
        <w:t xml:space="preserve"> </w:t>
      </w:r>
      <w:r w:rsidRPr="00C108D1">
        <w:rPr>
          <w:rFonts w:ascii="Times New Roman" w:hAnsi="Times New Roman" w:cs="Times New Roman"/>
        </w:rPr>
        <w:t xml:space="preserve">Mr </w:t>
      </w:r>
      <w:r w:rsidRPr="00F213B0">
        <w:rPr>
          <w:rFonts w:ascii="Times New Roman" w:hAnsi="Times New Roman" w:cs="Times New Roman"/>
        </w:rPr>
        <w:t>Ron Roland</w:t>
      </w:r>
    </w:p>
    <w:p w14:paraId="6ACDD15D" w14:textId="77777777" w:rsidR="00DE193D" w:rsidRPr="00C108D1" w:rsidRDefault="00DE193D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Mr Roland is the brother of the deceased, Dawn Evans. He is retired and intends to administer the estate personally </w:t>
      </w:r>
      <w:r w:rsidRPr="00C108D1">
        <w:rPr>
          <w:rFonts w:ascii="Times New Roman" w:hAnsi="Times New Roman" w:cs="Times New Roman"/>
        </w:rPr>
        <w:t>to</w:t>
      </w:r>
      <w:r w:rsidRPr="00F213B0">
        <w:rPr>
          <w:rFonts w:ascii="Times New Roman" w:hAnsi="Times New Roman" w:cs="Times New Roman"/>
        </w:rPr>
        <w:t xml:space="preserve"> minimise </w:t>
      </w:r>
      <w:r w:rsidRPr="00C108D1">
        <w:rPr>
          <w:rFonts w:ascii="Times New Roman" w:hAnsi="Times New Roman" w:cs="Times New Roman"/>
        </w:rPr>
        <w:t>costs but</w:t>
      </w:r>
      <w:r w:rsidRPr="00F213B0">
        <w:rPr>
          <w:rFonts w:ascii="Times New Roman" w:hAnsi="Times New Roman" w:cs="Times New Roman"/>
        </w:rPr>
        <w:t xml:space="preserve"> requires initial legal advice regarding the administration of the estate.</w:t>
      </w:r>
      <w:r w:rsidR="00F213B0" w:rsidRPr="00F213B0">
        <w:rPr>
          <w:rFonts w:ascii="Times New Roman" w:hAnsi="Times New Roman" w:cs="Times New Roman"/>
        </w:rPr>
        <w:br/>
      </w:r>
    </w:p>
    <w:p w14:paraId="7604BF02" w14:textId="22B3E7BC" w:rsidR="00F213B0" w:rsidRPr="00F213B0" w:rsidRDefault="00F213B0" w:rsidP="00F213B0">
      <w:pPr>
        <w:rPr>
          <w:rFonts w:ascii="Times New Roman" w:hAnsi="Times New Roman" w:cs="Times New Roman"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BACKGROUND</w:t>
      </w:r>
    </w:p>
    <w:p w14:paraId="2F20AFDB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Dawn Evans (“the Deceased”) died on 1 April 2026.</w:t>
      </w:r>
    </w:p>
    <w:p w14:paraId="14072F6A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i/>
          <w:iCs/>
        </w:rPr>
        <w:t>It is noted that the firm’s initial instructions record the date of death as 1 March 2026. This discrepancy will require clarification.</w:t>
      </w:r>
    </w:p>
    <w:p w14:paraId="72B2BA97" w14:textId="0E864079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Mr Roland registered the death and </w:t>
      </w:r>
      <w:r w:rsidR="00DE193D" w:rsidRPr="00C108D1">
        <w:rPr>
          <w:rFonts w:ascii="Times New Roman" w:hAnsi="Times New Roman" w:cs="Times New Roman"/>
        </w:rPr>
        <w:t xml:space="preserve">has </w:t>
      </w:r>
      <w:r w:rsidRPr="00F213B0">
        <w:rPr>
          <w:rFonts w:ascii="Times New Roman" w:hAnsi="Times New Roman" w:cs="Times New Roman"/>
        </w:rPr>
        <w:t>obtained three death certificates, which he paid for personally.</w:t>
      </w:r>
    </w:p>
    <w:p w14:paraId="4DAD1ED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was previously married to Colin Evans, however the marriage ended in divorce in 2011.</w:t>
      </w:r>
    </w:p>
    <w:p w14:paraId="05847B1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had one child only, Paul Evans (aged 45), who is married to Helen. They have two children:</w:t>
      </w:r>
    </w:p>
    <w:p w14:paraId="4673E80B" w14:textId="49BF9612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Gail Evans (aged 19)</w:t>
      </w:r>
    </w:p>
    <w:p w14:paraId="6799C609" w14:textId="55ED0E33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 (aged 16) </w:t>
      </w:r>
    </w:p>
    <w:p w14:paraId="114F318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Deceased’s siblings are:</w:t>
      </w:r>
    </w:p>
    <w:p w14:paraId="262B8486" w14:textId="69016875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Ron Roland (aged 65), married to Elena Roland, with one son, John Roland (aged 38)</w:t>
      </w:r>
    </w:p>
    <w:p w14:paraId="6E87CDE9" w14:textId="761131D6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Carys Knight (aged 75), the Deceased’s twin sister, who is widowed</w:t>
      </w:r>
    </w:p>
    <w:p w14:paraId="6AF35D8D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Carys Knight has two children:</w:t>
      </w:r>
    </w:p>
    <w:p w14:paraId="1558D872" w14:textId="50461298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Fiona Knight (aged 36) </w:t>
      </w:r>
    </w:p>
    <w:p w14:paraId="629AF787" w14:textId="38A40FA5" w:rsidR="00DE193D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 (aged 36), who survived the Deceased but died shortly thereafter, leaving a widow, Maureen, </w:t>
      </w:r>
      <w:r w:rsidR="00B84222">
        <w:rPr>
          <w:rFonts w:ascii="Times New Roman" w:hAnsi="Times New Roman" w:cs="Times New Roman"/>
        </w:rPr>
        <w:t>and</w:t>
      </w:r>
      <w:r w:rsidR="00DE193D" w:rsidRPr="00C108D1">
        <w:rPr>
          <w:rFonts w:ascii="Times New Roman" w:hAnsi="Times New Roman" w:cs="Times New Roman"/>
        </w:rPr>
        <w:t xml:space="preserve"> no children. </w:t>
      </w:r>
    </w:p>
    <w:p w14:paraId="62A130F4" w14:textId="3A016560" w:rsidR="00F213B0" w:rsidRPr="00C108D1" w:rsidRDefault="00F213B0" w:rsidP="00DE193D">
      <w:pPr>
        <w:rPr>
          <w:rFonts w:ascii="Times New Roman" w:hAnsi="Times New Roman" w:cs="Times New Roman"/>
          <w:u w:val="single"/>
        </w:rPr>
      </w:pPr>
      <w:r w:rsidRPr="00C108D1">
        <w:rPr>
          <w:rFonts w:ascii="Times New Roman" w:hAnsi="Times New Roman" w:cs="Times New Roman"/>
          <w:b/>
          <w:bCs/>
          <w:u w:val="single"/>
        </w:rPr>
        <w:t>WILL AND DOCUMENTATION</w:t>
      </w:r>
    </w:p>
    <w:p w14:paraId="5CDFF45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executed a will dated 12 June 2004.</w:t>
      </w:r>
    </w:p>
    <w:p w14:paraId="16AD25B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lastRenderedPageBreak/>
        <w:t>Mr Roland confirmed that:</w:t>
      </w:r>
    </w:p>
    <w:p w14:paraId="0B8D9ABB" w14:textId="184C8918" w:rsidR="00F213B0" w:rsidRPr="00C108D1" w:rsidRDefault="00DE193D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He has </w:t>
      </w:r>
      <w:r w:rsidR="00F213B0" w:rsidRPr="00C108D1">
        <w:rPr>
          <w:rFonts w:ascii="Times New Roman" w:hAnsi="Times New Roman" w:cs="Times New Roman"/>
        </w:rPr>
        <w:t xml:space="preserve">located </w:t>
      </w:r>
      <w:r w:rsidRPr="00C108D1">
        <w:rPr>
          <w:rFonts w:ascii="Times New Roman" w:hAnsi="Times New Roman" w:cs="Times New Roman"/>
        </w:rPr>
        <w:t xml:space="preserve">the original will </w:t>
      </w:r>
      <w:r w:rsidR="00F213B0" w:rsidRPr="00C108D1">
        <w:rPr>
          <w:rFonts w:ascii="Times New Roman" w:hAnsi="Times New Roman" w:cs="Times New Roman"/>
        </w:rPr>
        <w:t xml:space="preserve">at the Deceased’s property </w:t>
      </w:r>
    </w:p>
    <w:p w14:paraId="5275ADF5" w14:textId="2013ACB3" w:rsidR="00F213B0" w:rsidRPr="00C108D1" w:rsidRDefault="00DE193D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N</w:t>
      </w:r>
      <w:r w:rsidR="00F213B0" w:rsidRPr="00C108D1">
        <w:rPr>
          <w:rFonts w:ascii="Times New Roman" w:hAnsi="Times New Roman" w:cs="Times New Roman"/>
        </w:rPr>
        <w:t xml:space="preserve">o subsequent will has been made </w:t>
      </w:r>
    </w:p>
    <w:p w14:paraId="2634B93D" w14:textId="798FB1A7" w:rsidR="003E4E75" w:rsidRPr="003E4E75" w:rsidRDefault="003E4E75" w:rsidP="00F213B0">
      <w:pPr>
        <w:rPr>
          <w:rFonts w:ascii="Times New Roman" w:hAnsi="Times New Roman" w:cs="Times New Roman"/>
          <w:i/>
          <w:iCs/>
        </w:rPr>
      </w:pPr>
      <w:r w:rsidRPr="003E4E75">
        <w:rPr>
          <w:rFonts w:ascii="Times New Roman" w:hAnsi="Times New Roman" w:cs="Times New Roman"/>
        </w:rPr>
        <w:t xml:space="preserve">No evidence was identified of any Lasting Power of Attorney having been executed. It is noted that any such power would cease upon the death of the donor pursuant to the </w:t>
      </w:r>
      <w:r w:rsidRPr="003E4E75">
        <w:rPr>
          <w:rFonts w:ascii="Times New Roman" w:hAnsi="Times New Roman" w:cs="Times New Roman"/>
          <w:i/>
          <w:iCs/>
        </w:rPr>
        <w:t>Mental Capacity Act 2005.</w:t>
      </w:r>
    </w:p>
    <w:p w14:paraId="0411438D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EXECUTORS</w:t>
      </w:r>
    </w:p>
    <w:p w14:paraId="255918F8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will appoints the following executors:</w:t>
      </w:r>
    </w:p>
    <w:p w14:paraId="661FA407" w14:textId="2A57A24E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Colin Evans </w:t>
      </w:r>
    </w:p>
    <w:p w14:paraId="66E49AC0" w14:textId="26CDFF7C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Ron Roland </w:t>
      </w:r>
    </w:p>
    <w:p w14:paraId="6B119B67" w14:textId="2D6E4EEF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Carys Knight </w:t>
      </w:r>
    </w:p>
    <w:p w14:paraId="1D83AE97" w14:textId="512E2398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Due to the divorce between the Deceased and Colin Evans, the effect of </w:t>
      </w:r>
      <w:r w:rsidR="00127BA0">
        <w:rPr>
          <w:rFonts w:ascii="Times New Roman" w:hAnsi="Times New Roman" w:cs="Times New Roman"/>
        </w:rPr>
        <w:t xml:space="preserve">section 18a of the </w:t>
      </w:r>
      <w:r w:rsidRPr="00F213B0">
        <w:rPr>
          <w:rFonts w:ascii="Times New Roman" w:hAnsi="Times New Roman" w:cs="Times New Roman"/>
          <w:i/>
          <w:iCs/>
        </w:rPr>
        <w:t>Wills Act 1837</w:t>
      </w:r>
      <w:r w:rsidR="00127BA0">
        <w:rPr>
          <w:rFonts w:ascii="Times New Roman" w:hAnsi="Times New Roman" w:cs="Times New Roman"/>
          <w:i/>
          <w:iCs/>
        </w:rPr>
        <w:t xml:space="preserve"> </w:t>
      </w:r>
      <w:r w:rsidR="00127BA0" w:rsidRPr="00127BA0">
        <w:rPr>
          <w:rFonts w:ascii="Times New Roman" w:hAnsi="Times New Roman" w:cs="Times New Roman"/>
          <w:i/>
          <w:iCs/>
        </w:rPr>
        <w:t>is</w:t>
      </w:r>
      <w:r w:rsidRPr="00F213B0">
        <w:rPr>
          <w:rFonts w:ascii="Times New Roman" w:hAnsi="Times New Roman" w:cs="Times New Roman"/>
        </w:rPr>
        <w:t xml:space="preserve"> that Colin Evans is treated as having predeceased the Deceased for the purposes of the will.</w:t>
      </w:r>
    </w:p>
    <w:p w14:paraId="6370B86E" w14:textId="77777777" w:rsidR="00E216F5" w:rsidRDefault="00E216F5" w:rsidP="00F213B0">
      <w:pPr>
        <w:rPr>
          <w:rFonts w:ascii="Times New Roman" w:hAnsi="Times New Roman" w:cs="Times New Roman"/>
        </w:rPr>
      </w:pPr>
      <w:r w:rsidRPr="00E216F5">
        <w:rPr>
          <w:rFonts w:ascii="Times New Roman" w:hAnsi="Times New Roman" w:cs="Times New Roman"/>
        </w:rPr>
        <w:t xml:space="preserve">Accordingly, Colin Evans cannot act as executor. Mr Roland may therefore act as sole executor. As personal representative, he will be responsible for administering the estate in accordance with the </w:t>
      </w:r>
      <w:r w:rsidRPr="00E216F5">
        <w:rPr>
          <w:rFonts w:ascii="Times New Roman" w:hAnsi="Times New Roman" w:cs="Times New Roman"/>
          <w:i/>
          <w:iCs/>
        </w:rPr>
        <w:t>Administration of Estates Act 1925</w:t>
      </w:r>
      <w:r w:rsidRPr="00E216F5">
        <w:rPr>
          <w:rFonts w:ascii="Times New Roman" w:hAnsi="Times New Roman" w:cs="Times New Roman"/>
        </w:rPr>
        <w:t>.</w:t>
      </w:r>
    </w:p>
    <w:p w14:paraId="6AC7F5FB" w14:textId="07FBD6EB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advised that Carys Knight does not wish to act due to personal circumstances</w:t>
      </w:r>
      <w:r w:rsidR="00DE193D" w:rsidRPr="00C108D1">
        <w:rPr>
          <w:rFonts w:ascii="Times New Roman" w:hAnsi="Times New Roman" w:cs="Times New Roman"/>
        </w:rPr>
        <w:t xml:space="preserve"> and the recent passing of her son Jack.</w:t>
      </w:r>
    </w:p>
    <w:p w14:paraId="14348B3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It was therefore advised that Mr Roland may act as sole executor.</w:t>
      </w:r>
    </w:p>
    <w:p w14:paraId="6089FB77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ESTATE ASSETS AND LIABILITIES</w:t>
      </w:r>
    </w:p>
    <w:p w14:paraId="2880E185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Assets</w:t>
      </w:r>
    </w:p>
    <w:p w14:paraId="73586442" w14:textId="23E85BCD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Property at 99 Castle Street – approx. £250,000 (no mortgage) </w:t>
      </w:r>
    </w:p>
    <w:p w14:paraId="210B39FB" w14:textId="0CC0D9DE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NatWest current account – approx. £3,000 </w:t>
      </w:r>
    </w:p>
    <w:p w14:paraId="46BC0B5B" w14:textId="42EBE479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HSBC savings account – approx. £10,000 </w:t>
      </w:r>
    </w:p>
    <w:p w14:paraId="370C6C3D" w14:textId="12456C44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Santander savings account – approx. £5,000 </w:t>
      </w:r>
    </w:p>
    <w:p w14:paraId="72A13341" w14:textId="7ECF3ED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Life insurance policy – £10,000 payable to the estate</w:t>
      </w:r>
      <w:r w:rsidR="00DE193D" w:rsidRPr="00C108D1">
        <w:rPr>
          <w:rFonts w:ascii="Times New Roman" w:hAnsi="Times New Roman" w:cs="Times New Roman"/>
        </w:rPr>
        <w:t>/personal representatives</w:t>
      </w:r>
      <w:r w:rsidRPr="00C108D1">
        <w:rPr>
          <w:rFonts w:ascii="Times New Roman" w:hAnsi="Times New Roman" w:cs="Times New Roman"/>
        </w:rPr>
        <w:t xml:space="preserve"> </w:t>
      </w:r>
    </w:p>
    <w:p w14:paraId="2D382F50" w14:textId="4CD4A3FD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Personal chattels – approx. £2,000 </w:t>
      </w:r>
    </w:p>
    <w:p w14:paraId="5F7BDCB6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Liabilities</w:t>
      </w:r>
    </w:p>
    <w:p w14:paraId="2DCF2B5A" w14:textId="23BDADB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Funeral expenses – £5,100, paid by Mr Roland </w:t>
      </w:r>
    </w:p>
    <w:p w14:paraId="7FBEF17C" w14:textId="2299E25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Minor credit card liability anticipated </w:t>
      </w:r>
    </w:p>
    <w:p w14:paraId="5B43216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the Deceased had made no substantial lifetime gifts.</w:t>
      </w:r>
    </w:p>
    <w:p w14:paraId="6E5663BC" w14:textId="77777777" w:rsidR="00B84222" w:rsidRDefault="00B84222" w:rsidP="00F213B0">
      <w:pPr>
        <w:rPr>
          <w:rFonts w:ascii="Times New Roman" w:hAnsi="Times New Roman" w:cs="Times New Roman"/>
        </w:rPr>
      </w:pPr>
    </w:p>
    <w:p w14:paraId="1E8D2454" w14:textId="306D5B5A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DISTRIBUTION OF THE ESTATE</w:t>
      </w:r>
    </w:p>
    <w:p w14:paraId="27B7749F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lastRenderedPageBreak/>
        <w:t>Specific Gifts</w:t>
      </w:r>
    </w:p>
    <w:p w14:paraId="4401C3E4" w14:textId="7325AAB8" w:rsidR="00F213B0" w:rsidRPr="00C108D1" w:rsidRDefault="00F213B0" w:rsidP="0028799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>Carriage Clock (to Paul Evans)</w:t>
      </w:r>
    </w:p>
    <w:p w14:paraId="12C4CA49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carriage clock had been stolen prior to the Deceased’s death.</w:t>
      </w:r>
    </w:p>
    <w:p w14:paraId="22911ECC" w14:textId="2C87DB64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This gift therefore fails due to</w:t>
      </w:r>
      <w:r w:rsidR="00B84222">
        <w:rPr>
          <w:rFonts w:ascii="Times New Roman" w:hAnsi="Times New Roman" w:cs="Times New Roman"/>
        </w:rPr>
        <w:t xml:space="preserve"> </w:t>
      </w:r>
      <w:r w:rsidRPr="00F213B0">
        <w:rPr>
          <w:rFonts w:ascii="Times New Roman" w:hAnsi="Times New Roman" w:cs="Times New Roman"/>
        </w:rPr>
        <w:t xml:space="preserve">ademption, as the subject matter of the gift was no longer part of the estate at the date of death </w:t>
      </w:r>
      <w:r w:rsidR="008077F0" w:rsidRPr="008077F0">
        <w:rPr>
          <w:rFonts w:ascii="Times New Roman" w:hAnsi="Times New Roman" w:cs="Times New Roman"/>
        </w:rPr>
        <w:t>(Sawyer and Spero, 2015, p.183).</w:t>
      </w:r>
    </w:p>
    <w:p w14:paraId="146B6EE7" w14:textId="1210EBC9" w:rsidR="00F213B0" w:rsidRPr="00C108D1" w:rsidRDefault="00F213B0" w:rsidP="0028799B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>£500 to Gail and Seren Evans</w:t>
      </w:r>
    </w:p>
    <w:p w14:paraId="788A44B1" w14:textId="6C4D302F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Gail Evans (19) is entitled to receive her gift immediately </w:t>
      </w:r>
    </w:p>
    <w:p w14:paraId="6B7A4404" w14:textId="1DE37794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 (16), being a minor, cannot take legal title </w:t>
      </w:r>
    </w:p>
    <w:p w14:paraId="56310117" w14:textId="491328C5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Accordingly, Seren’s gift will be held </w:t>
      </w:r>
      <w:r w:rsidR="00B84222" w:rsidRPr="00B84222">
        <w:rPr>
          <w:rFonts w:ascii="Times New Roman" w:hAnsi="Times New Roman" w:cs="Times New Roman"/>
        </w:rPr>
        <w:t>on the statutory trusts for minors by the personal representatives</w:t>
      </w:r>
      <w:r w:rsidR="00B84222" w:rsidRPr="00F213B0">
        <w:rPr>
          <w:rFonts w:ascii="Times New Roman" w:hAnsi="Times New Roman" w:cs="Times New Roman"/>
        </w:rPr>
        <w:t xml:space="preserve"> until</w:t>
      </w:r>
      <w:r w:rsidRPr="00F213B0">
        <w:rPr>
          <w:rFonts w:ascii="Times New Roman" w:hAnsi="Times New Roman" w:cs="Times New Roman"/>
        </w:rPr>
        <w:t xml:space="preserve"> she reaches the age of 18, pursuant to </w:t>
      </w:r>
      <w:r w:rsidR="003E4E75">
        <w:rPr>
          <w:rFonts w:ascii="Times New Roman" w:hAnsi="Times New Roman" w:cs="Times New Roman"/>
          <w:i/>
          <w:iCs/>
        </w:rPr>
        <w:t>T</w:t>
      </w:r>
      <w:r w:rsidRPr="003E4E75">
        <w:rPr>
          <w:rFonts w:ascii="Times New Roman" w:hAnsi="Times New Roman" w:cs="Times New Roman"/>
          <w:i/>
          <w:iCs/>
        </w:rPr>
        <w:t>he</w:t>
      </w:r>
      <w:r w:rsidRPr="00F213B0">
        <w:rPr>
          <w:rFonts w:ascii="Times New Roman" w:hAnsi="Times New Roman" w:cs="Times New Roman"/>
        </w:rPr>
        <w:t xml:space="preserve"> </w:t>
      </w:r>
      <w:r w:rsidR="00D54D82" w:rsidRPr="00D54D82">
        <w:rPr>
          <w:rFonts w:ascii="Times New Roman" w:hAnsi="Times New Roman" w:cs="Times New Roman"/>
          <w:i/>
          <w:iCs/>
        </w:rPr>
        <w:t>Trustee Act 1925</w:t>
      </w:r>
      <w:r w:rsidR="00D54D82">
        <w:rPr>
          <w:rFonts w:ascii="Times New Roman" w:hAnsi="Times New Roman" w:cs="Times New Roman"/>
        </w:rPr>
        <w:t>, (Nuttall, 2023).</w:t>
      </w:r>
    </w:p>
    <w:p w14:paraId="3103A586" w14:textId="2BA694C5" w:rsidR="00F213B0" w:rsidRPr="00C108D1" w:rsidRDefault="00F213B0" w:rsidP="0028799B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 xml:space="preserve"> 500 Shares in ABC plc (to John Roland)</w:t>
      </w:r>
    </w:p>
    <w:p w14:paraId="73F1DB2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had sold the shares prior to death.</w:t>
      </w:r>
    </w:p>
    <w:p w14:paraId="20720A7E" w14:textId="073B801D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This gift therefore fails </w:t>
      </w:r>
      <w:r w:rsidR="00B84222">
        <w:rPr>
          <w:rFonts w:ascii="Times New Roman" w:hAnsi="Times New Roman" w:cs="Times New Roman"/>
        </w:rPr>
        <w:t xml:space="preserve">by reason of </w:t>
      </w:r>
      <w:r w:rsidRPr="00F213B0">
        <w:rPr>
          <w:rFonts w:ascii="Times New Roman" w:hAnsi="Times New Roman" w:cs="Times New Roman"/>
        </w:rPr>
        <w:t>ademption.</w:t>
      </w:r>
    </w:p>
    <w:p w14:paraId="47DB5570" w14:textId="6CF822F5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Residuary Estate</w:t>
      </w:r>
    </w:p>
    <w:p w14:paraId="446981E1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residue of the estate is left to the children of Carys Knight who survive the Deceased and attain the age of 21.</w:t>
      </w:r>
    </w:p>
    <w:p w14:paraId="1EA86690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At the date of death:</w:t>
      </w:r>
    </w:p>
    <w:p w14:paraId="3D736347" w14:textId="431F95B3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Fiona Knight survived the Deceased </w:t>
      </w:r>
    </w:p>
    <w:p w14:paraId="0EB460C8" w14:textId="1739A4E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 also survived the Deceased but died shortly thereafter </w:t>
      </w:r>
    </w:p>
    <w:p w14:paraId="38F17ECC" w14:textId="11943B29" w:rsidR="00F213B0" w:rsidRPr="003E4E75" w:rsidRDefault="00F213B0" w:rsidP="00F213B0">
      <w:pPr>
        <w:rPr>
          <w:rFonts w:ascii="Times New Roman" w:hAnsi="Times New Roman" w:cs="Times New Roman"/>
          <w:color w:val="000000" w:themeColor="text1"/>
        </w:rPr>
      </w:pPr>
      <w:r w:rsidRPr="003E4E75">
        <w:rPr>
          <w:rFonts w:ascii="Times New Roman" w:hAnsi="Times New Roman" w:cs="Times New Roman"/>
          <w:color w:val="000000" w:themeColor="text1"/>
        </w:rPr>
        <w:t>As Jack survived the Deceased, his entitlement vested and therefore his share passes to his estate, rather than failing</w:t>
      </w:r>
      <w:r w:rsidR="003E4E75" w:rsidRPr="003E4E75">
        <w:rPr>
          <w:rFonts w:ascii="Times New Roman" w:hAnsi="Times New Roman" w:cs="Times New Roman"/>
          <w:color w:val="000000" w:themeColor="text1"/>
        </w:rPr>
        <w:t xml:space="preserve"> (Hedlund, 2024).</w:t>
      </w:r>
    </w:p>
    <w:p w14:paraId="239A1D0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Accordingly, the residuary estate will be distributed:</w:t>
      </w:r>
    </w:p>
    <w:p w14:paraId="6A590D07" w14:textId="780C9B9A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50% to Fiona Knight </w:t>
      </w:r>
    </w:p>
    <w:p w14:paraId="7555C42B" w14:textId="73AB9A1C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50% to the estate of Jack Knight </w:t>
      </w:r>
    </w:p>
    <w:p w14:paraId="0B397356" w14:textId="77777777" w:rsidR="0028799B" w:rsidRPr="00C108D1" w:rsidRDefault="0028799B" w:rsidP="00F213B0">
      <w:pPr>
        <w:rPr>
          <w:rFonts w:ascii="Times New Roman" w:hAnsi="Times New Roman" w:cs="Times New Roman"/>
        </w:rPr>
      </w:pPr>
    </w:p>
    <w:p w14:paraId="01E52337" w14:textId="282414AA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INHERITANCE TAX</w:t>
      </w:r>
    </w:p>
    <w:p w14:paraId="4E849C0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estate has an estimated value of approximately £278,000.</w:t>
      </w:r>
    </w:p>
    <w:p w14:paraId="506237A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Under the </w:t>
      </w:r>
      <w:r w:rsidRPr="00F213B0">
        <w:rPr>
          <w:rFonts w:ascii="Times New Roman" w:hAnsi="Times New Roman" w:cs="Times New Roman"/>
          <w:i/>
          <w:iCs/>
        </w:rPr>
        <w:t>Inheritance Tax Act 1984</w:t>
      </w:r>
      <w:r w:rsidRPr="00F213B0">
        <w:rPr>
          <w:rFonts w:ascii="Times New Roman" w:hAnsi="Times New Roman" w:cs="Times New Roman"/>
        </w:rPr>
        <w:t>:</w:t>
      </w:r>
    </w:p>
    <w:p w14:paraId="62FD9EE3" w14:textId="6F90177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The nil rate band is £325,000 </w:t>
      </w:r>
    </w:p>
    <w:p w14:paraId="36C56486" w14:textId="7EFE7758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Inheritance tax is payable at 40% on the value above this threshold </w:t>
      </w:r>
    </w:p>
    <w:p w14:paraId="4DAE3E66" w14:textId="77777777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As the value of the estate falls below the nil rate band, it is unlikely that inheritance tax will be payable.</w:t>
      </w:r>
    </w:p>
    <w:p w14:paraId="01138F67" w14:textId="32C992A7" w:rsidR="00B84222" w:rsidRPr="00F213B0" w:rsidRDefault="00B84222" w:rsidP="00F213B0">
      <w:p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lastRenderedPageBreak/>
        <w:t>No spouse exemption applies as the Deceased was divorced</w:t>
      </w:r>
    </w:p>
    <w:p w14:paraId="309CA11A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This is subject to confirmation once full valuations of all assets are obtained.</w:t>
      </w:r>
    </w:p>
    <w:p w14:paraId="03DD3851" w14:textId="67753487" w:rsidR="00F213B0" w:rsidRPr="00F213B0" w:rsidRDefault="00F213B0" w:rsidP="00F213B0">
      <w:pPr>
        <w:rPr>
          <w:rFonts w:ascii="Times New Roman" w:hAnsi="Times New Roman" w:cs="Times New Roman"/>
        </w:rPr>
      </w:pPr>
    </w:p>
    <w:p w14:paraId="58C6350B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PROBATE AND ADMINISTRATION</w:t>
      </w:r>
    </w:p>
    <w:p w14:paraId="46EDDAF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was advised that the administration of the estate will involve:</w:t>
      </w:r>
    </w:p>
    <w:p w14:paraId="2DF6D648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Confirming the full extent and value of the estate </w:t>
      </w:r>
    </w:p>
    <w:p w14:paraId="71874EBC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Completing inheritance tax documentation </w:t>
      </w:r>
    </w:p>
    <w:p w14:paraId="6EE4868B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Applying for a Grant of Probate </w:t>
      </w:r>
    </w:p>
    <w:p w14:paraId="500A7343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Collecting in the estate assets </w:t>
      </w:r>
    </w:p>
    <w:p w14:paraId="3BF4B96A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Paying liabilities and expenses </w:t>
      </w:r>
    </w:p>
    <w:p w14:paraId="3679FCD0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Distributing the estate in accordance with the will </w:t>
      </w:r>
    </w:p>
    <w:p w14:paraId="00E48139" w14:textId="6A5690C1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It was emphasised that the</w:t>
      </w:r>
      <w:r w:rsidR="00B84222" w:rsidRPr="00B84222">
        <w:rPr>
          <w:rFonts w:ascii="Times New Roman" w:hAnsi="Times New Roman" w:cs="Times New Roman"/>
        </w:rPr>
        <w:t xml:space="preserve"> original will</w:t>
      </w:r>
      <w:r w:rsidR="00B84222">
        <w:rPr>
          <w:rFonts w:ascii="Times New Roman" w:hAnsi="Times New Roman" w:cs="Times New Roman"/>
        </w:rPr>
        <w:t xml:space="preserve"> of Dawn Evans</w:t>
      </w:r>
      <w:r w:rsidR="00B84222" w:rsidRPr="00B84222">
        <w:rPr>
          <w:rFonts w:ascii="Times New Roman" w:hAnsi="Times New Roman" w:cs="Times New Roman"/>
        </w:rPr>
        <w:t xml:space="preserve"> be lodged with the Probate Registry</w:t>
      </w:r>
    </w:p>
    <w:p w14:paraId="74979F62" w14:textId="77777777" w:rsidR="00B84222" w:rsidRPr="00B84222" w:rsidRDefault="00B84222" w:rsidP="00B84222">
      <w:pPr>
        <w:rPr>
          <w:rFonts w:ascii="Times New Roman" w:hAnsi="Times New Roman" w:cs="Times New Roman"/>
          <w:b/>
          <w:bCs/>
          <w:u w:val="single"/>
        </w:rPr>
      </w:pPr>
      <w:r w:rsidRPr="00B84222">
        <w:rPr>
          <w:rFonts w:ascii="Times New Roman" w:hAnsi="Times New Roman" w:cs="Times New Roman"/>
          <w:b/>
          <w:bCs/>
          <w:u w:val="single"/>
        </w:rPr>
        <w:t>FURTHER INFORMATION REQUIRED</w:t>
      </w:r>
    </w:p>
    <w:p w14:paraId="77CA567A" w14:textId="28D810B6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Confirmation of the correct date of death </w:t>
      </w:r>
    </w:p>
    <w:p w14:paraId="28648B78" w14:textId="36A4482B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Exact balances of all bank accounts </w:t>
      </w:r>
    </w:p>
    <w:p w14:paraId="34474BE4" w14:textId="35C46448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Confirmation that no additional assets or liabilities exist </w:t>
      </w:r>
    </w:p>
    <w:p w14:paraId="3C13695D" w14:textId="44D869A4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ADVICE GIVEN</w:t>
      </w:r>
    </w:p>
    <w:p w14:paraId="4FBDEA4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was advised that:</w:t>
      </w:r>
    </w:p>
    <w:p w14:paraId="43D1894C" w14:textId="4E818A9D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He may act as sole executor </w:t>
      </w:r>
    </w:p>
    <w:p w14:paraId="588D0AD7" w14:textId="388E4BE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The gifts of the carriage clock and shares fail due to ademption </w:t>
      </w:r>
    </w:p>
    <w:p w14:paraId="35E5B8F7" w14:textId="644C2DF5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Evans’ gift will be held on trust until she reaches 18 </w:t>
      </w:r>
    </w:p>
    <w:p w14:paraId="48F5B3EC" w14:textId="1A594BD8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Knight’s share of the residue passes to his estate </w:t>
      </w:r>
    </w:p>
    <w:p w14:paraId="1504368F" w14:textId="03F28B9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Inheritance tax is unlikely to be payable </w:t>
      </w:r>
    </w:p>
    <w:p w14:paraId="6F9AF2FD" w14:textId="31561215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CLIENT INSTRUCTIONS</w:t>
      </w:r>
    </w:p>
    <w:p w14:paraId="2668C6C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he intends to administer the estate personally.</w:t>
      </w:r>
    </w:p>
    <w:p w14:paraId="1C9E854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He requested that a written letter of advice be sent confirming:</w:t>
      </w:r>
    </w:p>
    <w:p w14:paraId="086CBFFB" w14:textId="31DA3AD9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T</w:t>
      </w:r>
      <w:r w:rsidR="00F213B0" w:rsidRPr="00C108D1">
        <w:rPr>
          <w:rFonts w:ascii="Times New Roman" w:hAnsi="Times New Roman" w:cs="Times New Roman"/>
        </w:rPr>
        <w:t xml:space="preserve">he position regarding executors </w:t>
      </w:r>
    </w:p>
    <w:p w14:paraId="4F0DADF7" w14:textId="3D188FA8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T</w:t>
      </w:r>
      <w:r w:rsidR="00F213B0" w:rsidRPr="00C108D1">
        <w:rPr>
          <w:rFonts w:ascii="Times New Roman" w:hAnsi="Times New Roman" w:cs="Times New Roman"/>
        </w:rPr>
        <w:t xml:space="preserve">he distribution of the estate </w:t>
      </w:r>
    </w:p>
    <w:p w14:paraId="5AD7B5E5" w14:textId="68FFA332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W</w:t>
      </w:r>
      <w:r w:rsidR="00F213B0" w:rsidRPr="00C108D1">
        <w:rPr>
          <w:rFonts w:ascii="Times New Roman" w:hAnsi="Times New Roman" w:cs="Times New Roman"/>
        </w:rPr>
        <w:t xml:space="preserve">hether inheritance tax is payable </w:t>
      </w:r>
    </w:p>
    <w:p w14:paraId="1B70F67E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PROPOSED ACTION BY FIRM</w:t>
      </w:r>
    </w:p>
    <w:p w14:paraId="247D8793" w14:textId="2119F26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Draft and issue a letter of advice </w:t>
      </w:r>
    </w:p>
    <w:p w14:paraId="7EC6D802" w14:textId="2229DFB5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Provide further assistance if required </w:t>
      </w:r>
    </w:p>
    <w:p w14:paraId="1E193C05" w14:textId="77777777" w:rsidR="00B84222" w:rsidRDefault="00B84222" w:rsidP="00F213B0">
      <w:pPr>
        <w:rPr>
          <w:rFonts w:ascii="Times New Roman" w:hAnsi="Times New Roman" w:cs="Times New Roman"/>
          <w:b/>
          <w:bCs/>
          <w:u w:val="single"/>
        </w:rPr>
      </w:pPr>
    </w:p>
    <w:p w14:paraId="78E626D9" w14:textId="77777777" w:rsidR="00B84222" w:rsidRDefault="00B84222" w:rsidP="00F213B0">
      <w:pPr>
        <w:rPr>
          <w:rFonts w:ascii="Times New Roman" w:hAnsi="Times New Roman" w:cs="Times New Roman"/>
          <w:b/>
          <w:bCs/>
          <w:u w:val="single"/>
        </w:rPr>
      </w:pPr>
    </w:p>
    <w:p w14:paraId="666C2113" w14:textId="4920583E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PROPOSED ACTION BY CLIENT</w:t>
      </w:r>
    </w:p>
    <w:p w14:paraId="5D3DB210" w14:textId="3EC3A936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Confirm exact balances of accounts </w:t>
      </w:r>
    </w:p>
    <w:p w14:paraId="22E4F9B0" w14:textId="6E90DFF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Provide documentation if required </w:t>
      </w:r>
    </w:p>
    <w:p w14:paraId="454BA1AA" w14:textId="052615E1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Proceed with probate application </w:t>
      </w:r>
    </w:p>
    <w:p w14:paraId="05A04F42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Signed:</w:t>
      </w:r>
      <w:r w:rsidRPr="00F213B0">
        <w:rPr>
          <w:rFonts w:ascii="Times New Roman" w:hAnsi="Times New Roman" w:cs="Times New Roman"/>
        </w:rPr>
        <w:br/>
        <w:t>Jade Brown (Trainee Solicitor)</w:t>
      </w:r>
    </w:p>
    <w:p w14:paraId="720D4A00" w14:textId="6B1E301F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Date:</w:t>
      </w:r>
      <w:r w:rsidRPr="00F213B0">
        <w:rPr>
          <w:rFonts w:ascii="Times New Roman" w:hAnsi="Times New Roman" w:cs="Times New Roman"/>
        </w:rPr>
        <w:t xml:space="preserve"> </w:t>
      </w:r>
      <w:r w:rsidR="0028799B" w:rsidRPr="00C108D1">
        <w:rPr>
          <w:rFonts w:ascii="Times New Roman" w:hAnsi="Times New Roman" w:cs="Times New Roman"/>
        </w:rPr>
        <w:t>30</w:t>
      </w:r>
      <w:r w:rsidR="0028799B" w:rsidRPr="00C108D1">
        <w:rPr>
          <w:rFonts w:ascii="Times New Roman" w:hAnsi="Times New Roman" w:cs="Times New Roman"/>
          <w:vertAlign w:val="superscript"/>
        </w:rPr>
        <w:t>th</w:t>
      </w:r>
      <w:r w:rsidR="0028799B" w:rsidRPr="00C108D1">
        <w:rPr>
          <w:rFonts w:ascii="Times New Roman" w:hAnsi="Times New Roman" w:cs="Times New Roman"/>
        </w:rPr>
        <w:t xml:space="preserve"> of April 2026</w:t>
      </w:r>
    </w:p>
    <w:p w14:paraId="02DCE21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Supervisor:</w:t>
      </w:r>
      <w:r w:rsidRPr="00F213B0">
        <w:rPr>
          <w:rFonts w:ascii="Times New Roman" w:hAnsi="Times New Roman" w:cs="Times New Roman"/>
        </w:rPr>
        <w:t xml:space="preserve"> Ida Matthews</w:t>
      </w:r>
    </w:p>
    <w:p w14:paraId="2C2FCC4D" w14:textId="77777777" w:rsidR="00AE7E21" w:rsidRDefault="00AE7E21">
      <w:pPr>
        <w:rPr>
          <w:rFonts w:ascii="Times New Roman" w:hAnsi="Times New Roman" w:cs="Times New Roman"/>
        </w:rPr>
      </w:pPr>
    </w:p>
    <w:p w14:paraId="298CD96B" w14:textId="72BD302C" w:rsidR="00127BA0" w:rsidRDefault="00127BA0">
      <w:pPr>
        <w:rPr>
          <w:rFonts w:ascii="Times New Roman" w:hAnsi="Times New Roman" w:cs="Times New Roman"/>
          <w:b/>
          <w:bCs/>
          <w:u w:val="single"/>
        </w:rPr>
      </w:pPr>
      <w:r w:rsidRPr="00127BA0">
        <w:rPr>
          <w:rFonts w:ascii="Times New Roman" w:hAnsi="Times New Roman" w:cs="Times New Roman"/>
          <w:b/>
          <w:bCs/>
          <w:u w:val="single"/>
        </w:rPr>
        <w:t xml:space="preserve">References </w:t>
      </w:r>
    </w:p>
    <w:p w14:paraId="5B578833" w14:textId="77777777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Administration of Estates Act 1925,</w:t>
      </w:r>
      <w:r>
        <w:rPr>
          <w:rFonts w:ascii="Times New Roman" w:hAnsi="Times New Roman" w:cs="Times New Roman"/>
        </w:rPr>
        <w:t xml:space="preserve"> c. 23. Available at: </w:t>
      </w:r>
      <w:hyperlink r:id="rId6" w:history="1">
        <w:r w:rsidRPr="00A81920">
          <w:rPr>
            <w:rStyle w:val="Hyperlink"/>
            <w:rFonts w:ascii="Times New Roman" w:hAnsi="Times New Roman" w:cs="Times New Roman"/>
          </w:rPr>
          <w:t>https://www.legislation.gov.uk/ukpga/Geo5/15-16/23/contents</w:t>
        </w:r>
      </w:hyperlink>
      <w:r>
        <w:rPr>
          <w:rFonts w:ascii="Times New Roman" w:hAnsi="Times New Roman" w:cs="Times New Roman"/>
        </w:rPr>
        <w:t xml:space="preserve"> (Accessed: 17 April 2026).</w:t>
      </w:r>
    </w:p>
    <w:p w14:paraId="0DA97053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Hedlund, R. (2024) </w:t>
      </w:r>
      <w:r w:rsidRPr="003E4E75">
        <w:rPr>
          <w:rFonts w:ascii="Times New Roman" w:hAnsi="Times New Roman" w:cs="Times New Roman"/>
          <w:i/>
          <w:iCs/>
        </w:rPr>
        <w:t>The Law of Succession Wills and The Administration of Estates</w:t>
      </w:r>
      <w:r>
        <w:rPr>
          <w:rFonts w:ascii="Times New Roman" w:hAnsi="Times New Roman" w:cs="Times New Roman"/>
        </w:rPr>
        <w:t>. 3</w:t>
      </w:r>
      <w:r w:rsidRPr="003E4E75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Edn. Hall and Stott Publishing Ltd. </w:t>
      </w:r>
    </w:p>
    <w:p w14:paraId="6E04F866" w14:textId="77777777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Inheritance Act 1984</w:t>
      </w:r>
      <w:r>
        <w:rPr>
          <w:rFonts w:ascii="Times New Roman" w:hAnsi="Times New Roman" w:cs="Times New Roman"/>
        </w:rPr>
        <w:t xml:space="preserve">, c. 51. Available at: </w:t>
      </w:r>
      <w:hyperlink r:id="rId7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https://www.legislation.gov.uk/ukpga/1984/51/contents</w:t>
        </w:r>
      </w:hyperlink>
      <w:r>
        <w:rPr>
          <w:rFonts w:ascii="Times New Roman" w:hAnsi="Times New Roman" w:cs="Times New Roman"/>
        </w:rPr>
        <w:t xml:space="preserve"> (Accessed: 30 April 2026).</w:t>
      </w:r>
    </w:p>
    <w:p w14:paraId="28001FE5" w14:textId="77777777" w:rsidR="00157ED4" w:rsidRDefault="00157ED4" w:rsidP="00157ED4">
      <w:pPr>
        <w:rPr>
          <w:rFonts w:ascii="Times New Roman" w:hAnsi="Times New Roman" w:cs="Times New Roman"/>
        </w:rPr>
      </w:pPr>
      <w:r w:rsidRPr="003E4E75">
        <w:rPr>
          <w:rFonts w:ascii="Times New Roman" w:hAnsi="Times New Roman" w:cs="Times New Roman"/>
          <w:i/>
          <w:iCs/>
        </w:rPr>
        <w:t>Mental Capacity Act 2005,</w:t>
      </w:r>
      <w:r>
        <w:rPr>
          <w:rFonts w:ascii="Times New Roman" w:hAnsi="Times New Roman" w:cs="Times New Roman"/>
        </w:rPr>
        <w:t xml:space="preserve"> c. 9. Available at: </w:t>
      </w:r>
      <w:hyperlink r:id="rId8" w:history="1">
        <w:r w:rsidRPr="00A81920">
          <w:rPr>
            <w:rStyle w:val="Hyperlink"/>
            <w:rFonts w:ascii="Times New Roman" w:hAnsi="Times New Roman" w:cs="Times New Roman"/>
          </w:rPr>
          <w:t>https://www.legislation.gov.uk/ukpga/2005/9/part/1/crossheading/lasting-powers-of-attorney</w:t>
        </w:r>
      </w:hyperlink>
      <w:r>
        <w:rPr>
          <w:rFonts w:ascii="Times New Roman" w:hAnsi="Times New Roman" w:cs="Times New Roman"/>
        </w:rPr>
        <w:t xml:space="preserve"> (Accessed: 26 April 2026).</w:t>
      </w:r>
    </w:p>
    <w:p w14:paraId="1A322A3B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Nuttall, R. (2023) What happens if a beneficiary of a will is under 18. Available at: </w:t>
      </w:r>
      <w:hyperlink r:id="rId9" w:history="1">
        <w:r w:rsidRPr="001523D3">
          <w:rPr>
            <w:rStyle w:val="Hyperlink"/>
            <w:rFonts w:ascii="Times New Roman" w:hAnsi="Times New Roman" w:cs="Times New Roman"/>
          </w:rPr>
          <w:t>https://www.thegazette.co.uk/wills-and-probate/content/103941</w:t>
        </w:r>
      </w:hyperlink>
      <w:r>
        <w:rPr>
          <w:rFonts w:ascii="Times New Roman" w:hAnsi="Times New Roman" w:cs="Times New Roman"/>
        </w:rPr>
        <w:t xml:space="preserve"> (Accessed: 30 April 2026). </w:t>
      </w:r>
    </w:p>
    <w:p w14:paraId="00018F96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Sawyer, C. and Spero, M. (2015) </w:t>
      </w:r>
      <w:r w:rsidRPr="008077F0">
        <w:rPr>
          <w:rFonts w:ascii="Times New Roman" w:hAnsi="Times New Roman" w:cs="Times New Roman"/>
          <w:i/>
          <w:iCs/>
        </w:rPr>
        <w:t>Succession, Wills and Probate.</w:t>
      </w:r>
      <w:r>
        <w:rPr>
          <w:rFonts w:ascii="Times New Roman" w:hAnsi="Times New Roman" w:cs="Times New Roman"/>
        </w:rPr>
        <w:t xml:space="preserve"> 3</w:t>
      </w:r>
      <w:r w:rsidRPr="008077F0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Edn. Routledge.</w:t>
      </w:r>
    </w:p>
    <w:p w14:paraId="56EE12BB" w14:textId="77777777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Trustee Act 1925</w:t>
      </w:r>
      <w:r>
        <w:rPr>
          <w:rFonts w:ascii="Times New Roman" w:hAnsi="Times New Roman" w:cs="Times New Roman"/>
        </w:rPr>
        <w:t xml:space="preserve">, c, 19. Available at: </w:t>
      </w:r>
      <w:hyperlink r:id="rId10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https://www.legislation.gov.uk/ukpga/Geo5/15-16/19/contents</w:t>
        </w:r>
      </w:hyperlink>
      <w:r>
        <w:rPr>
          <w:rFonts w:ascii="Times New Roman" w:hAnsi="Times New Roman" w:cs="Times New Roman"/>
        </w:rPr>
        <w:t xml:space="preserve"> (Accessed: 19 April 2026).</w:t>
      </w:r>
    </w:p>
    <w:p w14:paraId="5A081C1B" w14:textId="7A5BDF63" w:rsidR="00127BA0" w:rsidRDefault="00127BA0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Wills Act 1837</w:t>
      </w:r>
      <w:r>
        <w:rPr>
          <w:rFonts w:ascii="Times New Roman" w:hAnsi="Times New Roman" w:cs="Times New Roman"/>
        </w:rPr>
        <w:t xml:space="preserve">, c. 26. Available at: </w:t>
      </w:r>
      <w:hyperlink r:id="rId11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https://www.legislation.gov.uk/ukpga/Will4and1Vict/7/26/section/18A</w:t>
        </w:r>
      </w:hyperlink>
      <w:r>
        <w:rPr>
          <w:rFonts w:ascii="Times New Roman" w:hAnsi="Times New Roman" w:cs="Times New Roman"/>
        </w:rPr>
        <w:t xml:space="preserve"> (Accessed: 17 April 2026).</w:t>
      </w:r>
    </w:p>
    <w:p w14:paraId="371819CD" w14:textId="3F883D7C" w:rsidR="00E216F5" w:rsidRPr="00127BA0" w:rsidRDefault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sectPr w:rsidR="00E216F5" w:rsidRPr="00127BA0" w:rsidSect="00F213B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3B6B"/>
    <w:multiLevelType w:val="multilevel"/>
    <w:tmpl w:val="95BC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A6DD6"/>
    <w:multiLevelType w:val="multilevel"/>
    <w:tmpl w:val="1068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D5C6D"/>
    <w:multiLevelType w:val="multilevel"/>
    <w:tmpl w:val="09A8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7424D"/>
    <w:multiLevelType w:val="multilevel"/>
    <w:tmpl w:val="9002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66F75"/>
    <w:multiLevelType w:val="multilevel"/>
    <w:tmpl w:val="6BB6C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C0706"/>
    <w:multiLevelType w:val="hybridMultilevel"/>
    <w:tmpl w:val="34F28E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73166"/>
    <w:multiLevelType w:val="multilevel"/>
    <w:tmpl w:val="AEA4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2A3470"/>
    <w:multiLevelType w:val="multilevel"/>
    <w:tmpl w:val="DB0E4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872A4B"/>
    <w:multiLevelType w:val="multilevel"/>
    <w:tmpl w:val="8790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F41215"/>
    <w:multiLevelType w:val="multilevel"/>
    <w:tmpl w:val="ADA6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8D0155"/>
    <w:multiLevelType w:val="multilevel"/>
    <w:tmpl w:val="77CA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4718EB"/>
    <w:multiLevelType w:val="multilevel"/>
    <w:tmpl w:val="2474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2C5618"/>
    <w:multiLevelType w:val="multilevel"/>
    <w:tmpl w:val="1CCC4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C6737F"/>
    <w:multiLevelType w:val="multilevel"/>
    <w:tmpl w:val="33B6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C354A"/>
    <w:multiLevelType w:val="multilevel"/>
    <w:tmpl w:val="205C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8567B1"/>
    <w:multiLevelType w:val="multilevel"/>
    <w:tmpl w:val="823C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B710E4"/>
    <w:multiLevelType w:val="hybridMultilevel"/>
    <w:tmpl w:val="3C841B8A"/>
    <w:lvl w:ilvl="0" w:tplc="BF4087C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83F9F"/>
    <w:multiLevelType w:val="multilevel"/>
    <w:tmpl w:val="0B98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C9636F"/>
    <w:multiLevelType w:val="multilevel"/>
    <w:tmpl w:val="DB480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E3B00"/>
    <w:multiLevelType w:val="multilevel"/>
    <w:tmpl w:val="41E8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1F75E3"/>
    <w:multiLevelType w:val="multilevel"/>
    <w:tmpl w:val="B510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21224E"/>
    <w:multiLevelType w:val="hybridMultilevel"/>
    <w:tmpl w:val="8C8087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40244"/>
    <w:multiLevelType w:val="multilevel"/>
    <w:tmpl w:val="1B8AD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CC6F84"/>
    <w:multiLevelType w:val="multilevel"/>
    <w:tmpl w:val="B12E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094E6E"/>
    <w:multiLevelType w:val="multilevel"/>
    <w:tmpl w:val="0C7A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1F4A60"/>
    <w:multiLevelType w:val="multilevel"/>
    <w:tmpl w:val="1900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2B23A7"/>
    <w:multiLevelType w:val="multilevel"/>
    <w:tmpl w:val="F428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350CCF"/>
    <w:multiLevelType w:val="multilevel"/>
    <w:tmpl w:val="354E6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BD0061"/>
    <w:multiLevelType w:val="multilevel"/>
    <w:tmpl w:val="77CE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9264D3"/>
    <w:multiLevelType w:val="multilevel"/>
    <w:tmpl w:val="5CCA4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B028C8"/>
    <w:multiLevelType w:val="multilevel"/>
    <w:tmpl w:val="7B9E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663D04"/>
    <w:multiLevelType w:val="multilevel"/>
    <w:tmpl w:val="EBC45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CD30B7"/>
    <w:multiLevelType w:val="multilevel"/>
    <w:tmpl w:val="3F36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CF19F5"/>
    <w:multiLevelType w:val="multilevel"/>
    <w:tmpl w:val="1DF6D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146BBA"/>
    <w:multiLevelType w:val="multilevel"/>
    <w:tmpl w:val="0D28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8943057">
    <w:abstractNumId w:val="6"/>
  </w:num>
  <w:num w:numId="2" w16cid:durableId="320155439">
    <w:abstractNumId w:val="9"/>
  </w:num>
  <w:num w:numId="3" w16cid:durableId="1388996720">
    <w:abstractNumId w:val="18"/>
  </w:num>
  <w:num w:numId="4" w16cid:durableId="944269131">
    <w:abstractNumId w:val="17"/>
  </w:num>
  <w:num w:numId="5" w16cid:durableId="2061249699">
    <w:abstractNumId w:val="34"/>
  </w:num>
  <w:num w:numId="6" w16cid:durableId="1397969460">
    <w:abstractNumId w:val="10"/>
  </w:num>
  <w:num w:numId="7" w16cid:durableId="168301516">
    <w:abstractNumId w:val="28"/>
  </w:num>
  <w:num w:numId="8" w16cid:durableId="1737317975">
    <w:abstractNumId w:val="12"/>
  </w:num>
  <w:num w:numId="9" w16cid:durableId="425033168">
    <w:abstractNumId w:val="4"/>
  </w:num>
  <w:num w:numId="10" w16cid:durableId="1055662738">
    <w:abstractNumId w:val="32"/>
  </w:num>
  <w:num w:numId="11" w16cid:durableId="1231773017">
    <w:abstractNumId w:val="33"/>
  </w:num>
  <w:num w:numId="12" w16cid:durableId="1835993167">
    <w:abstractNumId w:val="30"/>
  </w:num>
  <w:num w:numId="13" w16cid:durableId="2138836934">
    <w:abstractNumId w:val="26"/>
  </w:num>
  <w:num w:numId="14" w16cid:durableId="333841151">
    <w:abstractNumId w:val="23"/>
  </w:num>
  <w:num w:numId="15" w16cid:durableId="1875999202">
    <w:abstractNumId w:val="8"/>
  </w:num>
  <w:num w:numId="16" w16cid:durableId="1872525742">
    <w:abstractNumId w:val="24"/>
  </w:num>
  <w:num w:numId="17" w16cid:durableId="696009944">
    <w:abstractNumId w:val="15"/>
  </w:num>
  <w:num w:numId="18" w16cid:durableId="1959871534">
    <w:abstractNumId w:val="20"/>
  </w:num>
  <w:num w:numId="19" w16cid:durableId="506602019">
    <w:abstractNumId w:val="31"/>
  </w:num>
  <w:num w:numId="20" w16cid:durableId="1434862910">
    <w:abstractNumId w:val="27"/>
  </w:num>
  <w:num w:numId="21" w16cid:durableId="160856048">
    <w:abstractNumId w:val="11"/>
  </w:num>
  <w:num w:numId="22" w16cid:durableId="102699946">
    <w:abstractNumId w:val="3"/>
  </w:num>
  <w:num w:numId="23" w16cid:durableId="1751393377">
    <w:abstractNumId w:val="1"/>
  </w:num>
  <w:num w:numId="24" w16cid:durableId="573904256">
    <w:abstractNumId w:val="25"/>
  </w:num>
  <w:num w:numId="25" w16cid:durableId="1726562308">
    <w:abstractNumId w:val="0"/>
  </w:num>
  <w:num w:numId="26" w16cid:durableId="1573782249">
    <w:abstractNumId w:val="2"/>
  </w:num>
  <w:num w:numId="27" w16cid:durableId="576086704">
    <w:abstractNumId w:val="22"/>
  </w:num>
  <w:num w:numId="28" w16cid:durableId="607928538">
    <w:abstractNumId w:val="19"/>
  </w:num>
  <w:num w:numId="29" w16cid:durableId="471413953">
    <w:abstractNumId w:val="13"/>
  </w:num>
  <w:num w:numId="30" w16cid:durableId="965038935">
    <w:abstractNumId w:val="7"/>
  </w:num>
  <w:num w:numId="31" w16cid:durableId="521280612">
    <w:abstractNumId w:val="29"/>
  </w:num>
  <w:num w:numId="32" w16cid:durableId="1988625273">
    <w:abstractNumId w:val="16"/>
  </w:num>
  <w:num w:numId="33" w16cid:durableId="1731221833">
    <w:abstractNumId w:val="5"/>
  </w:num>
  <w:num w:numId="34" w16cid:durableId="685138371">
    <w:abstractNumId w:val="21"/>
  </w:num>
  <w:num w:numId="35" w16cid:durableId="20073941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21"/>
    <w:rsid w:val="00127BA0"/>
    <w:rsid w:val="00157ED4"/>
    <w:rsid w:val="0028799B"/>
    <w:rsid w:val="00397868"/>
    <w:rsid w:val="003E4E75"/>
    <w:rsid w:val="00485F2C"/>
    <w:rsid w:val="007767E3"/>
    <w:rsid w:val="008077F0"/>
    <w:rsid w:val="00845D3A"/>
    <w:rsid w:val="00AE7E21"/>
    <w:rsid w:val="00B84222"/>
    <w:rsid w:val="00C108D1"/>
    <w:rsid w:val="00D54D82"/>
    <w:rsid w:val="00DE193D"/>
    <w:rsid w:val="00E216F5"/>
    <w:rsid w:val="00F2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32A41"/>
  <w15:chartTrackingRefBased/>
  <w15:docId w15:val="{D8C8C30A-1FB7-495E-AB7F-4835AC46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E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E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E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E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E2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213B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213B0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27B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5/9/part/1/crossheading/lasting-powers-of-attorne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legislation.gov.uk/ukpga/1984/51/contents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egislation.gov.uk/ukpga/Geo5/15-16/23/contents" TargetMode="External"/><Relationship Id="rId11" Type="http://schemas.openxmlformats.org/officeDocument/2006/relationships/hyperlink" Target="https://www.legislation.gov.uk/ukpga/Will4and1Vict/7/26/section/18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egislation.gov.uk/ukpga/Geo5/15-16/19/cont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azette.co.uk/wills-and-probate/content/1039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Assignment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 note</vt:lpstr>
    </vt:vector>
  </TitlesOfParts>
  <Company>pplp</Company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 note</dc:title>
  <dc:subject/>
  <dc:creator>Jade Brown (2319007)</dc:creator>
  <cp:keywords/>
  <dc:description/>
  <cp:lastModifiedBy>Jade Brown (2319007)</cp:lastModifiedBy>
  <cp:revision>2</cp:revision>
  <dcterms:created xsi:type="dcterms:W3CDTF">2026-05-01T13:01:00Z</dcterms:created>
  <dcterms:modified xsi:type="dcterms:W3CDTF">2026-05-01T13:01:00Z</dcterms:modified>
</cp:coreProperties>
</file>