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0DC2C" w14:textId="12036AE2" w:rsidR="00566085" w:rsidRDefault="00F174E6" w:rsidP="003322B3">
      <w:pPr>
        <w:spacing w:after="0" w:line="360" w:lineRule="auto"/>
        <w:jc w:val="center"/>
        <w:rPr>
          <w:rFonts w:ascii="Arial" w:eastAsia="Arial" w:hAnsi="Arial" w:cs="Arial"/>
          <w:b/>
          <w:kern w:val="0"/>
          <w:sz w:val="28"/>
          <w:szCs w:val="28"/>
          <w:lang w:eastAsia="en-IN" w:bidi="bn-IN"/>
          <w14:ligatures w14:val="none"/>
        </w:rPr>
      </w:pPr>
      <w:r>
        <w:rPr>
          <w:noProof/>
        </w:rPr>
        <w:drawing>
          <wp:anchor distT="0" distB="0" distL="114300" distR="114300" simplePos="0" relativeHeight="251659264" behindDoc="0" locked="0" layoutInCell="1" allowOverlap="1" wp14:anchorId="28281574" wp14:editId="55CC579F">
            <wp:simplePos x="0" y="0"/>
            <wp:positionH relativeFrom="column">
              <wp:posOffset>2039620</wp:posOffset>
            </wp:positionH>
            <wp:positionV relativeFrom="paragraph">
              <wp:posOffset>0</wp:posOffset>
            </wp:positionV>
            <wp:extent cx="2491740" cy="1109980"/>
            <wp:effectExtent l="0" t="0" r="0" b="0"/>
            <wp:wrapTopAndBottom/>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myday"/>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1740" cy="1109980"/>
                    </a:xfrm>
                    <a:prstGeom prst="rect">
                      <a:avLst/>
                    </a:prstGeom>
                    <a:noFill/>
                    <a:ln>
                      <a:noFill/>
                    </a:ln>
                  </pic:spPr>
                </pic:pic>
              </a:graphicData>
            </a:graphic>
          </wp:anchor>
        </w:drawing>
      </w:r>
    </w:p>
    <w:p w14:paraId="6273CA48" w14:textId="77777777" w:rsidR="00566085" w:rsidRDefault="00566085" w:rsidP="003322B3">
      <w:pPr>
        <w:spacing w:after="0" w:line="360" w:lineRule="auto"/>
        <w:jc w:val="center"/>
        <w:rPr>
          <w:rFonts w:ascii="Arial" w:eastAsia="Arial" w:hAnsi="Arial" w:cs="Arial"/>
          <w:b/>
          <w:kern w:val="0"/>
          <w:sz w:val="28"/>
          <w:szCs w:val="28"/>
          <w:lang w:eastAsia="en-IN" w:bidi="bn-IN"/>
          <w14:ligatures w14:val="none"/>
        </w:rPr>
      </w:pPr>
    </w:p>
    <w:p w14:paraId="755FC9C9" w14:textId="77777777" w:rsidR="00566085" w:rsidRDefault="00566085" w:rsidP="003322B3">
      <w:pPr>
        <w:spacing w:after="0" w:line="360" w:lineRule="auto"/>
        <w:jc w:val="center"/>
        <w:rPr>
          <w:rFonts w:ascii="Arial" w:eastAsia="Arial" w:hAnsi="Arial" w:cs="Arial"/>
          <w:b/>
          <w:kern w:val="0"/>
          <w:sz w:val="28"/>
          <w:szCs w:val="28"/>
          <w:lang w:eastAsia="en-IN" w:bidi="bn-IN"/>
          <w14:ligatures w14:val="none"/>
        </w:rPr>
      </w:pPr>
    </w:p>
    <w:p w14:paraId="0CD2DEC2" w14:textId="0F240EFD" w:rsidR="003322B3" w:rsidRPr="003322B3" w:rsidRDefault="003322B3" w:rsidP="003322B3">
      <w:pPr>
        <w:spacing w:after="0" w:line="360" w:lineRule="auto"/>
        <w:jc w:val="center"/>
        <w:rPr>
          <w:rFonts w:ascii="Arial" w:eastAsia="Arial" w:hAnsi="Arial" w:cs="Arial"/>
          <w:b/>
          <w:kern w:val="0"/>
          <w:sz w:val="28"/>
          <w:szCs w:val="28"/>
          <w:lang w:eastAsia="en-IN" w:bidi="bn-IN"/>
          <w14:ligatures w14:val="none"/>
        </w:rPr>
      </w:pPr>
      <w:r w:rsidRPr="003322B3">
        <w:rPr>
          <w:rFonts w:ascii="Arial" w:eastAsia="Arial" w:hAnsi="Arial" w:cs="Arial"/>
          <w:b/>
          <w:kern w:val="0"/>
          <w:sz w:val="28"/>
          <w:szCs w:val="28"/>
          <w:lang w:eastAsia="en-IN" w:bidi="bn-IN"/>
          <w14:ligatures w14:val="none"/>
        </w:rPr>
        <w:t>Programme: BA (</w:t>
      </w:r>
      <w:proofErr w:type="spellStart"/>
      <w:r w:rsidRPr="003322B3">
        <w:rPr>
          <w:rFonts w:ascii="Arial" w:eastAsia="Arial" w:hAnsi="Arial" w:cs="Arial"/>
          <w:b/>
          <w:kern w:val="0"/>
          <w:sz w:val="28"/>
          <w:szCs w:val="28"/>
          <w:lang w:eastAsia="en-IN" w:bidi="bn-IN"/>
          <w14:ligatures w14:val="none"/>
        </w:rPr>
        <w:t>Hons</w:t>
      </w:r>
      <w:proofErr w:type="spellEnd"/>
      <w:r w:rsidRPr="003322B3">
        <w:rPr>
          <w:rFonts w:ascii="Arial" w:eastAsia="Arial" w:hAnsi="Arial" w:cs="Arial"/>
          <w:b/>
          <w:kern w:val="0"/>
          <w:sz w:val="28"/>
          <w:szCs w:val="28"/>
          <w:lang w:eastAsia="en-IN" w:bidi="bn-IN"/>
          <w14:ligatures w14:val="none"/>
        </w:rPr>
        <w:t>) International Hotel Management</w:t>
      </w:r>
    </w:p>
    <w:p w14:paraId="10B86E34" w14:textId="77777777" w:rsidR="003322B3" w:rsidRDefault="003322B3" w:rsidP="003322B3">
      <w:pPr>
        <w:spacing w:after="0" w:line="360" w:lineRule="auto"/>
        <w:jc w:val="center"/>
        <w:rPr>
          <w:rFonts w:ascii="Arial" w:eastAsia="Arial" w:hAnsi="Arial" w:cs="Arial"/>
          <w:b/>
          <w:kern w:val="0"/>
          <w:sz w:val="28"/>
          <w:szCs w:val="28"/>
          <w:lang w:eastAsia="en-IN" w:bidi="bn-IN"/>
          <w14:ligatures w14:val="none"/>
        </w:rPr>
      </w:pPr>
      <w:r w:rsidRPr="003322B3">
        <w:rPr>
          <w:rFonts w:ascii="Arial" w:eastAsia="Arial" w:hAnsi="Arial" w:cs="Arial"/>
          <w:b/>
          <w:kern w:val="0"/>
          <w:sz w:val="28"/>
          <w:szCs w:val="28"/>
          <w:lang w:eastAsia="en-IN" w:bidi="bn-IN"/>
          <w14:ligatures w14:val="none"/>
        </w:rPr>
        <w:t>Module: Sustainable Hospitality &amp; Tourism Management</w:t>
      </w:r>
    </w:p>
    <w:p w14:paraId="66E2C871" w14:textId="3323F813" w:rsidR="003F68EF" w:rsidRPr="003322B3" w:rsidRDefault="003F68EF" w:rsidP="003322B3">
      <w:pPr>
        <w:spacing w:after="0" w:line="360" w:lineRule="auto"/>
        <w:jc w:val="center"/>
        <w:rPr>
          <w:rFonts w:ascii="Arial" w:eastAsia="Arial" w:hAnsi="Arial" w:cs="Arial"/>
          <w:b/>
          <w:kern w:val="0"/>
          <w:sz w:val="28"/>
          <w:szCs w:val="28"/>
          <w:lang w:eastAsia="en-IN" w:bidi="bn-IN"/>
          <w14:ligatures w14:val="none"/>
        </w:rPr>
      </w:pPr>
      <w:r>
        <w:rPr>
          <w:rFonts w:ascii="Arial" w:eastAsia="Arial" w:hAnsi="Arial" w:cs="Arial"/>
          <w:b/>
          <w:kern w:val="0"/>
          <w:sz w:val="28"/>
          <w:szCs w:val="28"/>
          <w:lang w:eastAsia="en-IN" w:bidi="bn-IN"/>
          <w14:ligatures w14:val="none"/>
        </w:rPr>
        <w:t xml:space="preserve">Lecturer name: Ruth </w:t>
      </w:r>
      <w:r w:rsidR="00A11E66">
        <w:rPr>
          <w:rFonts w:ascii="Arial" w:eastAsia="Arial" w:hAnsi="Arial" w:cs="Arial"/>
          <w:b/>
          <w:kern w:val="0"/>
          <w:sz w:val="28"/>
          <w:szCs w:val="28"/>
          <w:lang w:eastAsia="en-IN" w:bidi="bn-IN"/>
          <w14:ligatures w14:val="none"/>
        </w:rPr>
        <w:t xml:space="preserve">Taylor </w:t>
      </w:r>
    </w:p>
    <w:p w14:paraId="19ACD9F9" w14:textId="71FB4512" w:rsidR="003322B3" w:rsidRPr="003322B3" w:rsidRDefault="003322B3" w:rsidP="007A41B6">
      <w:pPr>
        <w:spacing w:after="0" w:line="360" w:lineRule="auto"/>
        <w:jc w:val="center"/>
        <w:rPr>
          <w:rFonts w:ascii="Arial" w:eastAsia="Arial" w:hAnsi="Arial" w:cs="Arial"/>
          <w:b/>
          <w:kern w:val="0"/>
          <w:sz w:val="28"/>
          <w:szCs w:val="28"/>
          <w:lang w:eastAsia="en-IN" w:bidi="bn-IN"/>
          <w14:ligatures w14:val="none"/>
        </w:rPr>
      </w:pPr>
      <w:r w:rsidRPr="003322B3">
        <w:rPr>
          <w:rFonts w:ascii="Arial" w:eastAsia="Arial" w:hAnsi="Arial" w:cs="Arial"/>
          <w:b/>
          <w:kern w:val="0"/>
          <w:sz w:val="28"/>
          <w:szCs w:val="28"/>
          <w:lang w:eastAsia="en-IN" w:bidi="bn-IN"/>
          <w14:ligatures w14:val="none"/>
        </w:rPr>
        <w:t>Module Code: BMIH5006</w:t>
      </w:r>
    </w:p>
    <w:p w14:paraId="1732ED17" w14:textId="7C16B27C" w:rsidR="003322B3" w:rsidRPr="003322B3" w:rsidRDefault="003322B3" w:rsidP="003322B3">
      <w:pPr>
        <w:spacing w:after="0" w:line="360" w:lineRule="auto"/>
        <w:ind w:left="2976"/>
        <w:jc w:val="both"/>
        <w:rPr>
          <w:rFonts w:ascii="Arial" w:eastAsia="Arial" w:hAnsi="Arial" w:cs="Arial"/>
          <w:b/>
          <w:kern w:val="0"/>
          <w:sz w:val="28"/>
          <w:szCs w:val="28"/>
          <w:lang w:eastAsia="en-IN" w:bidi="bn-IN"/>
          <w14:ligatures w14:val="none"/>
        </w:rPr>
      </w:pPr>
      <w:r w:rsidRPr="003322B3">
        <w:rPr>
          <w:rFonts w:ascii="Arial" w:eastAsia="Arial" w:hAnsi="Arial" w:cs="Arial"/>
          <w:b/>
          <w:kern w:val="0"/>
          <w:sz w:val="28"/>
          <w:szCs w:val="28"/>
          <w:lang w:eastAsia="en-IN" w:bidi="bn-IN"/>
          <w14:ligatures w14:val="none"/>
        </w:rPr>
        <w:t xml:space="preserve">Student Name: </w:t>
      </w:r>
      <w:r>
        <w:rPr>
          <w:rFonts w:ascii="Arial" w:eastAsia="Arial" w:hAnsi="Arial" w:cs="Arial"/>
          <w:b/>
          <w:kern w:val="0"/>
          <w:sz w:val="28"/>
          <w:szCs w:val="28"/>
          <w:lang w:eastAsia="en-IN" w:bidi="bn-IN"/>
          <w14:ligatures w14:val="none"/>
        </w:rPr>
        <w:t>Daniela Vladoi</w:t>
      </w:r>
    </w:p>
    <w:p w14:paraId="17BE57B6" w14:textId="3861D93B" w:rsidR="003322B3" w:rsidRPr="003322B3" w:rsidRDefault="003322B3" w:rsidP="003322B3">
      <w:pPr>
        <w:spacing w:after="0" w:line="360" w:lineRule="auto"/>
        <w:ind w:left="2976"/>
        <w:jc w:val="both"/>
        <w:rPr>
          <w:rFonts w:ascii="Arial" w:eastAsia="Arial" w:hAnsi="Arial" w:cs="Arial"/>
          <w:b/>
          <w:kern w:val="0"/>
          <w:sz w:val="28"/>
          <w:szCs w:val="28"/>
          <w:lang w:eastAsia="en-IN" w:bidi="bn-IN"/>
          <w14:ligatures w14:val="none"/>
        </w:rPr>
      </w:pPr>
      <w:r w:rsidRPr="003322B3">
        <w:rPr>
          <w:rFonts w:ascii="Arial" w:eastAsia="Arial" w:hAnsi="Arial" w:cs="Arial"/>
          <w:b/>
          <w:kern w:val="0"/>
          <w:sz w:val="28"/>
          <w:szCs w:val="28"/>
          <w:lang w:eastAsia="en-IN" w:bidi="bn-IN"/>
          <w14:ligatures w14:val="none"/>
        </w:rPr>
        <w:t xml:space="preserve">Student ID: </w:t>
      </w:r>
      <w:r>
        <w:rPr>
          <w:rFonts w:ascii="Arial" w:eastAsia="Arial" w:hAnsi="Arial" w:cs="Arial"/>
          <w:b/>
          <w:kern w:val="0"/>
          <w:sz w:val="28"/>
          <w:szCs w:val="28"/>
          <w:lang w:eastAsia="en-IN" w:bidi="bn-IN"/>
          <w14:ligatures w14:val="none"/>
        </w:rPr>
        <w:t>2207143</w:t>
      </w:r>
    </w:p>
    <w:p w14:paraId="7C37981C" w14:textId="77777777" w:rsidR="003322B3" w:rsidRPr="003322B3" w:rsidRDefault="003322B3" w:rsidP="003322B3">
      <w:pPr>
        <w:spacing w:after="0" w:line="360" w:lineRule="auto"/>
        <w:rPr>
          <w:rFonts w:ascii="Arial" w:eastAsia="Arial" w:hAnsi="Arial" w:cs="Arial"/>
          <w:b/>
          <w:kern w:val="0"/>
          <w:sz w:val="26"/>
          <w:szCs w:val="26"/>
          <w:lang w:eastAsia="en-IN" w:bidi="bn-IN"/>
          <w14:ligatures w14:val="none"/>
        </w:rPr>
      </w:pPr>
      <w:r w:rsidRPr="003322B3">
        <w:rPr>
          <w:rFonts w:ascii="Arial" w:eastAsia="Arial" w:hAnsi="Arial" w:cs="Arial"/>
          <w:kern w:val="0"/>
          <w:lang w:eastAsia="en-IN" w:bidi="bn-IN"/>
          <w14:ligatures w14:val="none"/>
        </w:rPr>
        <w:br w:type="page"/>
      </w:r>
    </w:p>
    <w:p w14:paraId="7BD376CF" w14:textId="1FE52C75" w:rsidR="003322B3" w:rsidRPr="003322B3" w:rsidRDefault="003322B3" w:rsidP="003322B3">
      <w:pPr>
        <w:spacing w:after="0" w:line="360" w:lineRule="auto"/>
        <w:jc w:val="both"/>
        <w:rPr>
          <w:rFonts w:ascii="Arial" w:eastAsia="Arial" w:hAnsi="Arial" w:cs="Arial"/>
          <w:b/>
          <w:kern w:val="0"/>
          <w:lang w:eastAsia="en-IN" w:bidi="bn-IN"/>
          <w14:ligatures w14:val="none"/>
        </w:rPr>
      </w:pPr>
    </w:p>
    <w:p w14:paraId="7A81E127" w14:textId="77777777" w:rsidR="003322B3" w:rsidRPr="003322B3" w:rsidRDefault="003322B3" w:rsidP="003322B3">
      <w:pPr>
        <w:spacing w:after="0" w:line="360" w:lineRule="auto"/>
        <w:jc w:val="both"/>
        <w:rPr>
          <w:rFonts w:ascii="Arial" w:eastAsia="Arial" w:hAnsi="Arial" w:cs="Arial"/>
          <w:b/>
          <w:kern w:val="0"/>
          <w:lang w:eastAsia="en-IN" w:bidi="bn-IN"/>
          <w14:ligatures w14:val="none"/>
        </w:rPr>
      </w:pPr>
      <w:r w:rsidRPr="003322B3">
        <w:rPr>
          <w:rFonts w:ascii="Arial" w:eastAsia="Arial" w:hAnsi="Arial" w:cs="Arial"/>
          <w:b/>
          <w:kern w:val="0"/>
          <w:lang w:eastAsia="en-IN" w:bidi="bn-IN"/>
          <w14:ligatures w14:val="none"/>
        </w:rPr>
        <w:t>Introduction</w:t>
      </w:r>
    </w:p>
    <w:p w14:paraId="63A77C0B"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proofErr w:type="spellStart"/>
      <w:r w:rsidRPr="003322B3">
        <w:rPr>
          <w:rFonts w:ascii="Arial" w:eastAsia="Arial" w:hAnsi="Arial" w:cs="Arial"/>
          <w:kern w:val="0"/>
          <w:lang w:eastAsia="en-IN" w:bidi="bn-IN"/>
          <w14:ligatures w14:val="none"/>
        </w:rPr>
        <w:t>Viglia</w:t>
      </w:r>
      <w:proofErr w:type="spellEnd"/>
      <w:r w:rsidRPr="003322B3">
        <w:rPr>
          <w:rFonts w:ascii="Arial" w:eastAsia="Arial" w:hAnsi="Arial" w:cs="Arial"/>
          <w:kern w:val="0"/>
          <w:lang w:eastAsia="en-IN" w:bidi="bn-IN"/>
          <w14:ligatures w14:val="none"/>
        </w:rPr>
        <w:t xml:space="preserve"> and </w:t>
      </w:r>
      <w:proofErr w:type="spellStart"/>
      <w:r w:rsidRPr="003322B3">
        <w:rPr>
          <w:rFonts w:ascii="Arial" w:eastAsia="Arial" w:hAnsi="Arial" w:cs="Arial"/>
          <w:kern w:val="0"/>
          <w:lang w:eastAsia="en-IN" w:bidi="bn-IN"/>
          <w14:ligatures w14:val="none"/>
        </w:rPr>
        <w:t>Dolnicar</w:t>
      </w:r>
      <w:proofErr w:type="spellEnd"/>
      <w:r w:rsidRPr="003322B3">
        <w:rPr>
          <w:rFonts w:ascii="Arial" w:eastAsia="Arial" w:hAnsi="Arial" w:cs="Arial"/>
          <w:kern w:val="0"/>
          <w:lang w:eastAsia="en-IN" w:bidi="bn-IN"/>
          <w14:ligatures w14:val="none"/>
        </w:rPr>
        <w:t>, (2020), have proposed that Hospitality and Tourism are twin industries, which contribute to developing the service sector of a country. These two sectors are interdependent and develop parallel to each other. Tourism has become a high-value source of income for a country, which has become relatively accessible to the people over the course of time. The historical progress of tourism and hospitality was religious, academic or imperial in nature. However, as tourism to distant places became more accessible from the Industrial Revolution in Europe, the shift to recreation and cultural exploration normalised into society. Eventually, the 19th and 20th centuries observed a leap in tourism that helped in transitioning into the modern age of tourism where multiple business organisations providing transportation, accommodation and recreation facilities emerged (</w:t>
      </w:r>
      <w:proofErr w:type="spellStart"/>
      <w:r w:rsidRPr="003322B3">
        <w:rPr>
          <w:rFonts w:ascii="Arial" w:eastAsia="Arial" w:hAnsi="Arial" w:cs="Arial"/>
          <w:kern w:val="0"/>
          <w:lang w:eastAsia="en-IN" w:bidi="bn-IN"/>
          <w14:ligatures w14:val="none"/>
        </w:rPr>
        <w:t>Koc</w:t>
      </w:r>
      <w:proofErr w:type="spellEnd"/>
      <w:r w:rsidRPr="003322B3">
        <w:rPr>
          <w:rFonts w:ascii="Arial" w:eastAsia="Arial" w:hAnsi="Arial" w:cs="Arial"/>
          <w:kern w:val="0"/>
          <w:lang w:eastAsia="en-IN" w:bidi="bn-IN"/>
          <w14:ligatures w14:val="none"/>
        </w:rPr>
        <w:t xml:space="preserve"> and </w:t>
      </w:r>
      <w:proofErr w:type="spellStart"/>
      <w:r w:rsidRPr="003322B3">
        <w:rPr>
          <w:rFonts w:ascii="Arial" w:eastAsia="Arial" w:hAnsi="Arial" w:cs="Arial"/>
          <w:kern w:val="0"/>
          <w:lang w:eastAsia="en-IN" w:bidi="bn-IN"/>
          <w14:ligatures w14:val="none"/>
        </w:rPr>
        <w:t>Yazici</w:t>
      </w:r>
      <w:proofErr w:type="spellEnd"/>
      <w:r w:rsidRPr="003322B3">
        <w:rPr>
          <w:rFonts w:ascii="Arial" w:eastAsia="Arial" w:hAnsi="Arial" w:cs="Arial"/>
          <w:kern w:val="0"/>
          <w:lang w:eastAsia="en-IN" w:bidi="bn-IN"/>
          <w14:ligatures w14:val="none"/>
        </w:rPr>
        <w:t xml:space="preserve"> </w:t>
      </w:r>
      <w:proofErr w:type="spellStart"/>
      <w:r w:rsidRPr="003322B3">
        <w:rPr>
          <w:rFonts w:ascii="Arial" w:eastAsia="Arial" w:hAnsi="Arial" w:cs="Arial"/>
          <w:kern w:val="0"/>
          <w:lang w:eastAsia="en-IN" w:bidi="bn-IN"/>
          <w14:ligatures w14:val="none"/>
        </w:rPr>
        <w:t>Ayyildiz</w:t>
      </w:r>
      <w:proofErr w:type="spellEnd"/>
      <w:r w:rsidRPr="003322B3">
        <w:rPr>
          <w:rFonts w:ascii="Arial" w:eastAsia="Arial" w:hAnsi="Arial" w:cs="Arial"/>
          <w:kern w:val="0"/>
          <w:lang w:eastAsia="en-IN" w:bidi="bn-IN"/>
          <w14:ligatures w14:val="none"/>
        </w:rPr>
        <w:t>, 2022, p. 928). This commercialisation of tourism and hospitality has resulted in large-scale tourism, which has economic and environmental challenges and opportunities alike. The following essay will evaluate the strategies and policies different business organisations such as Marriott International are using to tackle the CSR challenges present in the industry. The CSR policies, the businesses use to create a sustainable hospitality and tourism business environment. The future trends and the strategies, which Marriott could use in the future, will form a conclusive discussion here in the essay.</w:t>
      </w:r>
    </w:p>
    <w:p w14:paraId="2B4E9AF9" w14:textId="77777777" w:rsidR="003322B3" w:rsidRPr="003322B3" w:rsidRDefault="003322B3" w:rsidP="003322B3">
      <w:pPr>
        <w:spacing w:after="0" w:line="360" w:lineRule="auto"/>
        <w:jc w:val="both"/>
        <w:rPr>
          <w:rFonts w:ascii="Arial" w:eastAsia="Arial" w:hAnsi="Arial" w:cs="Arial"/>
          <w:b/>
          <w:kern w:val="0"/>
          <w:lang w:eastAsia="en-IN" w:bidi="bn-IN"/>
          <w14:ligatures w14:val="none"/>
        </w:rPr>
      </w:pPr>
      <w:r w:rsidRPr="003322B3">
        <w:rPr>
          <w:rFonts w:ascii="Arial" w:eastAsia="Arial" w:hAnsi="Arial" w:cs="Arial"/>
          <w:b/>
          <w:kern w:val="0"/>
          <w:lang w:eastAsia="en-IN" w:bidi="bn-IN"/>
          <w14:ligatures w14:val="none"/>
        </w:rPr>
        <w:t>Main Analysis</w:t>
      </w:r>
    </w:p>
    <w:p w14:paraId="019C084B" w14:textId="77777777" w:rsidR="003322B3" w:rsidRPr="003322B3" w:rsidRDefault="003322B3" w:rsidP="003322B3">
      <w:pPr>
        <w:spacing w:after="0" w:line="360" w:lineRule="auto"/>
        <w:jc w:val="both"/>
        <w:rPr>
          <w:rFonts w:ascii="Arial" w:eastAsia="Arial" w:hAnsi="Arial" w:cs="Arial"/>
          <w:b/>
          <w:i/>
          <w:kern w:val="0"/>
          <w:lang w:eastAsia="en-IN" w:bidi="bn-IN"/>
          <w14:ligatures w14:val="none"/>
        </w:rPr>
      </w:pPr>
      <w:r w:rsidRPr="003322B3">
        <w:rPr>
          <w:rFonts w:ascii="Arial" w:eastAsia="Arial" w:hAnsi="Arial" w:cs="Arial"/>
          <w:b/>
          <w:i/>
          <w:kern w:val="0"/>
          <w:lang w:eastAsia="en-IN" w:bidi="bn-IN"/>
          <w14:ligatures w14:val="none"/>
        </w:rPr>
        <w:t>CSR in Hospitality and Tourism</w:t>
      </w:r>
    </w:p>
    <w:p w14:paraId="59F6E3CF"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proofErr w:type="spellStart"/>
      <w:r w:rsidRPr="003322B3">
        <w:rPr>
          <w:rFonts w:ascii="Arial" w:eastAsia="Arial" w:hAnsi="Arial" w:cs="Arial"/>
          <w:kern w:val="0"/>
          <w:lang w:eastAsia="en-IN" w:bidi="bn-IN"/>
          <w14:ligatures w14:val="none"/>
        </w:rPr>
        <w:t>Goffi</w:t>
      </w:r>
      <w:proofErr w:type="spellEnd"/>
      <w:r w:rsidRPr="003322B3">
        <w:rPr>
          <w:rFonts w:ascii="Arial" w:eastAsia="Arial" w:hAnsi="Arial" w:cs="Arial"/>
          <w:kern w:val="0"/>
          <w:lang w:eastAsia="en-IN" w:bidi="bn-IN"/>
          <w14:ligatures w14:val="none"/>
        </w:rPr>
        <w:t xml:space="preserve"> </w:t>
      </w:r>
      <w:r w:rsidRPr="003322B3">
        <w:rPr>
          <w:rFonts w:ascii="Arial" w:eastAsia="Arial" w:hAnsi="Arial" w:cs="Arial"/>
          <w:i/>
          <w:kern w:val="0"/>
          <w:lang w:eastAsia="en-IN" w:bidi="bn-IN"/>
          <w14:ligatures w14:val="none"/>
        </w:rPr>
        <w:t>et al.</w:t>
      </w:r>
      <w:r w:rsidRPr="003322B3">
        <w:rPr>
          <w:rFonts w:ascii="Arial" w:eastAsia="Arial" w:hAnsi="Arial" w:cs="Arial"/>
          <w:kern w:val="0"/>
          <w:lang w:eastAsia="en-IN" w:bidi="bn-IN"/>
          <w14:ligatures w14:val="none"/>
        </w:rPr>
        <w:t>, (2022, p. 1628), have claimed that CSR is the model of business or strategic operations which companies use to refine their efforts towards the betterment of society as well as the environment. Promoting positive changes in business and accelerating overall development for a better future of the business is the key principle that forms the central idea of CSR. The major CSR issues which businesses have an obligation towards are eradicating extreme hunger and poverty, promoting education and improving economic opportunities for all. Hospitality businesses are dependent on the tourism sector for the inflow of guests who would enjoy the facilities available to them in the hotel (</w:t>
      </w:r>
      <w:proofErr w:type="spellStart"/>
      <w:r w:rsidRPr="003322B3">
        <w:rPr>
          <w:rFonts w:ascii="Arial" w:eastAsia="Arial" w:hAnsi="Arial" w:cs="Arial"/>
          <w:kern w:val="0"/>
          <w:lang w:eastAsia="en-IN" w:bidi="bn-IN"/>
          <w14:ligatures w14:val="none"/>
        </w:rPr>
        <w:t>Madanaguli</w:t>
      </w:r>
      <w:proofErr w:type="spellEnd"/>
      <w:r w:rsidRPr="003322B3">
        <w:rPr>
          <w:rFonts w:ascii="Arial" w:eastAsia="Arial" w:hAnsi="Arial" w:cs="Arial"/>
          <w:kern w:val="0"/>
          <w:lang w:eastAsia="en-IN" w:bidi="bn-IN"/>
          <w14:ligatures w14:val="none"/>
        </w:rPr>
        <w:t xml:space="preserve"> </w:t>
      </w:r>
      <w:r w:rsidRPr="003322B3">
        <w:rPr>
          <w:rFonts w:ascii="Arial" w:eastAsia="Arial" w:hAnsi="Arial" w:cs="Arial"/>
          <w:i/>
          <w:kern w:val="0"/>
          <w:lang w:eastAsia="en-IN" w:bidi="bn-IN"/>
          <w14:ligatures w14:val="none"/>
        </w:rPr>
        <w:t>et al.</w:t>
      </w:r>
      <w:r w:rsidRPr="003322B3">
        <w:rPr>
          <w:rFonts w:ascii="Arial" w:eastAsia="Arial" w:hAnsi="Arial" w:cs="Arial"/>
          <w:kern w:val="0"/>
          <w:lang w:eastAsia="en-IN" w:bidi="bn-IN"/>
          <w14:ligatures w14:val="none"/>
        </w:rPr>
        <w:t xml:space="preserve">, 2022, p. 449). The inflow of guests from international destinations and their service are the key ideas of operation around which the whole of the industry creates business opportunities. The economic, social and </w:t>
      </w:r>
      <w:r w:rsidRPr="003322B3">
        <w:rPr>
          <w:rFonts w:ascii="Arial" w:eastAsia="Arial" w:hAnsi="Arial" w:cs="Arial"/>
          <w:kern w:val="0"/>
          <w:lang w:eastAsia="en-IN" w:bidi="bn-IN"/>
          <w14:ligatures w14:val="none"/>
        </w:rPr>
        <w:lastRenderedPageBreak/>
        <w:t xml:space="preserve">cultural as well as environmental aspects of tourism influence the presence of local residents. However, the impact is not limited to the local businesses and international business has been under much influence from tourism, which has paved the way for international connection. However, the changes in a region also bring threats, which could proliferate the conservation policies and efforts. The responsibility towards ethical and positive tourism could be achieved through the collaboration of businesses as well as the tourists who are involved in them. Marriott International is a responsible company while discussing its efforts towards CSR and ESG (Environment Social Governance). </w:t>
      </w:r>
    </w:p>
    <w:p w14:paraId="6F8E6FBD" w14:textId="77777777" w:rsidR="003322B3" w:rsidRPr="003322B3" w:rsidRDefault="003322B3" w:rsidP="003322B3">
      <w:pPr>
        <w:spacing w:after="0" w:line="360" w:lineRule="auto"/>
        <w:jc w:val="both"/>
        <w:rPr>
          <w:rFonts w:ascii="Arial" w:eastAsia="Arial" w:hAnsi="Arial" w:cs="Arial"/>
          <w:b/>
          <w:i/>
          <w:kern w:val="0"/>
          <w:lang w:eastAsia="en-IN" w:bidi="bn-IN"/>
          <w14:ligatures w14:val="none"/>
        </w:rPr>
      </w:pPr>
      <w:r w:rsidRPr="003322B3">
        <w:rPr>
          <w:rFonts w:ascii="Arial" w:eastAsia="Arial" w:hAnsi="Arial" w:cs="Arial"/>
          <w:b/>
          <w:i/>
          <w:kern w:val="0"/>
          <w:lang w:eastAsia="en-IN" w:bidi="bn-IN"/>
          <w14:ligatures w14:val="none"/>
        </w:rPr>
        <w:t>CSR Policies Development and Contemporary Demands</w:t>
      </w:r>
    </w:p>
    <w:p w14:paraId="46618E69"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t xml:space="preserve">Han </w:t>
      </w:r>
      <w:r w:rsidRPr="003322B3">
        <w:rPr>
          <w:rFonts w:ascii="Arial" w:eastAsia="Arial" w:hAnsi="Arial" w:cs="Arial"/>
          <w:i/>
          <w:kern w:val="0"/>
          <w:lang w:eastAsia="en-IN" w:bidi="bn-IN"/>
          <w14:ligatures w14:val="none"/>
        </w:rPr>
        <w:t>et al.</w:t>
      </w:r>
      <w:r w:rsidRPr="003322B3">
        <w:rPr>
          <w:rFonts w:ascii="Arial" w:eastAsia="Arial" w:hAnsi="Arial" w:cs="Arial"/>
          <w:kern w:val="0"/>
          <w:lang w:eastAsia="en-IN" w:bidi="bn-IN"/>
          <w14:ligatures w14:val="none"/>
        </w:rPr>
        <w:t>, (2021, p. 4), have mentioned that the contemporary challenges in CSR demand action towards a sustainable climate and environment. Business organisations, which are part of the global progress, are trying to manipulate the resources and extract profit from them. This does not help businesses achieve effective business performance following the pressure from the governmental and non-governmental bodies regarding these practices. The hospitality and Tourism sectors have to convey their sincere effort towards the development of policies, which could reduce the environmental strain while also maintaining sustainable growth in the business. The businesses, which have become a source of effective knowledge and progressive ideas, help society overcome challenges, create global stability and hence achieve the CSR targets of these organisations. Contemporarily business organisations in the hospitality industry should try to spread awareness about sustainability and responsible tourism among tourists, which could safeguard the sustainability and pollution-free environment in the destination market. Over tourism has become a challenge in the tourism and hospitality market, which is slowly becoming a threat to the preservation and cultural presence of the local communities (</w:t>
      </w:r>
      <w:proofErr w:type="spellStart"/>
      <w:r w:rsidRPr="003322B3">
        <w:rPr>
          <w:rFonts w:ascii="Arial" w:eastAsia="Arial" w:hAnsi="Arial" w:cs="Arial"/>
          <w:kern w:val="0"/>
          <w:lang w:eastAsia="en-IN" w:bidi="bn-IN"/>
          <w14:ligatures w14:val="none"/>
        </w:rPr>
        <w:t>Hatipoglu</w:t>
      </w:r>
      <w:proofErr w:type="spellEnd"/>
      <w:r w:rsidRPr="003322B3">
        <w:rPr>
          <w:rFonts w:ascii="Arial" w:eastAsia="Arial" w:hAnsi="Arial" w:cs="Arial"/>
          <w:kern w:val="0"/>
          <w:lang w:eastAsia="en-IN" w:bidi="bn-IN"/>
          <w14:ligatures w14:val="none"/>
        </w:rPr>
        <w:t xml:space="preserve"> </w:t>
      </w:r>
      <w:r w:rsidRPr="003322B3">
        <w:rPr>
          <w:rFonts w:ascii="Arial" w:eastAsia="Arial" w:hAnsi="Arial" w:cs="Arial"/>
          <w:i/>
          <w:kern w:val="0"/>
          <w:lang w:eastAsia="en-IN" w:bidi="bn-IN"/>
          <w14:ligatures w14:val="none"/>
        </w:rPr>
        <w:t>et al.</w:t>
      </w:r>
      <w:r w:rsidRPr="003322B3">
        <w:rPr>
          <w:rFonts w:ascii="Arial" w:eastAsia="Arial" w:hAnsi="Arial" w:cs="Arial"/>
          <w:kern w:val="0"/>
          <w:lang w:eastAsia="en-IN" w:bidi="bn-IN"/>
          <w14:ligatures w14:val="none"/>
        </w:rPr>
        <w:t>, 2019, p. 2361). The tourists often disrespect the local culture and tend to perform irresponsible behaviour without fathoming the seriousness of the situation. Disposal of garbage, recycling and circular economy, threats to cultural heritage and others are some of the major challenges the business organisations in the hospitality and tourism industry are facing and devising effective solutions, which could inspire sustainable development in the business (</w:t>
      </w:r>
      <w:r w:rsidRPr="003322B3">
        <w:rPr>
          <w:rFonts w:ascii="Arial" w:eastAsia="Arial" w:hAnsi="Arial" w:cs="Arial"/>
          <w:color w:val="222222"/>
          <w:kern w:val="0"/>
          <w:lang w:eastAsia="en-IN" w:bidi="bn-IN"/>
          <w14:ligatures w14:val="none"/>
        </w:rPr>
        <w:t>Marriott International, 2024</w:t>
      </w:r>
      <w:r w:rsidRPr="003322B3">
        <w:rPr>
          <w:rFonts w:ascii="Arial" w:eastAsia="Arial" w:hAnsi="Arial" w:cs="Arial"/>
          <w:kern w:val="0"/>
          <w:lang w:eastAsia="en-IN" w:bidi="bn-IN"/>
          <w14:ligatures w14:val="none"/>
        </w:rPr>
        <w:t xml:space="preserve">). The challenges regarding tourism and lack of tourism were temporary barriers for businesses in the hospitality business. However, the challenges of revenge tourism </w:t>
      </w:r>
      <w:r w:rsidRPr="003322B3">
        <w:rPr>
          <w:rFonts w:ascii="Arial" w:eastAsia="Arial" w:hAnsi="Arial" w:cs="Arial"/>
          <w:kern w:val="0"/>
          <w:lang w:eastAsia="en-IN" w:bidi="bn-IN"/>
          <w14:ligatures w14:val="none"/>
        </w:rPr>
        <w:lastRenderedPageBreak/>
        <w:t>and over tourism have become a central theme for businesses. The development of social media is a boon for the tourism and hospitality industry, which has become a source of communication with consumers and employees as well. This has led to overcrowding of tourists in a short time in one place. Tourism is increasingly becoming unsustainable due to these challenges, which businesses should try to overcome, as they want to perform their CSR responsibly.</w:t>
      </w:r>
    </w:p>
    <w:p w14:paraId="27A12970" w14:textId="77777777" w:rsidR="003322B3" w:rsidRPr="003322B3" w:rsidRDefault="003322B3" w:rsidP="003322B3">
      <w:pPr>
        <w:spacing w:after="0" w:line="360" w:lineRule="auto"/>
        <w:jc w:val="both"/>
        <w:rPr>
          <w:rFonts w:ascii="Arial" w:eastAsia="Arial" w:hAnsi="Arial" w:cs="Arial"/>
          <w:b/>
          <w:i/>
          <w:kern w:val="0"/>
          <w:lang w:eastAsia="en-IN" w:bidi="bn-IN"/>
          <w14:ligatures w14:val="none"/>
        </w:rPr>
      </w:pPr>
      <w:r w:rsidRPr="003322B3">
        <w:rPr>
          <w:rFonts w:ascii="Arial" w:eastAsia="Arial" w:hAnsi="Arial" w:cs="Arial"/>
          <w:b/>
          <w:i/>
          <w:kern w:val="0"/>
          <w:lang w:eastAsia="en-IN" w:bidi="bn-IN"/>
          <w14:ligatures w14:val="none"/>
        </w:rPr>
        <w:t>CSR Policies of Marriott International</w:t>
      </w:r>
    </w:p>
    <w:p w14:paraId="6CBF789D"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t>Marriott International is one of the largest international hotel chains, which originates from the USA. The business organisation has many small and large hotel chains, which function, across different tourism destinations around the world. Known for its service quality and effective business practices, Marriott International has a reputation as a responsible business, which understands the current challenges related to sustainability and devised its CSR policies in response to those. The CSR policies, which Marriott has targeted to achieve in the upcoming years, reflect their commitment to creating effective channels for sustainable development. The primary target of Marriott International is to support the resiliency and sustainable development of communities and the environment where Marriott has its business operations (</w:t>
      </w:r>
      <w:r w:rsidRPr="003322B3">
        <w:rPr>
          <w:rFonts w:ascii="Arial" w:eastAsia="Arial" w:hAnsi="Arial" w:cs="Arial"/>
          <w:color w:val="222222"/>
          <w:kern w:val="0"/>
          <w:lang w:eastAsia="en-IN" w:bidi="bn-IN"/>
          <w14:ligatures w14:val="none"/>
        </w:rPr>
        <w:t>Marriott.com, 2019</w:t>
      </w:r>
      <w:r w:rsidRPr="003322B3">
        <w:rPr>
          <w:rFonts w:ascii="Arial" w:eastAsia="Arial" w:hAnsi="Arial" w:cs="Arial"/>
          <w:kern w:val="0"/>
          <w:lang w:eastAsia="en-IN" w:bidi="bn-IN"/>
          <w14:ligatures w14:val="none"/>
        </w:rPr>
        <w:t xml:space="preserve">). The second target of Marriott is reducing environmental impacts creating sustainable hotels and sourcing responsibly to mitigate climate-related risks. The third target of </w:t>
      </w:r>
      <w:proofErr w:type="spellStart"/>
      <w:r w:rsidRPr="003322B3">
        <w:rPr>
          <w:rFonts w:ascii="Arial" w:eastAsia="Arial" w:hAnsi="Arial" w:cs="Arial"/>
          <w:kern w:val="0"/>
          <w:lang w:eastAsia="en-IN" w:bidi="bn-IN"/>
          <w14:ligatures w14:val="none"/>
        </w:rPr>
        <w:t>Marriot</w:t>
      </w:r>
      <w:proofErr w:type="spellEnd"/>
      <w:r w:rsidRPr="003322B3">
        <w:rPr>
          <w:rFonts w:ascii="Arial" w:eastAsia="Arial" w:hAnsi="Arial" w:cs="Arial"/>
          <w:kern w:val="0"/>
          <w:lang w:eastAsia="en-IN" w:bidi="bn-IN"/>
          <w14:ligatures w14:val="none"/>
        </w:rPr>
        <w:t xml:space="preserve"> is providing opportunities and readiness in the organisation (</w:t>
      </w:r>
      <w:r w:rsidRPr="003322B3">
        <w:rPr>
          <w:rFonts w:ascii="Arial" w:eastAsia="Arial" w:hAnsi="Arial" w:cs="Arial"/>
          <w:color w:val="222222"/>
          <w:kern w:val="0"/>
          <w:lang w:eastAsia="en-IN" w:bidi="bn-IN"/>
          <w14:ligatures w14:val="none"/>
        </w:rPr>
        <w:t>Marriott International, 2024</w:t>
      </w:r>
      <w:r w:rsidRPr="003322B3">
        <w:rPr>
          <w:rFonts w:ascii="Arial" w:eastAsia="Arial" w:hAnsi="Arial" w:cs="Arial"/>
          <w:kern w:val="0"/>
          <w:lang w:eastAsia="en-IN" w:bidi="bn-IN"/>
          <w14:ligatures w14:val="none"/>
        </w:rPr>
        <w:t>). The final target is to work in partnerships to educate and advocate issues pertaining to human rights. Marriott International has an inclusive oversight, which spans societal issues, global issues, environmental issues, developmental issues and cultural issues. The business organisation has launched its “Serve 360: Doing Good in Every Direction” strategy which helps the business perform well and serve people to create a positive impact where they perform their business activities. Through this policy of CSR and sustainability, the business is trying to ensure that there is coherence in the support system of the business organisations to cater to CSR needs.  Under the 2025 Carbon Reduction Goal, Marriott has achieved 24.6% of carbon emissions from its business processes considering 2016 as the base year (</w:t>
      </w:r>
      <w:r w:rsidRPr="003322B3">
        <w:rPr>
          <w:rFonts w:ascii="Arial" w:eastAsia="Arial" w:hAnsi="Arial" w:cs="Arial"/>
          <w:color w:val="222222"/>
          <w:kern w:val="0"/>
          <w:lang w:eastAsia="en-IN" w:bidi="bn-IN"/>
          <w14:ligatures w14:val="none"/>
        </w:rPr>
        <w:t>Marriott International, 2023</w:t>
      </w:r>
      <w:r w:rsidRPr="003322B3">
        <w:rPr>
          <w:rFonts w:ascii="Arial" w:eastAsia="Arial" w:hAnsi="Arial" w:cs="Arial"/>
          <w:kern w:val="0"/>
          <w:lang w:eastAsia="en-IN" w:bidi="bn-IN"/>
          <w14:ligatures w14:val="none"/>
        </w:rPr>
        <w:t xml:space="preserve">). The DEI Goals 2025 have observed Marriott include 47% women in executive roles in their business. Then again, 22% of the executives at Marriott International are of different ethnicities. </w:t>
      </w:r>
    </w:p>
    <w:p w14:paraId="08831174" w14:textId="77777777" w:rsidR="003322B3" w:rsidRPr="003322B3" w:rsidRDefault="003322B3" w:rsidP="003322B3">
      <w:pPr>
        <w:spacing w:after="0" w:line="360" w:lineRule="auto"/>
        <w:jc w:val="both"/>
        <w:rPr>
          <w:rFonts w:ascii="Arial" w:eastAsia="Arial" w:hAnsi="Arial" w:cs="Arial"/>
          <w:b/>
          <w:i/>
          <w:kern w:val="0"/>
          <w:lang w:eastAsia="en-IN" w:bidi="bn-IN"/>
          <w14:ligatures w14:val="none"/>
        </w:rPr>
      </w:pPr>
      <w:r w:rsidRPr="003322B3">
        <w:rPr>
          <w:rFonts w:ascii="Arial" w:eastAsia="Arial" w:hAnsi="Arial" w:cs="Arial"/>
          <w:b/>
          <w:i/>
          <w:kern w:val="0"/>
          <w:lang w:eastAsia="en-IN" w:bidi="bn-IN"/>
          <w14:ligatures w14:val="none"/>
        </w:rPr>
        <w:t>Impact of CSR Policies on the National Level</w:t>
      </w:r>
    </w:p>
    <w:p w14:paraId="274150B4"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lastRenderedPageBreak/>
        <w:t xml:space="preserve">Marriott has been at the forefront of managing employment and creating opportunities, which could enhance the business propositions while also boosting effective business policies for the organisation. The use of effective practices has been a core requirement, which has been an approach that Marriott has undertaken to create sustainability in the local environment for the residents of the UK. People are able to access decent jobs and gain opportunities, which are part of effective business practices in the UK. The business organisation provides effective opportunities and employment, which has been a source of CSR in the business. Marriott has a policy for spreading awareness among people and hence the business organisation has become a beacon of human rights awareness among the people. The inclusive policies of Marriott International are helping improve the cultural environment and enrichment in the UK. The excellent service, which Marriott provides in its various locations, has become a key organisational feature, which has encapsulated the business organisations and the challenges they face. </w:t>
      </w:r>
    </w:p>
    <w:p w14:paraId="0FC1E0C3" w14:textId="77777777" w:rsidR="003322B3" w:rsidRPr="003322B3" w:rsidRDefault="003322B3" w:rsidP="003322B3">
      <w:pPr>
        <w:spacing w:after="0" w:line="360" w:lineRule="auto"/>
        <w:jc w:val="both"/>
        <w:rPr>
          <w:rFonts w:ascii="Arial" w:eastAsia="Arial" w:hAnsi="Arial" w:cs="Arial"/>
          <w:b/>
          <w:i/>
          <w:kern w:val="0"/>
          <w:lang w:eastAsia="en-IN" w:bidi="bn-IN"/>
          <w14:ligatures w14:val="none"/>
        </w:rPr>
      </w:pPr>
      <w:r w:rsidRPr="003322B3">
        <w:rPr>
          <w:rFonts w:ascii="Arial" w:eastAsia="Arial" w:hAnsi="Arial" w:cs="Arial"/>
          <w:b/>
          <w:i/>
          <w:kern w:val="0"/>
          <w:lang w:eastAsia="en-IN" w:bidi="bn-IN"/>
          <w14:ligatures w14:val="none"/>
        </w:rPr>
        <w:t>Impact of CSR Policies on the International Level</w:t>
      </w:r>
    </w:p>
    <w:p w14:paraId="1BD84460"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t>The global business of Marriott has become a source of developing a comprehension of business practices while also catering towards the needs of cultural intermixing. The diversified workplace and diversity in the workplace culture have the potential to generate future opportunities and boost globalisation. The curiosity to develop business practices has incorporated a drive to practice business management, which has been progressive management, which the businesses have tried to achieve. Another very important factor which has contributed towards the sustainability of businesses in the hospitality industry is environmental and climate conservation. There has been an investment of more than 23.5 million dollars, which Marriott has invested in providing opportunities for people. “Marriott’s bridging the Gap” has been an effective program in this regard creating opportunities for youth and people with a lack of opportunities to develop their skills. Apart from that, Marriott has used its business to reduce global energy reduction by 12.9% per square meter of conditioned space considering 2016 as the baseline year. Working in the same line, Marriott International has a 6.3% global reduction in water consumption. These issues and their resolution lead to a better future as the business organisation is conserving water and helping reduce GHG emissions through its business operations.</w:t>
      </w:r>
    </w:p>
    <w:p w14:paraId="52C3DECE" w14:textId="77777777" w:rsidR="003322B3" w:rsidRPr="003322B3" w:rsidRDefault="003322B3" w:rsidP="003322B3">
      <w:pPr>
        <w:spacing w:after="0" w:line="360" w:lineRule="auto"/>
        <w:jc w:val="both"/>
        <w:rPr>
          <w:rFonts w:ascii="Arial" w:eastAsia="Arial" w:hAnsi="Arial" w:cs="Arial"/>
          <w:b/>
          <w:i/>
          <w:kern w:val="0"/>
          <w:lang w:eastAsia="en-IN" w:bidi="bn-IN"/>
          <w14:ligatures w14:val="none"/>
        </w:rPr>
      </w:pPr>
      <w:r w:rsidRPr="003322B3">
        <w:rPr>
          <w:rFonts w:ascii="Arial" w:eastAsia="Arial" w:hAnsi="Arial" w:cs="Arial"/>
          <w:b/>
          <w:i/>
          <w:kern w:val="0"/>
          <w:lang w:eastAsia="en-IN" w:bidi="bn-IN"/>
          <w14:ligatures w14:val="none"/>
        </w:rPr>
        <w:t>Future Trends and Strategies</w:t>
      </w:r>
    </w:p>
    <w:p w14:paraId="3F476D10"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lastRenderedPageBreak/>
        <w:t>The future trends of corporate social responsibility credit firmly the decision-making policies engraved in organisational management that secure the balance of performances in a system (</w:t>
      </w:r>
      <w:r w:rsidRPr="003322B3">
        <w:rPr>
          <w:rFonts w:ascii="Arial" w:eastAsia="Arial" w:hAnsi="Arial" w:cs="Arial"/>
          <w:color w:val="222222"/>
          <w:kern w:val="0"/>
          <w:lang w:eastAsia="en-IN" w:bidi="bn-IN"/>
          <w14:ligatures w14:val="none"/>
        </w:rPr>
        <w:t xml:space="preserve">Chen </w:t>
      </w:r>
      <w:r w:rsidRPr="003322B3">
        <w:rPr>
          <w:rFonts w:ascii="Arial" w:eastAsia="Arial" w:hAnsi="Arial" w:cs="Arial"/>
          <w:i/>
          <w:color w:val="222222"/>
          <w:kern w:val="0"/>
          <w:lang w:eastAsia="en-IN" w:bidi="bn-IN"/>
          <w14:ligatures w14:val="none"/>
        </w:rPr>
        <w:t xml:space="preserve">et al., </w:t>
      </w:r>
      <w:r w:rsidRPr="003322B3">
        <w:rPr>
          <w:rFonts w:ascii="Arial" w:eastAsia="Arial" w:hAnsi="Arial" w:cs="Arial"/>
          <w:color w:val="222222"/>
          <w:kern w:val="0"/>
          <w:lang w:eastAsia="en-IN" w:bidi="bn-IN"/>
          <w14:ligatures w14:val="none"/>
        </w:rPr>
        <w:t>2021</w:t>
      </w:r>
      <w:r w:rsidRPr="003322B3">
        <w:rPr>
          <w:rFonts w:ascii="Arial" w:eastAsia="Arial" w:hAnsi="Arial" w:cs="Arial"/>
          <w:kern w:val="0"/>
          <w:lang w:eastAsia="en-IN" w:bidi="bn-IN"/>
          <w14:ligatures w14:val="none"/>
        </w:rPr>
        <w:t xml:space="preserve">). </w:t>
      </w:r>
      <w:proofErr w:type="spellStart"/>
      <w:r w:rsidRPr="003322B3">
        <w:rPr>
          <w:rFonts w:ascii="Arial" w:eastAsia="Arial" w:hAnsi="Arial" w:cs="Arial"/>
          <w:kern w:val="0"/>
          <w:lang w:eastAsia="en-IN" w:bidi="bn-IN"/>
          <w14:ligatures w14:val="none"/>
        </w:rPr>
        <w:t>Marriot</w:t>
      </w:r>
      <w:proofErr w:type="spellEnd"/>
      <w:r w:rsidRPr="003322B3">
        <w:rPr>
          <w:rFonts w:ascii="Arial" w:eastAsia="Arial" w:hAnsi="Arial" w:cs="Arial"/>
          <w:kern w:val="0"/>
          <w:lang w:eastAsia="en-IN" w:bidi="bn-IN"/>
          <w14:ligatures w14:val="none"/>
        </w:rPr>
        <w:t xml:space="preserve"> International in its systematic approach to CSR decisions has mentioned the core aspects of environment, communities, people and partnership. The missing link in this identification is the infrastructure-related corporate social responsibilities that are applicable based on the commanding operations synthesised by the group in the hospitality sector. The infrastructure-related CSR activities have produced genuine insights in terms of growth of sustainability with the secure internal construction and architecture that are crucial parts of designing any particular construction. The policies aligned with the functional aspects of </w:t>
      </w:r>
      <w:proofErr w:type="spellStart"/>
      <w:r w:rsidRPr="003322B3">
        <w:rPr>
          <w:rFonts w:ascii="Arial" w:eastAsia="Arial" w:hAnsi="Arial" w:cs="Arial"/>
          <w:kern w:val="0"/>
          <w:lang w:eastAsia="en-IN" w:bidi="bn-IN"/>
          <w14:ligatures w14:val="none"/>
        </w:rPr>
        <w:t>Marriot</w:t>
      </w:r>
      <w:proofErr w:type="spellEnd"/>
      <w:r w:rsidRPr="003322B3">
        <w:rPr>
          <w:rFonts w:ascii="Arial" w:eastAsia="Arial" w:hAnsi="Arial" w:cs="Arial"/>
          <w:kern w:val="0"/>
          <w:lang w:eastAsia="en-IN" w:bidi="bn-IN"/>
          <w14:ligatures w14:val="none"/>
        </w:rPr>
        <w:t xml:space="preserve"> International in this aspect involve its construction policies of hotels and resorts, adequacy in drainage and wastage systems and recycling approaches. The annual turnover of the waste collection industry in the pre-Covid era became nearly 1.2 billion Euros in the UK (</w:t>
      </w:r>
      <w:proofErr w:type="spellStart"/>
      <w:r w:rsidRPr="003322B3">
        <w:rPr>
          <w:rFonts w:ascii="Arial" w:eastAsia="Arial" w:hAnsi="Arial" w:cs="Arial"/>
          <w:color w:val="1F1F1F"/>
          <w:kern w:val="0"/>
          <w:lang w:eastAsia="en-IN" w:bidi="bn-IN"/>
          <w14:ligatures w14:val="none"/>
        </w:rPr>
        <w:t>Statista</w:t>
      </w:r>
      <w:proofErr w:type="spellEnd"/>
      <w:r w:rsidRPr="003322B3">
        <w:rPr>
          <w:rFonts w:ascii="Arial" w:eastAsia="Arial" w:hAnsi="Arial" w:cs="Arial"/>
          <w:color w:val="1F1F1F"/>
          <w:kern w:val="0"/>
          <w:lang w:eastAsia="en-IN" w:bidi="bn-IN"/>
          <w14:ligatures w14:val="none"/>
        </w:rPr>
        <w:t>, 2024</w:t>
      </w:r>
      <w:r w:rsidRPr="003322B3">
        <w:rPr>
          <w:rFonts w:ascii="Arial" w:eastAsia="Arial" w:hAnsi="Arial" w:cs="Arial"/>
          <w:kern w:val="0"/>
          <w:lang w:eastAsia="en-IN" w:bidi="bn-IN"/>
          <w14:ligatures w14:val="none"/>
        </w:rPr>
        <w:t xml:space="preserve">). It depicts that companies through several sectors have become an integral part of the frustule related corporate duties as a fundamental resource of their CSR strategies. </w:t>
      </w:r>
    </w:p>
    <w:p w14:paraId="322FCBB1"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t>Marriott International is a top-level hospitality management unit that must assure its stakeholders regarding their functionality and enthusiasm to support the community through the mentioned strategies. The different practices associated with the development of infrastructural sustainability involve hygienic practices of waste management, rainwater harvests through different channels of the buildings, sewage policies, food conservation and health and obligations to society regarding practices (</w:t>
      </w:r>
      <w:r w:rsidRPr="003322B3">
        <w:rPr>
          <w:rFonts w:ascii="Arial" w:eastAsia="Arial" w:hAnsi="Arial" w:cs="Arial"/>
          <w:color w:val="222222"/>
          <w:kern w:val="0"/>
          <w:lang w:eastAsia="en-IN" w:bidi="bn-IN"/>
          <w14:ligatures w14:val="none"/>
        </w:rPr>
        <w:t>Peña</w:t>
      </w:r>
      <w:r w:rsidRPr="003322B3">
        <w:rPr>
          <w:rFonts w:ascii="Cambria Math" w:eastAsia="Arial" w:hAnsi="Cambria Math" w:cs="Cambria Math"/>
          <w:color w:val="222222"/>
          <w:kern w:val="0"/>
          <w:lang w:eastAsia="en-IN" w:bidi="bn-IN"/>
          <w14:ligatures w14:val="none"/>
        </w:rPr>
        <w:t>‐</w:t>
      </w:r>
      <w:r w:rsidRPr="003322B3">
        <w:rPr>
          <w:rFonts w:ascii="Arial" w:eastAsia="Arial" w:hAnsi="Arial" w:cs="Arial"/>
          <w:color w:val="222222"/>
          <w:kern w:val="0"/>
          <w:lang w:eastAsia="en-IN" w:bidi="bn-IN"/>
          <w14:ligatures w14:val="none"/>
        </w:rPr>
        <w:t xml:space="preserve">Miranda </w:t>
      </w:r>
      <w:r w:rsidRPr="003322B3">
        <w:rPr>
          <w:rFonts w:ascii="Arial" w:eastAsia="Arial" w:hAnsi="Arial" w:cs="Arial"/>
          <w:i/>
          <w:color w:val="222222"/>
          <w:kern w:val="0"/>
          <w:lang w:eastAsia="en-IN" w:bidi="bn-IN"/>
          <w14:ligatures w14:val="none"/>
        </w:rPr>
        <w:t xml:space="preserve">et al., </w:t>
      </w:r>
      <w:r w:rsidRPr="003322B3">
        <w:rPr>
          <w:rFonts w:ascii="Arial" w:eastAsia="Arial" w:hAnsi="Arial" w:cs="Arial"/>
          <w:color w:val="222222"/>
          <w:kern w:val="0"/>
          <w:lang w:eastAsia="en-IN" w:bidi="bn-IN"/>
          <w14:ligatures w14:val="none"/>
        </w:rPr>
        <w:t>2022, p.441</w:t>
      </w:r>
      <w:r w:rsidRPr="003322B3">
        <w:rPr>
          <w:rFonts w:ascii="Arial" w:eastAsia="Arial" w:hAnsi="Arial" w:cs="Arial"/>
          <w:kern w:val="0"/>
          <w:lang w:eastAsia="en-IN" w:bidi="bn-IN"/>
          <w14:ligatures w14:val="none"/>
        </w:rPr>
        <w:t xml:space="preserve">). Marriott International has already mentioned its environmental policies in the existing CSR policies that highlight the systematic standard the organisation has offered to channel the optimised resources. The mentioned strategy instils the backend of the mechanism that converts the environmental aspects related to the CSR activities into a functional cycle. It allows functions like monitoring and execution of policies to be more effective in devising sustainable development for Marriott International. </w:t>
      </w:r>
    </w:p>
    <w:p w14:paraId="6EA606B6" w14:textId="77777777" w:rsidR="003322B3" w:rsidRPr="003322B3" w:rsidRDefault="003322B3" w:rsidP="003322B3">
      <w:pPr>
        <w:spacing w:after="0" w:line="360" w:lineRule="auto"/>
        <w:jc w:val="both"/>
        <w:rPr>
          <w:rFonts w:ascii="Arial" w:eastAsia="Arial" w:hAnsi="Arial" w:cs="Arial"/>
          <w:b/>
          <w:kern w:val="0"/>
          <w:lang w:eastAsia="en-IN" w:bidi="bn-IN"/>
          <w14:ligatures w14:val="none"/>
        </w:rPr>
      </w:pPr>
      <w:r w:rsidRPr="003322B3">
        <w:rPr>
          <w:rFonts w:ascii="Arial" w:eastAsia="Arial" w:hAnsi="Arial" w:cs="Arial"/>
          <w:b/>
          <w:kern w:val="0"/>
          <w:lang w:eastAsia="en-IN" w:bidi="bn-IN"/>
          <w14:ligatures w14:val="none"/>
        </w:rPr>
        <w:t>Conclusion</w:t>
      </w:r>
    </w:p>
    <w:p w14:paraId="725C63E8"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t xml:space="preserve">This essay identifies the importance and implications of corporate social responsibility that has optimised Marriott International’s position in the hospitality sector. Marriott as a premium-level hospitality operative has secured its CSR pathways with fundamental criteria like the community, people, environment and collaboration. The sustainability </w:t>
      </w:r>
      <w:r w:rsidRPr="003322B3">
        <w:rPr>
          <w:rFonts w:ascii="Arial" w:eastAsia="Arial" w:hAnsi="Arial" w:cs="Arial"/>
          <w:kern w:val="0"/>
          <w:lang w:eastAsia="en-IN" w:bidi="bn-IN"/>
          <w14:ligatures w14:val="none"/>
        </w:rPr>
        <w:lastRenderedPageBreak/>
        <w:t xml:space="preserve">approach of Marriott International derives the key functions applicable in corporate operations that resound the tactics of corporate social responsibility. The optimised allocation of organisational resources like employment, staff allocation, strategic development of the workers and inclusion determines the management’s clearer intention towards 2025. In addition to that, the corporate social responsibility associated with developing a sustainable community by including local employment and standards to facilitate development secures a better channel of development for Marriott. The sustainable policies of the group adequately achieve the functional aspects as devised by the national regulatory authorities. The essay also provides a secure channel for developing more sources of CSR practices for the organisation based on future considerations. The infrastructure-related approach can enhance Marriott International’s future acquisition decisions and sustainability policies behind architectural values associated with sustainable development. </w:t>
      </w:r>
    </w:p>
    <w:p w14:paraId="5D71BBC8" w14:textId="77777777" w:rsidR="003322B3" w:rsidRPr="003322B3" w:rsidRDefault="003322B3" w:rsidP="003322B3">
      <w:pPr>
        <w:spacing w:after="0" w:line="360" w:lineRule="auto"/>
        <w:jc w:val="both"/>
        <w:rPr>
          <w:rFonts w:ascii="Arial" w:eastAsia="Arial" w:hAnsi="Arial" w:cs="Arial"/>
          <w:kern w:val="0"/>
          <w:lang w:eastAsia="en-IN" w:bidi="bn-IN"/>
          <w14:ligatures w14:val="none"/>
        </w:rPr>
      </w:pPr>
      <w:r w:rsidRPr="003322B3">
        <w:rPr>
          <w:rFonts w:ascii="Arial" w:eastAsia="Arial" w:hAnsi="Arial" w:cs="Arial"/>
          <w:kern w:val="0"/>
          <w:lang w:eastAsia="en-IN" w:bidi="bn-IN"/>
          <w14:ligatures w14:val="none"/>
        </w:rPr>
        <w:br w:type="page"/>
      </w:r>
    </w:p>
    <w:p w14:paraId="6F3DD546" w14:textId="77777777" w:rsidR="003322B3" w:rsidRPr="003322B3" w:rsidRDefault="003322B3" w:rsidP="003322B3">
      <w:pPr>
        <w:spacing w:after="0" w:line="360" w:lineRule="auto"/>
        <w:jc w:val="both"/>
        <w:rPr>
          <w:rFonts w:ascii="Arial" w:eastAsia="Arial" w:hAnsi="Arial" w:cs="Arial"/>
          <w:b/>
          <w:kern w:val="0"/>
          <w:lang w:eastAsia="en-IN" w:bidi="bn-IN"/>
          <w14:ligatures w14:val="none"/>
        </w:rPr>
      </w:pPr>
      <w:r w:rsidRPr="003322B3">
        <w:rPr>
          <w:rFonts w:ascii="Arial" w:eastAsia="Arial" w:hAnsi="Arial" w:cs="Arial"/>
          <w:b/>
          <w:kern w:val="0"/>
          <w:lang w:eastAsia="en-IN" w:bidi="bn-IN"/>
          <w14:ligatures w14:val="none"/>
        </w:rPr>
        <w:lastRenderedPageBreak/>
        <w:t xml:space="preserve">References </w:t>
      </w:r>
    </w:p>
    <w:p w14:paraId="322BD4AB" w14:textId="77777777" w:rsidR="003322B3" w:rsidRPr="003322B3" w:rsidRDefault="003322B3" w:rsidP="003322B3">
      <w:pPr>
        <w:spacing w:before="200" w:after="200" w:line="360" w:lineRule="auto"/>
        <w:jc w:val="both"/>
        <w:rPr>
          <w:rFonts w:ascii="Arial" w:eastAsia="Arial" w:hAnsi="Arial" w:cs="Arial"/>
          <w:color w:val="000000" w:themeColor="text1"/>
          <w:kern w:val="0"/>
          <w:lang w:eastAsia="en-IN" w:bidi="bn-IN"/>
          <w14:ligatures w14:val="none"/>
        </w:rPr>
      </w:pPr>
      <w:r w:rsidRPr="003322B3">
        <w:rPr>
          <w:rFonts w:ascii="Arial" w:eastAsia="Arial" w:hAnsi="Arial" w:cs="Arial"/>
          <w:color w:val="000000" w:themeColor="text1"/>
          <w:kern w:val="0"/>
          <w:lang w:eastAsia="en-IN" w:bidi="bn-IN"/>
          <w14:ligatures w14:val="none"/>
        </w:rPr>
        <w:t xml:space="preserve">Chen, Y., Gu, X., </w:t>
      </w:r>
      <w:proofErr w:type="spellStart"/>
      <w:r w:rsidRPr="003322B3">
        <w:rPr>
          <w:rFonts w:ascii="Arial" w:eastAsia="Arial" w:hAnsi="Arial" w:cs="Arial"/>
          <w:color w:val="000000" w:themeColor="text1"/>
          <w:kern w:val="0"/>
          <w:lang w:eastAsia="en-IN" w:bidi="bn-IN"/>
          <w14:ligatures w14:val="none"/>
        </w:rPr>
        <w:t>Gao</w:t>
      </w:r>
      <w:proofErr w:type="spellEnd"/>
      <w:r w:rsidRPr="003322B3">
        <w:rPr>
          <w:rFonts w:ascii="Arial" w:eastAsia="Arial" w:hAnsi="Arial" w:cs="Arial"/>
          <w:color w:val="000000" w:themeColor="text1"/>
          <w:kern w:val="0"/>
          <w:lang w:eastAsia="en-IN" w:bidi="bn-IN"/>
          <w14:ligatures w14:val="none"/>
        </w:rPr>
        <w:t xml:space="preserve">, Y. and Lan, T., 2021. Sustainability with high-speed rails: The effects of transportation infrastructure development on firms’ CSR performance. </w:t>
      </w:r>
      <w:r w:rsidRPr="003322B3">
        <w:rPr>
          <w:rFonts w:ascii="Arial" w:eastAsia="Arial" w:hAnsi="Arial" w:cs="Arial"/>
          <w:i/>
          <w:color w:val="000000" w:themeColor="text1"/>
          <w:kern w:val="0"/>
          <w:lang w:eastAsia="en-IN" w:bidi="bn-IN"/>
          <w14:ligatures w14:val="none"/>
        </w:rPr>
        <w:t>Journal of Contemporary Accounting &amp; Economics</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17</w:t>
      </w:r>
      <w:r w:rsidRPr="003322B3">
        <w:rPr>
          <w:rFonts w:ascii="Arial" w:eastAsia="Arial" w:hAnsi="Arial" w:cs="Arial"/>
          <w:color w:val="000000" w:themeColor="text1"/>
          <w:kern w:val="0"/>
          <w:lang w:eastAsia="en-IN" w:bidi="bn-IN"/>
          <w14:ligatures w14:val="none"/>
        </w:rPr>
        <w:t xml:space="preserve">(2).https://www.sciencedirect.com/science/article/pii/S1815566921000199 </w:t>
      </w:r>
    </w:p>
    <w:p w14:paraId="568A6FB9"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proofErr w:type="spellStart"/>
      <w:r w:rsidRPr="003322B3">
        <w:rPr>
          <w:rFonts w:ascii="Arial" w:eastAsia="Arial" w:hAnsi="Arial" w:cs="Arial"/>
          <w:color w:val="000000" w:themeColor="text1"/>
          <w:kern w:val="0"/>
          <w:lang w:eastAsia="en-IN" w:bidi="bn-IN"/>
          <w14:ligatures w14:val="none"/>
        </w:rPr>
        <w:t>Goffi</w:t>
      </w:r>
      <w:proofErr w:type="spellEnd"/>
      <w:r w:rsidRPr="003322B3">
        <w:rPr>
          <w:rFonts w:ascii="Arial" w:eastAsia="Arial" w:hAnsi="Arial" w:cs="Arial"/>
          <w:color w:val="000000" w:themeColor="text1"/>
          <w:kern w:val="0"/>
          <w:lang w:eastAsia="en-IN" w:bidi="bn-IN"/>
          <w14:ligatures w14:val="none"/>
        </w:rPr>
        <w:t xml:space="preserve">, G., </w:t>
      </w:r>
      <w:proofErr w:type="spellStart"/>
      <w:r w:rsidRPr="003322B3">
        <w:rPr>
          <w:rFonts w:ascii="Arial" w:eastAsia="Arial" w:hAnsi="Arial" w:cs="Arial"/>
          <w:color w:val="000000" w:themeColor="text1"/>
          <w:kern w:val="0"/>
          <w:lang w:eastAsia="en-IN" w:bidi="bn-IN"/>
          <w14:ligatures w14:val="none"/>
        </w:rPr>
        <w:t>Masiero</w:t>
      </w:r>
      <w:proofErr w:type="spellEnd"/>
      <w:r w:rsidRPr="003322B3">
        <w:rPr>
          <w:rFonts w:ascii="Arial" w:eastAsia="Arial" w:hAnsi="Arial" w:cs="Arial"/>
          <w:color w:val="000000" w:themeColor="text1"/>
          <w:kern w:val="0"/>
          <w:lang w:eastAsia="en-IN" w:bidi="bn-IN"/>
          <w14:ligatures w14:val="none"/>
        </w:rPr>
        <w:t xml:space="preserve">, L. and </w:t>
      </w:r>
      <w:proofErr w:type="spellStart"/>
      <w:r w:rsidRPr="003322B3">
        <w:rPr>
          <w:rFonts w:ascii="Arial" w:eastAsia="Arial" w:hAnsi="Arial" w:cs="Arial"/>
          <w:color w:val="000000" w:themeColor="text1"/>
          <w:kern w:val="0"/>
          <w:lang w:eastAsia="en-IN" w:bidi="bn-IN"/>
          <w14:ligatures w14:val="none"/>
        </w:rPr>
        <w:t>Pencarelli</w:t>
      </w:r>
      <w:proofErr w:type="spellEnd"/>
      <w:r w:rsidRPr="003322B3">
        <w:rPr>
          <w:rFonts w:ascii="Arial" w:eastAsia="Arial" w:hAnsi="Arial" w:cs="Arial"/>
          <w:color w:val="000000" w:themeColor="text1"/>
          <w:kern w:val="0"/>
          <w:lang w:eastAsia="en-IN" w:bidi="bn-IN"/>
          <w14:ligatures w14:val="none"/>
        </w:rPr>
        <w:t xml:space="preserve">, T., 2022. Corporate social responsibility and performances of firms operating in the tourism and hospitality industry. </w:t>
      </w:r>
      <w:r w:rsidRPr="003322B3">
        <w:rPr>
          <w:rFonts w:ascii="Arial" w:eastAsia="Arial" w:hAnsi="Arial" w:cs="Arial"/>
          <w:i/>
          <w:color w:val="000000" w:themeColor="text1"/>
          <w:kern w:val="0"/>
          <w:lang w:eastAsia="en-IN" w:bidi="bn-IN"/>
          <w14:ligatures w14:val="none"/>
        </w:rPr>
        <w:t>The TQM Journal</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34</w:t>
      </w:r>
      <w:r w:rsidRPr="003322B3">
        <w:rPr>
          <w:rFonts w:ascii="Arial" w:eastAsia="Arial" w:hAnsi="Arial" w:cs="Arial"/>
          <w:color w:val="000000" w:themeColor="text1"/>
          <w:kern w:val="0"/>
          <w:lang w:eastAsia="en-IN" w:bidi="bn-IN"/>
          <w14:ligatures w14:val="none"/>
        </w:rPr>
        <w:t xml:space="preserve">(6), pp.1626-1647. https://www.emerald.com/insight/content/doi/10.1108/TQM-06-2021-0166/full/html </w:t>
      </w:r>
    </w:p>
    <w:p w14:paraId="17ECF09D"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r w:rsidRPr="003322B3">
        <w:rPr>
          <w:rFonts w:ascii="Arial" w:eastAsia="Arial" w:hAnsi="Arial" w:cs="Arial"/>
          <w:color w:val="000000" w:themeColor="text1"/>
          <w:kern w:val="0"/>
          <w:lang w:eastAsia="en-IN" w:bidi="bn-IN"/>
          <w14:ligatures w14:val="none"/>
        </w:rPr>
        <w:t xml:space="preserve">Han, H., 2021. Consumer behaviour and environmental sustainability in tourism and hospitality: A review of theories, concepts, and latest research. </w:t>
      </w:r>
      <w:r w:rsidRPr="003322B3">
        <w:rPr>
          <w:rFonts w:ascii="Arial" w:eastAsia="Arial" w:hAnsi="Arial" w:cs="Arial"/>
          <w:i/>
          <w:color w:val="000000" w:themeColor="text1"/>
          <w:kern w:val="0"/>
          <w:lang w:eastAsia="en-IN" w:bidi="bn-IN"/>
          <w14:ligatures w14:val="none"/>
        </w:rPr>
        <w:t>Sustainable Consumer Behaviour and the Environment</w:t>
      </w:r>
      <w:r w:rsidRPr="003322B3">
        <w:rPr>
          <w:rFonts w:ascii="Arial" w:eastAsia="Arial" w:hAnsi="Arial" w:cs="Arial"/>
          <w:color w:val="000000" w:themeColor="text1"/>
          <w:kern w:val="0"/>
          <w:lang w:eastAsia="en-IN" w:bidi="bn-IN"/>
          <w14:ligatures w14:val="none"/>
        </w:rPr>
        <w:t xml:space="preserve">, pp.1-22. https://www.tandfonline.com/doi/pdf/10.1080/09669582.2021.1903019 </w:t>
      </w:r>
    </w:p>
    <w:p w14:paraId="77D779CB"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proofErr w:type="spellStart"/>
      <w:r w:rsidRPr="003322B3">
        <w:rPr>
          <w:rFonts w:ascii="Arial" w:eastAsia="Arial" w:hAnsi="Arial" w:cs="Arial"/>
          <w:color w:val="000000" w:themeColor="text1"/>
          <w:kern w:val="0"/>
          <w:lang w:eastAsia="en-IN" w:bidi="bn-IN"/>
          <w14:ligatures w14:val="none"/>
        </w:rPr>
        <w:t>Hatipoglu</w:t>
      </w:r>
      <w:proofErr w:type="spellEnd"/>
      <w:r w:rsidRPr="003322B3">
        <w:rPr>
          <w:rFonts w:ascii="Arial" w:eastAsia="Arial" w:hAnsi="Arial" w:cs="Arial"/>
          <w:color w:val="000000" w:themeColor="text1"/>
          <w:kern w:val="0"/>
          <w:lang w:eastAsia="en-IN" w:bidi="bn-IN"/>
          <w14:ligatures w14:val="none"/>
        </w:rPr>
        <w:t xml:space="preserve">, B., </w:t>
      </w:r>
      <w:proofErr w:type="spellStart"/>
      <w:r w:rsidRPr="003322B3">
        <w:rPr>
          <w:rFonts w:ascii="Arial" w:eastAsia="Arial" w:hAnsi="Arial" w:cs="Arial"/>
          <w:color w:val="000000" w:themeColor="text1"/>
          <w:kern w:val="0"/>
          <w:lang w:eastAsia="en-IN" w:bidi="bn-IN"/>
          <w14:ligatures w14:val="none"/>
        </w:rPr>
        <w:t>Ertuna</w:t>
      </w:r>
      <w:proofErr w:type="spellEnd"/>
      <w:r w:rsidRPr="003322B3">
        <w:rPr>
          <w:rFonts w:ascii="Arial" w:eastAsia="Arial" w:hAnsi="Arial" w:cs="Arial"/>
          <w:color w:val="000000" w:themeColor="text1"/>
          <w:kern w:val="0"/>
          <w:lang w:eastAsia="en-IN" w:bidi="bn-IN"/>
          <w14:ligatures w14:val="none"/>
        </w:rPr>
        <w:t xml:space="preserve">, B. and Salman, D., 2019. Corporate social responsibility in tourism as a tool for sustainable development: An evaluation from a community perspective. </w:t>
      </w:r>
      <w:r w:rsidRPr="003322B3">
        <w:rPr>
          <w:rFonts w:ascii="Arial" w:eastAsia="Arial" w:hAnsi="Arial" w:cs="Arial"/>
          <w:i/>
          <w:color w:val="000000" w:themeColor="text1"/>
          <w:kern w:val="0"/>
          <w:lang w:eastAsia="en-IN" w:bidi="bn-IN"/>
          <w14:ligatures w14:val="none"/>
        </w:rPr>
        <w:t>International Journal of Contemporary Hospitality Management</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31</w:t>
      </w:r>
      <w:r w:rsidRPr="003322B3">
        <w:rPr>
          <w:rFonts w:ascii="Arial" w:eastAsia="Arial" w:hAnsi="Arial" w:cs="Arial"/>
          <w:color w:val="000000" w:themeColor="text1"/>
          <w:kern w:val="0"/>
          <w:lang w:eastAsia="en-IN" w:bidi="bn-IN"/>
          <w14:ligatures w14:val="none"/>
        </w:rPr>
        <w:t xml:space="preserve">(6), pp.2358-2375. https://www.emerald.com/insight/content/doi/10.1108/IJCHM-05-2018-0448/full/html </w:t>
      </w:r>
    </w:p>
    <w:p w14:paraId="20685AE2"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proofErr w:type="spellStart"/>
      <w:r w:rsidRPr="003322B3">
        <w:rPr>
          <w:rFonts w:ascii="Arial" w:eastAsia="Arial" w:hAnsi="Arial" w:cs="Arial"/>
          <w:color w:val="000000" w:themeColor="text1"/>
          <w:kern w:val="0"/>
          <w:lang w:eastAsia="en-IN" w:bidi="bn-IN"/>
          <w14:ligatures w14:val="none"/>
        </w:rPr>
        <w:t>Koc</w:t>
      </w:r>
      <w:proofErr w:type="spellEnd"/>
      <w:r w:rsidRPr="003322B3">
        <w:rPr>
          <w:rFonts w:ascii="Arial" w:eastAsia="Arial" w:hAnsi="Arial" w:cs="Arial"/>
          <w:color w:val="000000" w:themeColor="text1"/>
          <w:kern w:val="0"/>
          <w:lang w:eastAsia="en-IN" w:bidi="bn-IN"/>
          <w14:ligatures w14:val="none"/>
        </w:rPr>
        <w:t xml:space="preserve">, E. and </w:t>
      </w:r>
      <w:proofErr w:type="spellStart"/>
      <w:r w:rsidRPr="003322B3">
        <w:rPr>
          <w:rFonts w:ascii="Arial" w:eastAsia="Arial" w:hAnsi="Arial" w:cs="Arial"/>
          <w:color w:val="000000" w:themeColor="text1"/>
          <w:kern w:val="0"/>
          <w:lang w:eastAsia="en-IN" w:bidi="bn-IN"/>
          <w14:ligatures w14:val="none"/>
        </w:rPr>
        <w:t>Yazici</w:t>
      </w:r>
      <w:proofErr w:type="spellEnd"/>
      <w:r w:rsidRPr="003322B3">
        <w:rPr>
          <w:rFonts w:ascii="Arial" w:eastAsia="Arial" w:hAnsi="Arial" w:cs="Arial"/>
          <w:color w:val="000000" w:themeColor="text1"/>
          <w:kern w:val="0"/>
          <w:lang w:eastAsia="en-IN" w:bidi="bn-IN"/>
          <w14:ligatures w14:val="none"/>
        </w:rPr>
        <w:t xml:space="preserve"> </w:t>
      </w:r>
      <w:proofErr w:type="spellStart"/>
      <w:r w:rsidRPr="003322B3">
        <w:rPr>
          <w:rFonts w:ascii="Arial" w:eastAsia="Arial" w:hAnsi="Arial" w:cs="Arial"/>
          <w:color w:val="000000" w:themeColor="text1"/>
          <w:kern w:val="0"/>
          <w:lang w:eastAsia="en-IN" w:bidi="bn-IN"/>
          <w14:ligatures w14:val="none"/>
        </w:rPr>
        <w:t>Ayyildiz</w:t>
      </w:r>
      <w:proofErr w:type="spellEnd"/>
      <w:r w:rsidRPr="003322B3">
        <w:rPr>
          <w:rFonts w:ascii="Arial" w:eastAsia="Arial" w:hAnsi="Arial" w:cs="Arial"/>
          <w:color w:val="000000" w:themeColor="text1"/>
          <w:kern w:val="0"/>
          <w:lang w:eastAsia="en-IN" w:bidi="bn-IN"/>
          <w14:ligatures w14:val="none"/>
        </w:rPr>
        <w:t xml:space="preserve">, A., 2022. An overview of tourism and hospitality scales: Discussion and recommendations. </w:t>
      </w:r>
      <w:r w:rsidRPr="003322B3">
        <w:rPr>
          <w:rFonts w:ascii="Arial" w:eastAsia="Arial" w:hAnsi="Arial" w:cs="Arial"/>
          <w:i/>
          <w:color w:val="000000" w:themeColor="text1"/>
          <w:kern w:val="0"/>
          <w:lang w:eastAsia="en-IN" w:bidi="bn-IN"/>
          <w14:ligatures w14:val="none"/>
        </w:rPr>
        <w:t>Journal of Hospitality and Tourism Insights</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5</w:t>
      </w:r>
      <w:r w:rsidRPr="003322B3">
        <w:rPr>
          <w:rFonts w:ascii="Arial" w:eastAsia="Arial" w:hAnsi="Arial" w:cs="Arial"/>
          <w:color w:val="000000" w:themeColor="text1"/>
          <w:kern w:val="0"/>
          <w:lang w:eastAsia="en-IN" w:bidi="bn-IN"/>
          <w14:ligatures w14:val="none"/>
        </w:rPr>
        <w:t xml:space="preserve">(5), pp.927-949. https://www.emerald.com/insight/content/doi/10.1108/JHTI-06-2021-0147/full/html </w:t>
      </w:r>
    </w:p>
    <w:p w14:paraId="5E73466C"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proofErr w:type="spellStart"/>
      <w:r w:rsidRPr="003322B3">
        <w:rPr>
          <w:rFonts w:ascii="Arial" w:eastAsia="Arial" w:hAnsi="Arial" w:cs="Arial"/>
          <w:color w:val="000000" w:themeColor="text1"/>
          <w:kern w:val="0"/>
          <w:lang w:eastAsia="en-IN" w:bidi="bn-IN"/>
          <w14:ligatures w14:val="none"/>
        </w:rPr>
        <w:t>Madanaguli</w:t>
      </w:r>
      <w:proofErr w:type="spellEnd"/>
      <w:r w:rsidRPr="003322B3">
        <w:rPr>
          <w:rFonts w:ascii="Arial" w:eastAsia="Arial" w:hAnsi="Arial" w:cs="Arial"/>
          <w:color w:val="000000" w:themeColor="text1"/>
          <w:kern w:val="0"/>
          <w:lang w:eastAsia="en-IN" w:bidi="bn-IN"/>
          <w14:ligatures w14:val="none"/>
        </w:rPr>
        <w:t xml:space="preserve">, A., </w:t>
      </w:r>
      <w:proofErr w:type="spellStart"/>
      <w:r w:rsidRPr="003322B3">
        <w:rPr>
          <w:rFonts w:ascii="Arial" w:eastAsia="Arial" w:hAnsi="Arial" w:cs="Arial"/>
          <w:color w:val="000000" w:themeColor="text1"/>
          <w:kern w:val="0"/>
          <w:lang w:eastAsia="en-IN" w:bidi="bn-IN"/>
          <w14:ligatures w14:val="none"/>
        </w:rPr>
        <w:t>Srivastava</w:t>
      </w:r>
      <w:proofErr w:type="spellEnd"/>
      <w:r w:rsidRPr="003322B3">
        <w:rPr>
          <w:rFonts w:ascii="Arial" w:eastAsia="Arial" w:hAnsi="Arial" w:cs="Arial"/>
          <w:color w:val="000000" w:themeColor="text1"/>
          <w:kern w:val="0"/>
          <w:lang w:eastAsia="en-IN" w:bidi="bn-IN"/>
          <w14:ligatures w14:val="none"/>
        </w:rPr>
        <w:t xml:space="preserve">, S., Ferraris, A. and </w:t>
      </w:r>
      <w:proofErr w:type="spellStart"/>
      <w:r w:rsidRPr="003322B3">
        <w:rPr>
          <w:rFonts w:ascii="Arial" w:eastAsia="Arial" w:hAnsi="Arial" w:cs="Arial"/>
          <w:color w:val="000000" w:themeColor="text1"/>
          <w:kern w:val="0"/>
          <w:lang w:eastAsia="en-IN" w:bidi="bn-IN"/>
          <w14:ligatures w14:val="none"/>
        </w:rPr>
        <w:t>Dhir</w:t>
      </w:r>
      <w:proofErr w:type="spellEnd"/>
      <w:r w:rsidRPr="003322B3">
        <w:rPr>
          <w:rFonts w:ascii="Arial" w:eastAsia="Arial" w:hAnsi="Arial" w:cs="Arial"/>
          <w:color w:val="000000" w:themeColor="text1"/>
          <w:kern w:val="0"/>
          <w:lang w:eastAsia="en-IN" w:bidi="bn-IN"/>
          <w14:ligatures w14:val="none"/>
        </w:rPr>
        <w:t xml:space="preserve">, A., 2022. Corporate social responsibility and sustainability in the tourism sector: A systematic literature review and future outlook. </w:t>
      </w:r>
      <w:r w:rsidRPr="003322B3">
        <w:rPr>
          <w:rFonts w:ascii="Arial" w:eastAsia="Arial" w:hAnsi="Arial" w:cs="Arial"/>
          <w:i/>
          <w:color w:val="000000" w:themeColor="text1"/>
          <w:kern w:val="0"/>
          <w:lang w:eastAsia="en-IN" w:bidi="bn-IN"/>
          <w14:ligatures w14:val="none"/>
        </w:rPr>
        <w:t>Sustainable Development</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30</w:t>
      </w:r>
      <w:r w:rsidRPr="003322B3">
        <w:rPr>
          <w:rFonts w:ascii="Arial" w:eastAsia="Arial" w:hAnsi="Arial" w:cs="Arial"/>
          <w:color w:val="000000" w:themeColor="text1"/>
          <w:kern w:val="0"/>
          <w:lang w:eastAsia="en-IN" w:bidi="bn-IN"/>
          <w14:ligatures w14:val="none"/>
        </w:rPr>
        <w:t xml:space="preserve">(3), pp.447-461. https://onlinelibrary.wiley.com/doi/pdfdirect/10.1002/sd.2258 </w:t>
      </w:r>
    </w:p>
    <w:p w14:paraId="07619187"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r w:rsidRPr="003322B3">
        <w:rPr>
          <w:rFonts w:ascii="Arial" w:eastAsia="Arial" w:hAnsi="Arial" w:cs="Arial"/>
          <w:color w:val="000000" w:themeColor="text1"/>
          <w:kern w:val="0"/>
          <w:lang w:eastAsia="en-IN" w:bidi="bn-IN"/>
          <w14:ligatures w14:val="none"/>
        </w:rPr>
        <w:t xml:space="preserve">Marriott International, 2023. </w:t>
      </w:r>
      <w:r w:rsidRPr="003322B3">
        <w:rPr>
          <w:rFonts w:ascii="Arial" w:eastAsia="Arial" w:hAnsi="Arial" w:cs="Arial"/>
          <w:i/>
          <w:color w:val="000000" w:themeColor="text1"/>
          <w:kern w:val="0"/>
          <w:lang w:eastAsia="en-IN" w:bidi="bn-IN"/>
          <w14:ligatures w14:val="none"/>
        </w:rPr>
        <w:t>2023 SERVE 360 REPORT: ENVIRONMENTAL, SOCIAL, AND GOVERNANCE PROGRESS</w:t>
      </w:r>
      <w:r w:rsidRPr="003322B3">
        <w:rPr>
          <w:rFonts w:ascii="Arial" w:eastAsia="Arial" w:hAnsi="Arial" w:cs="Arial"/>
          <w:color w:val="000000" w:themeColor="text1"/>
          <w:kern w:val="0"/>
          <w:lang w:eastAsia="en-IN" w:bidi="bn-IN"/>
          <w14:ligatures w14:val="none"/>
        </w:rPr>
        <w:t>. [Online] Available at: https://serve360.marriott.com/wp-content/uploads/2023/06/Marriott-2023-Serve-360-ESG-Report-accessible.pdf.</w:t>
      </w:r>
    </w:p>
    <w:p w14:paraId="451897EC"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r w:rsidRPr="003322B3">
        <w:rPr>
          <w:rFonts w:ascii="Arial" w:eastAsia="Arial" w:hAnsi="Arial" w:cs="Arial"/>
          <w:color w:val="000000" w:themeColor="text1"/>
          <w:kern w:val="0"/>
          <w:lang w:eastAsia="en-IN" w:bidi="bn-IN"/>
          <w14:ligatures w14:val="none"/>
        </w:rPr>
        <w:lastRenderedPageBreak/>
        <w:t xml:space="preserve">Marriott International, 2024. </w:t>
      </w:r>
      <w:r w:rsidRPr="003322B3">
        <w:rPr>
          <w:rFonts w:ascii="Arial" w:eastAsia="Arial" w:hAnsi="Arial" w:cs="Arial"/>
          <w:i/>
          <w:color w:val="000000" w:themeColor="text1"/>
          <w:kern w:val="0"/>
          <w:lang w:eastAsia="en-IN" w:bidi="bn-IN"/>
          <w14:ligatures w14:val="none"/>
        </w:rPr>
        <w:t>2023 Annual Report</w:t>
      </w:r>
      <w:r w:rsidRPr="003322B3">
        <w:rPr>
          <w:rFonts w:ascii="Arial" w:eastAsia="Arial" w:hAnsi="Arial" w:cs="Arial"/>
          <w:color w:val="000000" w:themeColor="text1"/>
          <w:kern w:val="0"/>
          <w:lang w:eastAsia="en-IN" w:bidi="bn-IN"/>
          <w14:ligatures w14:val="none"/>
        </w:rPr>
        <w:t>. [Online] Available at: https://marriott.gcs-web.com/static-files/b82978a6-9d28-4e38-9855-fc4ae2cebe11.</w:t>
      </w:r>
    </w:p>
    <w:p w14:paraId="5B891532"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r w:rsidRPr="003322B3">
        <w:rPr>
          <w:rFonts w:ascii="Arial" w:eastAsia="Arial" w:hAnsi="Arial" w:cs="Arial"/>
          <w:color w:val="000000" w:themeColor="text1"/>
          <w:kern w:val="0"/>
          <w:lang w:eastAsia="en-IN" w:bidi="bn-IN"/>
          <w14:ligatures w14:val="none"/>
        </w:rPr>
        <w:t xml:space="preserve">Marriott.com, 2019. </w:t>
      </w:r>
      <w:proofErr w:type="spellStart"/>
      <w:r w:rsidRPr="003322B3">
        <w:rPr>
          <w:rFonts w:ascii="Arial" w:eastAsia="Arial" w:hAnsi="Arial" w:cs="Arial"/>
          <w:i/>
          <w:color w:val="000000" w:themeColor="text1"/>
          <w:kern w:val="0"/>
          <w:lang w:eastAsia="en-IN" w:bidi="bn-IN"/>
          <w14:ligatures w14:val="none"/>
        </w:rPr>
        <w:t>csr-marriott</w:t>
      </w:r>
      <w:proofErr w:type="spellEnd"/>
      <w:r w:rsidRPr="003322B3">
        <w:rPr>
          <w:rFonts w:ascii="Arial" w:eastAsia="Arial" w:hAnsi="Arial" w:cs="Arial"/>
          <w:color w:val="000000" w:themeColor="text1"/>
          <w:kern w:val="0"/>
          <w:lang w:eastAsia="en-IN" w:bidi="bn-IN"/>
          <w14:ligatures w14:val="none"/>
        </w:rPr>
        <w:t>. [Online] Available at: https://serve360.marriott.com/ [Accessed 6 May 2024].</w:t>
      </w:r>
    </w:p>
    <w:p w14:paraId="34FEFE8C" w14:textId="77777777" w:rsidR="003322B3" w:rsidRPr="003322B3" w:rsidRDefault="003322B3" w:rsidP="003322B3">
      <w:pPr>
        <w:spacing w:before="200" w:after="200" w:line="360" w:lineRule="auto"/>
        <w:jc w:val="both"/>
        <w:rPr>
          <w:rFonts w:ascii="Arial" w:eastAsia="Arial" w:hAnsi="Arial" w:cs="Arial"/>
          <w:color w:val="000000" w:themeColor="text1"/>
          <w:kern w:val="0"/>
          <w:lang w:eastAsia="en-IN" w:bidi="bn-IN"/>
          <w14:ligatures w14:val="none"/>
        </w:rPr>
      </w:pPr>
      <w:r w:rsidRPr="003322B3">
        <w:rPr>
          <w:rFonts w:ascii="Arial" w:eastAsia="Arial" w:hAnsi="Arial" w:cs="Arial"/>
          <w:color w:val="000000" w:themeColor="text1"/>
          <w:kern w:val="0"/>
          <w:lang w:eastAsia="en-IN" w:bidi="bn-IN"/>
          <w14:ligatures w14:val="none"/>
        </w:rPr>
        <w:t>Peña</w:t>
      </w:r>
      <w:r w:rsidRPr="003322B3">
        <w:rPr>
          <w:rFonts w:ascii="Cambria Math" w:eastAsia="Arial" w:hAnsi="Cambria Math" w:cs="Cambria Math"/>
          <w:color w:val="000000" w:themeColor="text1"/>
          <w:kern w:val="0"/>
          <w:lang w:eastAsia="en-IN" w:bidi="bn-IN"/>
          <w14:ligatures w14:val="none"/>
        </w:rPr>
        <w:t>‐</w:t>
      </w:r>
      <w:r w:rsidRPr="003322B3">
        <w:rPr>
          <w:rFonts w:ascii="Arial" w:eastAsia="Arial" w:hAnsi="Arial" w:cs="Arial"/>
          <w:color w:val="000000" w:themeColor="text1"/>
          <w:kern w:val="0"/>
          <w:lang w:eastAsia="en-IN" w:bidi="bn-IN"/>
          <w14:ligatures w14:val="none"/>
        </w:rPr>
        <w:t>Miranda, D.D., Guevara</w:t>
      </w:r>
      <w:r w:rsidRPr="003322B3">
        <w:rPr>
          <w:rFonts w:ascii="Cambria Math" w:eastAsia="Arial" w:hAnsi="Cambria Math" w:cs="Cambria Math"/>
          <w:color w:val="000000" w:themeColor="text1"/>
          <w:kern w:val="0"/>
          <w:lang w:eastAsia="en-IN" w:bidi="bn-IN"/>
          <w14:ligatures w14:val="none"/>
        </w:rPr>
        <w:t>‐</w:t>
      </w:r>
      <w:r w:rsidRPr="003322B3">
        <w:rPr>
          <w:rFonts w:ascii="Arial" w:eastAsia="Arial" w:hAnsi="Arial" w:cs="Arial"/>
          <w:color w:val="000000" w:themeColor="text1"/>
          <w:kern w:val="0"/>
          <w:lang w:eastAsia="en-IN" w:bidi="bn-IN"/>
          <w14:ligatures w14:val="none"/>
        </w:rPr>
        <w:t xml:space="preserve">Plaza, A., </w:t>
      </w:r>
      <w:proofErr w:type="spellStart"/>
      <w:r w:rsidRPr="003322B3">
        <w:rPr>
          <w:rFonts w:ascii="Arial" w:eastAsia="Arial" w:hAnsi="Arial" w:cs="Arial"/>
          <w:color w:val="000000" w:themeColor="text1"/>
          <w:kern w:val="0"/>
          <w:lang w:eastAsia="en-IN" w:bidi="bn-IN"/>
          <w14:ligatures w14:val="none"/>
        </w:rPr>
        <w:t>Fraiz</w:t>
      </w:r>
      <w:r w:rsidRPr="003322B3">
        <w:rPr>
          <w:rFonts w:ascii="Cambria Math" w:eastAsia="Arial" w:hAnsi="Cambria Math" w:cs="Cambria Math"/>
          <w:color w:val="000000" w:themeColor="text1"/>
          <w:kern w:val="0"/>
          <w:lang w:eastAsia="en-IN" w:bidi="bn-IN"/>
          <w14:ligatures w14:val="none"/>
        </w:rPr>
        <w:t>‐</w:t>
      </w:r>
      <w:r w:rsidRPr="003322B3">
        <w:rPr>
          <w:rFonts w:ascii="Arial" w:eastAsia="Arial" w:hAnsi="Arial" w:cs="Arial"/>
          <w:color w:val="000000" w:themeColor="text1"/>
          <w:kern w:val="0"/>
          <w:lang w:eastAsia="en-IN" w:bidi="bn-IN"/>
          <w14:ligatures w14:val="none"/>
        </w:rPr>
        <w:t>Brea</w:t>
      </w:r>
      <w:proofErr w:type="spellEnd"/>
      <w:r w:rsidRPr="003322B3">
        <w:rPr>
          <w:rFonts w:ascii="Arial" w:eastAsia="Arial" w:hAnsi="Arial" w:cs="Arial"/>
          <w:color w:val="000000" w:themeColor="text1"/>
          <w:kern w:val="0"/>
          <w:lang w:eastAsia="en-IN" w:bidi="bn-IN"/>
          <w14:ligatures w14:val="none"/>
        </w:rPr>
        <w:t xml:space="preserve">, J.A. and Camilleri, M.A., 2022. Corporate social responsibility model for a competitive and resilient hospitality industry. </w:t>
      </w:r>
      <w:r w:rsidRPr="003322B3">
        <w:rPr>
          <w:rFonts w:ascii="Arial" w:eastAsia="Arial" w:hAnsi="Arial" w:cs="Arial"/>
          <w:i/>
          <w:color w:val="000000" w:themeColor="text1"/>
          <w:kern w:val="0"/>
          <w:lang w:eastAsia="en-IN" w:bidi="bn-IN"/>
          <w14:ligatures w14:val="none"/>
        </w:rPr>
        <w:t>Sustainable Development</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30</w:t>
      </w:r>
      <w:r w:rsidRPr="003322B3">
        <w:rPr>
          <w:rFonts w:ascii="Arial" w:eastAsia="Arial" w:hAnsi="Arial" w:cs="Arial"/>
          <w:color w:val="000000" w:themeColor="text1"/>
          <w:kern w:val="0"/>
          <w:lang w:eastAsia="en-IN" w:bidi="bn-IN"/>
          <w14:ligatures w14:val="none"/>
        </w:rPr>
        <w:t xml:space="preserve">(3), pp.433-446.https://onlinelibrary.wiley.com/doi/abs/10.1002/sd.2259 </w:t>
      </w:r>
    </w:p>
    <w:p w14:paraId="35782377" w14:textId="77777777" w:rsidR="003322B3" w:rsidRPr="003322B3" w:rsidRDefault="003322B3" w:rsidP="003322B3">
      <w:pPr>
        <w:spacing w:before="200" w:after="200" w:line="360" w:lineRule="auto"/>
        <w:jc w:val="both"/>
        <w:rPr>
          <w:rFonts w:ascii="Arial" w:eastAsia="Arial" w:hAnsi="Arial" w:cs="Arial"/>
          <w:color w:val="000000" w:themeColor="text1"/>
          <w:kern w:val="0"/>
          <w:lang w:eastAsia="en-IN" w:bidi="bn-IN"/>
          <w14:ligatures w14:val="none"/>
        </w:rPr>
      </w:pPr>
      <w:proofErr w:type="spellStart"/>
      <w:r w:rsidRPr="003322B3">
        <w:rPr>
          <w:rFonts w:ascii="Arial" w:eastAsia="Arial" w:hAnsi="Arial" w:cs="Arial"/>
          <w:color w:val="000000" w:themeColor="text1"/>
          <w:kern w:val="0"/>
          <w:lang w:eastAsia="en-IN" w:bidi="bn-IN"/>
          <w14:ligatures w14:val="none"/>
        </w:rPr>
        <w:t>Statista</w:t>
      </w:r>
      <w:proofErr w:type="spellEnd"/>
      <w:r w:rsidRPr="003322B3">
        <w:rPr>
          <w:rFonts w:ascii="Arial" w:eastAsia="Arial" w:hAnsi="Arial" w:cs="Arial"/>
          <w:color w:val="000000" w:themeColor="text1"/>
          <w:kern w:val="0"/>
          <w:lang w:eastAsia="en-IN" w:bidi="bn-IN"/>
          <w14:ligatures w14:val="none"/>
        </w:rPr>
        <w:t xml:space="preserve">. 2024. United Kingdom (UK): waste collection industry turnover 2018 | </w:t>
      </w:r>
      <w:proofErr w:type="spellStart"/>
      <w:r w:rsidRPr="003322B3">
        <w:rPr>
          <w:rFonts w:ascii="Arial" w:eastAsia="Arial" w:hAnsi="Arial" w:cs="Arial"/>
          <w:color w:val="000000" w:themeColor="text1"/>
          <w:kern w:val="0"/>
          <w:lang w:eastAsia="en-IN" w:bidi="bn-IN"/>
          <w14:ligatures w14:val="none"/>
        </w:rPr>
        <w:t>Statista</w:t>
      </w:r>
      <w:proofErr w:type="spellEnd"/>
      <w:r w:rsidRPr="003322B3">
        <w:rPr>
          <w:rFonts w:ascii="Arial" w:eastAsia="Arial" w:hAnsi="Arial" w:cs="Arial"/>
          <w:color w:val="000000" w:themeColor="text1"/>
          <w:kern w:val="0"/>
          <w:lang w:eastAsia="en-IN" w:bidi="bn-IN"/>
          <w14:ligatures w14:val="none"/>
        </w:rPr>
        <w:t>. [Online] Available at: https://www.statista.com/statistics/430087/turnover-waste-collection-industry-united-kingdom/ [Accessed 6 May 2024].</w:t>
      </w:r>
    </w:p>
    <w:p w14:paraId="5CF56791" w14:textId="77777777" w:rsidR="003322B3" w:rsidRPr="003322B3" w:rsidRDefault="003322B3" w:rsidP="003322B3">
      <w:pPr>
        <w:spacing w:before="200" w:after="240" w:line="360" w:lineRule="auto"/>
        <w:jc w:val="both"/>
        <w:rPr>
          <w:rFonts w:ascii="Arial" w:eastAsia="Arial" w:hAnsi="Arial" w:cs="Arial"/>
          <w:color w:val="000000" w:themeColor="text1"/>
          <w:kern w:val="0"/>
          <w:lang w:eastAsia="en-IN" w:bidi="bn-IN"/>
          <w14:ligatures w14:val="none"/>
        </w:rPr>
      </w:pPr>
      <w:proofErr w:type="spellStart"/>
      <w:r w:rsidRPr="003322B3">
        <w:rPr>
          <w:rFonts w:ascii="Arial" w:eastAsia="Arial" w:hAnsi="Arial" w:cs="Arial"/>
          <w:color w:val="000000" w:themeColor="text1"/>
          <w:kern w:val="0"/>
          <w:lang w:eastAsia="en-IN" w:bidi="bn-IN"/>
          <w14:ligatures w14:val="none"/>
        </w:rPr>
        <w:t>Viglia</w:t>
      </w:r>
      <w:proofErr w:type="spellEnd"/>
      <w:r w:rsidRPr="003322B3">
        <w:rPr>
          <w:rFonts w:ascii="Arial" w:eastAsia="Arial" w:hAnsi="Arial" w:cs="Arial"/>
          <w:color w:val="000000" w:themeColor="text1"/>
          <w:kern w:val="0"/>
          <w:lang w:eastAsia="en-IN" w:bidi="bn-IN"/>
          <w14:ligatures w14:val="none"/>
        </w:rPr>
        <w:t xml:space="preserve">, G. and </w:t>
      </w:r>
      <w:proofErr w:type="spellStart"/>
      <w:r w:rsidRPr="003322B3">
        <w:rPr>
          <w:rFonts w:ascii="Arial" w:eastAsia="Arial" w:hAnsi="Arial" w:cs="Arial"/>
          <w:color w:val="000000" w:themeColor="text1"/>
          <w:kern w:val="0"/>
          <w:lang w:eastAsia="en-IN" w:bidi="bn-IN"/>
          <w14:ligatures w14:val="none"/>
        </w:rPr>
        <w:t>Dolnicar</w:t>
      </w:r>
      <w:proofErr w:type="spellEnd"/>
      <w:r w:rsidRPr="003322B3">
        <w:rPr>
          <w:rFonts w:ascii="Arial" w:eastAsia="Arial" w:hAnsi="Arial" w:cs="Arial"/>
          <w:color w:val="000000" w:themeColor="text1"/>
          <w:kern w:val="0"/>
          <w:lang w:eastAsia="en-IN" w:bidi="bn-IN"/>
          <w14:ligatures w14:val="none"/>
        </w:rPr>
        <w:t xml:space="preserve">, S., 2020. A review of experiments in tourism and hospitality. </w:t>
      </w:r>
      <w:r w:rsidRPr="003322B3">
        <w:rPr>
          <w:rFonts w:ascii="Arial" w:eastAsia="Arial" w:hAnsi="Arial" w:cs="Arial"/>
          <w:i/>
          <w:color w:val="000000" w:themeColor="text1"/>
          <w:kern w:val="0"/>
          <w:lang w:eastAsia="en-IN" w:bidi="bn-IN"/>
          <w14:ligatures w14:val="none"/>
        </w:rPr>
        <w:t>Annals of Tourism Research</w:t>
      </w:r>
      <w:r w:rsidRPr="003322B3">
        <w:rPr>
          <w:rFonts w:ascii="Arial" w:eastAsia="Arial" w:hAnsi="Arial" w:cs="Arial"/>
          <w:color w:val="000000" w:themeColor="text1"/>
          <w:kern w:val="0"/>
          <w:lang w:eastAsia="en-IN" w:bidi="bn-IN"/>
          <w14:ligatures w14:val="none"/>
        </w:rPr>
        <w:t xml:space="preserve">, </w:t>
      </w:r>
      <w:r w:rsidRPr="003322B3">
        <w:rPr>
          <w:rFonts w:ascii="Arial" w:eastAsia="Arial" w:hAnsi="Arial" w:cs="Arial"/>
          <w:i/>
          <w:color w:val="000000" w:themeColor="text1"/>
          <w:kern w:val="0"/>
          <w:lang w:eastAsia="en-IN" w:bidi="bn-IN"/>
          <w14:ligatures w14:val="none"/>
        </w:rPr>
        <w:t>80</w:t>
      </w:r>
      <w:r w:rsidRPr="003322B3">
        <w:rPr>
          <w:rFonts w:ascii="Arial" w:eastAsia="Arial" w:hAnsi="Arial" w:cs="Arial"/>
          <w:color w:val="000000" w:themeColor="text1"/>
          <w:kern w:val="0"/>
          <w:lang w:eastAsia="en-IN" w:bidi="bn-IN"/>
          <w14:ligatures w14:val="none"/>
        </w:rPr>
        <w:t xml:space="preserve">. https://researchportal.port.ac.uk/files/18807232/VIGLIA_2020_cright_ATR_A_review_of_experiments_in_tourism_and_hospitality.pdf </w:t>
      </w:r>
    </w:p>
    <w:p w14:paraId="768E3E3F" w14:textId="77777777" w:rsidR="003322B3" w:rsidRDefault="003322B3"/>
    <w:sectPr w:rsidR="003322B3" w:rsidSect="003322B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7176A" w14:textId="77777777" w:rsidR="00973928" w:rsidRDefault="00973928">
      <w:pPr>
        <w:spacing w:after="0" w:line="240" w:lineRule="auto"/>
      </w:pPr>
      <w:r>
        <w:separator/>
      </w:r>
    </w:p>
  </w:endnote>
  <w:endnote w:type="continuationSeparator" w:id="0">
    <w:p w14:paraId="2A17376C" w14:textId="77777777" w:rsidR="00973928" w:rsidRDefault="00973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833293"/>
      <w:docPartObj>
        <w:docPartGallery w:val="Page Numbers (Bottom of Page)"/>
        <w:docPartUnique/>
      </w:docPartObj>
    </w:sdtPr>
    <w:sdtEndPr>
      <w:rPr>
        <w:noProof/>
        <w:sz w:val="22"/>
        <w:szCs w:val="22"/>
      </w:rPr>
    </w:sdtEndPr>
    <w:sdtContent>
      <w:p w14:paraId="4D930FA0" w14:textId="77777777" w:rsidR="00F174E6" w:rsidRPr="00647CC4" w:rsidRDefault="00F174E6">
        <w:pPr>
          <w:pStyle w:val="Footer"/>
          <w:jc w:val="right"/>
          <w:rPr>
            <w:sz w:val="22"/>
            <w:szCs w:val="22"/>
          </w:rPr>
        </w:pPr>
        <w:r w:rsidRPr="00647CC4">
          <w:rPr>
            <w:sz w:val="22"/>
            <w:szCs w:val="22"/>
          </w:rPr>
          <w:fldChar w:fldCharType="begin"/>
        </w:r>
        <w:r w:rsidRPr="00647CC4">
          <w:rPr>
            <w:sz w:val="22"/>
            <w:szCs w:val="22"/>
          </w:rPr>
          <w:instrText xml:space="preserve"> PAGE   \* MERGEFORMAT </w:instrText>
        </w:r>
        <w:r w:rsidRPr="00647CC4">
          <w:rPr>
            <w:sz w:val="22"/>
            <w:szCs w:val="22"/>
          </w:rPr>
          <w:fldChar w:fldCharType="separate"/>
        </w:r>
        <w:r>
          <w:rPr>
            <w:noProof/>
            <w:sz w:val="22"/>
            <w:szCs w:val="22"/>
          </w:rPr>
          <w:t>1</w:t>
        </w:r>
        <w:r w:rsidRPr="00647CC4">
          <w:rPr>
            <w:noProof/>
            <w:sz w:val="22"/>
            <w:szCs w:val="22"/>
          </w:rPr>
          <w:fldChar w:fldCharType="end"/>
        </w:r>
      </w:p>
    </w:sdtContent>
  </w:sdt>
  <w:p w14:paraId="1DCB40D3" w14:textId="77777777" w:rsidR="00F174E6" w:rsidRDefault="00F17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7B3CD" w14:textId="77777777" w:rsidR="00973928" w:rsidRDefault="00973928">
      <w:pPr>
        <w:spacing w:after="0" w:line="240" w:lineRule="auto"/>
      </w:pPr>
      <w:r>
        <w:separator/>
      </w:r>
    </w:p>
  </w:footnote>
  <w:footnote w:type="continuationSeparator" w:id="0">
    <w:p w14:paraId="33429276" w14:textId="77777777" w:rsidR="00973928" w:rsidRDefault="009739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2B3"/>
    <w:rsid w:val="0013283F"/>
    <w:rsid w:val="003322B3"/>
    <w:rsid w:val="003A4338"/>
    <w:rsid w:val="003F68EF"/>
    <w:rsid w:val="00566085"/>
    <w:rsid w:val="00577540"/>
    <w:rsid w:val="007A41B6"/>
    <w:rsid w:val="00973928"/>
    <w:rsid w:val="00A11E66"/>
    <w:rsid w:val="00F17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78FB74"/>
  <w15:chartTrackingRefBased/>
  <w15:docId w15:val="{B4B38407-747E-DB4E-AB34-11FF543E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2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2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2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2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2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2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2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2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2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2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2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2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2B3"/>
    <w:rPr>
      <w:rFonts w:eastAsiaTheme="majorEastAsia" w:cstheme="majorBidi"/>
      <w:color w:val="272727" w:themeColor="text1" w:themeTint="D8"/>
    </w:rPr>
  </w:style>
  <w:style w:type="paragraph" w:styleId="Title">
    <w:name w:val="Title"/>
    <w:basedOn w:val="Normal"/>
    <w:next w:val="Normal"/>
    <w:link w:val="TitleChar"/>
    <w:uiPriority w:val="10"/>
    <w:qFormat/>
    <w:rsid w:val="003322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2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2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2B3"/>
    <w:pPr>
      <w:spacing w:before="160"/>
      <w:jc w:val="center"/>
    </w:pPr>
    <w:rPr>
      <w:i/>
      <w:iCs/>
      <w:color w:val="404040" w:themeColor="text1" w:themeTint="BF"/>
    </w:rPr>
  </w:style>
  <w:style w:type="character" w:customStyle="1" w:styleId="QuoteChar">
    <w:name w:val="Quote Char"/>
    <w:basedOn w:val="DefaultParagraphFont"/>
    <w:link w:val="Quote"/>
    <w:uiPriority w:val="29"/>
    <w:rsid w:val="003322B3"/>
    <w:rPr>
      <w:i/>
      <w:iCs/>
      <w:color w:val="404040" w:themeColor="text1" w:themeTint="BF"/>
    </w:rPr>
  </w:style>
  <w:style w:type="paragraph" w:styleId="ListParagraph">
    <w:name w:val="List Paragraph"/>
    <w:basedOn w:val="Normal"/>
    <w:uiPriority w:val="34"/>
    <w:qFormat/>
    <w:rsid w:val="003322B3"/>
    <w:pPr>
      <w:ind w:left="720"/>
      <w:contextualSpacing/>
    </w:pPr>
  </w:style>
  <w:style w:type="character" w:styleId="IntenseEmphasis">
    <w:name w:val="Intense Emphasis"/>
    <w:basedOn w:val="DefaultParagraphFont"/>
    <w:uiPriority w:val="21"/>
    <w:qFormat/>
    <w:rsid w:val="003322B3"/>
    <w:rPr>
      <w:i/>
      <w:iCs/>
      <w:color w:val="0F4761" w:themeColor="accent1" w:themeShade="BF"/>
    </w:rPr>
  </w:style>
  <w:style w:type="paragraph" w:styleId="IntenseQuote">
    <w:name w:val="Intense Quote"/>
    <w:basedOn w:val="Normal"/>
    <w:next w:val="Normal"/>
    <w:link w:val="IntenseQuoteChar"/>
    <w:uiPriority w:val="30"/>
    <w:qFormat/>
    <w:rsid w:val="00332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2B3"/>
    <w:rPr>
      <w:i/>
      <w:iCs/>
      <w:color w:val="0F4761" w:themeColor="accent1" w:themeShade="BF"/>
    </w:rPr>
  </w:style>
  <w:style w:type="character" w:styleId="IntenseReference">
    <w:name w:val="Intense Reference"/>
    <w:basedOn w:val="DefaultParagraphFont"/>
    <w:uiPriority w:val="32"/>
    <w:qFormat/>
    <w:rsid w:val="003322B3"/>
    <w:rPr>
      <w:b/>
      <w:bCs/>
      <w:smallCaps/>
      <w:color w:val="0F4761" w:themeColor="accent1" w:themeShade="BF"/>
      <w:spacing w:val="5"/>
    </w:rPr>
  </w:style>
  <w:style w:type="paragraph" w:styleId="Footer">
    <w:name w:val="footer"/>
    <w:basedOn w:val="Normal"/>
    <w:link w:val="FooterChar"/>
    <w:uiPriority w:val="99"/>
    <w:unhideWhenUsed/>
    <w:rsid w:val="003322B3"/>
    <w:pPr>
      <w:tabs>
        <w:tab w:val="center" w:pos="4513"/>
        <w:tab w:val="right" w:pos="9026"/>
      </w:tabs>
      <w:spacing w:after="0" w:line="240" w:lineRule="auto"/>
      <w:jc w:val="both"/>
    </w:pPr>
    <w:rPr>
      <w:rFonts w:ascii="Arial" w:eastAsia="Arial" w:hAnsi="Arial" w:cs="Arial"/>
      <w:kern w:val="0"/>
      <w:szCs w:val="30"/>
      <w:lang w:val="en-IN" w:eastAsia="en-IN" w:bidi="bn-IN"/>
      <w14:ligatures w14:val="none"/>
    </w:rPr>
  </w:style>
  <w:style w:type="character" w:customStyle="1" w:styleId="FooterChar">
    <w:name w:val="Footer Char"/>
    <w:basedOn w:val="DefaultParagraphFont"/>
    <w:link w:val="Footer"/>
    <w:uiPriority w:val="99"/>
    <w:rsid w:val="003322B3"/>
    <w:rPr>
      <w:rFonts w:ascii="Arial" w:eastAsia="Arial" w:hAnsi="Arial" w:cs="Arial"/>
      <w:kern w:val="0"/>
      <w:szCs w:val="30"/>
      <w:lang w:val="en-IN" w:eastAsia="en-IN"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2612</Words>
  <Characters>14894</Characters>
  <Application>Microsoft Office Word</Application>
  <DocSecurity>0</DocSecurity>
  <Lines>124</Lines>
  <Paragraphs>34</Paragraphs>
  <ScaleCrop>false</ScaleCrop>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Maria Vladoi (2207143)</dc:creator>
  <cp:keywords/>
  <dc:description/>
  <cp:lastModifiedBy>Daniela Maria Vladoi (2207143)</cp:lastModifiedBy>
  <cp:revision>6</cp:revision>
  <dcterms:created xsi:type="dcterms:W3CDTF">2024-05-13T09:15:00Z</dcterms:created>
  <dcterms:modified xsi:type="dcterms:W3CDTF">2024-05-13T09:51:00Z</dcterms:modified>
</cp:coreProperties>
</file>