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730E7B" w14:textId="3C17DAE4" w:rsidR="00B151A8" w:rsidRPr="00C07877" w:rsidRDefault="00C07877" w:rsidP="00C07877">
      <w:pPr>
        <w:spacing w:line="360" w:lineRule="auto"/>
        <w:jc w:val="center"/>
        <w:rPr>
          <w:rFonts w:ascii="Arial" w:hAnsi="Arial" w:cs="Arial"/>
          <w:b/>
          <w:bCs/>
          <w:sz w:val="24"/>
          <w:szCs w:val="24"/>
        </w:rPr>
      </w:pPr>
      <w:r w:rsidRPr="00C07877">
        <w:rPr>
          <w:rFonts w:ascii="Arial" w:hAnsi="Arial" w:cs="Arial"/>
          <w:b/>
          <w:bCs/>
          <w:sz w:val="24"/>
          <w:szCs w:val="24"/>
        </w:rPr>
        <w:t>Financial Management for the Hotel Industry</w:t>
      </w:r>
    </w:p>
    <w:p w14:paraId="638831EF" w14:textId="227F370E" w:rsidR="00C07877" w:rsidRPr="00C07877" w:rsidRDefault="00C07877" w:rsidP="00C07877">
      <w:pPr>
        <w:spacing w:line="360" w:lineRule="auto"/>
        <w:jc w:val="center"/>
        <w:rPr>
          <w:rFonts w:ascii="Arial" w:hAnsi="Arial" w:cs="Arial"/>
          <w:b/>
          <w:bCs/>
          <w:sz w:val="24"/>
          <w:szCs w:val="24"/>
        </w:rPr>
      </w:pPr>
      <w:r w:rsidRPr="00C07877">
        <w:rPr>
          <w:rFonts w:ascii="Arial" w:hAnsi="Arial" w:cs="Arial"/>
          <w:b/>
          <w:bCs/>
          <w:sz w:val="24"/>
          <w:szCs w:val="24"/>
        </w:rPr>
        <w:t>BMIH5007</w:t>
      </w:r>
    </w:p>
    <w:p w14:paraId="304FA28F" w14:textId="43EB0065" w:rsidR="00C07877" w:rsidRDefault="00C07877" w:rsidP="00C07877">
      <w:pPr>
        <w:spacing w:line="360" w:lineRule="auto"/>
        <w:jc w:val="center"/>
        <w:rPr>
          <w:rFonts w:ascii="Arial" w:hAnsi="Arial" w:cs="Arial"/>
          <w:b/>
          <w:bCs/>
          <w:sz w:val="24"/>
          <w:szCs w:val="24"/>
        </w:rPr>
      </w:pPr>
      <w:r w:rsidRPr="00C07877">
        <w:rPr>
          <w:rFonts w:ascii="Arial" w:hAnsi="Arial" w:cs="Arial"/>
          <w:b/>
          <w:bCs/>
          <w:sz w:val="24"/>
          <w:szCs w:val="24"/>
        </w:rPr>
        <w:t>Module Lead:</w:t>
      </w:r>
      <w:r w:rsidRPr="00C07877">
        <w:rPr>
          <w:rFonts w:ascii="Arial" w:hAnsi="Arial" w:cs="Arial"/>
          <w:b/>
          <w:bCs/>
          <w:sz w:val="24"/>
          <w:szCs w:val="24"/>
        </w:rPr>
        <w:t xml:space="preserve"> </w:t>
      </w:r>
      <w:r w:rsidRPr="00C07877">
        <w:rPr>
          <w:rFonts w:ascii="Arial" w:hAnsi="Arial" w:cs="Arial"/>
          <w:b/>
          <w:bCs/>
          <w:sz w:val="24"/>
          <w:szCs w:val="24"/>
        </w:rPr>
        <w:t>Tristan Hawkins</w:t>
      </w:r>
    </w:p>
    <w:p w14:paraId="60487495" w14:textId="77777777" w:rsidR="00C07877" w:rsidRDefault="00C07877" w:rsidP="00C07877">
      <w:pPr>
        <w:spacing w:line="360" w:lineRule="auto"/>
        <w:jc w:val="center"/>
        <w:rPr>
          <w:rFonts w:ascii="Arial" w:hAnsi="Arial" w:cs="Arial"/>
          <w:b/>
          <w:bCs/>
          <w:sz w:val="24"/>
          <w:szCs w:val="24"/>
        </w:rPr>
      </w:pPr>
    </w:p>
    <w:p w14:paraId="56E2D294" w14:textId="77777777" w:rsidR="00C07877" w:rsidRDefault="00C07877" w:rsidP="00C07877">
      <w:pPr>
        <w:spacing w:line="360" w:lineRule="auto"/>
        <w:jc w:val="center"/>
        <w:rPr>
          <w:rFonts w:ascii="Arial" w:hAnsi="Arial" w:cs="Arial"/>
          <w:b/>
          <w:bCs/>
          <w:sz w:val="24"/>
          <w:szCs w:val="24"/>
        </w:rPr>
      </w:pPr>
    </w:p>
    <w:p w14:paraId="04E8DA68" w14:textId="77777777" w:rsidR="00C07877" w:rsidRDefault="00C07877" w:rsidP="00C07877">
      <w:pPr>
        <w:spacing w:line="360" w:lineRule="auto"/>
        <w:jc w:val="center"/>
        <w:rPr>
          <w:rFonts w:ascii="Arial" w:hAnsi="Arial" w:cs="Arial"/>
          <w:b/>
          <w:bCs/>
          <w:sz w:val="24"/>
          <w:szCs w:val="24"/>
        </w:rPr>
      </w:pPr>
    </w:p>
    <w:p w14:paraId="11F27966" w14:textId="430B92FC" w:rsidR="00C07877" w:rsidRDefault="00C07877" w:rsidP="00C07877">
      <w:pPr>
        <w:spacing w:line="360" w:lineRule="auto"/>
        <w:jc w:val="center"/>
        <w:rPr>
          <w:rFonts w:ascii="Arial" w:hAnsi="Arial" w:cs="Arial"/>
          <w:b/>
          <w:bCs/>
          <w:sz w:val="24"/>
          <w:szCs w:val="24"/>
        </w:rPr>
      </w:pPr>
      <w:r w:rsidRPr="00C07877">
        <w:rPr>
          <w:rFonts w:ascii="Arial" w:hAnsi="Arial" w:cs="Arial"/>
          <w:b/>
          <w:bCs/>
          <w:sz w:val="24"/>
          <w:szCs w:val="24"/>
        </w:rPr>
        <w:t>Report Case Study: The City Hotel</w:t>
      </w:r>
    </w:p>
    <w:p w14:paraId="1A1A1041" w14:textId="276DF229" w:rsidR="00C07877" w:rsidRDefault="00C07877" w:rsidP="00C07877">
      <w:pPr>
        <w:spacing w:line="360" w:lineRule="auto"/>
        <w:jc w:val="center"/>
        <w:rPr>
          <w:rFonts w:ascii="Arial" w:hAnsi="Arial" w:cs="Arial"/>
          <w:b/>
          <w:bCs/>
          <w:sz w:val="24"/>
          <w:szCs w:val="24"/>
        </w:rPr>
      </w:pPr>
      <w:r>
        <w:rPr>
          <w:rFonts w:ascii="Arial" w:hAnsi="Arial" w:cs="Arial"/>
          <w:b/>
          <w:bCs/>
          <w:sz w:val="24"/>
          <w:szCs w:val="24"/>
        </w:rPr>
        <w:t>Student name:</w:t>
      </w:r>
      <w:r w:rsidR="0039083B">
        <w:rPr>
          <w:rFonts w:ascii="Arial" w:hAnsi="Arial" w:cs="Arial"/>
          <w:b/>
          <w:bCs/>
          <w:sz w:val="24"/>
          <w:szCs w:val="24"/>
        </w:rPr>
        <w:t xml:space="preserve"> </w:t>
      </w:r>
      <w:r w:rsidR="0039083B" w:rsidRPr="0039083B">
        <w:rPr>
          <w:rFonts w:ascii="Arial" w:hAnsi="Arial" w:cs="Arial"/>
          <w:b/>
          <w:bCs/>
          <w:sz w:val="24"/>
          <w:szCs w:val="24"/>
        </w:rPr>
        <w:t>Gabriela Iuliana Matei</w:t>
      </w:r>
    </w:p>
    <w:p w14:paraId="0D487225" w14:textId="6F1DF07A" w:rsidR="00C07877" w:rsidRDefault="00C07877" w:rsidP="00C07877">
      <w:pPr>
        <w:spacing w:line="360" w:lineRule="auto"/>
        <w:jc w:val="center"/>
        <w:rPr>
          <w:rFonts w:ascii="Arial" w:hAnsi="Arial" w:cs="Arial"/>
          <w:b/>
          <w:bCs/>
          <w:sz w:val="24"/>
          <w:szCs w:val="24"/>
        </w:rPr>
      </w:pPr>
      <w:r>
        <w:rPr>
          <w:rFonts w:ascii="Arial" w:hAnsi="Arial" w:cs="Arial"/>
          <w:b/>
          <w:bCs/>
          <w:sz w:val="24"/>
          <w:szCs w:val="24"/>
        </w:rPr>
        <w:t>Student id:</w:t>
      </w:r>
      <w:r w:rsidR="0039083B">
        <w:rPr>
          <w:rFonts w:ascii="Arial" w:hAnsi="Arial" w:cs="Arial"/>
          <w:b/>
          <w:bCs/>
          <w:sz w:val="24"/>
          <w:szCs w:val="24"/>
        </w:rPr>
        <w:t xml:space="preserve"> </w:t>
      </w:r>
      <w:r w:rsidR="0039083B" w:rsidRPr="0039083B">
        <w:rPr>
          <w:rFonts w:ascii="Arial" w:hAnsi="Arial" w:cs="Arial"/>
          <w:b/>
          <w:bCs/>
          <w:sz w:val="24"/>
          <w:szCs w:val="24"/>
        </w:rPr>
        <w:t>2126974</w:t>
      </w:r>
    </w:p>
    <w:p w14:paraId="3F9AE7D2" w14:textId="77777777" w:rsidR="00C07877" w:rsidRDefault="00C07877" w:rsidP="00C07877">
      <w:pPr>
        <w:spacing w:line="360" w:lineRule="auto"/>
        <w:jc w:val="center"/>
        <w:rPr>
          <w:rFonts w:ascii="Arial" w:hAnsi="Arial" w:cs="Arial"/>
          <w:b/>
          <w:bCs/>
          <w:sz w:val="24"/>
          <w:szCs w:val="24"/>
        </w:rPr>
      </w:pPr>
    </w:p>
    <w:p w14:paraId="3234A72C" w14:textId="77777777" w:rsidR="00C07877" w:rsidRDefault="00C07877" w:rsidP="00C07877">
      <w:pPr>
        <w:spacing w:line="360" w:lineRule="auto"/>
        <w:jc w:val="center"/>
        <w:rPr>
          <w:rFonts w:ascii="Arial" w:hAnsi="Arial" w:cs="Arial"/>
          <w:b/>
          <w:bCs/>
          <w:sz w:val="24"/>
          <w:szCs w:val="24"/>
        </w:rPr>
      </w:pPr>
    </w:p>
    <w:p w14:paraId="37B2FBAE" w14:textId="77777777" w:rsidR="00C07877" w:rsidRDefault="00C07877" w:rsidP="00C07877">
      <w:pPr>
        <w:spacing w:line="360" w:lineRule="auto"/>
        <w:jc w:val="center"/>
        <w:rPr>
          <w:rFonts w:ascii="Arial" w:hAnsi="Arial" w:cs="Arial"/>
          <w:b/>
          <w:bCs/>
          <w:sz w:val="24"/>
          <w:szCs w:val="24"/>
        </w:rPr>
      </w:pPr>
    </w:p>
    <w:p w14:paraId="600F34BC" w14:textId="77777777" w:rsidR="00C07877" w:rsidRDefault="00C07877" w:rsidP="00C07877">
      <w:pPr>
        <w:spacing w:line="360" w:lineRule="auto"/>
        <w:jc w:val="center"/>
        <w:rPr>
          <w:rFonts w:ascii="Arial" w:hAnsi="Arial" w:cs="Arial"/>
          <w:b/>
          <w:bCs/>
          <w:sz w:val="24"/>
          <w:szCs w:val="24"/>
        </w:rPr>
      </w:pPr>
    </w:p>
    <w:p w14:paraId="0230E6E1" w14:textId="77777777" w:rsidR="00C07877" w:rsidRDefault="00C07877" w:rsidP="00C07877">
      <w:pPr>
        <w:spacing w:line="360" w:lineRule="auto"/>
        <w:jc w:val="center"/>
        <w:rPr>
          <w:rFonts w:ascii="Arial" w:hAnsi="Arial" w:cs="Arial"/>
          <w:b/>
          <w:bCs/>
          <w:sz w:val="24"/>
          <w:szCs w:val="24"/>
        </w:rPr>
      </w:pPr>
    </w:p>
    <w:p w14:paraId="4D7C0855" w14:textId="77777777" w:rsidR="00C07877" w:rsidRDefault="00C07877" w:rsidP="00C07877">
      <w:pPr>
        <w:spacing w:line="360" w:lineRule="auto"/>
        <w:jc w:val="center"/>
        <w:rPr>
          <w:rFonts w:ascii="Arial" w:hAnsi="Arial" w:cs="Arial"/>
          <w:b/>
          <w:bCs/>
          <w:sz w:val="24"/>
          <w:szCs w:val="24"/>
        </w:rPr>
      </w:pPr>
    </w:p>
    <w:p w14:paraId="205E2661" w14:textId="77777777" w:rsidR="00C07877" w:rsidRDefault="00C07877" w:rsidP="00C07877">
      <w:pPr>
        <w:spacing w:line="360" w:lineRule="auto"/>
        <w:jc w:val="center"/>
        <w:rPr>
          <w:rFonts w:ascii="Arial" w:hAnsi="Arial" w:cs="Arial"/>
          <w:b/>
          <w:bCs/>
          <w:sz w:val="24"/>
          <w:szCs w:val="24"/>
        </w:rPr>
      </w:pPr>
    </w:p>
    <w:p w14:paraId="48197BAF" w14:textId="77777777" w:rsidR="00C07877" w:rsidRDefault="00C07877" w:rsidP="00C07877">
      <w:pPr>
        <w:spacing w:line="360" w:lineRule="auto"/>
        <w:jc w:val="center"/>
        <w:rPr>
          <w:rFonts w:ascii="Arial" w:hAnsi="Arial" w:cs="Arial"/>
          <w:b/>
          <w:bCs/>
          <w:sz w:val="24"/>
          <w:szCs w:val="24"/>
        </w:rPr>
      </w:pPr>
    </w:p>
    <w:p w14:paraId="7430C25A" w14:textId="77777777" w:rsidR="00C07877" w:rsidRDefault="00C07877" w:rsidP="00C07877">
      <w:pPr>
        <w:spacing w:line="360" w:lineRule="auto"/>
        <w:jc w:val="center"/>
        <w:rPr>
          <w:rFonts w:ascii="Arial" w:hAnsi="Arial" w:cs="Arial"/>
          <w:b/>
          <w:bCs/>
          <w:sz w:val="24"/>
          <w:szCs w:val="24"/>
        </w:rPr>
      </w:pPr>
    </w:p>
    <w:p w14:paraId="5842F81D" w14:textId="77777777" w:rsidR="00C07877" w:rsidRDefault="00C07877" w:rsidP="00C07877">
      <w:pPr>
        <w:spacing w:line="360" w:lineRule="auto"/>
        <w:jc w:val="center"/>
        <w:rPr>
          <w:rFonts w:ascii="Arial" w:hAnsi="Arial" w:cs="Arial"/>
          <w:b/>
          <w:bCs/>
          <w:sz w:val="24"/>
          <w:szCs w:val="24"/>
        </w:rPr>
      </w:pPr>
    </w:p>
    <w:p w14:paraId="44396DA0" w14:textId="77777777" w:rsidR="00C07877" w:rsidRDefault="00C07877" w:rsidP="00C07877">
      <w:pPr>
        <w:spacing w:line="360" w:lineRule="auto"/>
        <w:jc w:val="center"/>
        <w:rPr>
          <w:rFonts w:ascii="Arial" w:hAnsi="Arial" w:cs="Arial"/>
          <w:b/>
          <w:bCs/>
          <w:sz w:val="24"/>
          <w:szCs w:val="24"/>
        </w:rPr>
      </w:pPr>
    </w:p>
    <w:p w14:paraId="36044D78" w14:textId="77777777" w:rsidR="00C07877" w:rsidRDefault="00C07877" w:rsidP="00C07877">
      <w:pPr>
        <w:spacing w:line="360" w:lineRule="auto"/>
        <w:jc w:val="center"/>
        <w:rPr>
          <w:rFonts w:ascii="Arial" w:hAnsi="Arial" w:cs="Arial"/>
          <w:b/>
          <w:bCs/>
          <w:sz w:val="24"/>
          <w:szCs w:val="24"/>
        </w:rPr>
      </w:pPr>
    </w:p>
    <w:p w14:paraId="0E20586D" w14:textId="77777777" w:rsidR="00C07877" w:rsidRDefault="00C07877" w:rsidP="00C07877">
      <w:pPr>
        <w:spacing w:line="360" w:lineRule="auto"/>
        <w:jc w:val="center"/>
        <w:rPr>
          <w:rFonts w:ascii="Arial" w:hAnsi="Arial" w:cs="Arial"/>
          <w:b/>
          <w:bCs/>
          <w:sz w:val="24"/>
          <w:szCs w:val="24"/>
        </w:rPr>
      </w:pPr>
    </w:p>
    <w:p w14:paraId="677C82F9" w14:textId="77777777" w:rsidR="00C07877" w:rsidRDefault="00C07877" w:rsidP="00C07877">
      <w:pPr>
        <w:spacing w:line="360" w:lineRule="auto"/>
        <w:jc w:val="center"/>
        <w:rPr>
          <w:rFonts w:ascii="Arial" w:hAnsi="Arial" w:cs="Arial"/>
          <w:b/>
          <w:bCs/>
          <w:sz w:val="24"/>
          <w:szCs w:val="24"/>
        </w:rPr>
      </w:pPr>
    </w:p>
    <w:p w14:paraId="1CAAC25B" w14:textId="77777777" w:rsidR="00C07877" w:rsidRDefault="00C07877" w:rsidP="00C07877">
      <w:pPr>
        <w:spacing w:line="360" w:lineRule="auto"/>
        <w:jc w:val="center"/>
        <w:rPr>
          <w:rFonts w:ascii="Arial" w:hAnsi="Arial" w:cs="Arial"/>
          <w:b/>
          <w:bCs/>
          <w:sz w:val="24"/>
          <w:szCs w:val="24"/>
        </w:rPr>
      </w:pPr>
    </w:p>
    <w:sdt>
      <w:sdtPr>
        <w:id w:val="146076768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B3D47B4" w14:textId="6DF6AE49" w:rsidR="00303251" w:rsidRPr="00303251" w:rsidRDefault="00303251" w:rsidP="00303251">
          <w:pPr>
            <w:pStyle w:val="TOCHeading"/>
            <w:spacing w:line="360" w:lineRule="auto"/>
            <w:jc w:val="both"/>
            <w:rPr>
              <w:rFonts w:ascii="Arial" w:hAnsi="Arial" w:cs="Arial"/>
              <w:b/>
              <w:bCs/>
              <w:color w:val="auto"/>
            </w:rPr>
          </w:pPr>
          <w:r w:rsidRPr="00303251">
            <w:rPr>
              <w:rFonts w:ascii="Arial" w:hAnsi="Arial" w:cs="Arial"/>
              <w:b/>
              <w:bCs/>
              <w:color w:val="auto"/>
            </w:rPr>
            <w:t>Table of Contents</w:t>
          </w:r>
        </w:p>
        <w:p w14:paraId="6649C5DC" w14:textId="63989648" w:rsidR="00303251" w:rsidRPr="00303251" w:rsidRDefault="00303251" w:rsidP="00303251">
          <w:pPr>
            <w:pStyle w:val="TOC1"/>
            <w:tabs>
              <w:tab w:val="left" w:pos="480"/>
              <w:tab w:val="right" w:leader="dot" w:pos="9016"/>
            </w:tabs>
            <w:spacing w:line="360" w:lineRule="auto"/>
            <w:jc w:val="both"/>
            <w:rPr>
              <w:rFonts w:ascii="Arial" w:hAnsi="Arial" w:cs="Arial"/>
              <w:noProof/>
              <w:sz w:val="24"/>
              <w:szCs w:val="24"/>
            </w:rPr>
          </w:pPr>
          <w:r w:rsidRPr="00303251">
            <w:rPr>
              <w:rFonts w:ascii="Arial" w:hAnsi="Arial" w:cs="Arial"/>
              <w:sz w:val="24"/>
              <w:szCs w:val="24"/>
            </w:rPr>
            <w:fldChar w:fldCharType="begin"/>
          </w:r>
          <w:r w:rsidRPr="00303251">
            <w:rPr>
              <w:rFonts w:ascii="Arial" w:hAnsi="Arial" w:cs="Arial"/>
              <w:sz w:val="24"/>
              <w:szCs w:val="24"/>
            </w:rPr>
            <w:instrText xml:space="preserve"> TOC \o "1-3" \h \z \u </w:instrText>
          </w:r>
          <w:r w:rsidRPr="00303251">
            <w:rPr>
              <w:rFonts w:ascii="Arial" w:hAnsi="Arial" w:cs="Arial"/>
              <w:sz w:val="24"/>
              <w:szCs w:val="24"/>
            </w:rPr>
            <w:fldChar w:fldCharType="separate"/>
          </w:r>
          <w:hyperlink w:anchor="_Toc182502072" w:history="1">
            <w:r w:rsidRPr="00303251">
              <w:rPr>
                <w:rStyle w:val="Hyperlink"/>
                <w:rFonts w:ascii="Arial" w:hAnsi="Arial" w:cs="Arial"/>
                <w:noProof/>
                <w:color w:val="auto"/>
                <w:sz w:val="24"/>
                <w:szCs w:val="24"/>
              </w:rPr>
              <w:t>1.</w:t>
            </w:r>
            <w:r w:rsidRPr="00303251">
              <w:rPr>
                <w:rFonts w:ascii="Arial" w:hAnsi="Arial" w:cs="Arial"/>
                <w:noProof/>
                <w:sz w:val="24"/>
                <w:szCs w:val="24"/>
              </w:rPr>
              <w:tab/>
            </w:r>
            <w:r w:rsidRPr="00303251">
              <w:rPr>
                <w:rStyle w:val="Hyperlink"/>
                <w:rFonts w:ascii="Arial" w:hAnsi="Arial" w:cs="Arial"/>
                <w:noProof/>
                <w:color w:val="auto"/>
                <w:sz w:val="24"/>
                <w:szCs w:val="24"/>
              </w:rPr>
              <w:t>Introduction</w:t>
            </w:r>
            <w:r w:rsidRPr="00303251">
              <w:rPr>
                <w:rFonts w:ascii="Arial" w:hAnsi="Arial" w:cs="Arial"/>
                <w:noProof/>
                <w:webHidden/>
                <w:sz w:val="24"/>
                <w:szCs w:val="24"/>
              </w:rPr>
              <w:tab/>
            </w:r>
            <w:r w:rsidRPr="00303251">
              <w:rPr>
                <w:rFonts w:ascii="Arial" w:hAnsi="Arial" w:cs="Arial"/>
                <w:noProof/>
                <w:webHidden/>
                <w:sz w:val="24"/>
                <w:szCs w:val="24"/>
              </w:rPr>
              <w:fldChar w:fldCharType="begin"/>
            </w:r>
            <w:r w:rsidRPr="00303251">
              <w:rPr>
                <w:rFonts w:ascii="Arial" w:hAnsi="Arial" w:cs="Arial"/>
                <w:noProof/>
                <w:webHidden/>
                <w:sz w:val="24"/>
                <w:szCs w:val="24"/>
              </w:rPr>
              <w:instrText xml:space="preserve"> PAGEREF _Toc182502072 \h </w:instrText>
            </w:r>
            <w:r w:rsidRPr="00303251">
              <w:rPr>
                <w:rFonts w:ascii="Arial" w:hAnsi="Arial" w:cs="Arial"/>
                <w:noProof/>
                <w:webHidden/>
                <w:sz w:val="24"/>
                <w:szCs w:val="24"/>
              </w:rPr>
            </w:r>
            <w:r w:rsidRPr="00303251">
              <w:rPr>
                <w:rFonts w:ascii="Arial" w:hAnsi="Arial" w:cs="Arial"/>
                <w:noProof/>
                <w:webHidden/>
                <w:sz w:val="24"/>
                <w:szCs w:val="24"/>
              </w:rPr>
              <w:fldChar w:fldCharType="separate"/>
            </w:r>
            <w:r w:rsidR="0039083B">
              <w:rPr>
                <w:rFonts w:ascii="Arial" w:hAnsi="Arial" w:cs="Arial"/>
                <w:noProof/>
                <w:webHidden/>
                <w:sz w:val="24"/>
                <w:szCs w:val="24"/>
              </w:rPr>
              <w:t>3</w:t>
            </w:r>
            <w:r w:rsidRPr="00303251">
              <w:rPr>
                <w:rFonts w:ascii="Arial" w:hAnsi="Arial" w:cs="Arial"/>
                <w:noProof/>
                <w:webHidden/>
                <w:sz w:val="24"/>
                <w:szCs w:val="24"/>
              </w:rPr>
              <w:fldChar w:fldCharType="end"/>
            </w:r>
          </w:hyperlink>
        </w:p>
        <w:p w14:paraId="37386948" w14:textId="3DB149D2" w:rsidR="00303251" w:rsidRPr="00303251" w:rsidRDefault="00303251" w:rsidP="00303251">
          <w:pPr>
            <w:pStyle w:val="TOC1"/>
            <w:tabs>
              <w:tab w:val="left" w:pos="480"/>
              <w:tab w:val="right" w:leader="dot" w:pos="9016"/>
            </w:tabs>
            <w:spacing w:line="360" w:lineRule="auto"/>
            <w:jc w:val="both"/>
            <w:rPr>
              <w:rFonts w:ascii="Arial" w:hAnsi="Arial" w:cs="Arial"/>
              <w:noProof/>
              <w:sz w:val="24"/>
              <w:szCs w:val="24"/>
            </w:rPr>
          </w:pPr>
          <w:hyperlink w:anchor="_Toc182502073" w:history="1">
            <w:r w:rsidRPr="00303251">
              <w:rPr>
                <w:rStyle w:val="Hyperlink"/>
                <w:rFonts w:ascii="Arial" w:hAnsi="Arial" w:cs="Arial"/>
                <w:noProof/>
                <w:color w:val="auto"/>
                <w:sz w:val="24"/>
                <w:szCs w:val="24"/>
              </w:rPr>
              <w:t>2.</w:t>
            </w:r>
            <w:r w:rsidRPr="00303251">
              <w:rPr>
                <w:rFonts w:ascii="Arial" w:hAnsi="Arial" w:cs="Arial"/>
                <w:noProof/>
                <w:sz w:val="24"/>
                <w:szCs w:val="24"/>
              </w:rPr>
              <w:tab/>
            </w:r>
            <w:r w:rsidRPr="00303251">
              <w:rPr>
                <w:rStyle w:val="Hyperlink"/>
                <w:rFonts w:ascii="Arial" w:hAnsi="Arial" w:cs="Arial"/>
                <w:noProof/>
                <w:color w:val="auto"/>
                <w:sz w:val="24"/>
                <w:szCs w:val="24"/>
              </w:rPr>
              <w:t>Financial Performance Analysis</w:t>
            </w:r>
            <w:r w:rsidRPr="00303251">
              <w:rPr>
                <w:rFonts w:ascii="Arial" w:hAnsi="Arial" w:cs="Arial"/>
                <w:noProof/>
                <w:webHidden/>
                <w:sz w:val="24"/>
                <w:szCs w:val="24"/>
              </w:rPr>
              <w:tab/>
            </w:r>
            <w:r w:rsidRPr="00303251">
              <w:rPr>
                <w:rFonts w:ascii="Arial" w:hAnsi="Arial" w:cs="Arial"/>
                <w:noProof/>
                <w:webHidden/>
                <w:sz w:val="24"/>
                <w:szCs w:val="24"/>
              </w:rPr>
              <w:fldChar w:fldCharType="begin"/>
            </w:r>
            <w:r w:rsidRPr="00303251">
              <w:rPr>
                <w:rFonts w:ascii="Arial" w:hAnsi="Arial" w:cs="Arial"/>
                <w:noProof/>
                <w:webHidden/>
                <w:sz w:val="24"/>
                <w:szCs w:val="24"/>
              </w:rPr>
              <w:instrText xml:space="preserve"> PAGEREF _Toc182502073 \h </w:instrText>
            </w:r>
            <w:r w:rsidRPr="00303251">
              <w:rPr>
                <w:rFonts w:ascii="Arial" w:hAnsi="Arial" w:cs="Arial"/>
                <w:noProof/>
                <w:webHidden/>
                <w:sz w:val="24"/>
                <w:szCs w:val="24"/>
              </w:rPr>
            </w:r>
            <w:r w:rsidRPr="00303251">
              <w:rPr>
                <w:rFonts w:ascii="Arial" w:hAnsi="Arial" w:cs="Arial"/>
                <w:noProof/>
                <w:webHidden/>
                <w:sz w:val="24"/>
                <w:szCs w:val="24"/>
              </w:rPr>
              <w:fldChar w:fldCharType="separate"/>
            </w:r>
            <w:r w:rsidR="0039083B">
              <w:rPr>
                <w:rFonts w:ascii="Arial" w:hAnsi="Arial" w:cs="Arial"/>
                <w:noProof/>
                <w:webHidden/>
                <w:sz w:val="24"/>
                <w:szCs w:val="24"/>
              </w:rPr>
              <w:t>3</w:t>
            </w:r>
            <w:r w:rsidRPr="00303251">
              <w:rPr>
                <w:rFonts w:ascii="Arial" w:hAnsi="Arial" w:cs="Arial"/>
                <w:noProof/>
                <w:webHidden/>
                <w:sz w:val="24"/>
                <w:szCs w:val="24"/>
              </w:rPr>
              <w:fldChar w:fldCharType="end"/>
            </w:r>
          </w:hyperlink>
        </w:p>
        <w:p w14:paraId="0A2BB944" w14:textId="5601FA98" w:rsidR="00303251" w:rsidRPr="00303251" w:rsidRDefault="00303251" w:rsidP="00303251">
          <w:pPr>
            <w:pStyle w:val="TOC1"/>
            <w:tabs>
              <w:tab w:val="left" w:pos="720"/>
              <w:tab w:val="right" w:leader="dot" w:pos="9016"/>
            </w:tabs>
            <w:spacing w:line="360" w:lineRule="auto"/>
            <w:jc w:val="both"/>
            <w:rPr>
              <w:rFonts w:ascii="Arial" w:hAnsi="Arial" w:cs="Arial"/>
              <w:noProof/>
              <w:sz w:val="24"/>
              <w:szCs w:val="24"/>
            </w:rPr>
          </w:pPr>
          <w:hyperlink w:anchor="_Toc182502074" w:history="1">
            <w:r w:rsidRPr="00303251">
              <w:rPr>
                <w:rStyle w:val="Hyperlink"/>
                <w:rFonts w:ascii="Arial" w:hAnsi="Arial" w:cs="Arial"/>
                <w:noProof/>
                <w:color w:val="auto"/>
                <w:sz w:val="24"/>
                <w:szCs w:val="24"/>
              </w:rPr>
              <w:t>2.1.</w:t>
            </w:r>
            <w:r w:rsidRPr="00303251">
              <w:rPr>
                <w:rFonts w:ascii="Arial" w:hAnsi="Arial" w:cs="Arial"/>
                <w:noProof/>
                <w:sz w:val="24"/>
                <w:szCs w:val="24"/>
              </w:rPr>
              <w:tab/>
            </w:r>
            <w:r w:rsidRPr="00303251">
              <w:rPr>
                <w:rStyle w:val="Hyperlink"/>
                <w:rFonts w:ascii="Arial" w:hAnsi="Arial" w:cs="Arial"/>
                <w:noProof/>
                <w:color w:val="auto"/>
                <w:sz w:val="24"/>
                <w:szCs w:val="24"/>
              </w:rPr>
              <w:t>Analysis of the business</w:t>
            </w:r>
            <w:r w:rsidRPr="00303251">
              <w:rPr>
                <w:rFonts w:ascii="Arial" w:hAnsi="Arial" w:cs="Arial"/>
                <w:noProof/>
                <w:webHidden/>
                <w:sz w:val="24"/>
                <w:szCs w:val="24"/>
              </w:rPr>
              <w:tab/>
            </w:r>
            <w:r w:rsidRPr="00303251">
              <w:rPr>
                <w:rFonts w:ascii="Arial" w:hAnsi="Arial" w:cs="Arial"/>
                <w:noProof/>
                <w:webHidden/>
                <w:sz w:val="24"/>
                <w:szCs w:val="24"/>
              </w:rPr>
              <w:fldChar w:fldCharType="begin"/>
            </w:r>
            <w:r w:rsidRPr="00303251">
              <w:rPr>
                <w:rFonts w:ascii="Arial" w:hAnsi="Arial" w:cs="Arial"/>
                <w:noProof/>
                <w:webHidden/>
                <w:sz w:val="24"/>
                <w:szCs w:val="24"/>
              </w:rPr>
              <w:instrText xml:space="preserve"> PAGEREF _Toc182502074 \h </w:instrText>
            </w:r>
            <w:r w:rsidRPr="00303251">
              <w:rPr>
                <w:rFonts w:ascii="Arial" w:hAnsi="Arial" w:cs="Arial"/>
                <w:noProof/>
                <w:webHidden/>
                <w:sz w:val="24"/>
                <w:szCs w:val="24"/>
              </w:rPr>
            </w:r>
            <w:r w:rsidRPr="00303251">
              <w:rPr>
                <w:rFonts w:ascii="Arial" w:hAnsi="Arial" w:cs="Arial"/>
                <w:noProof/>
                <w:webHidden/>
                <w:sz w:val="24"/>
                <w:szCs w:val="24"/>
              </w:rPr>
              <w:fldChar w:fldCharType="separate"/>
            </w:r>
            <w:r w:rsidR="0039083B">
              <w:rPr>
                <w:rFonts w:ascii="Arial" w:hAnsi="Arial" w:cs="Arial"/>
                <w:noProof/>
                <w:webHidden/>
                <w:sz w:val="24"/>
                <w:szCs w:val="24"/>
              </w:rPr>
              <w:t>4</w:t>
            </w:r>
            <w:r w:rsidRPr="00303251">
              <w:rPr>
                <w:rFonts w:ascii="Arial" w:hAnsi="Arial" w:cs="Arial"/>
                <w:noProof/>
                <w:webHidden/>
                <w:sz w:val="24"/>
                <w:szCs w:val="24"/>
              </w:rPr>
              <w:fldChar w:fldCharType="end"/>
            </w:r>
          </w:hyperlink>
        </w:p>
        <w:p w14:paraId="4A6F0B77" w14:textId="451F8B72" w:rsidR="00303251" w:rsidRPr="00303251" w:rsidRDefault="00303251" w:rsidP="00303251">
          <w:pPr>
            <w:pStyle w:val="TOC1"/>
            <w:tabs>
              <w:tab w:val="left" w:pos="480"/>
              <w:tab w:val="right" w:leader="dot" w:pos="9016"/>
            </w:tabs>
            <w:spacing w:line="360" w:lineRule="auto"/>
            <w:jc w:val="both"/>
            <w:rPr>
              <w:rFonts w:ascii="Arial" w:hAnsi="Arial" w:cs="Arial"/>
              <w:noProof/>
              <w:sz w:val="24"/>
              <w:szCs w:val="24"/>
            </w:rPr>
          </w:pPr>
          <w:hyperlink w:anchor="_Toc182502075" w:history="1">
            <w:r w:rsidRPr="00303251">
              <w:rPr>
                <w:rStyle w:val="Hyperlink"/>
                <w:rFonts w:ascii="Arial" w:hAnsi="Arial" w:cs="Arial"/>
                <w:noProof/>
                <w:color w:val="auto"/>
                <w:sz w:val="24"/>
                <w:szCs w:val="24"/>
              </w:rPr>
              <w:t>3.</w:t>
            </w:r>
            <w:r w:rsidRPr="00303251">
              <w:rPr>
                <w:rFonts w:ascii="Arial" w:hAnsi="Arial" w:cs="Arial"/>
                <w:noProof/>
                <w:sz w:val="24"/>
                <w:szCs w:val="24"/>
              </w:rPr>
              <w:tab/>
            </w:r>
            <w:r w:rsidRPr="00303251">
              <w:rPr>
                <w:rStyle w:val="Hyperlink"/>
                <w:rFonts w:ascii="Arial" w:hAnsi="Arial" w:cs="Arial"/>
                <w:noProof/>
                <w:color w:val="auto"/>
                <w:sz w:val="24"/>
                <w:szCs w:val="24"/>
              </w:rPr>
              <w:t>Analysis of Decline Factors</w:t>
            </w:r>
            <w:r w:rsidRPr="00303251">
              <w:rPr>
                <w:rFonts w:ascii="Arial" w:hAnsi="Arial" w:cs="Arial"/>
                <w:noProof/>
                <w:webHidden/>
                <w:sz w:val="24"/>
                <w:szCs w:val="24"/>
              </w:rPr>
              <w:tab/>
            </w:r>
            <w:r w:rsidRPr="00303251">
              <w:rPr>
                <w:rFonts w:ascii="Arial" w:hAnsi="Arial" w:cs="Arial"/>
                <w:noProof/>
                <w:webHidden/>
                <w:sz w:val="24"/>
                <w:szCs w:val="24"/>
              </w:rPr>
              <w:fldChar w:fldCharType="begin"/>
            </w:r>
            <w:r w:rsidRPr="00303251">
              <w:rPr>
                <w:rFonts w:ascii="Arial" w:hAnsi="Arial" w:cs="Arial"/>
                <w:noProof/>
                <w:webHidden/>
                <w:sz w:val="24"/>
                <w:szCs w:val="24"/>
              </w:rPr>
              <w:instrText xml:space="preserve"> PAGEREF _Toc182502075 \h </w:instrText>
            </w:r>
            <w:r w:rsidRPr="00303251">
              <w:rPr>
                <w:rFonts w:ascii="Arial" w:hAnsi="Arial" w:cs="Arial"/>
                <w:noProof/>
                <w:webHidden/>
                <w:sz w:val="24"/>
                <w:szCs w:val="24"/>
              </w:rPr>
            </w:r>
            <w:r w:rsidRPr="00303251">
              <w:rPr>
                <w:rFonts w:ascii="Arial" w:hAnsi="Arial" w:cs="Arial"/>
                <w:noProof/>
                <w:webHidden/>
                <w:sz w:val="24"/>
                <w:szCs w:val="24"/>
              </w:rPr>
              <w:fldChar w:fldCharType="separate"/>
            </w:r>
            <w:r w:rsidR="0039083B">
              <w:rPr>
                <w:rFonts w:ascii="Arial" w:hAnsi="Arial" w:cs="Arial"/>
                <w:noProof/>
                <w:webHidden/>
                <w:sz w:val="24"/>
                <w:szCs w:val="24"/>
              </w:rPr>
              <w:t>6</w:t>
            </w:r>
            <w:r w:rsidRPr="00303251">
              <w:rPr>
                <w:rFonts w:ascii="Arial" w:hAnsi="Arial" w:cs="Arial"/>
                <w:noProof/>
                <w:webHidden/>
                <w:sz w:val="24"/>
                <w:szCs w:val="24"/>
              </w:rPr>
              <w:fldChar w:fldCharType="end"/>
            </w:r>
          </w:hyperlink>
        </w:p>
        <w:p w14:paraId="2117C30D" w14:textId="2D79E6C4" w:rsidR="00303251" w:rsidRPr="00303251" w:rsidRDefault="00303251" w:rsidP="00303251">
          <w:pPr>
            <w:pStyle w:val="TOC1"/>
            <w:tabs>
              <w:tab w:val="left" w:pos="480"/>
              <w:tab w:val="right" w:leader="dot" w:pos="9016"/>
            </w:tabs>
            <w:spacing w:line="360" w:lineRule="auto"/>
            <w:jc w:val="both"/>
            <w:rPr>
              <w:rFonts w:ascii="Arial" w:hAnsi="Arial" w:cs="Arial"/>
              <w:noProof/>
              <w:sz w:val="24"/>
              <w:szCs w:val="24"/>
            </w:rPr>
          </w:pPr>
          <w:hyperlink w:anchor="_Toc182502076" w:history="1">
            <w:r w:rsidRPr="00303251">
              <w:rPr>
                <w:rStyle w:val="Hyperlink"/>
                <w:rFonts w:ascii="Arial" w:hAnsi="Arial" w:cs="Arial"/>
                <w:noProof/>
                <w:color w:val="auto"/>
                <w:sz w:val="24"/>
                <w:szCs w:val="24"/>
              </w:rPr>
              <w:t>4.</w:t>
            </w:r>
            <w:r w:rsidRPr="00303251">
              <w:rPr>
                <w:rFonts w:ascii="Arial" w:hAnsi="Arial" w:cs="Arial"/>
                <w:noProof/>
                <w:sz w:val="24"/>
                <w:szCs w:val="24"/>
              </w:rPr>
              <w:tab/>
            </w:r>
            <w:r w:rsidRPr="00303251">
              <w:rPr>
                <w:rStyle w:val="Hyperlink"/>
                <w:rFonts w:ascii="Arial" w:hAnsi="Arial" w:cs="Arial"/>
                <w:noProof/>
                <w:color w:val="auto"/>
                <w:sz w:val="24"/>
                <w:szCs w:val="24"/>
              </w:rPr>
              <w:t>Conclusion</w:t>
            </w:r>
            <w:r w:rsidRPr="00303251">
              <w:rPr>
                <w:rFonts w:ascii="Arial" w:hAnsi="Arial" w:cs="Arial"/>
                <w:noProof/>
                <w:webHidden/>
                <w:sz w:val="24"/>
                <w:szCs w:val="24"/>
              </w:rPr>
              <w:tab/>
            </w:r>
            <w:r w:rsidRPr="00303251">
              <w:rPr>
                <w:rFonts w:ascii="Arial" w:hAnsi="Arial" w:cs="Arial"/>
                <w:noProof/>
                <w:webHidden/>
                <w:sz w:val="24"/>
                <w:szCs w:val="24"/>
              </w:rPr>
              <w:fldChar w:fldCharType="begin"/>
            </w:r>
            <w:r w:rsidRPr="00303251">
              <w:rPr>
                <w:rFonts w:ascii="Arial" w:hAnsi="Arial" w:cs="Arial"/>
                <w:noProof/>
                <w:webHidden/>
                <w:sz w:val="24"/>
                <w:szCs w:val="24"/>
              </w:rPr>
              <w:instrText xml:space="preserve"> PAGEREF _Toc182502076 \h </w:instrText>
            </w:r>
            <w:r w:rsidRPr="00303251">
              <w:rPr>
                <w:rFonts w:ascii="Arial" w:hAnsi="Arial" w:cs="Arial"/>
                <w:noProof/>
                <w:webHidden/>
                <w:sz w:val="24"/>
                <w:szCs w:val="24"/>
              </w:rPr>
            </w:r>
            <w:r w:rsidRPr="00303251">
              <w:rPr>
                <w:rFonts w:ascii="Arial" w:hAnsi="Arial" w:cs="Arial"/>
                <w:noProof/>
                <w:webHidden/>
                <w:sz w:val="24"/>
                <w:szCs w:val="24"/>
              </w:rPr>
              <w:fldChar w:fldCharType="separate"/>
            </w:r>
            <w:r w:rsidR="0039083B">
              <w:rPr>
                <w:rFonts w:ascii="Arial" w:hAnsi="Arial" w:cs="Arial"/>
                <w:noProof/>
                <w:webHidden/>
                <w:sz w:val="24"/>
                <w:szCs w:val="24"/>
              </w:rPr>
              <w:t>7</w:t>
            </w:r>
            <w:r w:rsidRPr="00303251">
              <w:rPr>
                <w:rFonts w:ascii="Arial" w:hAnsi="Arial" w:cs="Arial"/>
                <w:noProof/>
                <w:webHidden/>
                <w:sz w:val="24"/>
                <w:szCs w:val="24"/>
              </w:rPr>
              <w:fldChar w:fldCharType="end"/>
            </w:r>
          </w:hyperlink>
        </w:p>
        <w:p w14:paraId="27A29600" w14:textId="09481ABA" w:rsidR="00303251" w:rsidRPr="00303251" w:rsidRDefault="00303251" w:rsidP="00303251">
          <w:pPr>
            <w:pStyle w:val="TOC1"/>
            <w:tabs>
              <w:tab w:val="left" w:pos="480"/>
              <w:tab w:val="right" w:leader="dot" w:pos="9016"/>
            </w:tabs>
            <w:spacing w:line="360" w:lineRule="auto"/>
            <w:jc w:val="both"/>
            <w:rPr>
              <w:rFonts w:ascii="Arial" w:hAnsi="Arial" w:cs="Arial"/>
              <w:noProof/>
              <w:sz w:val="24"/>
              <w:szCs w:val="24"/>
            </w:rPr>
          </w:pPr>
          <w:hyperlink w:anchor="_Toc182502077" w:history="1">
            <w:r w:rsidRPr="00303251">
              <w:rPr>
                <w:rStyle w:val="Hyperlink"/>
                <w:rFonts w:ascii="Arial" w:hAnsi="Arial" w:cs="Arial"/>
                <w:noProof/>
                <w:color w:val="auto"/>
                <w:sz w:val="24"/>
                <w:szCs w:val="24"/>
              </w:rPr>
              <w:t>5.</w:t>
            </w:r>
            <w:r w:rsidRPr="00303251">
              <w:rPr>
                <w:rFonts w:ascii="Arial" w:hAnsi="Arial" w:cs="Arial"/>
                <w:noProof/>
                <w:sz w:val="24"/>
                <w:szCs w:val="24"/>
              </w:rPr>
              <w:tab/>
            </w:r>
            <w:r w:rsidRPr="00303251">
              <w:rPr>
                <w:rStyle w:val="Hyperlink"/>
                <w:rFonts w:ascii="Arial" w:hAnsi="Arial" w:cs="Arial"/>
                <w:noProof/>
                <w:color w:val="auto"/>
                <w:sz w:val="24"/>
                <w:szCs w:val="24"/>
              </w:rPr>
              <w:t>Recommendations</w:t>
            </w:r>
            <w:r w:rsidRPr="00303251">
              <w:rPr>
                <w:rFonts w:ascii="Arial" w:hAnsi="Arial" w:cs="Arial"/>
                <w:noProof/>
                <w:webHidden/>
                <w:sz w:val="24"/>
                <w:szCs w:val="24"/>
              </w:rPr>
              <w:tab/>
            </w:r>
            <w:r w:rsidRPr="00303251">
              <w:rPr>
                <w:rFonts w:ascii="Arial" w:hAnsi="Arial" w:cs="Arial"/>
                <w:noProof/>
                <w:webHidden/>
                <w:sz w:val="24"/>
                <w:szCs w:val="24"/>
              </w:rPr>
              <w:fldChar w:fldCharType="begin"/>
            </w:r>
            <w:r w:rsidRPr="00303251">
              <w:rPr>
                <w:rFonts w:ascii="Arial" w:hAnsi="Arial" w:cs="Arial"/>
                <w:noProof/>
                <w:webHidden/>
                <w:sz w:val="24"/>
                <w:szCs w:val="24"/>
              </w:rPr>
              <w:instrText xml:space="preserve"> PAGEREF _Toc182502077 \h </w:instrText>
            </w:r>
            <w:r w:rsidRPr="00303251">
              <w:rPr>
                <w:rFonts w:ascii="Arial" w:hAnsi="Arial" w:cs="Arial"/>
                <w:noProof/>
                <w:webHidden/>
                <w:sz w:val="24"/>
                <w:szCs w:val="24"/>
              </w:rPr>
            </w:r>
            <w:r w:rsidRPr="00303251">
              <w:rPr>
                <w:rFonts w:ascii="Arial" w:hAnsi="Arial" w:cs="Arial"/>
                <w:noProof/>
                <w:webHidden/>
                <w:sz w:val="24"/>
                <w:szCs w:val="24"/>
              </w:rPr>
              <w:fldChar w:fldCharType="separate"/>
            </w:r>
            <w:r w:rsidR="0039083B">
              <w:rPr>
                <w:rFonts w:ascii="Arial" w:hAnsi="Arial" w:cs="Arial"/>
                <w:noProof/>
                <w:webHidden/>
                <w:sz w:val="24"/>
                <w:szCs w:val="24"/>
              </w:rPr>
              <w:t>7</w:t>
            </w:r>
            <w:r w:rsidRPr="00303251">
              <w:rPr>
                <w:rFonts w:ascii="Arial" w:hAnsi="Arial" w:cs="Arial"/>
                <w:noProof/>
                <w:webHidden/>
                <w:sz w:val="24"/>
                <w:szCs w:val="24"/>
              </w:rPr>
              <w:fldChar w:fldCharType="end"/>
            </w:r>
          </w:hyperlink>
        </w:p>
        <w:p w14:paraId="23615465" w14:textId="693E7119" w:rsidR="00303251" w:rsidRPr="00303251" w:rsidRDefault="00303251" w:rsidP="00303251">
          <w:pPr>
            <w:pStyle w:val="TOC1"/>
            <w:tabs>
              <w:tab w:val="right" w:leader="dot" w:pos="9016"/>
            </w:tabs>
            <w:spacing w:line="360" w:lineRule="auto"/>
            <w:jc w:val="both"/>
            <w:rPr>
              <w:rFonts w:ascii="Arial" w:hAnsi="Arial" w:cs="Arial"/>
              <w:noProof/>
              <w:sz w:val="24"/>
              <w:szCs w:val="24"/>
            </w:rPr>
          </w:pPr>
          <w:hyperlink w:anchor="_Toc182502078" w:history="1">
            <w:r w:rsidRPr="00303251">
              <w:rPr>
                <w:rStyle w:val="Hyperlink"/>
                <w:rFonts w:ascii="Arial" w:hAnsi="Arial" w:cs="Arial"/>
                <w:noProof/>
                <w:color w:val="auto"/>
                <w:sz w:val="24"/>
                <w:szCs w:val="24"/>
              </w:rPr>
              <w:t>References</w:t>
            </w:r>
            <w:r w:rsidRPr="00303251">
              <w:rPr>
                <w:rFonts w:ascii="Arial" w:hAnsi="Arial" w:cs="Arial"/>
                <w:noProof/>
                <w:webHidden/>
                <w:sz w:val="24"/>
                <w:szCs w:val="24"/>
              </w:rPr>
              <w:tab/>
            </w:r>
            <w:r w:rsidRPr="00303251">
              <w:rPr>
                <w:rFonts w:ascii="Arial" w:hAnsi="Arial" w:cs="Arial"/>
                <w:noProof/>
                <w:webHidden/>
                <w:sz w:val="24"/>
                <w:szCs w:val="24"/>
              </w:rPr>
              <w:fldChar w:fldCharType="begin"/>
            </w:r>
            <w:r w:rsidRPr="00303251">
              <w:rPr>
                <w:rFonts w:ascii="Arial" w:hAnsi="Arial" w:cs="Arial"/>
                <w:noProof/>
                <w:webHidden/>
                <w:sz w:val="24"/>
                <w:szCs w:val="24"/>
              </w:rPr>
              <w:instrText xml:space="preserve"> PAGEREF _Toc182502078 \h </w:instrText>
            </w:r>
            <w:r w:rsidRPr="00303251">
              <w:rPr>
                <w:rFonts w:ascii="Arial" w:hAnsi="Arial" w:cs="Arial"/>
                <w:noProof/>
                <w:webHidden/>
                <w:sz w:val="24"/>
                <w:szCs w:val="24"/>
              </w:rPr>
            </w:r>
            <w:r w:rsidRPr="00303251">
              <w:rPr>
                <w:rFonts w:ascii="Arial" w:hAnsi="Arial" w:cs="Arial"/>
                <w:noProof/>
                <w:webHidden/>
                <w:sz w:val="24"/>
                <w:szCs w:val="24"/>
              </w:rPr>
              <w:fldChar w:fldCharType="separate"/>
            </w:r>
            <w:r w:rsidR="0039083B">
              <w:rPr>
                <w:rFonts w:ascii="Arial" w:hAnsi="Arial" w:cs="Arial"/>
                <w:noProof/>
                <w:webHidden/>
                <w:sz w:val="24"/>
                <w:szCs w:val="24"/>
              </w:rPr>
              <w:t>9</w:t>
            </w:r>
            <w:r w:rsidRPr="00303251">
              <w:rPr>
                <w:rFonts w:ascii="Arial" w:hAnsi="Arial" w:cs="Arial"/>
                <w:noProof/>
                <w:webHidden/>
                <w:sz w:val="24"/>
                <w:szCs w:val="24"/>
              </w:rPr>
              <w:fldChar w:fldCharType="end"/>
            </w:r>
          </w:hyperlink>
        </w:p>
        <w:p w14:paraId="67EF6AB9" w14:textId="754BB196" w:rsidR="00303251" w:rsidRPr="00303251" w:rsidRDefault="00303251" w:rsidP="00303251">
          <w:pPr>
            <w:pStyle w:val="TOC1"/>
            <w:tabs>
              <w:tab w:val="right" w:leader="dot" w:pos="9016"/>
            </w:tabs>
            <w:spacing w:line="360" w:lineRule="auto"/>
            <w:jc w:val="both"/>
            <w:rPr>
              <w:rFonts w:ascii="Arial" w:hAnsi="Arial" w:cs="Arial"/>
              <w:noProof/>
              <w:sz w:val="24"/>
              <w:szCs w:val="24"/>
            </w:rPr>
          </w:pPr>
          <w:hyperlink w:anchor="_Toc182502079" w:history="1">
            <w:r w:rsidRPr="00303251">
              <w:rPr>
                <w:rStyle w:val="Hyperlink"/>
                <w:rFonts w:ascii="Arial" w:hAnsi="Arial" w:cs="Arial"/>
                <w:noProof/>
                <w:color w:val="auto"/>
                <w:sz w:val="24"/>
                <w:szCs w:val="24"/>
              </w:rPr>
              <w:t>Appendix</w:t>
            </w:r>
            <w:r w:rsidRPr="00303251">
              <w:rPr>
                <w:rFonts w:ascii="Arial" w:hAnsi="Arial" w:cs="Arial"/>
                <w:noProof/>
                <w:webHidden/>
                <w:sz w:val="24"/>
                <w:szCs w:val="24"/>
              </w:rPr>
              <w:tab/>
            </w:r>
            <w:r w:rsidRPr="00303251">
              <w:rPr>
                <w:rFonts w:ascii="Arial" w:hAnsi="Arial" w:cs="Arial"/>
                <w:noProof/>
                <w:webHidden/>
                <w:sz w:val="24"/>
                <w:szCs w:val="24"/>
              </w:rPr>
              <w:fldChar w:fldCharType="begin"/>
            </w:r>
            <w:r w:rsidRPr="00303251">
              <w:rPr>
                <w:rFonts w:ascii="Arial" w:hAnsi="Arial" w:cs="Arial"/>
                <w:noProof/>
                <w:webHidden/>
                <w:sz w:val="24"/>
                <w:szCs w:val="24"/>
              </w:rPr>
              <w:instrText xml:space="preserve"> PAGEREF _Toc182502079 \h </w:instrText>
            </w:r>
            <w:r w:rsidRPr="00303251">
              <w:rPr>
                <w:rFonts w:ascii="Arial" w:hAnsi="Arial" w:cs="Arial"/>
                <w:noProof/>
                <w:webHidden/>
                <w:sz w:val="24"/>
                <w:szCs w:val="24"/>
              </w:rPr>
            </w:r>
            <w:r w:rsidRPr="00303251">
              <w:rPr>
                <w:rFonts w:ascii="Arial" w:hAnsi="Arial" w:cs="Arial"/>
                <w:noProof/>
                <w:webHidden/>
                <w:sz w:val="24"/>
                <w:szCs w:val="24"/>
              </w:rPr>
              <w:fldChar w:fldCharType="separate"/>
            </w:r>
            <w:r w:rsidR="0039083B">
              <w:rPr>
                <w:rFonts w:ascii="Arial" w:hAnsi="Arial" w:cs="Arial"/>
                <w:noProof/>
                <w:webHidden/>
                <w:sz w:val="24"/>
                <w:szCs w:val="24"/>
              </w:rPr>
              <w:t>11</w:t>
            </w:r>
            <w:r w:rsidRPr="00303251">
              <w:rPr>
                <w:rFonts w:ascii="Arial" w:hAnsi="Arial" w:cs="Arial"/>
                <w:noProof/>
                <w:webHidden/>
                <w:sz w:val="24"/>
                <w:szCs w:val="24"/>
              </w:rPr>
              <w:fldChar w:fldCharType="end"/>
            </w:r>
          </w:hyperlink>
        </w:p>
        <w:p w14:paraId="28F4B4A3" w14:textId="09E33F0E" w:rsidR="00303251" w:rsidRDefault="00303251" w:rsidP="00303251">
          <w:pPr>
            <w:spacing w:line="360" w:lineRule="auto"/>
            <w:jc w:val="both"/>
          </w:pPr>
          <w:r w:rsidRPr="00303251">
            <w:rPr>
              <w:rFonts w:ascii="Arial" w:hAnsi="Arial" w:cs="Arial"/>
              <w:b/>
              <w:bCs/>
              <w:noProof/>
              <w:sz w:val="24"/>
              <w:szCs w:val="24"/>
            </w:rPr>
            <w:fldChar w:fldCharType="end"/>
          </w:r>
        </w:p>
      </w:sdtContent>
    </w:sdt>
    <w:p w14:paraId="3185DE1E" w14:textId="77777777" w:rsidR="00C07877" w:rsidRDefault="00C07877" w:rsidP="00C07877">
      <w:pPr>
        <w:spacing w:line="360" w:lineRule="auto"/>
        <w:jc w:val="center"/>
        <w:rPr>
          <w:rFonts w:ascii="Arial" w:hAnsi="Arial" w:cs="Arial"/>
          <w:b/>
          <w:bCs/>
          <w:sz w:val="24"/>
          <w:szCs w:val="24"/>
        </w:rPr>
      </w:pPr>
    </w:p>
    <w:p w14:paraId="5C8A4A34" w14:textId="77777777" w:rsidR="00C07877" w:rsidRDefault="00C07877" w:rsidP="00C07877">
      <w:pPr>
        <w:spacing w:line="360" w:lineRule="auto"/>
        <w:jc w:val="center"/>
        <w:rPr>
          <w:rFonts w:ascii="Arial" w:hAnsi="Arial" w:cs="Arial"/>
          <w:b/>
          <w:bCs/>
          <w:sz w:val="24"/>
          <w:szCs w:val="24"/>
        </w:rPr>
      </w:pPr>
    </w:p>
    <w:p w14:paraId="788A0D5D" w14:textId="77777777" w:rsidR="00C07877" w:rsidRDefault="00C07877" w:rsidP="00C07877">
      <w:pPr>
        <w:spacing w:line="360" w:lineRule="auto"/>
        <w:jc w:val="center"/>
        <w:rPr>
          <w:rFonts w:ascii="Arial" w:hAnsi="Arial" w:cs="Arial"/>
          <w:b/>
          <w:bCs/>
          <w:sz w:val="24"/>
          <w:szCs w:val="24"/>
        </w:rPr>
      </w:pPr>
    </w:p>
    <w:p w14:paraId="3331292A" w14:textId="77777777" w:rsidR="00C07877" w:rsidRDefault="00C07877" w:rsidP="00C07877">
      <w:pPr>
        <w:spacing w:line="360" w:lineRule="auto"/>
        <w:jc w:val="center"/>
        <w:rPr>
          <w:rFonts w:ascii="Arial" w:hAnsi="Arial" w:cs="Arial"/>
          <w:b/>
          <w:bCs/>
          <w:sz w:val="24"/>
          <w:szCs w:val="24"/>
        </w:rPr>
      </w:pPr>
    </w:p>
    <w:p w14:paraId="587BBFA1" w14:textId="77777777" w:rsidR="00C07877" w:rsidRDefault="00C07877" w:rsidP="00C07877">
      <w:pPr>
        <w:spacing w:line="360" w:lineRule="auto"/>
        <w:jc w:val="center"/>
        <w:rPr>
          <w:rFonts w:ascii="Arial" w:hAnsi="Arial" w:cs="Arial"/>
          <w:b/>
          <w:bCs/>
          <w:sz w:val="24"/>
          <w:szCs w:val="24"/>
        </w:rPr>
      </w:pPr>
    </w:p>
    <w:p w14:paraId="4C544D97" w14:textId="77777777" w:rsidR="00C07877" w:rsidRDefault="00C07877" w:rsidP="00C07877">
      <w:pPr>
        <w:spacing w:line="360" w:lineRule="auto"/>
        <w:jc w:val="center"/>
        <w:rPr>
          <w:rFonts w:ascii="Arial" w:hAnsi="Arial" w:cs="Arial"/>
          <w:b/>
          <w:bCs/>
          <w:sz w:val="24"/>
          <w:szCs w:val="24"/>
        </w:rPr>
      </w:pPr>
    </w:p>
    <w:p w14:paraId="59B47F63" w14:textId="77777777" w:rsidR="00C07877" w:rsidRDefault="00C07877" w:rsidP="00C07877">
      <w:pPr>
        <w:spacing w:line="360" w:lineRule="auto"/>
        <w:jc w:val="center"/>
        <w:rPr>
          <w:rFonts w:ascii="Arial" w:hAnsi="Arial" w:cs="Arial"/>
          <w:b/>
          <w:bCs/>
          <w:sz w:val="24"/>
          <w:szCs w:val="24"/>
        </w:rPr>
      </w:pPr>
    </w:p>
    <w:p w14:paraId="01F3F768" w14:textId="77777777" w:rsidR="00C07877" w:rsidRDefault="00C07877" w:rsidP="00C07877">
      <w:pPr>
        <w:spacing w:line="360" w:lineRule="auto"/>
        <w:jc w:val="center"/>
        <w:rPr>
          <w:rFonts w:ascii="Arial" w:hAnsi="Arial" w:cs="Arial"/>
          <w:b/>
          <w:bCs/>
          <w:sz w:val="24"/>
          <w:szCs w:val="24"/>
        </w:rPr>
      </w:pPr>
    </w:p>
    <w:p w14:paraId="187C8E3D" w14:textId="77777777" w:rsidR="00C07877" w:rsidRDefault="00C07877" w:rsidP="00C07877">
      <w:pPr>
        <w:spacing w:line="360" w:lineRule="auto"/>
        <w:jc w:val="center"/>
        <w:rPr>
          <w:rFonts w:ascii="Arial" w:hAnsi="Arial" w:cs="Arial"/>
          <w:b/>
          <w:bCs/>
          <w:sz w:val="24"/>
          <w:szCs w:val="24"/>
        </w:rPr>
      </w:pPr>
    </w:p>
    <w:p w14:paraId="4F8E6833" w14:textId="77777777" w:rsidR="00C07877" w:rsidRDefault="00C07877" w:rsidP="00C07877">
      <w:pPr>
        <w:spacing w:line="360" w:lineRule="auto"/>
        <w:jc w:val="center"/>
        <w:rPr>
          <w:rFonts w:ascii="Arial" w:hAnsi="Arial" w:cs="Arial"/>
          <w:b/>
          <w:bCs/>
          <w:sz w:val="24"/>
          <w:szCs w:val="24"/>
        </w:rPr>
      </w:pPr>
    </w:p>
    <w:p w14:paraId="2C4BA7AB" w14:textId="77777777" w:rsidR="00C07877" w:rsidRDefault="00C07877" w:rsidP="00C07877">
      <w:pPr>
        <w:spacing w:line="360" w:lineRule="auto"/>
        <w:jc w:val="center"/>
        <w:rPr>
          <w:rFonts w:ascii="Arial" w:hAnsi="Arial" w:cs="Arial"/>
          <w:b/>
          <w:bCs/>
          <w:sz w:val="24"/>
          <w:szCs w:val="24"/>
        </w:rPr>
      </w:pPr>
    </w:p>
    <w:p w14:paraId="67BECF74" w14:textId="77777777" w:rsidR="00C07877" w:rsidRDefault="00C07877" w:rsidP="00C07877">
      <w:pPr>
        <w:spacing w:line="360" w:lineRule="auto"/>
        <w:jc w:val="center"/>
        <w:rPr>
          <w:rFonts w:ascii="Arial" w:hAnsi="Arial" w:cs="Arial"/>
          <w:b/>
          <w:bCs/>
          <w:sz w:val="24"/>
          <w:szCs w:val="24"/>
        </w:rPr>
      </w:pPr>
    </w:p>
    <w:p w14:paraId="3853D0AE" w14:textId="77777777" w:rsidR="00C07877" w:rsidRDefault="00C07877" w:rsidP="00C07877">
      <w:pPr>
        <w:spacing w:line="360" w:lineRule="auto"/>
        <w:jc w:val="center"/>
        <w:rPr>
          <w:rFonts w:ascii="Arial" w:hAnsi="Arial" w:cs="Arial"/>
          <w:b/>
          <w:bCs/>
          <w:sz w:val="24"/>
          <w:szCs w:val="24"/>
        </w:rPr>
      </w:pPr>
    </w:p>
    <w:p w14:paraId="0B125E23" w14:textId="77777777" w:rsidR="00C07877" w:rsidRDefault="00C07877" w:rsidP="00C07877">
      <w:pPr>
        <w:spacing w:line="360" w:lineRule="auto"/>
        <w:jc w:val="center"/>
        <w:rPr>
          <w:rFonts w:ascii="Arial" w:hAnsi="Arial" w:cs="Arial"/>
          <w:b/>
          <w:bCs/>
          <w:sz w:val="24"/>
          <w:szCs w:val="24"/>
        </w:rPr>
      </w:pPr>
    </w:p>
    <w:p w14:paraId="12C01CA6" w14:textId="77777777" w:rsidR="00C07877" w:rsidRDefault="00C07877" w:rsidP="00303251">
      <w:pPr>
        <w:spacing w:line="360" w:lineRule="auto"/>
        <w:rPr>
          <w:rFonts w:ascii="Arial" w:hAnsi="Arial" w:cs="Arial"/>
          <w:b/>
          <w:bCs/>
          <w:sz w:val="24"/>
          <w:szCs w:val="24"/>
        </w:rPr>
      </w:pPr>
    </w:p>
    <w:p w14:paraId="539BB6DB" w14:textId="0C8DA0A6" w:rsidR="00C07877" w:rsidRPr="0039083B" w:rsidRDefault="00C07877" w:rsidP="0039083B">
      <w:pPr>
        <w:pStyle w:val="EU"/>
        <w:numPr>
          <w:ilvl w:val="0"/>
          <w:numId w:val="1"/>
        </w:numPr>
        <w:spacing w:line="360" w:lineRule="auto"/>
        <w:rPr>
          <w:color w:val="auto"/>
        </w:rPr>
      </w:pPr>
      <w:bookmarkStart w:id="0" w:name="_Toc182502072"/>
      <w:r w:rsidRPr="0039083B">
        <w:rPr>
          <w:color w:val="auto"/>
        </w:rPr>
        <w:t>Introduction</w:t>
      </w:r>
      <w:bookmarkEnd w:id="0"/>
      <w:r w:rsidRPr="0039083B">
        <w:rPr>
          <w:color w:val="auto"/>
        </w:rPr>
        <w:t xml:space="preserve"> </w:t>
      </w:r>
    </w:p>
    <w:p w14:paraId="20F91A35" w14:textId="5D463853" w:rsidR="00C07877" w:rsidRPr="0039083B" w:rsidRDefault="00917008" w:rsidP="0039083B">
      <w:pPr>
        <w:spacing w:line="360" w:lineRule="auto"/>
        <w:jc w:val="both"/>
        <w:rPr>
          <w:rFonts w:ascii="Arial" w:hAnsi="Arial" w:cs="Arial"/>
          <w:sz w:val="24"/>
          <w:szCs w:val="24"/>
        </w:rPr>
      </w:pPr>
      <w:r w:rsidRPr="0039083B">
        <w:rPr>
          <w:rFonts w:ascii="Arial" w:hAnsi="Arial" w:cs="Arial"/>
          <w:sz w:val="24"/>
          <w:szCs w:val="24"/>
        </w:rPr>
        <w:t>This report is designed to evaluate The City Hotel’s operating performance for the next three years, and covers important data on revenue, expenses, profitability, liquidity, and solvency. Through these financial metrics, this analysis report seeks to determine the main drivers behind the hotel’s recent drop in revenue, occupancy and customer satisfaction. The study will also include ratio analysis to provide a quantitative foundation to examine these patterns and identify key financial strengths and weaknesses. Set in a</w:t>
      </w:r>
      <w:r w:rsidR="00BB675B" w:rsidRPr="0039083B">
        <w:rPr>
          <w:rFonts w:ascii="Arial" w:hAnsi="Arial" w:cs="Arial"/>
          <w:sz w:val="24"/>
          <w:szCs w:val="24"/>
        </w:rPr>
        <w:t>n urban area</w:t>
      </w:r>
      <w:r w:rsidRPr="0039083B">
        <w:rPr>
          <w:rFonts w:ascii="Arial" w:hAnsi="Arial" w:cs="Arial"/>
          <w:sz w:val="24"/>
          <w:szCs w:val="24"/>
        </w:rPr>
        <w:t>, The City Hotel has been offering restaurant, bar, and event space for years, but the recent collapse has led to questions about its future. The hotel’s owner has called on this review to help decide if a full turnaround plan is able to bring the company back to financial viability and profitability, or something else is needed. The report, backed by financial ratios and industry metrics, will outline specific recommendations to address key financial concerns and revitalize the hotel’s position in the market.</w:t>
      </w:r>
    </w:p>
    <w:p w14:paraId="30CB42F3" w14:textId="75CA1302" w:rsidR="00917008" w:rsidRPr="0039083B" w:rsidRDefault="00917008" w:rsidP="0039083B">
      <w:pPr>
        <w:pStyle w:val="EU"/>
        <w:numPr>
          <w:ilvl w:val="0"/>
          <w:numId w:val="1"/>
        </w:numPr>
        <w:spacing w:line="360" w:lineRule="auto"/>
        <w:rPr>
          <w:color w:val="auto"/>
        </w:rPr>
      </w:pPr>
      <w:bookmarkStart w:id="1" w:name="_Toc182502073"/>
      <w:r w:rsidRPr="0039083B">
        <w:rPr>
          <w:color w:val="auto"/>
        </w:rPr>
        <w:t>Financial Performance Analysis</w:t>
      </w:r>
      <w:bookmarkEnd w:id="1"/>
    </w:p>
    <w:p w14:paraId="3FF1AF4F" w14:textId="7FC0D661" w:rsidR="00917008" w:rsidRPr="0039083B" w:rsidRDefault="00917008"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 xml:space="preserve">In financial analysis, the terms profitability, liquidity, efficiency, solvency are all important measures that help understand a company’s financial condition. Profitability is defined as the business’s potential to produce revenue over expenses and is vital to its survival. These common profitability indicators include gross profit margin, operating profit margin, and net profit margin. These are the factors that demonstrate how well a company handles expenses and revenue, which in turn has a direct bearing on reinvestment capacity and stakeholder satisfaction (Atrill </w:t>
      </w:r>
      <w:r w:rsidR="00BB675B" w:rsidRPr="0039083B">
        <w:rPr>
          <w:rFonts w:ascii="Arial" w:hAnsi="Arial" w:cs="Arial"/>
          <w:sz w:val="24"/>
          <w:szCs w:val="24"/>
          <w:lang w:eastAsia="en-GB"/>
        </w:rPr>
        <w:t>and</w:t>
      </w:r>
      <w:r w:rsidRPr="0039083B">
        <w:rPr>
          <w:rFonts w:ascii="Arial" w:hAnsi="Arial" w:cs="Arial"/>
          <w:sz w:val="24"/>
          <w:szCs w:val="24"/>
          <w:lang w:eastAsia="en-GB"/>
        </w:rPr>
        <w:t xml:space="preserve"> McLaney, 2021). Liquidity, in contrast, is how well a company can service short-term liabilities (the ratios, like the current and quick ratios). It is vital to maintain operational stability by determining if the business has enough capital to meet short-term liabilities (Wild, 2018). Efficiency metrics, including inventory turnover and receivables turnover, quantify a company’s use of assets, allowing businesses to focus more efficiently, decrease waste, and increase profits (Drury, 2021). Last, solvency is whether a company can repay its long-term debt, which indicates financial stability in the form of debt-to-equity and interest coverage. A high solvency value means that there is a healthy capital base, and no financial risk (</w:t>
      </w:r>
      <w:r w:rsidR="00F44212" w:rsidRPr="0039083B">
        <w:rPr>
          <w:rFonts w:ascii="Arial" w:hAnsi="Arial" w:cs="Arial"/>
          <w:sz w:val="24"/>
          <w:szCs w:val="24"/>
          <w:lang w:eastAsia="en-GB"/>
        </w:rPr>
        <w:t>Jagels, 2007</w:t>
      </w:r>
      <w:r w:rsidRPr="0039083B">
        <w:rPr>
          <w:rFonts w:ascii="Arial" w:hAnsi="Arial" w:cs="Arial"/>
          <w:sz w:val="24"/>
          <w:szCs w:val="24"/>
          <w:lang w:eastAsia="en-GB"/>
        </w:rPr>
        <w:t>). Together, these metrics give an all-around view of a business’s financial wellbeing that helps executives to make decisions about investments, budgeting, and expansion. Strong profitability, for example, means you can reinvest in assets, and strong liquidity provides the ability to continue running in times of downturns</w:t>
      </w:r>
      <w:r w:rsidR="00F44212" w:rsidRPr="0039083B">
        <w:rPr>
          <w:rFonts w:ascii="Arial" w:hAnsi="Arial" w:cs="Arial"/>
          <w:sz w:val="24"/>
          <w:szCs w:val="24"/>
          <w:lang w:eastAsia="en-GB"/>
        </w:rPr>
        <w:t xml:space="preserve"> (Seal, 2019)</w:t>
      </w:r>
      <w:r w:rsidRPr="0039083B">
        <w:rPr>
          <w:rFonts w:ascii="Arial" w:hAnsi="Arial" w:cs="Arial"/>
          <w:sz w:val="24"/>
          <w:szCs w:val="24"/>
          <w:lang w:eastAsia="en-GB"/>
        </w:rPr>
        <w:t xml:space="preserve">. Streamlined performance </w:t>
      </w:r>
      <w:r w:rsidR="00F44212" w:rsidRPr="0039083B">
        <w:rPr>
          <w:rFonts w:ascii="Arial" w:hAnsi="Arial" w:cs="Arial"/>
          <w:sz w:val="24"/>
          <w:szCs w:val="24"/>
          <w:lang w:eastAsia="en-GB"/>
        </w:rPr>
        <w:t>improves</w:t>
      </w:r>
      <w:r w:rsidRPr="0039083B">
        <w:rPr>
          <w:rFonts w:ascii="Arial" w:hAnsi="Arial" w:cs="Arial"/>
          <w:sz w:val="24"/>
          <w:szCs w:val="24"/>
          <w:lang w:eastAsia="en-GB"/>
        </w:rPr>
        <w:t xml:space="preserve"> resource use and good solvency gives investors and creditors confidence in the future health of a business. In total, these financial terms provide stakeholders with the ability to assess current and long-term financial performance that helps a business respond to the changing market conditions while controlling risk (Guilding, 2014). Based on these data, The City Hotel’s balance sheet will be looking at how it manages the current financial environment and where it could be doing better to remain competitive.</w:t>
      </w:r>
    </w:p>
    <w:p w14:paraId="5B6CEA24" w14:textId="53627751" w:rsidR="00917008" w:rsidRPr="0039083B" w:rsidRDefault="00917008" w:rsidP="0039083B">
      <w:pPr>
        <w:pStyle w:val="EU"/>
        <w:numPr>
          <w:ilvl w:val="1"/>
          <w:numId w:val="1"/>
        </w:numPr>
        <w:spacing w:line="360" w:lineRule="auto"/>
        <w:rPr>
          <w:color w:val="auto"/>
        </w:rPr>
      </w:pPr>
      <w:bookmarkStart w:id="2" w:name="_Toc182502074"/>
      <w:r w:rsidRPr="0039083B">
        <w:rPr>
          <w:color w:val="auto"/>
        </w:rPr>
        <w:t>Analysis of the business</w:t>
      </w:r>
      <w:bookmarkEnd w:id="2"/>
    </w:p>
    <w:tbl>
      <w:tblPr>
        <w:tblStyle w:val="TableGrid"/>
        <w:tblW w:w="0" w:type="auto"/>
        <w:tblLook w:val="04A0" w:firstRow="1" w:lastRow="0" w:firstColumn="1" w:lastColumn="0" w:noHBand="0" w:noVBand="1"/>
      </w:tblPr>
      <w:tblGrid>
        <w:gridCol w:w="3005"/>
        <w:gridCol w:w="3005"/>
        <w:gridCol w:w="3006"/>
      </w:tblGrid>
      <w:tr w:rsidR="000F5B9E" w:rsidRPr="0039083B" w14:paraId="70CD6080" w14:textId="77777777" w:rsidTr="000F5B9E">
        <w:tc>
          <w:tcPr>
            <w:tcW w:w="3005" w:type="dxa"/>
          </w:tcPr>
          <w:p w14:paraId="581CC0C4" w14:textId="4A085EC2" w:rsidR="000F5B9E" w:rsidRPr="0039083B" w:rsidRDefault="000F5B9E" w:rsidP="0039083B">
            <w:pPr>
              <w:spacing w:line="360" w:lineRule="auto"/>
              <w:jc w:val="both"/>
              <w:rPr>
                <w:rFonts w:ascii="Arial" w:hAnsi="Arial" w:cs="Arial"/>
                <w:b/>
                <w:bCs/>
                <w:sz w:val="24"/>
                <w:szCs w:val="24"/>
                <w:lang w:eastAsia="en-GB"/>
              </w:rPr>
            </w:pPr>
            <w:r w:rsidRPr="0039083B">
              <w:rPr>
                <w:rFonts w:ascii="Arial" w:hAnsi="Arial" w:cs="Arial"/>
                <w:b/>
                <w:bCs/>
                <w:sz w:val="24"/>
                <w:szCs w:val="24"/>
              </w:rPr>
              <w:t>Ratio</w:t>
            </w:r>
          </w:p>
        </w:tc>
        <w:tc>
          <w:tcPr>
            <w:tcW w:w="3005" w:type="dxa"/>
          </w:tcPr>
          <w:p w14:paraId="621C0B8C" w14:textId="3E281D08" w:rsidR="000F5B9E" w:rsidRPr="0039083B" w:rsidRDefault="000F5B9E" w:rsidP="0039083B">
            <w:pPr>
              <w:spacing w:line="360" w:lineRule="auto"/>
              <w:jc w:val="both"/>
              <w:rPr>
                <w:rFonts w:ascii="Arial" w:hAnsi="Arial" w:cs="Arial"/>
                <w:b/>
                <w:bCs/>
                <w:sz w:val="24"/>
                <w:szCs w:val="24"/>
                <w:lang w:eastAsia="en-GB"/>
              </w:rPr>
            </w:pPr>
            <w:r w:rsidRPr="0039083B">
              <w:rPr>
                <w:rFonts w:ascii="Arial" w:hAnsi="Arial" w:cs="Arial"/>
                <w:b/>
                <w:bCs/>
                <w:sz w:val="24"/>
                <w:szCs w:val="24"/>
              </w:rPr>
              <w:t>Year</w:t>
            </w:r>
          </w:p>
        </w:tc>
        <w:tc>
          <w:tcPr>
            <w:tcW w:w="3006" w:type="dxa"/>
          </w:tcPr>
          <w:p w14:paraId="68F3ECB9" w14:textId="23EE8C9B" w:rsidR="000F5B9E" w:rsidRPr="0039083B" w:rsidRDefault="000F5B9E" w:rsidP="0039083B">
            <w:pPr>
              <w:spacing w:line="360" w:lineRule="auto"/>
              <w:jc w:val="both"/>
              <w:rPr>
                <w:rFonts w:ascii="Arial" w:hAnsi="Arial" w:cs="Arial"/>
                <w:b/>
                <w:bCs/>
                <w:sz w:val="24"/>
                <w:szCs w:val="24"/>
                <w:lang w:eastAsia="en-GB"/>
              </w:rPr>
            </w:pPr>
            <w:r w:rsidRPr="0039083B">
              <w:rPr>
                <w:rFonts w:ascii="Arial" w:hAnsi="Arial" w:cs="Arial"/>
                <w:b/>
                <w:bCs/>
                <w:sz w:val="24"/>
                <w:szCs w:val="24"/>
              </w:rPr>
              <w:t>Result</w:t>
            </w:r>
          </w:p>
        </w:tc>
      </w:tr>
      <w:tr w:rsidR="000F5B9E" w:rsidRPr="0039083B" w14:paraId="50EA1A5C" w14:textId="77777777" w:rsidTr="000F5B9E">
        <w:tc>
          <w:tcPr>
            <w:tcW w:w="3005" w:type="dxa"/>
          </w:tcPr>
          <w:p w14:paraId="11FC12E7" w14:textId="1194E1D7"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Gross Profit Margin</w:t>
            </w:r>
          </w:p>
        </w:tc>
        <w:tc>
          <w:tcPr>
            <w:tcW w:w="3005" w:type="dxa"/>
          </w:tcPr>
          <w:p w14:paraId="0E6DD9E6" w14:textId="17A8AC2E"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2021</w:t>
            </w:r>
          </w:p>
        </w:tc>
        <w:tc>
          <w:tcPr>
            <w:tcW w:w="3006" w:type="dxa"/>
          </w:tcPr>
          <w:p w14:paraId="274D05F4" w14:textId="3CE22798"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92.16%</w:t>
            </w:r>
          </w:p>
        </w:tc>
      </w:tr>
      <w:tr w:rsidR="000F5B9E" w:rsidRPr="0039083B" w14:paraId="30A98205" w14:textId="77777777" w:rsidTr="000F5B9E">
        <w:tc>
          <w:tcPr>
            <w:tcW w:w="3005" w:type="dxa"/>
          </w:tcPr>
          <w:p w14:paraId="40022885" w14:textId="4B15C59D"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Gross Profit Margin</w:t>
            </w:r>
          </w:p>
        </w:tc>
        <w:tc>
          <w:tcPr>
            <w:tcW w:w="3005" w:type="dxa"/>
          </w:tcPr>
          <w:p w14:paraId="2DD93BC7" w14:textId="1D4AF83F"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2022</w:t>
            </w:r>
          </w:p>
        </w:tc>
        <w:tc>
          <w:tcPr>
            <w:tcW w:w="3006" w:type="dxa"/>
          </w:tcPr>
          <w:p w14:paraId="01D70362" w14:textId="6022450D"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92.43%</w:t>
            </w:r>
          </w:p>
        </w:tc>
      </w:tr>
      <w:tr w:rsidR="000F5B9E" w:rsidRPr="0039083B" w14:paraId="345EEE51" w14:textId="77777777" w:rsidTr="000F5B9E">
        <w:tc>
          <w:tcPr>
            <w:tcW w:w="3005" w:type="dxa"/>
          </w:tcPr>
          <w:p w14:paraId="71EDD53B" w14:textId="1DBFFE75"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Gross Profit Margin</w:t>
            </w:r>
          </w:p>
        </w:tc>
        <w:tc>
          <w:tcPr>
            <w:tcW w:w="3005" w:type="dxa"/>
          </w:tcPr>
          <w:p w14:paraId="4C1A19FD" w14:textId="69919635"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2023</w:t>
            </w:r>
          </w:p>
        </w:tc>
        <w:tc>
          <w:tcPr>
            <w:tcW w:w="3006" w:type="dxa"/>
          </w:tcPr>
          <w:p w14:paraId="2063EBEF" w14:textId="113C68F1"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92.35%</w:t>
            </w:r>
          </w:p>
        </w:tc>
      </w:tr>
      <w:tr w:rsidR="000F5B9E" w:rsidRPr="0039083B" w14:paraId="25BB86E1" w14:textId="77777777" w:rsidTr="000F5B9E">
        <w:tc>
          <w:tcPr>
            <w:tcW w:w="3005" w:type="dxa"/>
          </w:tcPr>
          <w:p w14:paraId="38E95FA2" w14:textId="5592986D"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Operating Profit Margin</w:t>
            </w:r>
          </w:p>
        </w:tc>
        <w:tc>
          <w:tcPr>
            <w:tcW w:w="3005" w:type="dxa"/>
          </w:tcPr>
          <w:p w14:paraId="6C06AB42" w14:textId="73EE743F"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2021</w:t>
            </w:r>
          </w:p>
        </w:tc>
        <w:tc>
          <w:tcPr>
            <w:tcW w:w="3006" w:type="dxa"/>
          </w:tcPr>
          <w:p w14:paraId="56E4E1E9" w14:textId="1DEE8F3F"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12.65%</w:t>
            </w:r>
          </w:p>
        </w:tc>
      </w:tr>
      <w:tr w:rsidR="000F5B9E" w:rsidRPr="0039083B" w14:paraId="4A3E7B80" w14:textId="77777777" w:rsidTr="000F5B9E">
        <w:tc>
          <w:tcPr>
            <w:tcW w:w="3005" w:type="dxa"/>
          </w:tcPr>
          <w:p w14:paraId="26323A69" w14:textId="63FA2F30"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Operating Profit Margin</w:t>
            </w:r>
          </w:p>
        </w:tc>
        <w:tc>
          <w:tcPr>
            <w:tcW w:w="3005" w:type="dxa"/>
          </w:tcPr>
          <w:p w14:paraId="6FF78B5C" w14:textId="0FF13356"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2022</w:t>
            </w:r>
          </w:p>
        </w:tc>
        <w:tc>
          <w:tcPr>
            <w:tcW w:w="3006" w:type="dxa"/>
          </w:tcPr>
          <w:p w14:paraId="06AA31A0" w14:textId="334B1720"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12.71%</w:t>
            </w:r>
          </w:p>
        </w:tc>
      </w:tr>
      <w:tr w:rsidR="000F5B9E" w:rsidRPr="0039083B" w14:paraId="407474DA" w14:textId="77777777" w:rsidTr="000F5B9E">
        <w:tc>
          <w:tcPr>
            <w:tcW w:w="3005" w:type="dxa"/>
          </w:tcPr>
          <w:p w14:paraId="5A14B610" w14:textId="62C2F8E5"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Operating Profit Margin</w:t>
            </w:r>
          </w:p>
        </w:tc>
        <w:tc>
          <w:tcPr>
            <w:tcW w:w="3005" w:type="dxa"/>
          </w:tcPr>
          <w:p w14:paraId="67997879" w14:textId="6CD353F6"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2023</w:t>
            </w:r>
          </w:p>
        </w:tc>
        <w:tc>
          <w:tcPr>
            <w:tcW w:w="3006" w:type="dxa"/>
          </w:tcPr>
          <w:p w14:paraId="05AFB30C" w14:textId="0248FE5B"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-52.41%</w:t>
            </w:r>
          </w:p>
        </w:tc>
      </w:tr>
      <w:tr w:rsidR="000F5B9E" w:rsidRPr="0039083B" w14:paraId="40AC94DA" w14:textId="77777777" w:rsidTr="000F5B9E">
        <w:tc>
          <w:tcPr>
            <w:tcW w:w="3005" w:type="dxa"/>
          </w:tcPr>
          <w:p w14:paraId="4EB3B074" w14:textId="45529172"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Net Profit Margin</w:t>
            </w:r>
          </w:p>
        </w:tc>
        <w:tc>
          <w:tcPr>
            <w:tcW w:w="3005" w:type="dxa"/>
          </w:tcPr>
          <w:p w14:paraId="5E852323" w14:textId="0BA29896"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2021</w:t>
            </w:r>
          </w:p>
        </w:tc>
        <w:tc>
          <w:tcPr>
            <w:tcW w:w="3006" w:type="dxa"/>
          </w:tcPr>
          <w:p w14:paraId="34A1DD1E" w14:textId="77C4789F"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6.36%</w:t>
            </w:r>
          </w:p>
        </w:tc>
      </w:tr>
      <w:tr w:rsidR="000F5B9E" w:rsidRPr="0039083B" w14:paraId="6B546CAF" w14:textId="77777777" w:rsidTr="000F5B9E">
        <w:tc>
          <w:tcPr>
            <w:tcW w:w="3005" w:type="dxa"/>
          </w:tcPr>
          <w:p w14:paraId="10632209" w14:textId="47546C90"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Net Profit Margin</w:t>
            </w:r>
          </w:p>
        </w:tc>
        <w:tc>
          <w:tcPr>
            <w:tcW w:w="3005" w:type="dxa"/>
          </w:tcPr>
          <w:p w14:paraId="461D6E63" w14:textId="0CD5B372"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2022</w:t>
            </w:r>
          </w:p>
        </w:tc>
        <w:tc>
          <w:tcPr>
            <w:tcW w:w="3006" w:type="dxa"/>
          </w:tcPr>
          <w:p w14:paraId="7220B1DD" w14:textId="7D51DBCD"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5.74%</w:t>
            </w:r>
          </w:p>
        </w:tc>
      </w:tr>
      <w:tr w:rsidR="000F5B9E" w:rsidRPr="0039083B" w14:paraId="2A4432A0" w14:textId="77777777" w:rsidTr="000F5B9E">
        <w:tc>
          <w:tcPr>
            <w:tcW w:w="3005" w:type="dxa"/>
          </w:tcPr>
          <w:p w14:paraId="2A9DA371" w14:textId="486A3AF0"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Net Profit Margin</w:t>
            </w:r>
          </w:p>
        </w:tc>
        <w:tc>
          <w:tcPr>
            <w:tcW w:w="3005" w:type="dxa"/>
          </w:tcPr>
          <w:p w14:paraId="7C93E357" w14:textId="2E63DF95"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2023</w:t>
            </w:r>
          </w:p>
        </w:tc>
        <w:tc>
          <w:tcPr>
            <w:tcW w:w="3006" w:type="dxa"/>
          </w:tcPr>
          <w:p w14:paraId="508570C6" w14:textId="48851B2A"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-48.81%</w:t>
            </w:r>
          </w:p>
        </w:tc>
      </w:tr>
      <w:tr w:rsidR="000F5B9E" w:rsidRPr="0039083B" w14:paraId="55B01149" w14:textId="77777777" w:rsidTr="000F5B9E">
        <w:tc>
          <w:tcPr>
            <w:tcW w:w="3005" w:type="dxa"/>
          </w:tcPr>
          <w:p w14:paraId="48A22CAA" w14:textId="356FF166"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Return on Equity (ROE)</w:t>
            </w:r>
          </w:p>
        </w:tc>
        <w:tc>
          <w:tcPr>
            <w:tcW w:w="3005" w:type="dxa"/>
          </w:tcPr>
          <w:p w14:paraId="10985226" w14:textId="228CB969"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2021</w:t>
            </w:r>
          </w:p>
        </w:tc>
        <w:tc>
          <w:tcPr>
            <w:tcW w:w="3006" w:type="dxa"/>
          </w:tcPr>
          <w:p w14:paraId="3E942DDB" w14:textId="0BB1C571"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14.8%</w:t>
            </w:r>
          </w:p>
        </w:tc>
      </w:tr>
      <w:tr w:rsidR="000F5B9E" w:rsidRPr="0039083B" w14:paraId="3CF68E81" w14:textId="77777777" w:rsidTr="000F5B9E">
        <w:tc>
          <w:tcPr>
            <w:tcW w:w="3005" w:type="dxa"/>
          </w:tcPr>
          <w:p w14:paraId="796B94AC" w14:textId="3DF040CA"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Return on Equity (ROE)</w:t>
            </w:r>
          </w:p>
        </w:tc>
        <w:tc>
          <w:tcPr>
            <w:tcW w:w="3005" w:type="dxa"/>
          </w:tcPr>
          <w:p w14:paraId="2F3377E2" w14:textId="44F25CD3"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2022</w:t>
            </w:r>
          </w:p>
        </w:tc>
        <w:tc>
          <w:tcPr>
            <w:tcW w:w="3006" w:type="dxa"/>
          </w:tcPr>
          <w:p w14:paraId="648AD411" w14:textId="20DFE385"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11.8%</w:t>
            </w:r>
          </w:p>
        </w:tc>
      </w:tr>
      <w:tr w:rsidR="000F5B9E" w:rsidRPr="0039083B" w14:paraId="3F76F080" w14:textId="77777777" w:rsidTr="000F5B9E">
        <w:tc>
          <w:tcPr>
            <w:tcW w:w="3005" w:type="dxa"/>
          </w:tcPr>
          <w:p w14:paraId="075A9966" w14:textId="48282920"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Return on Equity (ROE)</w:t>
            </w:r>
          </w:p>
        </w:tc>
        <w:tc>
          <w:tcPr>
            <w:tcW w:w="3005" w:type="dxa"/>
          </w:tcPr>
          <w:p w14:paraId="39BB9461" w14:textId="47BE993A"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2023</w:t>
            </w:r>
          </w:p>
        </w:tc>
        <w:tc>
          <w:tcPr>
            <w:tcW w:w="3006" w:type="dxa"/>
          </w:tcPr>
          <w:p w14:paraId="6C381B29" w14:textId="76090F6C"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-80.4%</w:t>
            </w:r>
          </w:p>
        </w:tc>
      </w:tr>
      <w:tr w:rsidR="000F5B9E" w:rsidRPr="0039083B" w14:paraId="4BDD8FEF" w14:textId="77777777" w:rsidTr="000F5B9E">
        <w:tc>
          <w:tcPr>
            <w:tcW w:w="3005" w:type="dxa"/>
          </w:tcPr>
          <w:p w14:paraId="3A8F396A" w14:textId="54A19BC4"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Return on Assets (ROA)</w:t>
            </w:r>
          </w:p>
        </w:tc>
        <w:tc>
          <w:tcPr>
            <w:tcW w:w="3005" w:type="dxa"/>
          </w:tcPr>
          <w:p w14:paraId="239A6177" w14:textId="56E1A005"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2021</w:t>
            </w:r>
          </w:p>
        </w:tc>
        <w:tc>
          <w:tcPr>
            <w:tcW w:w="3006" w:type="dxa"/>
          </w:tcPr>
          <w:p w14:paraId="7499D06B" w14:textId="28C4B649"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2.58%</w:t>
            </w:r>
          </w:p>
        </w:tc>
      </w:tr>
      <w:tr w:rsidR="000F5B9E" w:rsidRPr="0039083B" w14:paraId="2F22273F" w14:textId="77777777" w:rsidTr="000F5B9E">
        <w:tc>
          <w:tcPr>
            <w:tcW w:w="3005" w:type="dxa"/>
          </w:tcPr>
          <w:p w14:paraId="16ECA6F8" w14:textId="1D91D986"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Return on Assets (ROA)</w:t>
            </w:r>
          </w:p>
        </w:tc>
        <w:tc>
          <w:tcPr>
            <w:tcW w:w="3005" w:type="dxa"/>
          </w:tcPr>
          <w:p w14:paraId="0FCE334A" w14:textId="7F52BCB2"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2022</w:t>
            </w:r>
          </w:p>
        </w:tc>
        <w:tc>
          <w:tcPr>
            <w:tcW w:w="3006" w:type="dxa"/>
          </w:tcPr>
          <w:p w14:paraId="74926463" w14:textId="241E02C2"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1.91%</w:t>
            </w:r>
          </w:p>
        </w:tc>
      </w:tr>
      <w:tr w:rsidR="000F5B9E" w:rsidRPr="0039083B" w14:paraId="447446AF" w14:textId="77777777" w:rsidTr="000F5B9E">
        <w:tc>
          <w:tcPr>
            <w:tcW w:w="3005" w:type="dxa"/>
          </w:tcPr>
          <w:p w14:paraId="18161862" w14:textId="2E5C9D53"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Return on Assets (ROA)</w:t>
            </w:r>
          </w:p>
        </w:tc>
        <w:tc>
          <w:tcPr>
            <w:tcW w:w="3005" w:type="dxa"/>
          </w:tcPr>
          <w:p w14:paraId="22B2371A" w14:textId="320C529E"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2023</w:t>
            </w:r>
          </w:p>
        </w:tc>
        <w:tc>
          <w:tcPr>
            <w:tcW w:w="3006" w:type="dxa"/>
          </w:tcPr>
          <w:p w14:paraId="29F8AF92" w14:textId="1DCA4C98" w:rsidR="000F5B9E" w:rsidRPr="0039083B" w:rsidRDefault="000F5B9E" w:rsidP="0039083B">
            <w:pPr>
              <w:spacing w:line="360" w:lineRule="auto"/>
              <w:jc w:val="both"/>
              <w:rPr>
                <w:rFonts w:ascii="Arial" w:hAnsi="Arial" w:cs="Arial"/>
                <w:sz w:val="24"/>
                <w:szCs w:val="24"/>
                <w:lang w:eastAsia="en-GB"/>
              </w:rPr>
            </w:pPr>
            <w:r w:rsidRPr="0039083B">
              <w:rPr>
                <w:rFonts w:ascii="Arial" w:hAnsi="Arial" w:cs="Arial"/>
                <w:sz w:val="24"/>
                <w:szCs w:val="24"/>
              </w:rPr>
              <w:t>-7.25%</w:t>
            </w:r>
          </w:p>
        </w:tc>
      </w:tr>
    </w:tbl>
    <w:p w14:paraId="3DF501B0" w14:textId="77777777" w:rsidR="000F5B9E" w:rsidRPr="0039083B" w:rsidRDefault="000F5B9E" w:rsidP="0039083B">
      <w:pPr>
        <w:spacing w:line="360" w:lineRule="auto"/>
        <w:jc w:val="both"/>
        <w:rPr>
          <w:rFonts w:ascii="Arial" w:hAnsi="Arial" w:cs="Arial"/>
          <w:sz w:val="24"/>
          <w:szCs w:val="24"/>
          <w:lang w:eastAsia="en-GB"/>
        </w:rPr>
      </w:pPr>
    </w:p>
    <w:p w14:paraId="64F87965" w14:textId="27329E0D" w:rsidR="000F5B9E" w:rsidRPr="0039083B" w:rsidRDefault="000507E1"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The City Hotel’s revenue fluctuated dramatically between 2021 and 2023. In 2021 and 2022 the hotel recorded stable revenue, with £5,248,290 and £5,307,480, respectively, but in 2023 its revenues were sharply reduced, dropping to £2,325,440. This 56 percent drop indicates both external factors, including recession impacts on tourism, and internal issues, such as decreased occupancy rates and customer satisfaction</w:t>
      </w:r>
      <w:r w:rsidR="00F44212" w:rsidRPr="0039083B">
        <w:rPr>
          <w:rFonts w:ascii="Arial" w:hAnsi="Arial" w:cs="Arial"/>
          <w:sz w:val="24"/>
          <w:szCs w:val="24"/>
          <w:lang w:eastAsia="en-GB"/>
        </w:rPr>
        <w:t xml:space="preserve"> (Walker, 2021)</w:t>
      </w:r>
      <w:r w:rsidRPr="0039083B">
        <w:rPr>
          <w:rFonts w:ascii="Arial" w:hAnsi="Arial" w:cs="Arial"/>
          <w:sz w:val="24"/>
          <w:szCs w:val="24"/>
          <w:lang w:eastAsia="en-GB"/>
        </w:rPr>
        <w:t>. Typical expenses like COGS, employee costs, and external costs were still large compared to revenues. Employee expenditure, for example, declined from £1,724,760 in 2021 to £1,233,160 in 2023, but still a significant expense relative to declining sales, as a result of inefficiencies in staff and expenditure. These issues require strategic action at the highest level to control costs and recoup revenues</w:t>
      </w:r>
      <w:r w:rsidR="00F44212" w:rsidRPr="0039083B">
        <w:rPr>
          <w:rFonts w:ascii="Arial" w:hAnsi="Arial" w:cs="Arial"/>
          <w:sz w:val="24"/>
          <w:szCs w:val="24"/>
          <w:lang w:eastAsia="en-GB"/>
        </w:rPr>
        <w:t xml:space="preserve"> (</w:t>
      </w:r>
      <w:r w:rsidR="00F44212" w:rsidRPr="0039083B">
        <w:rPr>
          <w:rFonts w:ascii="Arial" w:hAnsi="Arial" w:cs="Arial"/>
          <w:sz w:val="24"/>
          <w:szCs w:val="24"/>
          <w:lang w:eastAsia="en-GB"/>
        </w:rPr>
        <w:t>Tranter</w:t>
      </w:r>
      <w:r w:rsidR="00F44212" w:rsidRPr="0039083B">
        <w:rPr>
          <w:rFonts w:ascii="Arial" w:hAnsi="Arial" w:cs="Arial"/>
          <w:sz w:val="24"/>
          <w:szCs w:val="24"/>
          <w:lang w:eastAsia="en-GB"/>
        </w:rPr>
        <w:t xml:space="preserve">, </w:t>
      </w:r>
      <w:r w:rsidR="00F44212" w:rsidRPr="0039083B">
        <w:rPr>
          <w:rFonts w:ascii="Arial" w:hAnsi="Arial" w:cs="Arial"/>
          <w:sz w:val="24"/>
          <w:szCs w:val="24"/>
          <w:lang w:eastAsia="en-GB"/>
        </w:rPr>
        <w:t>Stuart-Hill</w:t>
      </w:r>
      <w:r w:rsidR="00F44212" w:rsidRPr="0039083B">
        <w:rPr>
          <w:rFonts w:ascii="Arial" w:hAnsi="Arial" w:cs="Arial"/>
          <w:sz w:val="24"/>
          <w:szCs w:val="24"/>
          <w:lang w:eastAsia="en-GB"/>
        </w:rPr>
        <w:t xml:space="preserve"> and </w:t>
      </w:r>
      <w:r w:rsidR="00F44212" w:rsidRPr="0039083B">
        <w:rPr>
          <w:rFonts w:ascii="Arial" w:hAnsi="Arial" w:cs="Arial"/>
          <w:sz w:val="24"/>
          <w:szCs w:val="24"/>
          <w:lang w:eastAsia="en-GB"/>
        </w:rPr>
        <w:t>Parker,</w:t>
      </w:r>
      <w:r w:rsidR="00F44212" w:rsidRPr="0039083B">
        <w:rPr>
          <w:rFonts w:ascii="Arial" w:hAnsi="Arial" w:cs="Arial"/>
          <w:sz w:val="24"/>
          <w:szCs w:val="24"/>
          <w:lang w:eastAsia="en-GB"/>
        </w:rPr>
        <w:t xml:space="preserve"> </w:t>
      </w:r>
      <w:r w:rsidR="00F44212" w:rsidRPr="0039083B">
        <w:rPr>
          <w:rFonts w:ascii="Arial" w:hAnsi="Arial" w:cs="Arial"/>
          <w:sz w:val="24"/>
          <w:szCs w:val="24"/>
          <w:lang w:eastAsia="en-GB"/>
        </w:rPr>
        <w:t>2014</w:t>
      </w:r>
      <w:r w:rsidR="00F44212" w:rsidRPr="0039083B">
        <w:rPr>
          <w:rFonts w:ascii="Arial" w:hAnsi="Arial" w:cs="Arial"/>
          <w:sz w:val="24"/>
          <w:szCs w:val="24"/>
          <w:lang w:eastAsia="en-GB"/>
        </w:rPr>
        <w:t>)</w:t>
      </w:r>
      <w:r w:rsidRPr="0039083B">
        <w:rPr>
          <w:rFonts w:ascii="Arial" w:hAnsi="Arial" w:cs="Arial"/>
          <w:sz w:val="24"/>
          <w:szCs w:val="24"/>
          <w:lang w:eastAsia="en-GB"/>
        </w:rPr>
        <w:t>.</w:t>
      </w:r>
      <w:r w:rsidRPr="0039083B">
        <w:rPr>
          <w:rFonts w:ascii="Arial" w:hAnsi="Arial" w:cs="Arial"/>
          <w:sz w:val="24"/>
          <w:szCs w:val="24"/>
        </w:rPr>
        <w:t xml:space="preserve"> </w:t>
      </w:r>
      <w:r w:rsidRPr="0039083B">
        <w:rPr>
          <w:rFonts w:ascii="Arial" w:hAnsi="Arial" w:cs="Arial"/>
          <w:sz w:val="24"/>
          <w:szCs w:val="24"/>
          <w:lang w:eastAsia="en-GB"/>
        </w:rPr>
        <w:t xml:space="preserve">Gross Profit Margin — a cost control measure — averaged around 92% over all three years, which reflects strong direct cost control in the provision of services. Margins in hospitality are generally high, which is good because it’s a sign that management is effectively managing direct costs against revenue (Atrill </w:t>
      </w:r>
      <w:r w:rsidR="00F44212" w:rsidRPr="0039083B">
        <w:rPr>
          <w:rFonts w:ascii="Arial" w:hAnsi="Arial" w:cs="Arial"/>
          <w:sz w:val="24"/>
          <w:szCs w:val="24"/>
          <w:lang w:eastAsia="en-GB"/>
        </w:rPr>
        <w:t>and</w:t>
      </w:r>
      <w:r w:rsidRPr="0039083B">
        <w:rPr>
          <w:rFonts w:ascii="Arial" w:hAnsi="Arial" w:cs="Arial"/>
          <w:sz w:val="24"/>
          <w:szCs w:val="24"/>
          <w:lang w:eastAsia="en-GB"/>
        </w:rPr>
        <w:t xml:space="preserve"> McLaney, 2021). The City Hotel’s stable gross margins imply strong direct cost control and allows for a high retention rate after COGS has been recouped. But even with this efficiency in the gross profit margin, absolute gross profit fell significantly in 2023 as a result of the decline in revenue, leaving less cash for other operational expenses. This chasm points to the fact that, while direct cost control is effective, lower revenue impacts the hotel’s ability to meet more generally defined costs</w:t>
      </w:r>
      <w:r w:rsidR="00F44212" w:rsidRPr="0039083B">
        <w:rPr>
          <w:rFonts w:ascii="Arial" w:hAnsi="Arial" w:cs="Arial"/>
          <w:sz w:val="24"/>
          <w:szCs w:val="24"/>
          <w:lang w:eastAsia="en-GB"/>
        </w:rPr>
        <w:t xml:space="preserve"> (Gulding, 2014)</w:t>
      </w:r>
      <w:r w:rsidRPr="0039083B">
        <w:rPr>
          <w:rFonts w:ascii="Arial" w:hAnsi="Arial" w:cs="Arial"/>
          <w:sz w:val="24"/>
          <w:szCs w:val="24"/>
          <w:lang w:eastAsia="en-GB"/>
        </w:rPr>
        <w:t>. This means The City Hotel needs to figure out how to drive up revenue while tightening its grasp on direct costs.</w:t>
      </w:r>
      <w:r w:rsidRPr="0039083B">
        <w:rPr>
          <w:rFonts w:ascii="Arial" w:hAnsi="Arial" w:cs="Arial"/>
          <w:sz w:val="24"/>
          <w:szCs w:val="24"/>
        </w:rPr>
        <w:t xml:space="preserve"> </w:t>
      </w:r>
      <w:r w:rsidRPr="0039083B">
        <w:rPr>
          <w:rFonts w:ascii="Arial" w:hAnsi="Arial" w:cs="Arial"/>
          <w:sz w:val="24"/>
          <w:szCs w:val="24"/>
          <w:lang w:eastAsia="en-GB"/>
        </w:rPr>
        <w:t>Operating Profit Margin measures how well direct and indirect costs are being handled. Although it remained steady at 12.7% in 2021 and 2022, in 2023 it began to decline to -52.41%. This reversal shows that the hotel’s operating costs, including COGS, are not aligned with its reduced profits</w:t>
      </w:r>
      <w:r w:rsidR="00F44212" w:rsidRPr="0039083B">
        <w:rPr>
          <w:rFonts w:ascii="Arial" w:hAnsi="Arial" w:cs="Arial"/>
          <w:sz w:val="24"/>
          <w:szCs w:val="24"/>
          <w:lang w:eastAsia="en-GB"/>
        </w:rPr>
        <w:t xml:space="preserve"> (Bhimani, 2006)</w:t>
      </w:r>
      <w:r w:rsidRPr="0039083B">
        <w:rPr>
          <w:rFonts w:ascii="Arial" w:hAnsi="Arial" w:cs="Arial"/>
          <w:sz w:val="24"/>
          <w:szCs w:val="24"/>
          <w:lang w:eastAsia="en-GB"/>
        </w:rPr>
        <w:t xml:space="preserve">. Negative operating margin: Negative operating margin reflects the fact that operating costs are greater than revenues, which is a sign of bad cost management in terms of revenues (Wild, 2018). The 2023 decrease means that revenues </w:t>
      </w:r>
      <w:r w:rsidR="00897736" w:rsidRPr="0039083B">
        <w:rPr>
          <w:rFonts w:ascii="Arial" w:hAnsi="Arial" w:cs="Arial"/>
          <w:sz w:val="24"/>
          <w:szCs w:val="24"/>
          <w:lang w:eastAsia="en-GB"/>
        </w:rPr>
        <w:t>were not</w:t>
      </w:r>
      <w:r w:rsidRPr="0039083B">
        <w:rPr>
          <w:rFonts w:ascii="Arial" w:hAnsi="Arial" w:cs="Arial"/>
          <w:sz w:val="24"/>
          <w:szCs w:val="24"/>
          <w:lang w:eastAsia="en-GB"/>
        </w:rPr>
        <w:t xml:space="preserve"> adequately offset by cuts to indirect costs, i.e., operating costs were high despite falling income</w:t>
      </w:r>
      <w:r w:rsidR="00897736" w:rsidRPr="0039083B">
        <w:rPr>
          <w:rFonts w:ascii="Arial" w:hAnsi="Arial" w:cs="Arial"/>
          <w:sz w:val="24"/>
          <w:szCs w:val="24"/>
          <w:lang w:eastAsia="en-GB"/>
        </w:rPr>
        <w:t xml:space="preserve"> (Seal, 2019)</w:t>
      </w:r>
      <w:r w:rsidRPr="0039083B">
        <w:rPr>
          <w:rFonts w:ascii="Arial" w:hAnsi="Arial" w:cs="Arial"/>
          <w:sz w:val="24"/>
          <w:szCs w:val="24"/>
          <w:lang w:eastAsia="en-GB"/>
        </w:rPr>
        <w:t>. It is important to immediately take actions to control costs, reduce ops and eliminate unnecessary expenses in order to re-establish operational profit.</w:t>
      </w:r>
      <w:r w:rsidRPr="0039083B">
        <w:rPr>
          <w:rFonts w:ascii="Arial" w:hAnsi="Arial" w:cs="Arial"/>
          <w:sz w:val="24"/>
          <w:szCs w:val="24"/>
          <w:lang w:eastAsia="en-GB"/>
        </w:rPr>
        <w:t xml:space="preserve"> </w:t>
      </w:r>
      <w:r w:rsidRPr="0039083B">
        <w:rPr>
          <w:rFonts w:ascii="Arial" w:hAnsi="Arial" w:cs="Arial"/>
          <w:sz w:val="24"/>
          <w:szCs w:val="24"/>
          <w:lang w:eastAsia="en-GB"/>
        </w:rPr>
        <w:t>Net Profit Margin is the share of revenue after taxes and indirect expenses that provides an all-encompassing analysis of profitability</w:t>
      </w:r>
      <w:r w:rsidR="008D7AE3" w:rsidRPr="0039083B">
        <w:rPr>
          <w:rFonts w:ascii="Arial" w:hAnsi="Arial" w:cs="Arial"/>
          <w:sz w:val="24"/>
          <w:szCs w:val="24"/>
          <w:lang w:eastAsia="en-GB"/>
        </w:rPr>
        <w:t xml:space="preserve"> (</w:t>
      </w:r>
      <w:r w:rsidR="008D7AE3" w:rsidRPr="0039083B">
        <w:rPr>
          <w:rFonts w:ascii="Arial" w:hAnsi="Arial" w:cs="Arial"/>
          <w:sz w:val="24"/>
          <w:szCs w:val="24"/>
          <w:lang w:eastAsia="en-GB"/>
        </w:rPr>
        <w:t xml:space="preserve">Albrecht, </w:t>
      </w:r>
      <w:r w:rsidR="008D7AE3" w:rsidRPr="0039083B">
        <w:rPr>
          <w:rFonts w:ascii="Arial" w:hAnsi="Arial" w:cs="Arial"/>
          <w:sz w:val="24"/>
          <w:szCs w:val="24"/>
          <w:lang w:eastAsia="en-GB"/>
        </w:rPr>
        <w:t>Stice, and</w:t>
      </w:r>
      <w:r w:rsidR="008D7AE3" w:rsidRPr="0039083B">
        <w:rPr>
          <w:rFonts w:ascii="Arial" w:hAnsi="Arial" w:cs="Arial"/>
          <w:sz w:val="24"/>
          <w:szCs w:val="24"/>
          <w:lang w:eastAsia="en-GB"/>
        </w:rPr>
        <w:t xml:space="preserve"> Stice, 2011</w:t>
      </w:r>
      <w:r w:rsidR="008D7AE3" w:rsidRPr="0039083B">
        <w:rPr>
          <w:rFonts w:ascii="Arial" w:hAnsi="Arial" w:cs="Arial"/>
          <w:sz w:val="24"/>
          <w:szCs w:val="24"/>
          <w:lang w:eastAsia="en-GB"/>
        </w:rPr>
        <w:t>)</w:t>
      </w:r>
      <w:r w:rsidRPr="0039083B">
        <w:rPr>
          <w:rFonts w:ascii="Arial" w:hAnsi="Arial" w:cs="Arial"/>
          <w:sz w:val="24"/>
          <w:szCs w:val="24"/>
          <w:lang w:eastAsia="en-GB"/>
        </w:rPr>
        <w:t>. The City Hotel’s net margin dropped from 6.36% in 2021 to 5.74% in 2022 and further decreases to -48.81% in 2023. This pattern reveals that the hotel didn’t earn enough money to pay its total bills in 2023, leaving it a significant financial hit. If the net profit margin is negative, even of this size, then the business is in trouble because they are losing money (Drury, 2021). The City Hotel’s net loss in 2023 translates into revenue recovery and cost reduction efforts. If not immediate measures are taken to mitigate operating and indirect costs, the hotel is at risk of sustaining financial losses and thus possibly being permanently bankrupt.</w:t>
      </w:r>
      <w:r w:rsidRPr="0039083B">
        <w:rPr>
          <w:rFonts w:ascii="Arial" w:hAnsi="Arial" w:cs="Arial"/>
          <w:sz w:val="24"/>
          <w:szCs w:val="24"/>
        </w:rPr>
        <w:t xml:space="preserve"> </w:t>
      </w:r>
      <w:r w:rsidRPr="0039083B">
        <w:rPr>
          <w:rFonts w:ascii="Arial" w:hAnsi="Arial" w:cs="Arial"/>
          <w:sz w:val="24"/>
          <w:szCs w:val="24"/>
          <w:lang w:eastAsia="en-GB"/>
        </w:rPr>
        <w:t xml:space="preserve">Return on Assets (ROA) measure the performance of a company in using assets to achieve profit. In assets-intensive business like hotel, a high ROA is a signal that the hotel is leveraging its resources to make a profit (Guilding, 2014). The City Hotel’s ROA was 2.58% in 2021, falling to 1.91% in 2022, and then plunge to -7.25% in 2023. </w:t>
      </w:r>
      <w:r w:rsidR="008D7AE3" w:rsidRPr="0039083B">
        <w:rPr>
          <w:rFonts w:ascii="Arial" w:hAnsi="Arial" w:cs="Arial"/>
          <w:sz w:val="24"/>
          <w:szCs w:val="24"/>
          <w:lang w:eastAsia="en-GB"/>
        </w:rPr>
        <w:t>That is</w:t>
      </w:r>
      <w:r w:rsidRPr="0039083B">
        <w:rPr>
          <w:rFonts w:ascii="Arial" w:hAnsi="Arial" w:cs="Arial"/>
          <w:sz w:val="24"/>
          <w:szCs w:val="24"/>
          <w:lang w:eastAsia="en-GB"/>
        </w:rPr>
        <w:t xml:space="preserve"> the trend with low ROA in 2023, and it shows that property, equipment are underutilised — either due to low occupancy or use of services. That inefficiency suggests that the hotel’s massive assets are not providing the expected return on their investment. Improve ROA would entail how to use existing assets best, by booking more rooms, hosting more events or improving services. Without these changes, The City Hotel is in danger of continuing to pay excessive asset prices with insufficient revenue</w:t>
      </w:r>
      <w:r w:rsidR="008D7AE3" w:rsidRPr="0039083B">
        <w:rPr>
          <w:rFonts w:ascii="Arial" w:hAnsi="Arial" w:cs="Arial"/>
          <w:sz w:val="24"/>
          <w:szCs w:val="24"/>
          <w:lang w:eastAsia="en-GB"/>
        </w:rPr>
        <w:t xml:space="preserve"> (</w:t>
      </w:r>
      <w:r w:rsidR="008D7AE3" w:rsidRPr="0039083B">
        <w:rPr>
          <w:rFonts w:ascii="Arial" w:hAnsi="Arial" w:cs="Arial"/>
          <w:sz w:val="24"/>
          <w:szCs w:val="24"/>
          <w:lang w:eastAsia="en-GB"/>
        </w:rPr>
        <w:t>Weygandt, Kimmel, and Kieso, 2015</w:t>
      </w:r>
      <w:r w:rsidR="008D7AE3" w:rsidRPr="0039083B">
        <w:rPr>
          <w:rFonts w:ascii="Arial" w:hAnsi="Arial" w:cs="Arial"/>
          <w:sz w:val="24"/>
          <w:szCs w:val="24"/>
          <w:lang w:eastAsia="en-GB"/>
        </w:rPr>
        <w:t>)</w:t>
      </w:r>
      <w:r w:rsidRPr="0039083B">
        <w:rPr>
          <w:rFonts w:ascii="Arial" w:hAnsi="Arial" w:cs="Arial"/>
          <w:sz w:val="24"/>
          <w:szCs w:val="24"/>
          <w:lang w:eastAsia="en-GB"/>
        </w:rPr>
        <w:t>.</w:t>
      </w:r>
      <w:r w:rsidRPr="0039083B">
        <w:rPr>
          <w:rFonts w:ascii="Arial" w:hAnsi="Arial" w:cs="Arial"/>
          <w:sz w:val="24"/>
          <w:szCs w:val="24"/>
          <w:lang w:eastAsia="en-GB"/>
        </w:rPr>
        <w:t xml:space="preserve"> </w:t>
      </w:r>
      <w:r w:rsidRPr="0039083B">
        <w:rPr>
          <w:rFonts w:ascii="Arial" w:hAnsi="Arial" w:cs="Arial"/>
          <w:sz w:val="24"/>
          <w:szCs w:val="24"/>
          <w:lang w:eastAsia="en-GB"/>
        </w:rPr>
        <w:t xml:space="preserve">Return on Equity (ROE) denotes the return received by shareholders and it’s the profitability of the business as perceived by investors. ROE of The City Hotel in 2021 was 14.8%, it fell to 11.8% in 2022 and -80.4% in 2023. This draconian decline indicates the negative shareholder return of 2023’s net loss. In a negative ROE, you will see that the company </w:t>
      </w:r>
      <w:r w:rsidR="008D7AE3" w:rsidRPr="0039083B">
        <w:rPr>
          <w:rFonts w:ascii="Arial" w:hAnsi="Arial" w:cs="Arial"/>
          <w:sz w:val="24"/>
          <w:szCs w:val="24"/>
          <w:lang w:eastAsia="en-GB"/>
        </w:rPr>
        <w:t>is not</w:t>
      </w:r>
      <w:r w:rsidRPr="0039083B">
        <w:rPr>
          <w:rFonts w:ascii="Arial" w:hAnsi="Arial" w:cs="Arial"/>
          <w:sz w:val="24"/>
          <w:szCs w:val="24"/>
          <w:lang w:eastAsia="en-GB"/>
        </w:rPr>
        <w:t xml:space="preserve"> only not returning value from shareholders’ investment but also destroying shareholder value. </w:t>
      </w:r>
      <w:r w:rsidRPr="0039083B">
        <w:rPr>
          <w:rFonts w:ascii="Arial" w:hAnsi="Arial" w:cs="Arial"/>
          <w:sz w:val="24"/>
          <w:szCs w:val="24"/>
          <w:lang w:eastAsia="en-GB"/>
        </w:rPr>
        <w:t>That is</w:t>
      </w:r>
      <w:r w:rsidRPr="0039083B">
        <w:rPr>
          <w:rFonts w:ascii="Arial" w:hAnsi="Arial" w:cs="Arial"/>
          <w:sz w:val="24"/>
          <w:szCs w:val="24"/>
          <w:lang w:eastAsia="en-GB"/>
        </w:rPr>
        <w:t xml:space="preserve"> a troubling result for prospective investors, indicating a high degree of financial risk and highlighting the waste in the efficiency of equity capital to achieve profitability (Atrill </w:t>
      </w:r>
      <w:r w:rsidR="008D7AE3" w:rsidRPr="0039083B">
        <w:rPr>
          <w:rFonts w:ascii="Arial" w:hAnsi="Arial" w:cs="Arial"/>
          <w:sz w:val="24"/>
          <w:szCs w:val="24"/>
          <w:lang w:eastAsia="en-GB"/>
        </w:rPr>
        <w:t>and</w:t>
      </w:r>
      <w:r w:rsidRPr="0039083B">
        <w:rPr>
          <w:rFonts w:ascii="Arial" w:hAnsi="Arial" w:cs="Arial"/>
          <w:sz w:val="24"/>
          <w:szCs w:val="24"/>
          <w:lang w:eastAsia="en-GB"/>
        </w:rPr>
        <w:t xml:space="preserve"> McLaney, 2021). This dwindling ROE will not be appealing to any new or existing investors at The City Hotel unless and until the hotel can show a sustainable turnaround plan with increased profitability and positive ROE.</w:t>
      </w:r>
    </w:p>
    <w:p w14:paraId="31029BAD" w14:textId="1C65B158" w:rsidR="000507E1" w:rsidRPr="0039083B" w:rsidRDefault="000507E1" w:rsidP="0039083B">
      <w:pPr>
        <w:pStyle w:val="EU"/>
        <w:numPr>
          <w:ilvl w:val="0"/>
          <w:numId w:val="1"/>
        </w:numPr>
        <w:spacing w:line="360" w:lineRule="auto"/>
        <w:rPr>
          <w:color w:val="auto"/>
        </w:rPr>
      </w:pPr>
      <w:bookmarkStart w:id="3" w:name="_Toc182502075"/>
      <w:r w:rsidRPr="0039083B">
        <w:rPr>
          <w:color w:val="auto"/>
        </w:rPr>
        <w:t>Analysis of Decline Factors</w:t>
      </w:r>
      <w:bookmarkEnd w:id="3"/>
    </w:p>
    <w:p w14:paraId="1CF697DB" w14:textId="13BC2FC8" w:rsidR="000507E1" w:rsidRPr="0039083B" w:rsidRDefault="00967899"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The City Hotel recently faced financial challenges due to a combination of macroeconomic stresses and inefficiencies within the organization. Global hospitality has experienced many challenges in recent years with recessions and decreased tourism. As a result of recessions, consumers tend to spend less on discretionary goods, such as travel and lodging, which drives down hotel revenue (</w:t>
      </w:r>
      <w:r w:rsidR="008D7AE3" w:rsidRPr="0039083B">
        <w:rPr>
          <w:rFonts w:ascii="Arial" w:hAnsi="Arial" w:cs="Arial"/>
          <w:sz w:val="24"/>
          <w:szCs w:val="24"/>
          <w:lang w:eastAsia="en-GB"/>
        </w:rPr>
        <w:t>Walker, 2021</w:t>
      </w:r>
      <w:r w:rsidRPr="0039083B">
        <w:rPr>
          <w:rFonts w:ascii="Arial" w:hAnsi="Arial" w:cs="Arial"/>
          <w:sz w:val="24"/>
          <w:szCs w:val="24"/>
          <w:lang w:eastAsia="en-GB"/>
        </w:rPr>
        <w:t xml:space="preserve">). Furthermore, pandemics have resulted in travel bans and a massive drop in international tourism, which also exacerbates revenue loss for hospitality (Baum </w:t>
      </w:r>
      <w:r w:rsidR="008D7AE3" w:rsidRPr="0039083B">
        <w:rPr>
          <w:rFonts w:ascii="Arial" w:hAnsi="Arial" w:cs="Arial"/>
          <w:sz w:val="24"/>
          <w:szCs w:val="24"/>
          <w:lang w:eastAsia="en-GB"/>
        </w:rPr>
        <w:t>and</w:t>
      </w:r>
      <w:r w:rsidRPr="0039083B">
        <w:rPr>
          <w:rFonts w:ascii="Arial" w:hAnsi="Arial" w:cs="Arial"/>
          <w:sz w:val="24"/>
          <w:szCs w:val="24"/>
          <w:lang w:eastAsia="en-GB"/>
        </w:rPr>
        <w:t xml:space="preserve"> Hai, 2020). These macroeconomic forces have made it challenging for hotels such as The City Hotel to stay at an occupancy rate and remain profitable</w:t>
      </w:r>
      <w:r w:rsidRPr="0039083B">
        <w:rPr>
          <w:rFonts w:ascii="Arial" w:hAnsi="Arial" w:cs="Arial"/>
          <w:sz w:val="24"/>
          <w:szCs w:val="24"/>
          <w:lang w:eastAsia="en-GB"/>
        </w:rPr>
        <w:t xml:space="preserve">. </w:t>
      </w:r>
      <w:r w:rsidRPr="0039083B">
        <w:rPr>
          <w:rFonts w:ascii="Arial" w:hAnsi="Arial" w:cs="Arial"/>
          <w:sz w:val="24"/>
          <w:szCs w:val="24"/>
          <w:lang w:eastAsia="en-GB"/>
        </w:rPr>
        <w:t xml:space="preserve">On the inside, The City Hotel might be losing money and running at a loss. Cost control is essential in the hospitality sector where margins are often very minimal (Guilding, 2014). Errors in </w:t>
      </w:r>
      <w:r w:rsidR="008D7AE3" w:rsidRPr="0039083B">
        <w:rPr>
          <w:rFonts w:ascii="Arial" w:hAnsi="Arial" w:cs="Arial"/>
          <w:sz w:val="24"/>
          <w:szCs w:val="24"/>
          <w:lang w:eastAsia="en-GB"/>
        </w:rPr>
        <w:t>labour</w:t>
      </w:r>
      <w:r w:rsidRPr="0039083B">
        <w:rPr>
          <w:rFonts w:ascii="Arial" w:hAnsi="Arial" w:cs="Arial"/>
          <w:sz w:val="24"/>
          <w:szCs w:val="24"/>
          <w:lang w:eastAsia="en-GB"/>
        </w:rPr>
        <w:t xml:space="preserve"> management, procurement and energy consumption can add to operating expenses and reduce profitability. Additionally, poor customer service can have a negative impact on guest loyalty and retention. In many cases, low service quality can lower your loyalty and occupancy (</w:t>
      </w:r>
      <w:r w:rsidR="008D7AE3" w:rsidRPr="0039083B">
        <w:rPr>
          <w:rFonts w:ascii="Arial" w:hAnsi="Arial" w:cs="Arial"/>
          <w:sz w:val="24"/>
          <w:szCs w:val="24"/>
          <w:lang w:eastAsia="en-GB"/>
        </w:rPr>
        <w:t>Candra, Mahaputra, and Mahaputra, 2023</w:t>
      </w:r>
      <w:r w:rsidRPr="0039083B">
        <w:rPr>
          <w:rFonts w:ascii="Arial" w:hAnsi="Arial" w:cs="Arial"/>
          <w:sz w:val="24"/>
          <w:szCs w:val="24"/>
          <w:lang w:eastAsia="en-GB"/>
        </w:rPr>
        <w:t>). Operational challenges, such as outdated technology, poor employee training, and inefficient processes, can also impact service delivery and operation effectiveness, which results in falling revenues and occupancy.</w:t>
      </w:r>
      <w:r w:rsidRPr="0039083B">
        <w:rPr>
          <w:rFonts w:ascii="Arial" w:hAnsi="Arial" w:cs="Arial"/>
          <w:sz w:val="24"/>
          <w:szCs w:val="24"/>
          <w:lang w:eastAsia="en-GB"/>
        </w:rPr>
        <w:t xml:space="preserve"> </w:t>
      </w:r>
      <w:r w:rsidRPr="0039083B">
        <w:rPr>
          <w:rFonts w:ascii="Arial" w:hAnsi="Arial" w:cs="Arial"/>
          <w:sz w:val="24"/>
          <w:szCs w:val="24"/>
          <w:lang w:eastAsia="en-GB"/>
        </w:rPr>
        <w:t xml:space="preserve">This internal weakness must be addressed through cost-reduction strategies, service quality and operational improvements in order for The City Hotel to strengthen its financial performance and positioning in the </w:t>
      </w:r>
      <w:r w:rsidR="00303251" w:rsidRPr="0039083B">
        <w:rPr>
          <w:rFonts w:ascii="Arial" w:hAnsi="Arial" w:cs="Arial"/>
          <w:sz w:val="24"/>
          <w:szCs w:val="24"/>
          <w:lang w:eastAsia="en-GB"/>
        </w:rPr>
        <w:t>increasingly difficult</w:t>
      </w:r>
      <w:r w:rsidRPr="0039083B">
        <w:rPr>
          <w:rFonts w:ascii="Arial" w:hAnsi="Arial" w:cs="Arial"/>
          <w:sz w:val="24"/>
          <w:szCs w:val="24"/>
          <w:lang w:eastAsia="en-GB"/>
        </w:rPr>
        <w:t xml:space="preserve"> hospitality market.</w:t>
      </w:r>
    </w:p>
    <w:p w14:paraId="44ED515F" w14:textId="03CCBAE5" w:rsidR="000507E1" w:rsidRPr="0039083B" w:rsidRDefault="00303251" w:rsidP="0039083B">
      <w:pPr>
        <w:pStyle w:val="EU"/>
        <w:numPr>
          <w:ilvl w:val="0"/>
          <w:numId w:val="1"/>
        </w:numPr>
        <w:spacing w:line="360" w:lineRule="auto"/>
        <w:rPr>
          <w:color w:val="auto"/>
        </w:rPr>
      </w:pPr>
      <w:bookmarkStart w:id="4" w:name="_Toc182502076"/>
      <w:r w:rsidRPr="0039083B">
        <w:rPr>
          <w:color w:val="auto"/>
        </w:rPr>
        <w:t>Conclusion</w:t>
      </w:r>
      <w:bookmarkEnd w:id="4"/>
    </w:p>
    <w:p w14:paraId="1DCBE14D" w14:textId="43532BBB" w:rsidR="000F5B9E" w:rsidRPr="0039083B" w:rsidRDefault="00303251"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To conclude, The City Hotel has a huge challenge in coping with a drastic revenue loss, cost overruns and idle assets. Though gross profit margin has remained consistent, the declining operating and net profit margins reflect poor cost control compared to deteriorating sales. This is accompanied by a negative ROE, a warning to investors and a need for aggressive restructuring to rebuild trust and profitability. Reducing inefficiencies and maximizing the asset portfolio can increase ROA and cost savings is the key to sustainable profitability. And rapid measures in these areas, along with possible revenue-enhancing measures, will be essential for the hotel to re-enter a place of financial stability and strength in a difficult market.</w:t>
      </w:r>
    </w:p>
    <w:p w14:paraId="5F82E21F" w14:textId="6A6C3175" w:rsidR="00303251" w:rsidRPr="0039083B" w:rsidRDefault="00303251" w:rsidP="0039083B">
      <w:pPr>
        <w:pStyle w:val="EU"/>
        <w:numPr>
          <w:ilvl w:val="0"/>
          <w:numId w:val="1"/>
        </w:numPr>
        <w:spacing w:line="360" w:lineRule="auto"/>
        <w:rPr>
          <w:color w:val="auto"/>
        </w:rPr>
      </w:pPr>
      <w:bookmarkStart w:id="5" w:name="_Toc182502077"/>
      <w:r w:rsidRPr="0039083B">
        <w:rPr>
          <w:color w:val="auto"/>
        </w:rPr>
        <w:t>Recommendations</w:t>
      </w:r>
      <w:bookmarkEnd w:id="5"/>
      <w:r w:rsidRPr="0039083B">
        <w:rPr>
          <w:color w:val="auto"/>
        </w:rPr>
        <w:t xml:space="preserve"> </w:t>
      </w:r>
    </w:p>
    <w:p w14:paraId="5797C384" w14:textId="3658B9E6" w:rsidR="000F5B9E" w:rsidRPr="0039083B" w:rsidRDefault="00303251"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For The City Hotel to recoup its financial capital, the entire process of turnaround, including savings, revenue generation and efficiency, must be undertaken. The first is cost control for higher operating and net profit margins. They are renegotiating supplier agreements, streamlining inventory, and reducing labour expenses by matching staffing requirements to the demand for occupancy (Drury, 2021). Cuts to costs can save you money right away as it is said in the hospitality finance journals where cost control directly effects profits (Guilding, 2014). Second, a focus on increasing revenue should be on differentiated service offerings and segmentation. For instance, launching events or joining forces with local businesses can add additional revenue streams, while marketing initiatives directed to local and regional customers can increase occupancy particularly during times of low demand (</w:t>
      </w:r>
      <w:r w:rsidR="0039083B" w:rsidRPr="0039083B">
        <w:rPr>
          <w:rFonts w:ascii="Arial" w:hAnsi="Arial" w:cs="Arial"/>
          <w:sz w:val="24"/>
          <w:szCs w:val="24"/>
          <w:lang w:eastAsia="en-GB"/>
        </w:rPr>
        <w:t>Hudson, 2017</w:t>
      </w:r>
      <w:r w:rsidRPr="0039083B">
        <w:rPr>
          <w:rFonts w:ascii="Arial" w:hAnsi="Arial" w:cs="Arial"/>
          <w:sz w:val="24"/>
          <w:szCs w:val="24"/>
          <w:lang w:eastAsia="en-GB"/>
        </w:rPr>
        <w:t xml:space="preserve">). Building customer loyalty through tailored services and better service can also improve customer retention, a vital driver for long-term revenues (Baum </w:t>
      </w:r>
      <w:r w:rsidR="0039083B" w:rsidRPr="0039083B">
        <w:rPr>
          <w:rFonts w:ascii="Arial" w:hAnsi="Arial" w:cs="Arial"/>
          <w:sz w:val="24"/>
          <w:szCs w:val="24"/>
          <w:lang w:eastAsia="en-GB"/>
        </w:rPr>
        <w:t>and</w:t>
      </w:r>
      <w:r w:rsidRPr="0039083B">
        <w:rPr>
          <w:rFonts w:ascii="Arial" w:hAnsi="Arial" w:cs="Arial"/>
          <w:sz w:val="24"/>
          <w:szCs w:val="24"/>
          <w:lang w:eastAsia="en-GB"/>
        </w:rPr>
        <w:t xml:space="preserve"> Hai, 2020). Parallel to this, The City Hotel must strive to optimize operations by using technology to automate day-to-day processes, optimize booking and customer service processes, and facilitate the efficient management of inventory and workers. Research has shown that hospitality technology adoption results in enhanced customer satisfaction and cost efficiency, which in turn, lead to improved bottom line performance (</w:t>
      </w:r>
      <w:r w:rsidR="0039083B" w:rsidRPr="0039083B">
        <w:rPr>
          <w:rFonts w:ascii="Arial" w:hAnsi="Arial" w:cs="Arial"/>
          <w:sz w:val="24"/>
          <w:szCs w:val="24"/>
          <w:lang w:eastAsia="en-GB"/>
        </w:rPr>
        <w:t>Bhatti</w:t>
      </w:r>
      <w:r w:rsidR="0039083B" w:rsidRPr="0039083B">
        <w:rPr>
          <w:rFonts w:ascii="Arial" w:hAnsi="Arial" w:cs="Arial"/>
          <w:sz w:val="24"/>
          <w:szCs w:val="24"/>
          <w:lang w:eastAsia="en-GB"/>
        </w:rPr>
        <w:t xml:space="preserve"> </w:t>
      </w:r>
      <w:r w:rsidR="0039083B" w:rsidRPr="0039083B">
        <w:rPr>
          <w:rFonts w:ascii="Arial" w:hAnsi="Arial" w:cs="Arial"/>
          <w:sz w:val="24"/>
          <w:szCs w:val="24"/>
          <w:lang w:eastAsia="en-GB"/>
        </w:rPr>
        <w:t xml:space="preserve"> and Alawad, 2023</w:t>
      </w:r>
      <w:r w:rsidRPr="0039083B">
        <w:rPr>
          <w:rFonts w:ascii="Arial" w:hAnsi="Arial" w:cs="Arial"/>
          <w:sz w:val="24"/>
          <w:szCs w:val="24"/>
          <w:lang w:eastAsia="en-GB"/>
        </w:rPr>
        <w:t xml:space="preserve">). Lastly, utilization of assets should be maximized to increase ROA. This can be achieved by maximizing room occupancy rates, more effectively using event spaces and possibly incubating partnerships for collaborative events or corporate bookings, which can enhance asset yield without further capital expenditure (Guilding, 2014). Focusing on these critical elements — cost reduction, diversification of revenue, operational effectiveness, and asset utilisation — can help The City Hotel manage its cash flow risk, improve its profitability, and gain a competitive advantage in the hospitality industry going forward. These indicators will be complemented by regular financial assessments and tracking to keep them </w:t>
      </w:r>
      <w:r w:rsidR="0039083B" w:rsidRPr="0039083B">
        <w:rPr>
          <w:rFonts w:ascii="Arial" w:hAnsi="Arial" w:cs="Arial"/>
          <w:sz w:val="24"/>
          <w:szCs w:val="24"/>
          <w:lang w:eastAsia="en-GB"/>
        </w:rPr>
        <w:t>up to date</w:t>
      </w:r>
      <w:r w:rsidRPr="0039083B">
        <w:rPr>
          <w:rFonts w:ascii="Arial" w:hAnsi="Arial" w:cs="Arial"/>
          <w:sz w:val="24"/>
          <w:szCs w:val="24"/>
          <w:lang w:eastAsia="en-GB"/>
        </w:rPr>
        <w:t xml:space="preserve"> with the market changes and deliver the results of your turnaround plan.</w:t>
      </w:r>
    </w:p>
    <w:p w14:paraId="6F455D6D" w14:textId="77777777" w:rsidR="00303251" w:rsidRDefault="00303251" w:rsidP="004B3E26">
      <w:pPr>
        <w:spacing w:line="360" w:lineRule="auto"/>
        <w:jc w:val="both"/>
        <w:rPr>
          <w:rFonts w:ascii="Arial" w:hAnsi="Arial" w:cs="Arial"/>
          <w:sz w:val="24"/>
          <w:szCs w:val="24"/>
          <w:lang w:eastAsia="en-GB"/>
        </w:rPr>
      </w:pPr>
    </w:p>
    <w:p w14:paraId="42F58E39" w14:textId="77777777" w:rsidR="00303251" w:rsidRDefault="00303251" w:rsidP="004B3E26">
      <w:pPr>
        <w:spacing w:line="360" w:lineRule="auto"/>
        <w:jc w:val="both"/>
        <w:rPr>
          <w:rFonts w:ascii="Arial" w:hAnsi="Arial" w:cs="Arial"/>
          <w:sz w:val="24"/>
          <w:szCs w:val="24"/>
          <w:lang w:eastAsia="en-GB"/>
        </w:rPr>
      </w:pPr>
    </w:p>
    <w:p w14:paraId="6DE8B873" w14:textId="77777777" w:rsidR="00303251" w:rsidRDefault="00303251" w:rsidP="004B3E26">
      <w:pPr>
        <w:spacing w:line="360" w:lineRule="auto"/>
        <w:jc w:val="both"/>
        <w:rPr>
          <w:rFonts w:ascii="Arial" w:hAnsi="Arial" w:cs="Arial"/>
          <w:sz w:val="24"/>
          <w:szCs w:val="24"/>
          <w:lang w:eastAsia="en-GB"/>
        </w:rPr>
      </w:pPr>
    </w:p>
    <w:p w14:paraId="552739DD" w14:textId="77777777" w:rsidR="00303251" w:rsidRDefault="00303251" w:rsidP="004B3E26">
      <w:pPr>
        <w:spacing w:line="360" w:lineRule="auto"/>
        <w:jc w:val="both"/>
        <w:rPr>
          <w:rFonts w:ascii="Arial" w:hAnsi="Arial" w:cs="Arial"/>
          <w:sz w:val="24"/>
          <w:szCs w:val="24"/>
          <w:lang w:eastAsia="en-GB"/>
        </w:rPr>
      </w:pPr>
    </w:p>
    <w:p w14:paraId="274A0138" w14:textId="77777777" w:rsidR="00303251" w:rsidRDefault="00303251" w:rsidP="004B3E26">
      <w:pPr>
        <w:spacing w:line="360" w:lineRule="auto"/>
        <w:jc w:val="both"/>
        <w:rPr>
          <w:rFonts w:ascii="Arial" w:hAnsi="Arial" w:cs="Arial"/>
          <w:sz w:val="24"/>
          <w:szCs w:val="24"/>
          <w:lang w:eastAsia="en-GB"/>
        </w:rPr>
      </w:pPr>
    </w:p>
    <w:p w14:paraId="50D7AE46" w14:textId="77777777" w:rsidR="00303251" w:rsidRDefault="00303251" w:rsidP="004B3E26">
      <w:pPr>
        <w:spacing w:line="360" w:lineRule="auto"/>
        <w:jc w:val="both"/>
        <w:rPr>
          <w:rFonts w:ascii="Arial" w:hAnsi="Arial" w:cs="Arial"/>
          <w:sz w:val="24"/>
          <w:szCs w:val="24"/>
          <w:lang w:eastAsia="en-GB"/>
        </w:rPr>
      </w:pPr>
    </w:p>
    <w:p w14:paraId="74235560" w14:textId="77777777" w:rsidR="00303251" w:rsidRDefault="00303251" w:rsidP="004B3E26">
      <w:pPr>
        <w:spacing w:line="360" w:lineRule="auto"/>
        <w:jc w:val="both"/>
        <w:rPr>
          <w:rFonts w:ascii="Arial" w:hAnsi="Arial" w:cs="Arial"/>
          <w:sz w:val="24"/>
          <w:szCs w:val="24"/>
          <w:lang w:eastAsia="en-GB"/>
        </w:rPr>
      </w:pPr>
    </w:p>
    <w:p w14:paraId="36083B71" w14:textId="77777777" w:rsidR="00303251" w:rsidRDefault="00303251" w:rsidP="004B3E26">
      <w:pPr>
        <w:spacing w:line="360" w:lineRule="auto"/>
        <w:jc w:val="both"/>
        <w:rPr>
          <w:rFonts w:ascii="Arial" w:hAnsi="Arial" w:cs="Arial"/>
          <w:sz w:val="24"/>
          <w:szCs w:val="24"/>
          <w:lang w:eastAsia="en-GB"/>
        </w:rPr>
      </w:pPr>
    </w:p>
    <w:p w14:paraId="66FAC8E2" w14:textId="77777777" w:rsidR="00303251" w:rsidRDefault="00303251" w:rsidP="004B3E26">
      <w:pPr>
        <w:spacing w:line="360" w:lineRule="auto"/>
        <w:jc w:val="both"/>
        <w:rPr>
          <w:rFonts w:ascii="Arial" w:hAnsi="Arial" w:cs="Arial"/>
          <w:sz w:val="24"/>
          <w:szCs w:val="24"/>
          <w:lang w:eastAsia="en-GB"/>
        </w:rPr>
      </w:pPr>
    </w:p>
    <w:p w14:paraId="45930283" w14:textId="77777777" w:rsidR="00303251" w:rsidRDefault="00303251" w:rsidP="004B3E26">
      <w:pPr>
        <w:spacing w:line="360" w:lineRule="auto"/>
        <w:jc w:val="both"/>
        <w:rPr>
          <w:rFonts w:ascii="Arial" w:hAnsi="Arial" w:cs="Arial"/>
          <w:sz w:val="24"/>
          <w:szCs w:val="24"/>
          <w:lang w:eastAsia="en-GB"/>
        </w:rPr>
      </w:pPr>
    </w:p>
    <w:p w14:paraId="6F128EA1" w14:textId="0C9FBC0D" w:rsidR="00303251" w:rsidRPr="0039083B" w:rsidRDefault="00303251" w:rsidP="0039083B">
      <w:pPr>
        <w:pStyle w:val="EU"/>
        <w:spacing w:line="360" w:lineRule="auto"/>
        <w:rPr>
          <w:color w:val="auto"/>
        </w:rPr>
      </w:pPr>
      <w:bookmarkStart w:id="6" w:name="_Toc182502078"/>
      <w:r w:rsidRPr="0039083B">
        <w:rPr>
          <w:color w:val="auto"/>
        </w:rPr>
        <w:t>References</w:t>
      </w:r>
      <w:bookmarkEnd w:id="6"/>
    </w:p>
    <w:p w14:paraId="56025DA1" w14:textId="6A864B62" w:rsidR="008D7AE3" w:rsidRPr="0039083B" w:rsidRDefault="008D7AE3"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 xml:space="preserve">Albrecht, W.S., Stice, E.K. and Stice, J.D., </w:t>
      </w:r>
      <w:r w:rsidR="0039083B">
        <w:rPr>
          <w:rFonts w:ascii="Arial" w:hAnsi="Arial" w:cs="Arial"/>
          <w:sz w:val="24"/>
          <w:szCs w:val="24"/>
          <w:lang w:eastAsia="en-GB"/>
        </w:rPr>
        <w:t>(</w:t>
      </w:r>
      <w:r w:rsidRPr="0039083B">
        <w:rPr>
          <w:rFonts w:ascii="Arial" w:hAnsi="Arial" w:cs="Arial"/>
          <w:sz w:val="24"/>
          <w:szCs w:val="24"/>
          <w:lang w:eastAsia="en-GB"/>
        </w:rPr>
        <w:t>2011</w:t>
      </w:r>
      <w:r w:rsidR="0039083B">
        <w:rPr>
          <w:rFonts w:ascii="Arial" w:hAnsi="Arial" w:cs="Arial"/>
          <w:sz w:val="24"/>
          <w:szCs w:val="24"/>
          <w:lang w:eastAsia="en-GB"/>
        </w:rPr>
        <w:t>)</w:t>
      </w:r>
      <w:r w:rsidRPr="0039083B">
        <w:rPr>
          <w:rFonts w:ascii="Arial" w:hAnsi="Arial" w:cs="Arial"/>
          <w:sz w:val="24"/>
          <w:szCs w:val="24"/>
          <w:lang w:eastAsia="en-GB"/>
        </w:rPr>
        <w:t>. Financial accounting. South-Western, Cengage Learning.</w:t>
      </w:r>
    </w:p>
    <w:p w14:paraId="1ACEA3A5" w14:textId="0C208105" w:rsidR="000F5B9E" w:rsidRPr="0039083B" w:rsidRDefault="00BB675B"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 xml:space="preserve">Atrill P, </w:t>
      </w:r>
      <w:r w:rsidRPr="0039083B">
        <w:rPr>
          <w:rFonts w:ascii="Arial" w:hAnsi="Arial" w:cs="Arial"/>
          <w:sz w:val="24"/>
          <w:szCs w:val="24"/>
          <w:lang w:eastAsia="en-GB"/>
        </w:rPr>
        <w:t xml:space="preserve">and </w:t>
      </w:r>
      <w:r w:rsidRPr="0039083B">
        <w:rPr>
          <w:rFonts w:ascii="Arial" w:hAnsi="Arial" w:cs="Arial"/>
          <w:sz w:val="24"/>
          <w:szCs w:val="24"/>
          <w:lang w:eastAsia="en-GB"/>
        </w:rPr>
        <w:t>McLaney</w:t>
      </w:r>
      <w:r w:rsidRPr="0039083B">
        <w:rPr>
          <w:rFonts w:ascii="Arial" w:hAnsi="Arial" w:cs="Arial"/>
          <w:sz w:val="24"/>
          <w:szCs w:val="24"/>
          <w:lang w:eastAsia="en-GB"/>
        </w:rPr>
        <w:t xml:space="preserve">, </w:t>
      </w:r>
      <w:r w:rsidRPr="0039083B">
        <w:rPr>
          <w:rFonts w:ascii="Arial" w:hAnsi="Arial" w:cs="Arial"/>
          <w:sz w:val="24"/>
          <w:szCs w:val="24"/>
          <w:lang w:eastAsia="en-GB"/>
        </w:rPr>
        <w:t>E</w:t>
      </w:r>
      <w:r w:rsidRPr="0039083B">
        <w:rPr>
          <w:rFonts w:ascii="Arial" w:hAnsi="Arial" w:cs="Arial"/>
          <w:sz w:val="24"/>
          <w:szCs w:val="24"/>
          <w:lang w:eastAsia="en-GB"/>
        </w:rPr>
        <w:t>.</w:t>
      </w:r>
      <w:r w:rsidRPr="0039083B">
        <w:rPr>
          <w:rFonts w:ascii="Arial" w:hAnsi="Arial" w:cs="Arial"/>
          <w:sz w:val="24"/>
          <w:szCs w:val="24"/>
          <w:lang w:eastAsia="en-GB"/>
        </w:rPr>
        <w:t xml:space="preserve"> (2021) Management Accounting for Decision Makers, FT Prentice Hall</w:t>
      </w:r>
      <w:r w:rsidRPr="0039083B">
        <w:rPr>
          <w:rFonts w:ascii="Arial" w:hAnsi="Arial" w:cs="Arial"/>
          <w:sz w:val="24"/>
          <w:szCs w:val="24"/>
          <w:lang w:eastAsia="en-GB"/>
        </w:rPr>
        <w:t>.</w:t>
      </w:r>
    </w:p>
    <w:p w14:paraId="7D0D7271" w14:textId="4C8E7752" w:rsidR="008D7AE3" w:rsidRPr="0039083B" w:rsidRDefault="008D7AE3"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 xml:space="preserve">Baum, T. and Hai, N.T.T., </w:t>
      </w:r>
      <w:r w:rsidR="0039083B">
        <w:rPr>
          <w:rFonts w:ascii="Arial" w:hAnsi="Arial" w:cs="Arial"/>
          <w:sz w:val="24"/>
          <w:szCs w:val="24"/>
          <w:lang w:eastAsia="en-GB"/>
        </w:rPr>
        <w:t>(</w:t>
      </w:r>
      <w:r w:rsidRPr="0039083B">
        <w:rPr>
          <w:rFonts w:ascii="Arial" w:hAnsi="Arial" w:cs="Arial"/>
          <w:sz w:val="24"/>
          <w:szCs w:val="24"/>
          <w:lang w:eastAsia="en-GB"/>
        </w:rPr>
        <w:t>2020</w:t>
      </w:r>
      <w:r w:rsidR="0039083B">
        <w:rPr>
          <w:rFonts w:ascii="Arial" w:hAnsi="Arial" w:cs="Arial"/>
          <w:sz w:val="24"/>
          <w:szCs w:val="24"/>
          <w:lang w:eastAsia="en-GB"/>
        </w:rPr>
        <w:t>)</w:t>
      </w:r>
      <w:r w:rsidRPr="0039083B">
        <w:rPr>
          <w:rFonts w:ascii="Arial" w:hAnsi="Arial" w:cs="Arial"/>
          <w:sz w:val="24"/>
          <w:szCs w:val="24"/>
          <w:lang w:eastAsia="en-GB"/>
        </w:rPr>
        <w:t>. Hospitality, tourism, human rights and the impact of COVID-19. International Journal of Contemporary Hospitality Management, 32(7), pp.2397-2407.</w:t>
      </w:r>
    </w:p>
    <w:p w14:paraId="6B82FF23" w14:textId="40EA1B44" w:rsidR="0039083B" w:rsidRPr="0039083B" w:rsidRDefault="0039083B"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 xml:space="preserve">Bhatti, M.A. and Alawad, W.A., </w:t>
      </w:r>
      <w:r>
        <w:rPr>
          <w:rFonts w:ascii="Arial" w:hAnsi="Arial" w:cs="Arial"/>
          <w:sz w:val="24"/>
          <w:szCs w:val="24"/>
          <w:lang w:eastAsia="en-GB"/>
        </w:rPr>
        <w:t>(</w:t>
      </w:r>
      <w:r w:rsidRPr="0039083B">
        <w:rPr>
          <w:rFonts w:ascii="Arial" w:hAnsi="Arial" w:cs="Arial"/>
          <w:sz w:val="24"/>
          <w:szCs w:val="24"/>
          <w:lang w:eastAsia="en-GB"/>
        </w:rPr>
        <w:t>2023</w:t>
      </w:r>
      <w:r>
        <w:rPr>
          <w:rFonts w:ascii="Arial" w:hAnsi="Arial" w:cs="Arial"/>
          <w:sz w:val="24"/>
          <w:szCs w:val="24"/>
          <w:lang w:eastAsia="en-GB"/>
        </w:rPr>
        <w:t>)</w:t>
      </w:r>
      <w:r w:rsidRPr="0039083B">
        <w:rPr>
          <w:rFonts w:ascii="Arial" w:hAnsi="Arial" w:cs="Arial"/>
          <w:sz w:val="24"/>
          <w:szCs w:val="24"/>
          <w:lang w:eastAsia="en-GB"/>
        </w:rPr>
        <w:t>. Technology Adoption and Customer loyalty in Hospitality Sector: Mediating Role of Customer Satisfaction and Engagement. Przestrzeń Społeczna (Social Space), 23(3), pp.431-459.</w:t>
      </w:r>
    </w:p>
    <w:p w14:paraId="04C156BF" w14:textId="14535C62" w:rsidR="00F44212" w:rsidRPr="0039083B" w:rsidRDefault="00F44212"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Bhimani</w:t>
      </w:r>
      <w:r w:rsidRPr="0039083B">
        <w:rPr>
          <w:rFonts w:ascii="Arial" w:hAnsi="Arial" w:cs="Arial"/>
          <w:sz w:val="24"/>
          <w:szCs w:val="24"/>
          <w:lang w:eastAsia="en-GB"/>
        </w:rPr>
        <w:t xml:space="preserve">, A. </w:t>
      </w:r>
      <w:r w:rsidRPr="0039083B">
        <w:rPr>
          <w:rFonts w:ascii="Arial" w:hAnsi="Arial" w:cs="Arial"/>
          <w:sz w:val="24"/>
          <w:szCs w:val="24"/>
          <w:lang w:eastAsia="en-GB"/>
        </w:rPr>
        <w:t xml:space="preserve"> (2006) Contemporary Issues in Management </w:t>
      </w:r>
      <w:r w:rsidR="008D7AE3" w:rsidRPr="0039083B">
        <w:rPr>
          <w:rFonts w:ascii="Arial" w:hAnsi="Arial" w:cs="Arial"/>
          <w:sz w:val="24"/>
          <w:szCs w:val="24"/>
          <w:lang w:eastAsia="en-GB"/>
        </w:rPr>
        <w:t>Accounting,</w:t>
      </w:r>
      <w:r w:rsidRPr="0039083B">
        <w:rPr>
          <w:rFonts w:ascii="Arial" w:hAnsi="Arial" w:cs="Arial"/>
          <w:sz w:val="24"/>
          <w:szCs w:val="24"/>
          <w:lang w:eastAsia="en-GB"/>
        </w:rPr>
        <w:t xml:space="preserve"> Oxford</w:t>
      </w:r>
    </w:p>
    <w:p w14:paraId="4D57AF7B" w14:textId="4E3C57E1" w:rsidR="008D7AE3" w:rsidRPr="0039083B" w:rsidRDefault="008D7AE3"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 xml:space="preserve">Candra, P., Mahaputra, M.R. and Mahaputra, M.R., </w:t>
      </w:r>
      <w:r w:rsidR="0039083B">
        <w:rPr>
          <w:rFonts w:ascii="Arial" w:hAnsi="Arial" w:cs="Arial"/>
          <w:sz w:val="24"/>
          <w:szCs w:val="24"/>
          <w:lang w:eastAsia="en-GB"/>
        </w:rPr>
        <w:t>(</w:t>
      </w:r>
      <w:r w:rsidRPr="0039083B">
        <w:rPr>
          <w:rFonts w:ascii="Arial" w:hAnsi="Arial" w:cs="Arial"/>
          <w:sz w:val="24"/>
          <w:szCs w:val="24"/>
          <w:lang w:eastAsia="en-GB"/>
        </w:rPr>
        <w:t>2023</w:t>
      </w:r>
      <w:r w:rsidR="0039083B">
        <w:rPr>
          <w:rFonts w:ascii="Arial" w:hAnsi="Arial" w:cs="Arial"/>
          <w:sz w:val="24"/>
          <w:szCs w:val="24"/>
          <w:lang w:eastAsia="en-GB"/>
        </w:rPr>
        <w:t>)</w:t>
      </w:r>
      <w:r w:rsidRPr="0039083B">
        <w:rPr>
          <w:rFonts w:ascii="Arial" w:hAnsi="Arial" w:cs="Arial"/>
          <w:sz w:val="24"/>
          <w:szCs w:val="24"/>
          <w:lang w:eastAsia="en-GB"/>
        </w:rPr>
        <w:t>. Service Quality and Customer Satisfaction Have an Impact on Increasing Hotel Room Occupancy Ratio: Literature Review Study. Greenation International Journal of Tourism and Management, 1(4), pp.400-412.</w:t>
      </w:r>
    </w:p>
    <w:p w14:paraId="26FF7DE4" w14:textId="0B2969B9" w:rsidR="00BB675B" w:rsidRPr="0039083B" w:rsidRDefault="00BB675B"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Drury</w:t>
      </w:r>
      <w:r w:rsidRPr="0039083B">
        <w:rPr>
          <w:rFonts w:ascii="Arial" w:hAnsi="Arial" w:cs="Arial"/>
          <w:sz w:val="24"/>
          <w:szCs w:val="24"/>
          <w:lang w:eastAsia="en-GB"/>
        </w:rPr>
        <w:t>,</w:t>
      </w:r>
      <w:r w:rsidRPr="0039083B">
        <w:rPr>
          <w:rFonts w:ascii="Arial" w:hAnsi="Arial" w:cs="Arial"/>
          <w:sz w:val="24"/>
          <w:szCs w:val="24"/>
          <w:lang w:eastAsia="en-GB"/>
        </w:rPr>
        <w:t xml:space="preserve"> C</w:t>
      </w:r>
      <w:r w:rsidRPr="0039083B">
        <w:rPr>
          <w:rFonts w:ascii="Arial" w:hAnsi="Arial" w:cs="Arial"/>
          <w:sz w:val="24"/>
          <w:szCs w:val="24"/>
          <w:lang w:eastAsia="en-GB"/>
        </w:rPr>
        <w:t>.</w:t>
      </w:r>
      <w:r w:rsidRPr="0039083B">
        <w:rPr>
          <w:rFonts w:ascii="Arial" w:hAnsi="Arial" w:cs="Arial"/>
          <w:sz w:val="24"/>
          <w:szCs w:val="24"/>
          <w:lang w:eastAsia="en-GB"/>
        </w:rPr>
        <w:t xml:space="preserve"> (2021)</w:t>
      </w:r>
      <w:r w:rsidRPr="0039083B">
        <w:rPr>
          <w:rFonts w:ascii="Arial" w:hAnsi="Arial" w:cs="Arial"/>
          <w:sz w:val="24"/>
          <w:szCs w:val="24"/>
          <w:lang w:eastAsia="en-GB"/>
        </w:rPr>
        <w:t>.</w:t>
      </w:r>
      <w:r w:rsidRPr="0039083B">
        <w:rPr>
          <w:rFonts w:ascii="Arial" w:hAnsi="Arial" w:cs="Arial"/>
          <w:sz w:val="24"/>
          <w:szCs w:val="24"/>
          <w:lang w:eastAsia="en-GB"/>
        </w:rPr>
        <w:t xml:space="preserve"> Management and Cost Accounting,</w:t>
      </w:r>
      <w:r w:rsidRPr="0039083B">
        <w:rPr>
          <w:rFonts w:ascii="Arial" w:hAnsi="Arial" w:cs="Arial"/>
        </w:rPr>
        <w:t xml:space="preserve"> </w:t>
      </w:r>
      <w:r w:rsidRPr="0039083B">
        <w:rPr>
          <w:rFonts w:ascii="Arial" w:hAnsi="Arial" w:cs="Arial"/>
          <w:sz w:val="24"/>
          <w:szCs w:val="24"/>
          <w:lang w:eastAsia="en-GB"/>
        </w:rPr>
        <w:t>(11th Ed)</w:t>
      </w:r>
      <w:r w:rsidRPr="0039083B">
        <w:rPr>
          <w:rFonts w:ascii="Arial" w:hAnsi="Arial" w:cs="Arial"/>
          <w:sz w:val="24"/>
          <w:szCs w:val="24"/>
          <w:lang w:eastAsia="en-GB"/>
        </w:rPr>
        <w:t>.</w:t>
      </w:r>
      <w:r w:rsidRPr="0039083B">
        <w:rPr>
          <w:rFonts w:ascii="Arial" w:hAnsi="Arial" w:cs="Arial"/>
          <w:sz w:val="24"/>
          <w:szCs w:val="24"/>
          <w:lang w:eastAsia="en-GB"/>
        </w:rPr>
        <w:t xml:space="preserve"> London, Prentice Hall</w:t>
      </w:r>
      <w:r w:rsidRPr="0039083B">
        <w:rPr>
          <w:rFonts w:ascii="Arial" w:hAnsi="Arial" w:cs="Arial"/>
          <w:sz w:val="24"/>
          <w:szCs w:val="24"/>
          <w:lang w:eastAsia="en-GB"/>
        </w:rPr>
        <w:t>.</w:t>
      </w:r>
    </w:p>
    <w:p w14:paraId="55E5927B" w14:textId="005ABF25" w:rsidR="00F44212" w:rsidRPr="0039083B" w:rsidRDefault="00F44212"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Guilding,</w:t>
      </w:r>
      <w:r w:rsidRPr="0039083B">
        <w:rPr>
          <w:rFonts w:ascii="Arial" w:hAnsi="Arial" w:cs="Arial"/>
          <w:sz w:val="24"/>
          <w:szCs w:val="24"/>
          <w:lang w:eastAsia="en-GB"/>
        </w:rPr>
        <w:t xml:space="preserve"> C. (</w:t>
      </w:r>
      <w:r w:rsidRPr="0039083B">
        <w:rPr>
          <w:rFonts w:ascii="Arial" w:hAnsi="Arial" w:cs="Arial"/>
          <w:sz w:val="24"/>
          <w:szCs w:val="24"/>
          <w:lang w:eastAsia="en-GB"/>
        </w:rPr>
        <w:t>2014)</w:t>
      </w:r>
      <w:r w:rsidRPr="0039083B">
        <w:rPr>
          <w:rFonts w:ascii="Arial" w:hAnsi="Arial" w:cs="Arial"/>
          <w:sz w:val="24"/>
          <w:szCs w:val="24"/>
          <w:lang w:eastAsia="en-GB"/>
        </w:rPr>
        <w:t xml:space="preserve">. </w:t>
      </w:r>
      <w:r w:rsidRPr="0039083B">
        <w:rPr>
          <w:rFonts w:ascii="Arial" w:hAnsi="Arial" w:cs="Arial"/>
          <w:sz w:val="24"/>
          <w:szCs w:val="24"/>
          <w:lang w:eastAsia="en-GB"/>
        </w:rPr>
        <w:t xml:space="preserve">Accounting Essentials for Hospitality Managers, (3rd Edition) </w:t>
      </w:r>
      <w:r w:rsidRPr="0039083B">
        <w:rPr>
          <w:rFonts w:ascii="Arial" w:hAnsi="Arial" w:cs="Arial"/>
          <w:sz w:val="24"/>
          <w:szCs w:val="24"/>
          <w:lang w:eastAsia="en-GB"/>
        </w:rPr>
        <w:t xml:space="preserve">, </w:t>
      </w:r>
      <w:r w:rsidRPr="0039083B">
        <w:rPr>
          <w:rFonts w:ascii="Arial" w:hAnsi="Arial" w:cs="Arial"/>
          <w:sz w:val="24"/>
          <w:szCs w:val="24"/>
          <w:lang w:eastAsia="en-GB"/>
        </w:rPr>
        <w:t>London, Routledge</w:t>
      </w:r>
      <w:r w:rsidRPr="0039083B">
        <w:rPr>
          <w:rFonts w:ascii="Arial" w:hAnsi="Arial" w:cs="Arial"/>
          <w:sz w:val="24"/>
          <w:szCs w:val="24"/>
          <w:lang w:eastAsia="en-GB"/>
        </w:rPr>
        <w:t>.</w:t>
      </w:r>
    </w:p>
    <w:p w14:paraId="7530EC0E" w14:textId="463D864D" w:rsidR="0039083B" w:rsidRPr="0039083B" w:rsidRDefault="0039083B"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 xml:space="preserve">Hudson, S., </w:t>
      </w:r>
      <w:r>
        <w:rPr>
          <w:rFonts w:ascii="Arial" w:hAnsi="Arial" w:cs="Arial"/>
          <w:sz w:val="24"/>
          <w:szCs w:val="24"/>
          <w:lang w:eastAsia="en-GB"/>
        </w:rPr>
        <w:t>(</w:t>
      </w:r>
      <w:r w:rsidRPr="0039083B">
        <w:rPr>
          <w:rFonts w:ascii="Arial" w:hAnsi="Arial" w:cs="Arial"/>
          <w:sz w:val="24"/>
          <w:szCs w:val="24"/>
          <w:lang w:eastAsia="en-GB"/>
        </w:rPr>
        <w:t>2017</w:t>
      </w:r>
      <w:r>
        <w:rPr>
          <w:rFonts w:ascii="Arial" w:hAnsi="Arial" w:cs="Arial"/>
          <w:sz w:val="24"/>
          <w:szCs w:val="24"/>
          <w:lang w:eastAsia="en-GB"/>
        </w:rPr>
        <w:t>)</w:t>
      </w:r>
      <w:r w:rsidRPr="0039083B">
        <w:rPr>
          <w:rFonts w:ascii="Arial" w:hAnsi="Arial" w:cs="Arial"/>
          <w:sz w:val="24"/>
          <w:szCs w:val="24"/>
          <w:lang w:eastAsia="en-GB"/>
        </w:rPr>
        <w:t>. Marketing for tourism, hospitality &amp; events: a global &amp; digital approach.</w:t>
      </w:r>
    </w:p>
    <w:p w14:paraId="730198FB" w14:textId="7B1357B9" w:rsidR="00F44212" w:rsidRPr="0039083B" w:rsidRDefault="00F44212"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Jagels,</w:t>
      </w:r>
      <w:r w:rsidRPr="0039083B">
        <w:rPr>
          <w:rFonts w:ascii="Arial" w:hAnsi="Arial" w:cs="Arial"/>
          <w:sz w:val="24"/>
          <w:szCs w:val="24"/>
          <w:lang w:eastAsia="en-GB"/>
        </w:rPr>
        <w:t xml:space="preserve"> </w:t>
      </w:r>
      <w:r w:rsidRPr="0039083B">
        <w:rPr>
          <w:rFonts w:ascii="Arial" w:hAnsi="Arial" w:cs="Arial"/>
          <w:sz w:val="24"/>
          <w:szCs w:val="24"/>
          <w:lang w:eastAsia="en-GB"/>
        </w:rPr>
        <w:t>M. (2007) Hospitality Management Accounting, London, Wiley.</w:t>
      </w:r>
    </w:p>
    <w:p w14:paraId="5FE076F9" w14:textId="00223B54" w:rsidR="00F44212" w:rsidRPr="0039083B" w:rsidRDefault="00F44212"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Seal</w:t>
      </w:r>
      <w:r w:rsidRPr="0039083B">
        <w:rPr>
          <w:rFonts w:ascii="Arial" w:hAnsi="Arial" w:cs="Arial"/>
          <w:sz w:val="24"/>
          <w:szCs w:val="24"/>
          <w:lang w:eastAsia="en-GB"/>
        </w:rPr>
        <w:t>,</w:t>
      </w:r>
      <w:r w:rsidRPr="0039083B">
        <w:rPr>
          <w:rFonts w:ascii="Arial" w:hAnsi="Arial" w:cs="Arial"/>
          <w:sz w:val="24"/>
          <w:szCs w:val="24"/>
          <w:lang w:eastAsia="en-GB"/>
        </w:rPr>
        <w:t xml:space="preserve"> W</w:t>
      </w:r>
      <w:r w:rsidRPr="0039083B">
        <w:rPr>
          <w:rFonts w:ascii="Arial" w:hAnsi="Arial" w:cs="Arial"/>
          <w:sz w:val="24"/>
          <w:szCs w:val="24"/>
          <w:lang w:eastAsia="en-GB"/>
        </w:rPr>
        <w:t>.</w:t>
      </w:r>
      <w:r w:rsidRPr="0039083B">
        <w:rPr>
          <w:rFonts w:ascii="Arial" w:hAnsi="Arial" w:cs="Arial"/>
          <w:sz w:val="24"/>
          <w:szCs w:val="24"/>
          <w:lang w:eastAsia="en-GB"/>
        </w:rPr>
        <w:t xml:space="preserve"> (2019) Management Accounting,</w:t>
      </w:r>
      <w:r w:rsidR="00897736" w:rsidRPr="0039083B">
        <w:rPr>
          <w:rFonts w:ascii="Arial" w:hAnsi="Arial" w:cs="Arial"/>
        </w:rPr>
        <w:t xml:space="preserve"> </w:t>
      </w:r>
      <w:r w:rsidR="00897736" w:rsidRPr="0039083B">
        <w:rPr>
          <w:rFonts w:ascii="Arial" w:hAnsi="Arial" w:cs="Arial"/>
          <w:sz w:val="24"/>
          <w:szCs w:val="24"/>
          <w:lang w:eastAsia="en-GB"/>
        </w:rPr>
        <w:t>6th Ed</w:t>
      </w:r>
      <w:r w:rsidR="00897736" w:rsidRPr="0039083B">
        <w:rPr>
          <w:rFonts w:ascii="Arial" w:hAnsi="Arial" w:cs="Arial"/>
          <w:sz w:val="24"/>
          <w:szCs w:val="24"/>
          <w:lang w:eastAsia="en-GB"/>
        </w:rPr>
        <w:t>,</w:t>
      </w:r>
      <w:r w:rsidRPr="0039083B">
        <w:rPr>
          <w:rFonts w:ascii="Arial" w:hAnsi="Arial" w:cs="Arial"/>
          <w:sz w:val="24"/>
          <w:szCs w:val="24"/>
          <w:lang w:eastAsia="en-GB"/>
        </w:rPr>
        <w:t xml:space="preserve"> London, McGraw Hill</w:t>
      </w:r>
      <w:r w:rsidR="00897736" w:rsidRPr="0039083B">
        <w:rPr>
          <w:rFonts w:ascii="Arial" w:hAnsi="Arial" w:cs="Arial"/>
          <w:sz w:val="24"/>
          <w:szCs w:val="24"/>
          <w:lang w:eastAsia="en-GB"/>
        </w:rPr>
        <w:t>.</w:t>
      </w:r>
    </w:p>
    <w:p w14:paraId="39DD4A58" w14:textId="72286159" w:rsidR="00F44212" w:rsidRPr="0039083B" w:rsidRDefault="00F44212"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Tranter,K. Stuart-Hill,T. Parker,J. (2014) Introduction to Revenue Management for the Hospitality Industry, London, Pearson</w:t>
      </w:r>
    </w:p>
    <w:p w14:paraId="4D5AABBB" w14:textId="0C3EDD50" w:rsidR="00F44212" w:rsidRPr="0039083B" w:rsidRDefault="00F44212"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Walker J (2021) Introduction to Hospitality, Harlow, Pearson</w:t>
      </w:r>
    </w:p>
    <w:p w14:paraId="5E2E1D13" w14:textId="1E0D2934" w:rsidR="008D7AE3" w:rsidRPr="0039083B" w:rsidRDefault="008D7AE3"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 xml:space="preserve">Weygandt, J.J., Kimmel, P.D. and Kieso, D.E., </w:t>
      </w:r>
      <w:r w:rsidR="0039083B">
        <w:rPr>
          <w:rFonts w:ascii="Arial" w:hAnsi="Arial" w:cs="Arial"/>
          <w:sz w:val="24"/>
          <w:szCs w:val="24"/>
          <w:lang w:eastAsia="en-GB"/>
        </w:rPr>
        <w:t>(</w:t>
      </w:r>
      <w:r w:rsidRPr="0039083B">
        <w:rPr>
          <w:rFonts w:ascii="Arial" w:hAnsi="Arial" w:cs="Arial"/>
          <w:sz w:val="24"/>
          <w:szCs w:val="24"/>
          <w:lang w:eastAsia="en-GB"/>
        </w:rPr>
        <w:t>2015</w:t>
      </w:r>
      <w:r w:rsidR="0039083B">
        <w:rPr>
          <w:rFonts w:ascii="Arial" w:hAnsi="Arial" w:cs="Arial"/>
          <w:sz w:val="24"/>
          <w:szCs w:val="24"/>
          <w:lang w:eastAsia="en-GB"/>
        </w:rPr>
        <w:t>)</w:t>
      </w:r>
      <w:r w:rsidRPr="0039083B">
        <w:rPr>
          <w:rFonts w:ascii="Arial" w:hAnsi="Arial" w:cs="Arial"/>
          <w:sz w:val="24"/>
          <w:szCs w:val="24"/>
          <w:lang w:eastAsia="en-GB"/>
        </w:rPr>
        <w:t>. Financial &amp; managerial accounting. John Wiley &amp; Sons.</w:t>
      </w:r>
    </w:p>
    <w:p w14:paraId="4218B943" w14:textId="7E312D14" w:rsidR="000F5B9E" w:rsidRPr="0039083B" w:rsidRDefault="00BB675B" w:rsidP="0039083B">
      <w:pPr>
        <w:spacing w:line="360" w:lineRule="auto"/>
        <w:jc w:val="both"/>
        <w:rPr>
          <w:rFonts w:ascii="Arial" w:hAnsi="Arial" w:cs="Arial"/>
          <w:sz w:val="24"/>
          <w:szCs w:val="24"/>
          <w:lang w:eastAsia="en-GB"/>
        </w:rPr>
      </w:pPr>
      <w:r w:rsidRPr="0039083B">
        <w:rPr>
          <w:rFonts w:ascii="Arial" w:hAnsi="Arial" w:cs="Arial"/>
          <w:sz w:val="24"/>
          <w:szCs w:val="24"/>
          <w:lang w:eastAsia="en-GB"/>
        </w:rPr>
        <w:t xml:space="preserve">Wild, J.J., </w:t>
      </w:r>
      <w:r w:rsidRPr="0039083B">
        <w:rPr>
          <w:rFonts w:ascii="Arial" w:hAnsi="Arial" w:cs="Arial"/>
          <w:sz w:val="24"/>
          <w:szCs w:val="24"/>
          <w:lang w:eastAsia="en-GB"/>
        </w:rPr>
        <w:t>(</w:t>
      </w:r>
      <w:r w:rsidRPr="0039083B">
        <w:rPr>
          <w:rFonts w:ascii="Arial" w:hAnsi="Arial" w:cs="Arial"/>
          <w:sz w:val="24"/>
          <w:szCs w:val="24"/>
          <w:lang w:eastAsia="en-GB"/>
        </w:rPr>
        <w:t>2018</w:t>
      </w:r>
      <w:r w:rsidRPr="0039083B">
        <w:rPr>
          <w:rFonts w:ascii="Arial" w:hAnsi="Arial" w:cs="Arial"/>
          <w:sz w:val="24"/>
          <w:szCs w:val="24"/>
          <w:lang w:eastAsia="en-GB"/>
        </w:rPr>
        <w:t>)</w:t>
      </w:r>
      <w:r w:rsidRPr="0039083B">
        <w:rPr>
          <w:rFonts w:ascii="Arial" w:hAnsi="Arial" w:cs="Arial"/>
          <w:sz w:val="24"/>
          <w:szCs w:val="24"/>
          <w:lang w:eastAsia="en-GB"/>
        </w:rPr>
        <w:t>. Financial accounting fundamentals. McGraw-Hill.</w:t>
      </w:r>
    </w:p>
    <w:p w14:paraId="03AE1D3C" w14:textId="77777777" w:rsidR="000F5B9E" w:rsidRDefault="000F5B9E" w:rsidP="004B3E26">
      <w:pPr>
        <w:spacing w:line="360" w:lineRule="auto"/>
        <w:jc w:val="both"/>
        <w:rPr>
          <w:rFonts w:ascii="Arial" w:hAnsi="Arial" w:cs="Arial"/>
          <w:sz w:val="24"/>
          <w:szCs w:val="24"/>
          <w:lang w:eastAsia="en-GB"/>
        </w:rPr>
      </w:pPr>
    </w:p>
    <w:p w14:paraId="3B486D84" w14:textId="77777777" w:rsidR="000F5B9E" w:rsidRDefault="000F5B9E" w:rsidP="004B3E26">
      <w:pPr>
        <w:spacing w:line="360" w:lineRule="auto"/>
        <w:jc w:val="both"/>
        <w:rPr>
          <w:rFonts w:ascii="Arial" w:hAnsi="Arial" w:cs="Arial"/>
          <w:sz w:val="24"/>
          <w:szCs w:val="24"/>
          <w:lang w:eastAsia="en-GB"/>
        </w:rPr>
      </w:pPr>
    </w:p>
    <w:p w14:paraId="26FCFB81" w14:textId="77777777" w:rsidR="000F5B9E" w:rsidRDefault="000F5B9E" w:rsidP="004B3E26">
      <w:pPr>
        <w:spacing w:line="360" w:lineRule="auto"/>
        <w:jc w:val="both"/>
        <w:rPr>
          <w:rFonts w:ascii="Arial" w:hAnsi="Arial" w:cs="Arial"/>
          <w:sz w:val="24"/>
          <w:szCs w:val="24"/>
          <w:lang w:eastAsia="en-GB"/>
        </w:rPr>
      </w:pPr>
    </w:p>
    <w:p w14:paraId="606C38CA" w14:textId="77777777" w:rsidR="000F5B9E" w:rsidRDefault="000F5B9E" w:rsidP="004B3E26">
      <w:pPr>
        <w:spacing w:line="360" w:lineRule="auto"/>
        <w:jc w:val="both"/>
        <w:rPr>
          <w:rFonts w:ascii="Arial" w:hAnsi="Arial" w:cs="Arial"/>
          <w:sz w:val="24"/>
          <w:szCs w:val="24"/>
          <w:lang w:eastAsia="en-GB"/>
        </w:rPr>
      </w:pPr>
    </w:p>
    <w:p w14:paraId="4583B688" w14:textId="77777777" w:rsidR="000F5B9E" w:rsidRDefault="000F5B9E" w:rsidP="004B3E26">
      <w:pPr>
        <w:spacing w:line="360" w:lineRule="auto"/>
        <w:jc w:val="both"/>
        <w:rPr>
          <w:rFonts w:ascii="Arial" w:hAnsi="Arial" w:cs="Arial"/>
          <w:sz w:val="24"/>
          <w:szCs w:val="24"/>
          <w:lang w:eastAsia="en-GB"/>
        </w:rPr>
      </w:pPr>
    </w:p>
    <w:p w14:paraId="7EFDAB36" w14:textId="77777777" w:rsidR="000F5B9E" w:rsidRDefault="000F5B9E" w:rsidP="004B3E26">
      <w:pPr>
        <w:spacing w:line="360" w:lineRule="auto"/>
        <w:jc w:val="both"/>
        <w:rPr>
          <w:rFonts w:ascii="Arial" w:hAnsi="Arial" w:cs="Arial"/>
          <w:sz w:val="24"/>
          <w:szCs w:val="24"/>
          <w:lang w:eastAsia="en-GB"/>
        </w:rPr>
      </w:pPr>
    </w:p>
    <w:p w14:paraId="267B9316" w14:textId="77777777" w:rsidR="000F5B9E" w:rsidRDefault="000F5B9E" w:rsidP="004B3E26">
      <w:pPr>
        <w:spacing w:line="360" w:lineRule="auto"/>
        <w:jc w:val="both"/>
        <w:rPr>
          <w:rFonts w:ascii="Arial" w:hAnsi="Arial" w:cs="Arial"/>
          <w:sz w:val="24"/>
          <w:szCs w:val="24"/>
          <w:lang w:eastAsia="en-GB"/>
        </w:rPr>
      </w:pPr>
    </w:p>
    <w:p w14:paraId="73BF8870" w14:textId="77777777" w:rsidR="000F5B9E" w:rsidRDefault="000F5B9E" w:rsidP="004B3E26">
      <w:pPr>
        <w:spacing w:line="360" w:lineRule="auto"/>
        <w:jc w:val="both"/>
        <w:rPr>
          <w:rFonts w:ascii="Arial" w:hAnsi="Arial" w:cs="Arial"/>
          <w:sz w:val="24"/>
          <w:szCs w:val="24"/>
          <w:lang w:eastAsia="en-GB"/>
        </w:rPr>
      </w:pPr>
    </w:p>
    <w:p w14:paraId="202CFB94" w14:textId="77777777" w:rsidR="000F5B9E" w:rsidRDefault="000F5B9E" w:rsidP="004B3E26">
      <w:pPr>
        <w:spacing w:line="360" w:lineRule="auto"/>
        <w:jc w:val="both"/>
        <w:rPr>
          <w:rFonts w:ascii="Arial" w:hAnsi="Arial" w:cs="Arial"/>
          <w:sz w:val="24"/>
          <w:szCs w:val="24"/>
          <w:lang w:eastAsia="en-GB"/>
        </w:rPr>
      </w:pPr>
    </w:p>
    <w:p w14:paraId="6568626C" w14:textId="77777777" w:rsidR="000F5B9E" w:rsidRDefault="000F5B9E" w:rsidP="004B3E26">
      <w:pPr>
        <w:spacing w:line="360" w:lineRule="auto"/>
        <w:jc w:val="both"/>
        <w:rPr>
          <w:rFonts w:ascii="Arial" w:hAnsi="Arial" w:cs="Arial"/>
          <w:sz w:val="24"/>
          <w:szCs w:val="24"/>
          <w:lang w:eastAsia="en-GB"/>
        </w:rPr>
      </w:pPr>
    </w:p>
    <w:p w14:paraId="12F00E2E" w14:textId="77777777" w:rsidR="000F5B9E" w:rsidRDefault="000F5B9E" w:rsidP="004B3E26">
      <w:pPr>
        <w:spacing w:line="360" w:lineRule="auto"/>
        <w:jc w:val="both"/>
        <w:rPr>
          <w:rFonts w:ascii="Arial" w:hAnsi="Arial" w:cs="Arial"/>
          <w:sz w:val="24"/>
          <w:szCs w:val="24"/>
          <w:lang w:eastAsia="en-GB"/>
        </w:rPr>
      </w:pPr>
    </w:p>
    <w:p w14:paraId="63DB4162" w14:textId="77777777" w:rsidR="000F5B9E" w:rsidRDefault="000F5B9E" w:rsidP="004B3E26">
      <w:pPr>
        <w:spacing w:line="360" w:lineRule="auto"/>
        <w:jc w:val="both"/>
        <w:rPr>
          <w:rFonts w:ascii="Arial" w:hAnsi="Arial" w:cs="Arial"/>
          <w:sz w:val="24"/>
          <w:szCs w:val="24"/>
          <w:lang w:eastAsia="en-GB"/>
        </w:rPr>
      </w:pPr>
    </w:p>
    <w:p w14:paraId="548E158F" w14:textId="77777777" w:rsidR="000F5B9E" w:rsidRDefault="000F5B9E" w:rsidP="004B3E26">
      <w:pPr>
        <w:spacing w:line="360" w:lineRule="auto"/>
        <w:jc w:val="both"/>
        <w:rPr>
          <w:rFonts w:ascii="Arial" w:hAnsi="Arial" w:cs="Arial"/>
          <w:sz w:val="24"/>
          <w:szCs w:val="24"/>
          <w:lang w:eastAsia="en-GB"/>
        </w:rPr>
      </w:pPr>
    </w:p>
    <w:p w14:paraId="0423BD6F" w14:textId="77777777" w:rsidR="000F5B9E" w:rsidRDefault="000F5B9E" w:rsidP="004B3E26">
      <w:pPr>
        <w:spacing w:line="360" w:lineRule="auto"/>
        <w:jc w:val="both"/>
        <w:rPr>
          <w:rFonts w:ascii="Arial" w:hAnsi="Arial" w:cs="Arial"/>
          <w:sz w:val="24"/>
          <w:szCs w:val="24"/>
          <w:lang w:eastAsia="en-GB"/>
        </w:rPr>
      </w:pPr>
    </w:p>
    <w:p w14:paraId="75600C43" w14:textId="77777777" w:rsidR="000F5B9E" w:rsidRDefault="000F5B9E" w:rsidP="004B3E26">
      <w:pPr>
        <w:spacing w:line="360" w:lineRule="auto"/>
        <w:jc w:val="both"/>
        <w:rPr>
          <w:rFonts w:ascii="Arial" w:hAnsi="Arial" w:cs="Arial"/>
          <w:sz w:val="24"/>
          <w:szCs w:val="24"/>
          <w:lang w:eastAsia="en-GB"/>
        </w:rPr>
      </w:pPr>
    </w:p>
    <w:p w14:paraId="61E8C3C3" w14:textId="77777777" w:rsidR="000F5B9E" w:rsidRDefault="000F5B9E" w:rsidP="004B3E26">
      <w:pPr>
        <w:spacing w:line="360" w:lineRule="auto"/>
        <w:jc w:val="both"/>
        <w:rPr>
          <w:rFonts w:ascii="Arial" w:hAnsi="Arial" w:cs="Arial"/>
          <w:sz w:val="24"/>
          <w:szCs w:val="24"/>
          <w:lang w:eastAsia="en-GB"/>
        </w:rPr>
      </w:pPr>
    </w:p>
    <w:p w14:paraId="6D2CB156" w14:textId="77777777" w:rsidR="000F5B9E" w:rsidRDefault="000F5B9E" w:rsidP="004B3E26">
      <w:pPr>
        <w:spacing w:line="360" w:lineRule="auto"/>
        <w:jc w:val="both"/>
        <w:rPr>
          <w:rFonts w:ascii="Arial" w:hAnsi="Arial" w:cs="Arial"/>
          <w:sz w:val="24"/>
          <w:szCs w:val="24"/>
          <w:lang w:eastAsia="en-GB"/>
        </w:rPr>
      </w:pPr>
    </w:p>
    <w:p w14:paraId="0DD0BBA2" w14:textId="77777777" w:rsidR="000F5B9E" w:rsidRDefault="000F5B9E" w:rsidP="004B3E26">
      <w:pPr>
        <w:spacing w:line="360" w:lineRule="auto"/>
        <w:jc w:val="both"/>
        <w:rPr>
          <w:rFonts w:ascii="Arial" w:hAnsi="Arial" w:cs="Arial"/>
          <w:sz w:val="24"/>
          <w:szCs w:val="24"/>
          <w:lang w:eastAsia="en-GB"/>
        </w:rPr>
      </w:pPr>
    </w:p>
    <w:p w14:paraId="6F3F4E89" w14:textId="77777777" w:rsidR="000F5B9E" w:rsidRDefault="000F5B9E" w:rsidP="004B3E26">
      <w:pPr>
        <w:spacing w:line="360" w:lineRule="auto"/>
        <w:jc w:val="both"/>
        <w:rPr>
          <w:rFonts w:ascii="Arial" w:hAnsi="Arial" w:cs="Arial"/>
          <w:sz w:val="24"/>
          <w:szCs w:val="24"/>
          <w:lang w:eastAsia="en-GB"/>
        </w:rPr>
      </w:pPr>
    </w:p>
    <w:p w14:paraId="34FFAA72" w14:textId="77777777" w:rsidR="000F5B9E" w:rsidRDefault="000F5B9E" w:rsidP="004B3E26">
      <w:pPr>
        <w:spacing w:line="360" w:lineRule="auto"/>
        <w:jc w:val="both"/>
        <w:rPr>
          <w:rFonts w:ascii="Arial" w:hAnsi="Arial" w:cs="Arial"/>
          <w:sz w:val="24"/>
          <w:szCs w:val="24"/>
          <w:lang w:eastAsia="en-GB"/>
        </w:rPr>
      </w:pPr>
    </w:p>
    <w:p w14:paraId="1B106C61" w14:textId="77777777" w:rsidR="000F5B9E" w:rsidRDefault="000F5B9E" w:rsidP="004B3E26">
      <w:pPr>
        <w:spacing w:line="360" w:lineRule="auto"/>
        <w:jc w:val="both"/>
        <w:rPr>
          <w:rFonts w:ascii="Arial" w:hAnsi="Arial" w:cs="Arial"/>
          <w:sz w:val="24"/>
          <w:szCs w:val="24"/>
          <w:lang w:eastAsia="en-GB"/>
        </w:rPr>
      </w:pPr>
    </w:p>
    <w:p w14:paraId="44895D05" w14:textId="77777777" w:rsidR="000F5B9E" w:rsidRDefault="000F5B9E" w:rsidP="004B3E26">
      <w:pPr>
        <w:spacing w:line="360" w:lineRule="auto"/>
        <w:jc w:val="both"/>
        <w:rPr>
          <w:rFonts w:ascii="Arial" w:hAnsi="Arial" w:cs="Arial"/>
          <w:sz w:val="24"/>
          <w:szCs w:val="24"/>
          <w:lang w:eastAsia="en-GB"/>
        </w:rPr>
      </w:pPr>
    </w:p>
    <w:p w14:paraId="116F0BC6" w14:textId="2FD1FE82" w:rsidR="000F5B9E" w:rsidRPr="00303251" w:rsidRDefault="000F5B9E" w:rsidP="00303251">
      <w:pPr>
        <w:pStyle w:val="EU"/>
        <w:spacing w:line="360" w:lineRule="auto"/>
        <w:rPr>
          <w:color w:val="auto"/>
        </w:rPr>
      </w:pPr>
      <w:bookmarkStart w:id="7" w:name="_Toc182502079"/>
      <w:r w:rsidRPr="00303251">
        <w:rPr>
          <w:color w:val="auto"/>
        </w:rPr>
        <w:t>Appendix</w:t>
      </w:r>
      <w:bookmarkEnd w:id="7"/>
      <w:r w:rsidRPr="00303251">
        <w:rPr>
          <w:color w:val="auto"/>
        </w:rPr>
        <w:t xml:space="preserve"> </w:t>
      </w:r>
    </w:p>
    <w:p w14:paraId="5D992CEB" w14:textId="476F55D3" w:rsidR="004B3E26" w:rsidRPr="00303251" w:rsidRDefault="004B3E26" w:rsidP="00303251">
      <w:pPr>
        <w:spacing w:line="360" w:lineRule="auto"/>
        <w:jc w:val="both"/>
        <w:rPr>
          <w:rFonts w:ascii="Arial" w:hAnsi="Arial" w:cs="Arial"/>
          <w:sz w:val="24"/>
          <w:szCs w:val="24"/>
          <w:lang w:eastAsia="en-GB"/>
        </w:rPr>
      </w:pPr>
      <w:r w:rsidRPr="00303251">
        <w:rPr>
          <w:rFonts w:ascii="Arial" w:hAnsi="Arial" w:cs="Arial"/>
          <w:sz w:val="24"/>
          <w:szCs w:val="24"/>
          <w:lang w:eastAsia="en-GB"/>
        </w:rPr>
        <w:t xml:space="preserve">Gross Profit Margin= </w:t>
      </w:r>
      <w:r w:rsidR="00D22903" w:rsidRPr="00303251">
        <w:rPr>
          <w:rFonts w:ascii="Arial" w:hAnsi="Arial" w:cs="Arial"/>
          <w:sz w:val="24"/>
          <w:szCs w:val="24"/>
          <w:lang w:eastAsia="en-GB"/>
        </w:rPr>
        <w:t>[</w:t>
      </w:r>
      <w:r w:rsidRPr="00303251">
        <w:rPr>
          <w:rFonts w:ascii="Arial" w:hAnsi="Arial" w:cs="Arial"/>
          <w:sz w:val="24"/>
          <w:szCs w:val="24"/>
          <w:lang w:eastAsia="en-GB"/>
        </w:rPr>
        <w:t>(Revenue−Cost of Goods Sold)/Revenue</w:t>
      </w:r>
      <w:r w:rsidR="00D22903" w:rsidRPr="00303251">
        <w:rPr>
          <w:rFonts w:ascii="Arial" w:hAnsi="Arial" w:cs="Arial"/>
          <w:sz w:val="24"/>
          <w:szCs w:val="24"/>
          <w:lang w:eastAsia="en-GB"/>
        </w:rPr>
        <w:t>]</w:t>
      </w:r>
      <w:r w:rsidRPr="00303251">
        <w:rPr>
          <w:rFonts w:ascii="Arial" w:hAnsi="Arial" w:cs="Arial"/>
          <w:sz w:val="24"/>
          <w:szCs w:val="24"/>
          <w:lang w:eastAsia="en-GB"/>
        </w:rPr>
        <w:t xml:space="preserve"> ×100</w:t>
      </w:r>
    </w:p>
    <w:p w14:paraId="585D1779" w14:textId="276A2BE9" w:rsidR="004B3E26" w:rsidRPr="00303251" w:rsidRDefault="00D22903" w:rsidP="00303251">
      <w:pPr>
        <w:spacing w:line="360" w:lineRule="auto"/>
        <w:jc w:val="both"/>
        <w:rPr>
          <w:rFonts w:ascii="Arial" w:hAnsi="Arial" w:cs="Arial"/>
          <w:sz w:val="24"/>
          <w:szCs w:val="24"/>
          <w:lang w:eastAsia="en-GB"/>
        </w:rPr>
      </w:pPr>
      <w:r w:rsidRPr="00303251">
        <w:rPr>
          <w:rFonts w:ascii="Arial" w:hAnsi="Arial" w:cs="Arial"/>
          <w:sz w:val="24"/>
          <w:szCs w:val="24"/>
          <w:lang w:eastAsia="en-GB"/>
        </w:rPr>
        <w:t>Y</w:t>
      </w:r>
      <w:r w:rsidR="004B3E26" w:rsidRPr="00303251">
        <w:rPr>
          <w:rFonts w:ascii="Arial" w:hAnsi="Arial" w:cs="Arial"/>
          <w:sz w:val="24"/>
          <w:szCs w:val="24"/>
          <w:lang w:eastAsia="en-GB"/>
        </w:rPr>
        <w:t xml:space="preserve">2021= </w:t>
      </w:r>
      <w:r w:rsidRPr="00303251">
        <w:rPr>
          <w:rFonts w:ascii="Arial" w:hAnsi="Arial" w:cs="Arial"/>
          <w:sz w:val="24"/>
          <w:szCs w:val="24"/>
          <w:lang w:eastAsia="en-GB"/>
        </w:rPr>
        <w:t>[</w:t>
      </w:r>
      <w:r w:rsidR="004B3E26" w:rsidRPr="00303251">
        <w:rPr>
          <w:rFonts w:ascii="Arial" w:hAnsi="Arial" w:cs="Arial"/>
          <w:sz w:val="24"/>
          <w:szCs w:val="24"/>
          <w:lang w:eastAsia="en-GB"/>
        </w:rPr>
        <w:t>(5,248,290-411,600)/5,248,290</w:t>
      </w:r>
      <w:r w:rsidRPr="00303251">
        <w:rPr>
          <w:rFonts w:ascii="Arial" w:hAnsi="Arial" w:cs="Arial"/>
          <w:sz w:val="24"/>
          <w:szCs w:val="24"/>
          <w:lang w:eastAsia="en-GB"/>
        </w:rPr>
        <w:t>]</w:t>
      </w:r>
      <w:r w:rsidR="004B3E26" w:rsidRPr="00303251">
        <w:rPr>
          <w:rFonts w:ascii="Arial" w:hAnsi="Arial" w:cs="Arial"/>
          <w:sz w:val="24"/>
          <w:szCs w:val="24"/>
          <w:lang w:eastAsia="en-GB"/>
        </w:rPr>
        <w:t xml:space="preserve"> ×100= (4,836,690/5,248,290) x 100=0.9216 x100= 92.16%</w:t>
      </w:r>
    </w:p>
    <w:p w14:paraId="065A7093" w14:textId="246CD45D" w:rsidR="004B3E26" w:rsidRPr="00303251" w:rsidRDefault="00D22903" w:rsidP="00303251">
      <w:pPr>
        <w:spacing w:line="360" w:lineRule="auto"/>
        <w:jc w:val="both"/>
        <w:rPr>
          <w:rFonts w:ascii="Arial" w:hAnsi="Arial" w:cs="Arial"/>
          <w:sz w:val="24"/>
          <w:szCs w:val="24"/>
          <w:lang w:eastAsia="en-GB"/>
        </w:rPr>
      </w:pPr>
      <w:r w:rsidRPr="00303251">
        <w:rPr>
          <w:rFonts w:ascii="Arial" w:hAnsi="Arial" w:cs="Arial"/>
          <w:sz w:val="24"/>
          <w:szCs w:val="24"/>
          <w:lang w:eastAsia="en-GB"/>
        </w:rPr>
        <w:t>Y</w:t>
      </w:r>
      <w:r w:rsidR="004B3E26" w:rsidRPr="00303251">
        <w:rPr>
          <w:rFonts w:ascii="Arial" w:hAnsi="Arial" w:cs="Arial"/>
          <w:sz w:val="24"/>
          <w:szCs w:val="24"/>
          <w:lang w:eastAsia="en-GB"/>
        </w:rPr>
        <w:t xml:space="preserve">2022= </w:t>
      </w:r>
      <w:r w:rsidRPr="00303251">
        <w:rPr>
          <w:rFonts w:ascii="Arial" w:hAnsi="Arial" w:cs="Arial"/>
          <w:sz w:val="24"/>
          <w:szCs w:val="24"/>
          <w:lang w:eastAsia="en-GB"/>
        </w:rPr>
        <w:t>[</w:t>
      </w:r>
      <w:r w:rsidR="004B3E26" w:rsidRPr="00303251">
        <w:rPr>
          <w:rFonts w:ascii="Arial" w:hAnsi="Arial" w:cs="Arial"/>
          <w:sz w:val="24"/>
          <w:szCs w:val="24"/>
          <w:lang w:eastAsia="en-GB"/>
        </w:rPr>
        <w:t>(5,307,480-401,510)/5,307,480</w:t>
      </w:r>
      <w:r w:rsidRPr="00303251">
        <w:rPr>
          <w:rFonts w:ascii="Arial" w:hAnsi="Arial" w:cs="Arial"/>
          <w:sz w:val="24"/>
          <w:szCs w:val="24"/>
          <w:lang w:eastAsia="en-GB"/>
        </w:rPr>
        <w:t>]</w:t>
      </w:r>
      <w:r w:rsidR="004B3E26" w:rsidRPr="00303251">
        <w:rPr>
          <w:rFonts w:ascii="Arial" w:hAnsi="Arial" w:cs="Arial"/>
          <w:sz w:val="24"/>
          <w:szCs w:val="24"/>
          <w:lang w:eastAsia="en-GB"/>
        </w:rPr>
        <w:t xml:space="preserve"> x100= (4,905,970/5,307,480) x 100=0.9243 x 100= 92.43%</w:t>
      </w:r>
    </w:p>
    <w:p w14:paraId="1BE259FB" w14:textId="7EB5E932" w:rsidR="004B3E26" w:rsidRPr="00303251" w:rsidRDefault="00D22903" w:rsidP="00303251">
      <w:pPr>
        <w:spacing w:line="360" w:lineRule="auto"/>
        <w:jc w:val="both"/>
        <w:rPr>
          <w:rFonts w:ascii="Arial" w:hAnsi="Arial" w:cs="Arial"/>
          <w:sz w:val="24"/>
          <w:szCs w:val="24"/>
          <w:lang w:eastAsia="en-GB"/>
        </w:rPr>
      </w:pPr>
      <w:r w:rsidRPr="00303251">
        <w:rPr>
          <w:rFonts w:ascii="Arial" w:hAnsi="Arial" w:cs="Arial"/>
          <w:sz w:val="24"/>
          <w:szCs w:val="24"/>
          <w:lang w:eastAsia="en-GB"/>
        </w:rPr>
        <w:t>Y</w:t>
      </w:r>
      <w:r w:rsidR="004B3E26" w:rsidRPr="00303251">
        <w:rPr>
          <w:rFonts w:ascii="Arial" w:hAnsi="Arial" w:cs="Arial"/>
          <w:sz w:val="24"/>
          <w:szCs w:val="24"/>
          <w:lang w:eastAsia="en-GB"/>
        </w:rPr>
        <w:t xml:space="preserve">2023= </w:t>
      </w:r>
      <w:r w:rsidRPr="00303251">
        <w:rPr>
          <w:rFonts w:ascii="Arial" w:hAnsi="Arial" w:cs="Arial"/>
          <w:sz w:val="24"/>
          <w:szCs w:val="24"/>
          <w:lang w:eastAsia="en-GB"/>
        </w:rPr>
        <w:t>[</w:t>
      </w:r>
      <w:r w:rsidR="004B3E26" w:rsidRPr="00303251">
        <w:rPr>
          <w:rFonts w:ascii="Arial" w:hAnsi="Arial" w:cs="Arial"/>
          <w:sz w:val="24"/>
          <w:szCs w:val="24"/>
          <w:lang w:eastAsia="en-GB"/>
        </w:rPr>
        <w:t>(2,325,440-176,250)/2,325,440</w:t>
      </w:r>
      <w:r w:rsidRPr="00303251">
        <w:rPr>
          <w:rFonts w:ascii="Arial" w:hAnsi="Arial" w:cs="Arial"/>
          <w:sz w:val="24"/>
          <w:szCs w:val="24"/>
          <w:lang w:eastAsia="en-GB"/>
        </w:rPr>
        <w:t>]</w:t>
      </w:r>
      <w:r w:rsidR="004B3E26" w:rsidRPr="00303251">
        <w:rPr>
          <w:rFonts w:ascii="Arial" w:hAnsi="Arial" w:cs="Arial"/>
          <w:sz w:val="24"/>
          <w:szCs w:val="24"/>
          <w:lang w:eastAsia="en-GB"/>
        </w:rPr>
        <w:t xml:space="preserve"> ×100= (2,149,190/2,325,440) x 100=0.9235 x 100= 92.35%</w:t>
      </w:r>
    </w:p>
    <w:p w14:paraId="48456A09" w14:textId="77777777" w:rsidR="00D22903" w:rsidRPr="00303251" w:rsidRDefault="00D22903" w:rsidP="00303251">
      <w:pPr>
        <w:spacing w:line="360" w:lineRule="auto"/>
        <w:jc w:val="both"/>
        <w:rPr>
          <w:rFonts w:ascii="Arial" w:hAnsi="Arial" w:cs="Arial"/>
          <w:sz w:val="24"/>
          <w:szCs w:val="24"/>
          <w:lang w:eastAsia="en-GB"/>
        </w:rPr>
      </w:pPr>
      <w:r w:rsidRPr="00303251">
        <w:rPr>
          <w:rFonts w:ascii="Arial" w:hAnsi="Arial" w:cs="Arial"/>
          <w:sz w:val="24"/>
          <w:szCs w:val="24"/>
          <w:lang w:eastAsia="en-GB"/>
        </w:rPr>
        <w:t>Operating Profit Margin= (Operating Income/Revenue) ×100</w:t>
      </w:r>
    </w:p>
    <w:p w14:paraId="2A01BD5A" w14:textId="27EFE5C9" w:rsidR="00D22903" w:rsidRPr="00303251" w:rsidRDefault="00D22903" w:rsidP="00303251">
      <w:pPr>
        <w:spacing w:line="360" w:lineRule="auto"/>
        <w:jc w:val="both"/>
        <w:rPr>
          <w:rFonts w:ascii="Arial" w:hAnsi="Arial" w:cs="Arial"/>
          <w:sz w:val="24"/>
          <w:szCs w:val="24"/>
          <w:lang w:eastAsia="en-GB"/>
        </w:rPr>
      </w:pPr>
      <w:r w:rsidRPr="00303251">
        <w:rPr>
          <w:rFonts w:ascii="Arial" w:hAnsi="Arial" w:cs="Arial"/>
          <w:sz w:val="24"/>
          <w:szCs w:val="24"/>
          <w:lang w:eastAsia="en-GB"/>
        </w:rPr>
        <w:t>2021= (664,160/5,248,290) ×100=0.1265</w:t>
      </w:r>
      <w:r w:rsidRPr="00303251">
        <w:rPr>
          <w:rFonts w:ascii="Arial" w:hAnsi="Arial" w:cs="Arial"/>
          <w:sz w:val="24"/>
          <w:szCs w:val="24"/>
          <w:lang w:eastAsia="en-GB"/>
        </w:rPr>
        <w:t xml:space="preserve"> x 100=</w:t>
      </w:r>
      <w:r w:rsidRPr="00303251">
        <w:rPr>
          <w:rFonts w:ascii="Arial" w:hAnsi="Arial" w:cs="Arial"/>
          <w:sz w:val="24"/>
          <w:szCs w:val="24"/>
          <w:lang w:eastAsia="en-GB"/>
        </w:rPr>
        <w:t>12.65%</w:t>
      </w:r>
    </w:p>
    <w:p w14:paraId="1FC9F69F" w14:textId="753F67A0" w:rsidR="00D22903" w:rsidRPr="00303251" w:rsidRDefault="00D22903" w:rsidP="00303251">
      <w:pPr>
        <w:spacing w:line="360" w:lineRule="auto"/>
        <w:jc w:val="both"/>
        <w:rPr>
          <w:rFonts w:ascii="Arial" w:hAnsi="Arial" w:cs="Arial"/>
          <w:sz w:val="24"/>
          <w:szCs w:val="24"/>
          <w:lang w:eastAsia="en-GB"/>
        </w:rPr>
      </w:pPr>
      <w:r w:rsidRPr="00303251">
        <w:rPr>
          <w:rFonts w:ascii="Arial" w:hAnsi="Arial" w:cs="Arial"/>
          <w:sz w:val="24"/>
          <w:szCs w:val="24"/>
          <w:lang w:eastAsia="en-GB"/>
        </w:rPr>
        <w:t>2022= (674,730/5,307,480) ×100=0.1271</w:t>
      </w:r>
      <w:r w:rsidRPr="00303251">
        <w:rPr>
          <w:rFonts w:ascii="Arial" w:hAnsi="Arial" w:cs="Arial"/>
          <w:sz w:val="24"/>
          <w:szCs w:val="24"/>
          <w:lang w:eastAsia="en-GB"/>
        </w:rPr>
        <w:t xml:space="preserve"> x 100=</w:t>
      </w:r>
      <w:r w:rsidRPr="00303251">
        <w:rPr>
          <w:rFonts w:ascii="Arial" w:hAnsi="Arial" w:cs="Arial"/>
          <w:sz w:val="24"/>
          <w:szCs w:val="24"/>
          <w:lang w:eastAsia="en-GB"/>
        </w:rPr>
        <w:t>12.71%</w:t>
      </w:r>
    </w:p>
    <w:p w14:paraId="2D976105" w14:textId="71955431" w:rsidR="00D22903" w:rsidRPr="00303251" w:rsidRDefault="00D22903" w:rsidP="00303251">
      <w:pPr>
        <w:spacing w:line="360" w:lineRule="auto"/>
        <w:jc w:val="both"/>
        <w:rPr>
          <w:rFonts w:ascii="Arial" w:hAnsi="Arial" w:cs="Arial"/>
          <w:sz w:val="24"/>
          <w:szCs w:val="24"/>
          <w:lang w:eastAsia="en-GB"/>
        </w:rPr>
      </w:pPr>
      <w:r w:rsidRPr="00303251">
        <w:rPr>
          <w:rFonts w:ascii="Arial" w:hAnsi="Arial" w:cs="Arial"/>
          <w:sz w:val="24"/>
          <w:szCs w:val="24"/>
          <w:lang w:eastAsia="en-GB"/>
        </w:rPr>
        <w:t>2023= (−1,218,850/2,325,440) ×100=-0.5241</w:t>
      </w:r>
      <w:r w:rsidRPr="00303251">
        <w:rPr>
          <w:rFonts w:ascii="Arial" w:hAnsi="Arial" w:cs="Arial"/>
          <w:sz w:val="24"/>
          <w:szCs w:val="24"/>
          <w:lang w:eastAsia="en-GB"/>
        </w:rPr>
        <w:t xml:space="preserve"> x 100=</w:t>
      </w:r>
      <w:r w:rsidRPr="00303251">
        <w:rPr>
          <w:rFonts w:ascii="Arial" w:hAnsi="Arial" w:cs="Arial"/>
          <w:sz w:val="24"/>
          <w:szCs w:val="24"/>
          <w:lang w:eastAsia="en-GB"/>
        </w:rPr>
        <w:t xml:space="preserve"> </w:t>
      </w:r>
      <w:r w:rsidRPr="00303251">
        <w:rPr>
          <w:rFonts w:ascii="Arial" w:hAnsi="Arial" w:cs="Arial"/>
          <w:sz w:val="24"/>
          <w:szCs w:val="24"/>
          <w:lang w:eastAsia="en-GB"/>
        </w:rPr>
        <w:t>-</w:t>
      </w:r>
      <w:r w:rsidRPr="00303251">
        <w:rPr>
          <w:rFonts w:ascii="Arial" w:hAnsi="Arial" w:cs="Arial"/>
          <w:sz w:val="24"/>
          <w:szCs w:val="24"/>
          <w:lang w:eastAsia="en-GB"/>
        </w:rPr>
        <w:t>52.41%</w:t>
      </w:r>
    </w:p>
    <w:p w14:paraId="0FA72568" w14:textId="209CE545" w:rsidR="00D22903" w:rsidRPr="00303251" w:rsidRDefault="00D22903" w:rsidP="00303251">
      <w:pPr>
        <w:spacing w:line="360" w:lineRule="auto"/>
        <w:jc w:val="both"/>
        <w:rPr>
          <w:rStyle w:val="mord"/>
          <w:rFonts w:ascii="Arial" w:hAnsi="Arial" w:cs="Arial"/>
          <w:sz w:val="24"/>
          <w:szCs w:val="24"/>
        </w:rPr>
      </w:pPr>
      <w:r w:rsidRPr="00303251">
        <w:rPr>
          <w:rStyle w:val="mord"/>
          <w:rFonts w:ascii="Arial" w:hAnsi="Arial" w:cs="Arial"/>
          <w:sz w:val="24"/>
          <w:szCs w:val="24"/>
        </w:rPr>
        <w:t>Net Profit Margin</w:t>
      </w:r>
      <w:r w:rsidRPr="00303251">
        <w:rPr>
          <w:rStyle w:val="mrel"/>
          <w:rFonts w:ascii="Arial" w:hAnsi="Arial" w:cs="Arial"/>
          <w:sz w:val="24"/>
          <w:szCs w:val="24"/>
        </w:rPr>
        <w:t>=</w:t>
      </w:r>
      <w:r w:rsidRPr="00303251">
        <w:rPr>
          <w:rStyle w:val="delimsizing"/>
          <w:rFonts w:ascii="Arial" w:hAnsi="Arial" w:cs="Arial"/>
          <w:sz w:val="24"/>
          <w:szCs w:val="24"/>
        </w:rPr>
        <w:t xml:space="preserve"> (</w:t>
      </w:r>
      <w:r w:rsidRPr="00303251">
        <w:rPr>
          <w:rStyle w:val="mord"/>
          <w:rFonts w:ascii="Arial" w:hAnsi="Arial" w:cs="Arial"/>
          <w:sz w:val="24"/>
          <w:szCs w:val="24"/>
        </w:rPr>
        <w:t>Net Income/ Revenue</w:t>
      </w:r>
      <w:r w:rsidRPr="00303251">
        <w:rPr>
          <w:rStyle w:val="vlist-s"/>
          <w:rFonts w:ascii="Arial" w:hAnsi="Arial" w:cs="Arial"/>
          <w:sz w:val="24"/>
          <w:szCs w:val="24"/>
        </w:rPr>
        <w:t>​</w:t>
      </w:r>
      <w:r w:rsidRPr="00303251">
        <w:rPr>
          <w:rStyle w:val="delimsizing"/>
          <w:rFonts w:ascii="Arial" w:hAnsi="Arial" w:cs="Arial"/>
          <w:sz w:val="24"/>
          <w:szCs w:val="24"/>
        </w:rPr>
        <w:t>)</w:t>
      </w:r>
      <w:r w:rsidRPr="00303251">
        <w:rPr>
          <w:rStyle w:val="mbin"/>
          <w:rFonts w:ascii="Arial" w:hAnsi="Arial" w:cs="Arial"/>
          <w:sz w:val="24"/>
          <w:szCs w:val="24"/>
        </w:rPr>
        <w:t xml:space="preserve"> x</w:t>
      </w:r>
      <w:r w:rsidRPr="00303251">
        <w:rPr>
          <w:rStyle w:val="mord"/>
          <w:rFonts w:ascii="Arial" w:hAnsi="Arial" w:cs="Arial"/>
          <w:sz w:val="24"/>
          <w:szCs w:val="24"/>
        </w:rPr>
        <w:t>100</w:t>
      </w:r>
    </w:p>
    <w:p w14:paraId="2DFFDE56" w14:textId="32B7F7E8" w:rsidR="00D22903" w:rsidRPr="00303251" w:rsidRDefault="00D22903" w:rsidP="00303251">
      <w:pPr>
        <w:spacing w:line="360" w:lineRule="auto"/>
        <w:jc w:val="both"/>
        <w:rPr>
          <w:rStyle w:val="mord"/>
          <w:rFonts w:ascii="Arial" w:hAnsi="Arial" w:cs="Arial"/>
          <w:sz w:val="24"/>
          <w:szCs w:val="24"/>
        </w:rPr>
      </w:pPr>
      <w:r w:rsidRPr="00303251">
        <w:rPr>
          <w:rStyle w:val="mord"/>
          <w:rFonts w:ascii="Arial" w:hAnsi="Arial" w:cs="Arial"/>
          <w:sz w:val="24"/>
          <w:szCs w:val="24"/>
        </w:rPr>
        <w:t xml:space="preserve">Y2021= (333,930/ </w:t>
      </w:r>
      <w:r w:rsidRPr="00303251">
        <w:rPr>
          <w:rStyle w:val="mord"/>
          <w:rFonts w:ascii="Arial" w:hAnsi="Arial" w:cs="Arial"/>
          <w:sz w:val="24"/>
          <w:szCs w:val="24"/>
        </w:rPr>
        <w:t>5,248,290</w:t>
      </w:r>
      <w:r w:rsidRPr="00303251">
        <w:rPr>
          <w:rStyle w:val="mord"/>
          <w:rFonts w:ascii="Arial" w:hAnsi="Arial" w:cs="Arial"/>
          <w:sz w:val="24"/>
          <w:szCs w:val="24"/>
        </w:rPr>
        <w:t>) x 100=</w:t>
      </w:r>
      <w:r w:rsidRPr="00303251">
        <w:rPr>
          <w:rStyle w:val="mord"/>
          <w:rFonts w:ascii="Arial" w:hAnsi="Arial" w:cs="Arial"/>
          <w:sz w:val="24"/>
          <w:szCs w:val="24"/>
        </w:rPr>
        <w:t>0.0636</w:t>
      </w:r>
      <w:r w:rsidRPr="00303251">
        <w:rPr>
          <w:rStyle w:val="mord"/>
          <w:rFonts w:ascii="Arial" w:hAnsi="Arial" w:cs="Arial"/>
          <w:sz w:val="24"/>
          <w:szCs w:val="24"/>
        </w:rPr>
        <w:t xml:space="preserve"> x 100=</w:t>
      </w:r>
      <w:r w:rsidRPr="00303251">
        <w:rPr>
          <w:rStyle w:val="mord"/>
          <w:rFonts w:ascii="Arial" w:hAnsi="Arial" w:cs="Arial"/>
          <w:sz w:val="24"/>
          <w:szCs w:val="24"/>
        </w:rPr>
        <w:t>6.36%</w:t>
      </w:r>
    </w:p>
    <w:p w14:paraId="479B6C70" w14:textId="6EA4EE38" w:rsidR="00D22903" w:rsidRPr="00303251" w:rsidRDefault="00D22903" w:rsidP="00303251">
      <w:pPr>
        <w:spacing w:line="360" w:lineRule="auto"/>
        <w:jc w:val="both"/>
        <w:rPr>
          <w:rStyle w:val="mord"/>
          <w:rFonts w:ascii="Arial" w:hAnsi="Arial" w:cs="Arial"/>
          <w:sz w:val="24"/>
          <w:szCs w:val="24"/>
        </w:rPr>
      </w:pPr>
      <w:r w:rsidRPr="00303251">
        <w:rPr>
          <w:rStyle w:val="mord"/>
          <w:rFonts w:ascii="Arial" w:hAnsi="Arial" w:cs="Arial"/>
          <w:sz w:val="24"/>
          <w:szCs w:val="24"/>
        </w:rPr>
        <w:t>Y2022= (</w:t>
      </w:r>
      <w:r w:rsidRPr="00303251">
        <w:rPr>
          <w:rStyle w:val="mord"/>
          <w:rFonts w:ascii="Arial" w:hAnsi="Arial" w:cs="Arial"/>
          <w:sz w:val="24"/>
          <w:szCs w:val="24"/>
        </w:rPr>
        <w:t>304,650</w:t>
      </w:r>
      <w:r w:rsidRPr="00303251">
        <w:rPr>
          <w:rStyle w:val="mord"/>
          <w:rFonts w:ascii="Arial" w:hAnsi="Arial" w:cs="Arial"/>
          <w:sz w:val="24"/>
          <w:szCs w:val="24"/>
        </w:rPr>
        <w:t>/</w:t>
      </w:r>
      <w:r w:rsidRPr="00303251">
        <w:rPr>
          <w:rStyle w:val="mord"/>
          <w:rFonts w:ascii="Arial" w:hAnsi="Arial" w:cs="Arial"/>
          <w:sz w:val="24"/>
          <w:szCs w:val="24"/>
        </w:rPr>
        <w:t>5,307,480</w:t>
      </w:r>
      <w:r w:rsidRPr="00303251">
        <w:rPr>
          <w:rStyle w:val="mord"/>
          <w:rFonts w:ascii="Arial" w:hAnsi="Arial" w:cs="Arial"/>
          <w:sz w:val="24"/>
          <w:szCs w:val="24"/>
        </w:rPr>
        <w:t xml:space="preserve">) x100= </w:t>
      </w:r>
      <w:r w:rsidRPr="00303251">
        <w:rPr>
          <w:rStyle w:val="mord"/>
          <w:rFonts w:ascii="Arial" w:hAnsi="Arial" w:cs="Arial"/>
          <w:sz w:val="24"/>
          <w:szCs w:val="24"/>
        </w:rPr>
        <w:t>0.0574</w:t>
      </w:r>
      <w:r w:rsidRPr="00303251">
        <w:rPr>
          <w:rStyle w:val="mord"/>
          <w:rFonts w:ascii="Arial" w:hAnsi="Arial" w:cs="Arial"/>
          <w:sz w:val="24"/>
          <w:szCs w:val="24"/>
        </w:rPr>
        <w:t xml:space="preserve"> x 100=</w:t>
      </w:r>
      <w:r w:rsidRPr="00303251">
        <w:rPr>
          <w:rStyle w:val="mord"/>
          <w:rFonts w:ascii="Arial" w:hAnsi="Arial" w:cs="Arial"/>
          <w:sz w:val="24"/>
          <w:szCs w:val="24"/>
        </w:rPr>
        <w:t>5.74%</w:t>
      </w:r>
    </w:p>
    <w:p w14:paraId="54305BD1" w14:textId="4D26A82E" w:rsidR="00D22903" w:rsidRPr="00303251" w:rsidRDefault="00D22903" w:rsidP="00303251">
      <w:pPr>
        <w:spacing w:line="360" w:lineRule="auto"/>
        <w:jc w:val="both"/>
        <w:rPr>
          <w:rStyle w:val="mord"/>
          <w:rFonts w:ascii="Arial" w:hAnsi="Arial" w:cs="Arial"/>
          <w:sz w:val="24"/>
          <w:szCs w:val="24"/>
        </w:rPr>
      </w:pPr>
      <w:r w:rsidRPr="00303251">
        <w:rPr>
          <w:rStyle w:val="mord"/>
          <w:rFonts w:ascii="Arial" w:hAnsi="Arial" w:cs="Arial"/>
          <w:sz w:val="24"/>
          <w:szCs w:val="24"/>
        </w:rPr>
        <w:t>Y2023= (</w:t>
      </w:r>
      <w:r w:rsidRPr="00303251">
        <w:rPr>
          <w:rStyle w:val="mord"/>
          <w:rFonts w:ascii="Arial" w:hAnsi="Arial" w:cs="Arial"/>
          <w:sz w:val="24"/>
          <w:szCs w:val="24"/>
        </w:rPr>
        <w:t>-1,134,950</w:t>
      </w:r>
      <w:r w:rsidRPr="00303251">
        <w:rPr>
          <w:rStyle w:val="mord"/>
          <w:rFonts w:ascii="Arial" w:hAnsi="Arial" w:cs="Arial"/>
          <w:sz w:val="24"/>
          <w:szCs w:val="24"/>
        </w:rPr>
        <w:t xml:space="preserve">/ </w:t>
      </w:r>
      <w:r w:rsidRPr="00303251">
        <w:rPr>
          <w:rStyle w:val="mord"/>
          <w:rFonts w:ascii="Arial" w:hAnsi="Arial" w:cs="Arial"/>
          <w:sz w:val="24"/>
          <w:szCs w:val="24"/>
        </w:rPr>
        <w:t>2,325,440</w:t>
      </w:r>
      <w:r w:rsidRPr="00303251">
        <w:rPr>
          <w:rStyle w:val="mord"/>
          <w:rFonts w:ascii="Arial" w:hAnsi="Arial" w:cs="Arial"/>
          <w:sz w:val="24"/>
          <w:szCs w:val="24"/>
        </w:rPr>
        <w:t>) x 100=</w:t>
      </w:r>
      <w:r w:rsidRPr="00303251">
        <w:rPr>
          <w:rStyle w:val="mord"/>
          <w:rFonts w:ascii="Arial" w:hAnsi="Arial" w:cs="Arial"/>
          <w:sz w:val="24"/>
          <w:szCs w:val="24"/>
        </w:rPr>
        <w:t>−0.4881</w:t>
      </w:r>
      <w:r w:rsidRPr="00303251">
        <w:rPr>
          <w:rStyle w:val="mord"/>
          <w:rFonts w:ascii="Arial" w:hAnsi="Arial" w:cs="Arial"/>
          <w:sz w:val="24"/>
          <w:szCs w:val="24"/>
        </w:rPr>
        <w:t xml:space="preserve"> x 100=</w:t>
      </w:r>
      <w:r w:rsidRPr="00303251">
        <w:rPr>
          <w:rStyle w:val="mord"/>
          <w:rFonts w:ascii="Arial" w:hAnsi="Arial" w:cs="Arial"/>
          <w:sz w:val="24"/>
          <w:szCs w:val="24"/>
        </w:rPr>
        <w:t>−48.81%</w:t>
      </w:r>
    </w:p>
    <w:p w14:paraId="574DE517" w14:textId="037B2A93" w:rsidR="00D22903" w:rsidRPr="00303251" w:rsidRDefault="00D22903" w:rsidP="00303251">
      <w:pPr>
        <w:spacing w:line="360" w:lineRule="auto"/>
        <w:jc w:val="both"/>
        <w:rPr>
          <w:rStyle w:val="mord"/>
          <w:rFonts w:ascii="Arial" w:hAnsi="Arial" w:cs="Arial"/>
          <w:sz w:val="24"/>
          <w:szCs w:val="24"/>
        </w:rPr>
      </w:pPr>
      <w:r w:rsidRPr="00303251">
        <w:rPr>
          <w:rStyle w:val="mord"/>
          <w:rFonts w:ascii="Arial" w:hAnsi="Arial" w:cs="Arial"/>
          <w:sz w:val="24"/>
          <w:szCs w:val="24"/>
        </w:rPr>
        <w:t>ROE= (Net Income/ Owner Equity) x 100</w:t>
      </w:r>
    </w:p>
    <w:p w14:paraId="54338C4E" w14:textId="4A816AEA" w:rsidR="00D22903" w:rsidRPr="00303251" w:rsidRDefault="00D22903" w:rsidP="00303251">
      <w:pPr>
        <w:spacing w:line="360" w:lineRule="auto"/>
        <w:jc w:val="both"/>
        <w:rPr>
          <w:rStyle w:val="mord"/>
          <w:rFonts w:ascii="Arial" w:hAnsi="Arial" w:cs="Arial"/>
          <w:sz w:val="24"/>
          <w:szCs w:val="24"/>
        </w:rPr>
      </w:pPr>
      <w:r w:rsidRPr="00303251">
        <w:rPr>
          <w:rStyle w:val="mord"/>
          <w:rFonts w:ascii="Arial" w:hAnsi="Arial" w:cs="Arial"/>
          <w:sz w:val="24"/>
          <w:szCs w:val="24"/>
        </w:rPr>
        <w:t>Y2021= (</w:t>
      </w:r>
      <w:r w:rsidRPr="00303251">
        <w:rPr>
          <w:rStyle w:val="mord"/>
          <w:rFonts w:ascii="Arial" w:hAnsi="Arial" w:cs="Arial"/>
          <w:sz w:val="24"/>
          <w:szCs w:val="24"/>
        </w:rPr>
        <w:t>333,930</w:t>
      </w:r>
      <w:r w:rsidRPr="00303251">
        <w:rPr>
          <w:rStyle w:val="mord"/>
          <w:rFonts w:ascii="Arial" w:hAnsi="Arial" w:cs="Arial"/>
          <w:sz w:val="24"/>
          <w:szCs w:val="24"/>
        </w:rPr>
        <w:t>/</w:t>
      </w:r>
      <w:r w:rsidRPr="00303251">
        <w:rPr>
          <w:rStyle w:val="mord"/>
          <w:rFonts w:ascii="Arial" w:hAnsi="Arial" w:cs="Arial"/>
          <w:sz w:val="24"/>
          <w:szCs w:val="24"/>
        </w:rPr>
        <w:t>2,256,180</w:t>
      </w:r>
      <w:r w:rsidRPr="00303251">
        <w:rPr>
          <w:rStyle w:val="mord"/>
          <w:rFonts w:ascii="Arial" w:hAnsi="Arial" w:cs="Arial"/>
          <w:sz w:val="24"/>
          <w:szCs w:val="24"/>
        </w:rPr>
        <w:t>) x 100=</w:t>
      </w:r>
      <w:r w:rsidR="000F5B9E" w:rsidRPr="00303251">
        <w:rPr>
          <w:rStyle w:val="mord"/>
          <w:rFonts w:ascii="Arial" w:hAnsi="Arial" w:cs="Arial"/>
          <w:sz w:val="24"/>
          <w:szCs w:val="24"/>
        </w:rPr>
        <w:t>0.148</w:t>
      </w:r>
      <w:r w:rsidR="000F5B9E" w:rsidRPr="00303251">
        <w:rPr>
          <w:rStyle w:val="mord"/>
          <w:rFonts w:ascii="Arial" w:hAnsi="Arial" w:cs="Arial"/>
          <w:sz w:val="24"/>
          <w:szCs w:val="24"/>
        </w:rPr>
        <w:t xml:space="preserve"> x 100=</w:t>
      </w:r>
      <w:r w:rsidR="000F5B9E" w:rsidRPr="00303251">
        <w:rPr>
          <w:rStyle w:val="mord"/>
          <w:rFonts w:ascii="Arial" w:hAnsi="Arial" w:cs="Arial"/>
          <w:sz w:val="24"/>
          <w:szCs w:val="24"/>
        </w:rPr>
        <w:t>14.8%</w:t>
      </w:r>
    </w:p>
    <w:p w14:paraId="0B87EC00" w14:textId="3DCA9385" w:rsidR="00D22903" w:rsidRPr="00303251" w:rsidRDefault="00D22903" w:rsidP="00303251">
      <w:pPr>
        <w:spacing w:line="360" w:lineRule="auto"/>
        <w:jc w:val="both"/>
        <w:rPr>
          <w:rFonts w:ascii="Arial" w:hAnsi="Arial" w:cs="Arial"/>
          <w:sz w:val="24"/>
          <w:szCs w:val="24"/>
          <w:lang w:eastAsia="en-GB"/>
        </w:rPr>
      </w:pPr>
      <w:r w:rsidRPr="00303251">
        <w:rPr>
          <w:rFonts w:ascii="Arial" w:hAnsi="Arial" w:cs="Arial"/>
          <w:sz w:val="24"/>
          <w:szCs w:val="24"/>
          <w:lang w:eastAsia="en-GB"/>
        </w:rPr>
        <w:t>Y2022= (</w:t>
      </w:r>
      <w:r w:rsidRPr="00303251">
        <w:rPr>
          <w:rFonts w:ascii="Arial" w:hAnsi="Arial" w:cs="Arial"/>
          <w:sz w:val="24"/>
          <w:szCs w:val="24"/>
          <w:lang w:eastAsia="en-GB"/>
        </w:rPr>
        <w:t>304,650</w:t>
      </w:r>
      <w:r w:rsidRPr="00303251">
        <w:rPr>
          <w:rFonts w:ascii="Arial" w:hAnsi="Arial" w:cs="Arial"/>
          <w:sz w:val="24"/>
          <w:szCs w:val="24"/>
          <w:lang w:eastAsia="en-GB"/>
        </w:rPr>
        <w:t>/</w:t>
      </w:r>
      <w:r w:rsidR="000F5B9E" w:rsidRPr="00303251">
        <w:rPr>
          <w:rFonts w:ascii="Arial" w:hAnsi="Arial" w:cs="Arial"/>
          <w:sz w:val="24"/>
          <w:szCs w:val="24"/>
          <w:lang w:eastAsia="en-GB"/>
        </w:rPr>
        <w:t>2,583,030</w:t>
      </w:r>
      <w:r w:rsidR="000F5B9E" w:rsidRPr="00303251">
        <w:rPr>
          <w:rFonts w:ascii="Arial" w:hAnsi="Arial" w:cs="Arial"/>
          <w:sz w:val="24"/>
          <w:szCs w:val="24"/>
          <w:lang w:eastAsia="en-GB"/>
        </w:rPr>
        <w:t>) x 100=</w:t>
      </w:r>
      <w:r w:rsidR="000F5B9E" w:rsidRPr="00303251">
        <w:rPr>
          <w:rFonts w:ascii="Arial" w:hAnsi="Arial" w:cs="Arial"/>
          <w:sz w:val="24"/>
          <w:szCs w:val="24"/>
          <w:lang w:eastAsia="en-GB"/>
        </w:rPr>
        <w:t>0.118</w:t>
      </w:r>
      <w:r w:rsidR="000F5B9E" w:rsidRPr="00303251">
        <w:rPr>
          <w:rFonts w:ascii="Arial" w:hAnsi="Arial" w:cs="Arial"/>
          <w:sz w:val="24"/>
          <w:szCs w:val="24"/>
          <w:lang w:eastAsia="en-GB"/>
        </w:rPr>
        <w:t xml:space="preserve"> x 100=</w:t>
      </w:r>
      <w:r w:rsidR="000F5B9E" w:rsidRPr="00303251">
        <w:rPr>
          <w:rFonts w:ascii="Arial" w:hAnsi="Arial" w:cs="Arial"/>
          <w:sz w:val="24"/>
          <w:szCs w:val="24"/>
          <w:lang w:eastAsia="en-GB"/>
        </w:rPr>
        <w:t>11.8%</w:t>
      </w:r>
    </w:p>
    <w:p w14:paraId="0837DEF4" w14:textId="266853EE" w:rsidR="00D22903" w:rsidRPr="00303251" w:rsidRDefault="00D22903" w:rsidP="00303251">
      <w:pPr>
        <w:spacing w:line="360" w:lineRule="auto"/>
        <w:jc w:val="both"/>
        <w:rPr>
          <w:rFonts w:ascii="Arial" w:hAnsi="Arial" w:cs="Arial"/>
          <w:sz w:val="24"/>
          <w:szCs w:val="24"/>
          <w:lang w:eastAsia="en-GB"/>
        </w:rPr>
      </w:pPr>
      <w:r w:rsidRPr="00303251">
        <w:rPr>
          <w:rFonts w:ascii="Arial" w:hAnsi="Arial" w:cs="Arial"/>
          <w:sz w:val="24"/>
          <w:szCs w:val="24"/>
          <w:lang w:eastAsia="en-GB"/>
        </w:rPr>
        <w:t>Y2023= ( -</w:t>
      </w:r>
      <w:r w:rsidRPr="00303251">
        <w:rPr>
          <w:rFonts w:ascii="Arial" w:hAnsi="Arial" w:cs="Arial"/>
          <w:sz w:val="24"/>
          <w:szCs w:val="24"/>
          <w:lang w:eastAsia="en-GB"/>
        </w:rPr>
        <w:t>1,134,950</w:t>
      </w:r>
      <w:r w:rsidRPr="00303251">
        <w:rPr>
          <w:rFonts w:ascii="Arial" w:hAnsi="Arial" w:cs="Arial"/>
          <w:sz w:val="24"/>
          <w:szCs w:val="24"/>
          <w:lang w:eastAsia="en-GB"/>
        </w:rPr>
        <w:t>/</w:t>
      </w:r>
      <w:r w:rsidR="000F5B9E" w:rsidRPr="00303251">
        <w:rPr>
          <w:rFonts w:ascii="Arial" w:hAnsi="Arial" w:cs="Arial"/>
          <w:sz w:val="24"/>
          <w:szCs w:val="24"/>
          <w:lang w:eastAsia="en-GB"/>
        </w:rPr>
        <w:t>1,410,580</w:t>
      </w:r>
      <w:r w:rsidR="000F5B9E" w:rsidRPr="00303251">
        <w:rPr>
          <w:rFonts w:ascii="Arial" w:hAnsi="Arial" w:cs="Arial"/>
          <w:sz w:val="24"/>
          <w:szCs w:val="24"/>
          <w:lang w:eastAsia="en-GB"/>
        </w:rPr>
        <w:t>) x 100=</w:t>
      </w:r>
      <w:r w:rsidR="000F5B9E" w:rsidRPr="00303251">
        <w:rPr>
          <w:rFonts w:ascii="Arial" w:hAnsi="Arial" w:cs="Arial"/>
          <w:sz w:val="24"/>
          <w:szCs w:val="24"/>
          <w:lang w:eastAsia="en-GB"/>
        </w:rPr>
        <w:t>−0.804</w:t>
      </w:r>
      <w:r w:rsidR="000F5B9E" w:rsidRPr="00303251">
        <w:rPr>
          <w:rFonts w:ascii="Arial" w:hAnsi="Arial" w:cs="Arial"/>
          <w:sz w:val="24"/>
          <w:szCs w:val="24"/>
          <w:lang w:eastAsia="en-GB"/>
        </w:rPr>
        <w:t>x 100=</w:t>
      </w:r>
      <w:r w:rsidR="000F5B9E" w:rsidRPr="00303251">
        <w:rPr>
          <w:rFonts w:ascii="Arial" w:hAnsi="Arial" w:cs="Arial"/>
          <w:sz w:val="24"/>
          <w:szCs w:val="24"/>
          <w:lang w:eastAsia="en-GB"/>
        </w:rPr>
        <w:t>−80.4%</w:t>
      </w:r>
    </w:p>
    <w:p w14:paraId="0B705392" w14:textId="0F2740E6" w:rsidR="000F5B9E" w:rsidRPr="00303251" w:rsidRDefault="000F5B9E" w:rsidP="00303251">
      <w:pPr>
        <w:spacing w:line="360" w:lineRule="auto"/>
        <w:jc w:val="both"/>
        <w:rPr>
          <w:rFonts w:ascii="Arial" w:hAnsi="Arial" w:cs="Arial"/>
          <w:sz w:val="24"/>
          <w:szCs w:val="24"/>
          <w:lang w:eastAsia="en-GB"/>
        </w:rPr>
      </w:pPr>
      <w:r w:rsidRPr="00303251">
        <w:rPr>
          <w:rFonts w:ascii="Arial" w:hAnsi="Arial" w:cs="Arial"/>
          <w:sz w:val="24"/>
          <w:szCs w:val="24"/>
          <w:lang w:eastAsia="en-GB"/>
        </w:rPr>
        <w:t>ROA= (Net Income/ Total Assets) x 100</w:t>
      </w:r>
    </w:p>
    <w:p w14:paraId="1CAC57AF" w14:textId="652DE73A" w:rsidR="000F5B9E" w:rsidRPr="00303251" w:rsidRDefault="000F5B9E" w:rsidP="00303251">
      <w:pPr>
        <w:spacing w:line="360" w:lineRule="auto"/>
        <w:jc w:val="both"/>
        <w:rPr>
          <w:rFonts w:ascii="Arial" w:hAnsi="Arial" w:cs="Arial"/>
          <w:sz w:val="24"/>
          <w:szCs w:val="24"/>
          <w:lang w:eastAsia="en-GB"/>
        </w:rPr>
      </w:pPr>
      <w:r w:rsidRPr="00303251">
        <w:rPr>
          <w:rFonts w:ascii="Arial" w:hAnsi="Arial" w:cs="Arial"/>
          <w:sz w:val="24"/>
          <w:szCs w:val="24"/>
          <w:lang w:eastAsia="en-GB"/>
        </w:rPr>
        <w:t>Y2021= (</w:t>
      </w:r>
      <w:r w:rsidRPr="00303251">
        <w:rPr>
          <w:rFonts w:ascii="Arial" w:hAnsi="Arial" w:cs="Arial"/>
          <w:sz w:val="24"/>
          <w:szCs w:val="24"/>
          <w:lang w:eastAsia="en-GB"/>
        </w:rPr>
        <w:t>333,930</w:t>
      </w:r>
      <w:r w:rsidRPr="00303251">
        <w:rPr>
          <w:rFonts w:ascii="Arial" w:hAnsi="Arial" w:cs="Arial"/>
          <w:sz w:val="24"/>
          <w:szCs w:val="24"/>
          <w:lang w:eastAsia="en-GB"/>
        </w:rPr>
        <w:t>/</w:t>
      </w:r>
      <w:r w:rsidRPr="00303251">
        <w:rPr>
          <w:rFonts w:ascii="Arial" w:hAnsi="Arial" w:cs="Arial"/>
          <w:sz w:val="24"/>
          <w:szCs w:val="24"/>
          <w:lang w:eastAsia="en-GB"/>
        </w:rPr>
        <w:t>12,941,110</w:t>
      </w:r>
      <w:r w:rsidRPr="00303251">
        <w:rPr>
          <w:rFonts w:ascii="Arial" w:hAnsi="Arial" w:cs="Arial"/>
          <w:sz w:val="24"/>
          <w:szCs w:val="24"/>
          <w:lang w:eastAsia="en-GB"/>
        </w:rPr>
        <w:t>) x 100=</w:t>
      </w:r>
      <w:r w:rsidRPr="00303251">
        <w:rPr>
          <w:rFonts w:ascii="Arial" w:hAnsi="Arial" w:cs="Arial"/>
          <w:sz w:val="24"/>
          <w:szCs w:val="24"/>
          <w:lang w:eastAsia="en-GB"/>
        </w:rPr>
        <w:t>0.0258</w:t>
      </w:r>
      <w:r w:rsidRPr="00303251">
        <w:rPr>
          <w:rFonts w:ascii="Arial" w:hAnsi="Arial" w:cs="Arial"/>
          <w:sz w:val="24"/>
          <w:szCs w:val="24"/>
          <w:lang w:eastAsia="en-GB"/>
        </w:rPr>
        <w:t xml:space="preserve"> x 100=</w:t>
      </w:r>
      <w:r w:rsidRPr="00303251">
        <w:rPr>
          <w:rFonts w:ascii="Arial" w:hAnsi="Arial" w:cs="Arial"/>
          <w:sz w:val="24"/>
          <w:szCs w:val="24"/>
          <w:lang w:eastAsia="en-GB"/>
        </w:rPr>
        <w:t>2.58%</w:t>
      </w:r>
    </w:p>
    <w:p w14:paraId="387EE7AA" w14:textId="462A475E" w:rsidR="000F5B9E" w:rsidRPr="00303251" w:rsidRDefault="000F5B9E" w:rsidP="00303251">
      <w:pPr>
        <w:spacing w:line="360" w:lineRule="auto"/>
        <w:jc w:val="both"/>
        <w:rPr>
          <w:rFonts w:ascii="Arial" w:hAnsi="Arial" w:cs="Arial"/>
          <w:sz w:val="24"/>
          <w:szCs w:val="24"/>
          <w:lang w:eastAsia="en-GB"/>
        </w:rPr>
      </w:pPr>
      <w:r w:rsidRPr="00303251">
        <w:rPr>
          <w:rFonts w:ascii="Arial" w:hAnsi="Arial" w:cs="Arial"/>
          <w:sz w:val="24"/>
          <w:szCs w:val="24"/>
          <w:lang w:eastAsia="en-GB"/>
        </w:rPr>
        <w:t>Y2022= (</w:t>
      </w:r>
      <w:r w:rsidRPr="00303251">
        <w:rPr>
          <w:rFonts w:ascii="Arial" w:hAnsi="Arial" w:cs="Arial"/>
          <w:sz w:val="24"/>
          <w:szCs w:val="24"/>
          <w:lang w:eastAsia="en-GB"/>
        </w:rPr>
        <w:t>304,650</w:t>
      </w:r>
      <w:r w:rsidRPr="00303251">
        <w:rPr>
          <w:rFonts w:ascii="Arial" w:hAnsi="Arial" w:cs="Arial"/>
          <w:sz w:val="24"/>
          <w:szCs w:val="24"/>
          <w:lang w:eastAsia="en-GB"/>
        </w:rPr>
        <w:t>/</w:t>
      </w:r>
      <w:r w:rsidRPr="00303251">
        <w:rPr>
          <w:rFonts w:ascii="Arial" w:hAnsi="Arial" w:cs="Arial"/>
          <w:sz w:val="24"/>
          <w:szCs w:val="24"/>
          <w:lang w:eastAsia="en-GB"/>
        </w:rPr>
        <w:t>15,921,080</w:t>
      </w:r>
      <w:r w:rsidRPr="00303251">
        <w:rPr>
          <w:rFonts w:ascii="Arial" w:hAnsi="Arial" w:cs="Arial"/>
          <w:sz w:val="24"/>
          <w:szCs w:val="24"/>
          <w:lang w:eastAsia="en-GB"/>
        </w:rPr>
        <w:t>) x 100=</w:t>
      </w:r>
      <w:r w:rsidRPr="00303251">
        <w:rPr>
          <w:rFonts w:ascii="Arial" w:hAnsi="Arial" w:cs="Arial"/>
          <w:sz w:val="24"/>
          <w:szCs w:val="24"/>
          <w:lang w:eastAsia="en-GB"/>
        </w:rPr>
        <w:t>0.0191 x 100=1.91%</w:t>
      </w:r>
    </w:p>
    <w:p w14:paraId="1C6D024B" w14:textId="7E0BF7AF" w:rsidR="000F5B9E" w:rsidRPr="00303251" w:rsidRDefault="000F5B9E" w:rsidP="00303251">
      <w:pPr>
        <w:spacing w:line="360" w:lineRule="auto"/>
        <w:jc w:val="both"/>
        <w:rPr>
          <w:rFonts w:ascii="Arial" w:hAnsi="Arial" w:cs="Arial"/>
          <w:sz w:val="24"/>
          <w:szCs w:val="24"/>
          <w:lang w:eastAsia="en-GB"/>
        </w:rPr>
      </w:pPr>
      <w:r w:rsidRPr="00303251">
        <w:rPr>
          <w:rFonts w:ascii="Arial" w:hAnsi="Arial" w:cs="Arial"/>
          <w:sz w:val="24"/>
          <w:szCs w:val="24"/>
          <w:lang w:eastAsia="en-GB"/>
        </w:rPr>
        <w:t>Y2023= (-</w:t>
      </w:r>
      <w:r w:rsidRPr="00303251">
        <w:rPr>
          <w:rFonts w:ascii="Arial" w:hAnsi="Arial" w:cs="Arial"/>
          <w:sz w:val="24"/>
          <w:szCs w:val="24"/>
          <w:lang w:eastAsia="en-GB"/>
        </w:rPr>
        <w:t>1,134,950</w:t>
      </w:r>
      <w:r w:rsidRPr="00303251">
        <w:rPr>
          <w:rFonts w:ascii="Arial" w:hAnsi="Arial" w:cs="Arial"/>
          <w:sz w:val="24"/>
          <w:szCs w:val="24"/>
          <w:lang w:eastAsia="en-GB"/>
        </w:rPr>
        <w:t>/</w:t>
      </w:r>
      <w:r w:rsidRPr="00303251">
        <w:rPr>
          <w:rFonts w:ascii="Arial" w:hAnsi="Arial" w:cs="Arial"/>
          <w:sz w:val="24"/>
          <w:szCs w:val="24"/>
          <w:lang w:eastAsia="en-GB"/>
        </w:rPr>
        <w:t>15,653,970</w:t>
      </w:r>
      <w:r w:rsidRPr="00303251">
        <w:rPr>
          <w:rFonts w:ascii="Arial" w:hAnsi="Arial" w:cs="Arial"/>
          <w:sz w:val="24"/>
          <w:szCs w:val="24"/>
          <w:lang w:eastAsia="en-GB"/>
        </w:rPr>
        <w:t>) x 100=</w:t>
      </w:r>
      <w:r w:rsidRPr="00303251">
        <w:rPr>
          <w:rFonts w:ascii="Arial" w:hAnsi="Arial" w:cs="Arial"/>
          <w:sz w:val="24"/>
          <w:szCs w:val="24"/>
          <w:lang w:eastAsia="en-GB"/>
        </w:rPr>
        <w:t>−0.0725 x 100=−7.25%</w:t>
      </w:r>
    </w:p>
    <w:p w14:paraId="563BCD77" w14:textId="77777777" w:rsidR="000F5B9E" w:rsidRPr="00303251" w:rsidRDefault="000F5B9E" w:rsidP="00303251">
      <w:pPr>
        <w:spacing w:line="360" w:lineRule="auto"/>
        <w:jc w:val="both"/>
        <w:rPr>
          <w:rFonts w:ascii="Arial" w:hAnsi="Arial" w:cs="Arial"/>
          <w:sz w:val="24"/>
          <w:szCs w:val="24"/>
          <w:lang w:eastAsia="en-GB"/>
        </w:rPr>
      </w:pPr>
    </w:p>
    <w:p w14:paraId="0054AB9A" w14:textId="77777777" w:rsidR="000F5B9E" w:rsidRPr="00303251" w:rsidRDefault="000F5B9E" w:rsidP="00303251">
      <w:pPr>
        <w:spacing w:line="360" w:lineRule="auto"/>
        <w:jc w:val="both"/>
        <w:rPr>
          <w:rFonts w:ascii="Arial" w:hAnsi="Arial" w:cs="Arial"/>
          <w:sz w:val="24"/>
          <w:szCs w:val="24"/>
          <w:lang w:eastAsia="en-GB"/>
        </w:rPr>
      </w:pPr>
    </w:p>
    <w:sectPr w:rsidR="000F5B9E" w:rsidRPr="0030325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301AC3" w14:textId="77777777" w:rsidR="00182D7B" w:rsidRDefault="00182D7B" w:rsidP="009174C5">
      <w:pPr>
        <w:spacing w:after="0" w:line="240" w:lineRule="auto"/>
      </w:pPr>
      <w:r>
        <w:separator/>
      </w:r>
    </w:p>
  </w:endnote>
  <w:endnote w:type="continuationSeparator" w:id="0">
    <w:p w14:paraId="65A77DAA" w14:textId="77777777" w:rsidR="00182D7B" w:rsidRDefault="00182D7B" w:rsidP="00917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3280382"/>
      <w:docPartObj>
        <w:docPartGallery w:val="Page Numbers (Bottom of Page)"/>
        <w:docPartUnique/>
      </w:docPartObj>
    </w:sdtPr>
    <w:sdtEndPr>
      <w:rPr>
        <w:noProof/>
      </w:rPr>
    </w:sdtEndPr>
    <w:sdtContent>
      <w:p w14:paraId="51C43ECA" w14:textId="39EBEE15" w:rsidR="009174C5" w:rsidRDefault="009174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639AFE" w14:textId="77777777" w:rsidR="009174C5" w:rsidRDefault="00917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1E1489" w14:textId="77777777" w:rsidR="00182D7B" w:rsidRDefault="00182D7B" w:rsidP="009174C5">
      <w:pPr>
        <w:spacing w:after="0" w:line="240" w:lineRule="auto"/>
      </w:pPr>
      <w:r>
        <w:separator/>
      </w:r>
    </w:p>
  </w:footnote>
  <w:footnote w:type="continuationSeparator" w:id="0">
    <w:p w14:paraId="770488CA" w14:textId="77777777" w:rsidR="00182D7B" w:rsidRDefault="00182D7B" w:rsidP="009174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7873F17"/>
    <w:multiLevelType w:val="multilevel"/>
    <w:tmpl w:val="7A023E6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381825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4C5"/>
    <w:rsid w:val="000507E1"/>
    <w:rsid w:val="000F5B9E"/>
    <w:rsid w:val="00182D7B"/>
    <w:rsid w:val="00303251"/>
    <w:rsid w:val="0039083B"/>
    <w:rsid w:val="004B3E26"/>
    <w:rsid w:val="006D3270"/>
    <w:rsid w:val="007B0CC3"/>
    <w:rsid w:val="00897736"/>
    <w:rsid w:val="008D7AE3"/>
    <w:rsid w:val="00917008"/>
    <w:rsid w:val="009174C5"/>
    <w:rsid w:val="00967899"/>
    <w:rsid w:val="00B151A8"/>
    <w:rsid w:val="00BB675B"/>
    <w:rsid w:val="00C07877"/>
    <w:rsid w:val="00C82D1F"/>
    <w:rsid w:val="00D22903"/>
    <w:rsid w:val="00F44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59F8E"/>
  <w15:chartTrackingRefBased/>
  <w15:docId w15:val="{55A9BED2-115D-4E95-AE79-28E01CC03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9174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74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4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4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4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4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4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4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9174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74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4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4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4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4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4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4C5"/>
    <w:rPr>
      <w:rFonts w:eastAsiaTheme="majorEastAsia" w:cstheme="majorBidi"/>
      <w:color w:val="272727" w:themeColor="text1" w:themeTint="D8"/>
    </w:rPr>
  </w:style>
  <w:style w:type="paragraph" w:styleId="Title">
    <w:name w:val="Title"/>
    <w:basedOn w:val="Normal"/>
    <w:next w:val="Normal"/>
    <w:link w:val="TitleChar"/>
    <w:uiPriority w:val="10"/>
    <w:qFormat/>
    <w:rsid w:val="009174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4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4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4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4C5"/>
    <w:pPr>
      <w:spacing w:before="160"/>
      <w:jc w:val="center"/>
    </w:pPr>
    <w:rPr>
      <w:i/>
      <w:iCs/>
      <w:color w:val="404040" w:themeColor="text1" w:themeTint="BF"/>
    </w:rPr>
  </w:style>
  <w:style w:type="character" w:customStyle="1" w:styleId="QuoteChar">
    <w:name w:val="Quote Char"/>
    <w:basedOn w:val="DefaultParagraphFont"/>
    <w:link w:val="Quote"/>
    <w:uiPriority w:val="29"/>
    <w:rsid w:val="009174C5"/>
    <w:rPr>
      <w:i/>
      <w:iCs/>
      <w:color w:val="404040" w:themeColor="text1" w:themeTint="BF"/>
    </w:rPr>
  </w:style>
  <w:style w:type="paragraph" w:styleId="ListParagraph">
    <w:name w:val="List Paragraph"/>
    <w:basedOn w:val="Normal"/>
    <w:uiPriority w:val="34"/>
    <w:qFormat/>
    <w:rsid w:val="009174C5"/>
    <w:pPr>
      <w:ind w:left="720"/>
      <w:contextualSpacing/>
    </w:pPr>
  </w:style>
  <w:style w:type="character" w:styleId="IntenseEmphasis">
    <w:name w:val="Intense Emphasis"/>
    <w:basedOn w:val="DefaultParagraphFont"/>
    <w:uiPriority w:val="21"/>
    <w:qFormat/>
    <w:rsid w:val="009174C5"/>
    <w:rPr>
      <w:i/>
      <w:iCs/>
      <w:color w:val="0F4761" w:themeColor="accent1" w:themeShade="BF"/>
    </w:rPr>
  </w:style>
  <w:style w:type="paragraph" w:styleId="IntenseQuote">
    <w:name w:val="Intense Quote"/>
    <w:basedOn w:val="Normal"/>
    <w:next w:val="Normal"/>
    <w:link w:val="IntenseQuoteChar"/>
    <w:uiPriority w:val="30"/>
    <w:qFormat/>
    <w:rsid w:val="009174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4C5"/>
    <w:rPr>
      <w:i/>
      <w:iCs/>
      <w:color w:val="0F4761" w:themeColor="accent1" w:themeShade="BF"/>
    </w:rPr>
  </w:style>
  <w:style w:type="character" w:styleId="IntenseReference">
    <w:name w:val="Intense Reference"/>
    <w:basedOn w:val="DefaultParagraphFont"/>
    <w:uiPriority w:val="32"/>
    <w:qFormat/>
    <w:rsid w:val="009174C5"/>
    <w:rPr>
      <w:b/>
      <w:bCs/>
      <w:smallCaps/>
      <w:color w:val="0F4761" w:themeColor="accent1" w:themeShade="BF"/>
      <w:spacing w:val="5"/>
    </w:rPr>
  </w:style>
  <w:style w:type="paragraph" w:styleId="Header">
    <w:name w:val="header"/>
    <w:basedOn w:val="Normal"/>
    <w:link w:val="HeaderChar"/>
    <w:uiPriority w:val="99"/>
    <w:unhideWhenUsed/>
    <w:rsid w:val="00917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4C5"/>
  </w:style>
  <w:style w:type="paragraph" w:styleId="Footer">
    <w:name w:val="footer"/>
    <w:basedOn w:val="Normal"/>
    <w:link w:val="FooterChar"/>
    <w:uiPriority w:val="99"/>
    <w:unhideWhenUsed/>
    <w:rsid w:val="00917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4C5"/>
  </w:style>
  <w:style w:type="character" w:customStyle="1" w:styleId="mord">
    <w:name w:val="mord"/>
    <w:basedOn w:val="DefaultParagraphFont"/>
    <w:rsid w:val="00D22903"/>
  </w:style>
  <w:style w:type="character" w:customStyle="1" w:styleId="mrel">
    <w:name w:val="mrel"/>
    <w:basedOn w:val="DefaultParagraphFont"/>
    <w:rsid w:val="00D22903"/>
  </w:style>
  <w:style w:type="character" w:customStyle="1" w:styleId="delimsizing">
    <w:name w:val="delimsizing"/>
    <w:basedOn w:val="DefaultParagraphFont"/>
    <w:rsid w:val="00D22903"/>
  </w:style>
  <w:style w:type="character" w:customStyle="1" w:styleId="vlist-s">
    <w:name w:val="vlist-s"/>
    <w:basedOn w:val="DefaultParagraphFont"/>
    <w:rsid w:val="00D22903"/>
  </w:style>
  <w:style w:type="character" w:customStyle="1" w:styleId="mbin">
    <w:name w:val="mbin"/>
    <w:basedOn w:val="DefaultParagraphFont"/>
    <w:rsid w:val="00D22903"/>
  </w:style>
  <w:style w:type="character" w:customStyle="1" w:styleId="mpunct">
    <w:name w:val="mpunct"/>
    <w:basedOn w:val="DefaultParagraphFont"/>
    <w:rsid w:val="00D22903"/>
  </w:style>
  <w:style w:type="table" w:styleId="TableGrid">
    <w:name w:val="Table Grid"/>
    <w:basedOn w:val="TableNormal"/>
    <w:uiPriority w:val="39"/>
    <w:rsid w:val="000F5B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03251"/>
    <w:pPr>
      <w:outlineLvl w:val="9"/>
    </w:pPr>
    <w:rPr>
      <w:kern w:val="0"/>
      <w:lang w:val="en-US"/>
      <w14:ligatures w14:val="none"/>
    </w:rPr>
  </w:style>
  <w:style w:type="paragraph" w:styleId="TOC1">
    <w:name w:val="toc 1"/>
    <w:basedOn w:val="Normal"/>
    <w:next w:val="Normal"/>
    <w:autoRedefine/>
    <w:uiPriority w:val="39"/>
    <w:unhideWhenUsed/>
    <w:rsid w:val="00303251"/>
    <w:pPr>
      <w:spacing w:after="100"/>
    </w:pPr>
  </w:style>
  <w:style w:type="character" w:styleId="Hyperlink">
    <w:name w:val="Hyperlink"/>
    <w:basedOn w:val="DefaultParagraphFont"/>
    <w:uiPriority w:val="99"/>
    <w:unhideWhenUsed/>
    <w:rsid w:val="0030325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12</Pages>
  <Words>2658</Words>
  <Characters>15153</Characters>
  <Application>Microsoft Office Word</Application>
  <DocSecurity>0</DocSecurity>
  <Lines>126</Lines>
  <Paragraphs>35</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 </vt:lpstr>
      <vt:lpstr>Financial Performance Analysis</vt:lpstr>
      <vt:lpstr>Analysis of the business</vt:lpstr>
      <vt:lpstr>Analysis of Decline Factors</vt:lpstr>
      <vt:lpstr>Conclusion</vt:lpstr>
      <vt:lpstr>Recommendations </vt:lpstr>
      <vt:lpstr>References</vt:lpstr>
      <vt:lpstr>Appendix </vt:lpstr>
    </vt:vector>
  </TitlesOfParts>
  <Company/>
  <LinksUpToDate>false</LinksUpToDate>
  <CharactersWithSpaces>17776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2024-11-14T17:45:00Z</dcterms:created>
  <dcterms:modified xsi:type="dcterms:W3CDTF">2024-11-14T19:51:00Z</dcterms:modified>
</cp:coreProperties>
</file>