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7DA17" w14:textId="20B1A812" w:rsidR="00D053EC" w:rsidRDefault="00952C7B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5A898863" wp14:editId="06C170A8">
            <wp:extent cx="3606165" cy="1287780"/>
            <wp:effectExtent l="0" t="0" r="0" b="0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165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82B15" w:rsidRPr="00A82B15">
        <w:rPr>
          <w:sz w:val="32"/>
          <w:szCs w:val="32"/>
        </w:rPr>
        <w:t xml:space="preserve">                            </w:t>
      </w:r>
    </w:p>
    <w:p w14:paraId="35E5E825" w14:textId="77777777" w:rsidR="00D053EC" w:rsidRDefault="00D053EC">
      <w:pPr>
        <w:rPr>
          <w:sz w:val="32"/>
          <w:szCs w:val="32"/>
        </w:rPr>
      </w:pPr>
    </w:p>
    <w:p w14:paraId="5044E3B3" w14:textId="77777777" w:rsidR="00D053EC" w:rsidRDefault="00D053EC">
      <w:pPr>
        <w:rPr>
          <w:sz w:val="32"/>
          <w:szCs w:val="32"/>
        </w:rPr>
      </w:pPr>
    </w:p>
    <w:p w14:paraId="1CC3D6B1" w14:textId="77777777" w:rsidR="00D053EC" w:rsidRDefault="00D053EC">
      <w:pPr>
        <w:rPr>
          <w:sz w:val="32"/>
          <w:szCs w:val="32"/>
        </w:rPr>
      </w:pPr>
    </w:p>
    <w:p w14:paraId="20BB124B" w14:textId="77777777" w:rsidR="00D053EC" w:rsidRDefault="00D053EC">
      <w:pPr>
        <w:rPr>
          <w:sz w:val="32"/>
          <w:szCs w:val="32"/>
        </w:rPr>
      </w:pPr>
    </w:p>
    <w:p w14:paraId="2FEA4961" w14:textId="6FD2980F" w:rsidR="0034617A" w:rsidRDefault="00A82B15">
      <w:pPr>
        <w:rPr>
          <w:sz w:val="32"/>
          <w:szCs w:val="32"/>
        </w:rPr>
      </w:pPr>
      <w:r w:rsidRPr="00A82B15">
        <w:rPr>
          <w:sz w:val="32"/>
          <w:szCs w:val="32"/>
        </w:rPr>
        <w:t xml:space="preserve">    </w:t>
      </w:r>
    </w:p>
    <w:p w14:paraId="39585755" w14:textId="7BECA3B4" w:rsidR="00A82B15" w:rsidRDefault="00D56E28">
      <w:pPr>
        <w:rPr>
          <w:sz w:val="32"/>
          <w:szCs w:val="32"/>
        </w:rPr>
      </w:pPr>
      <w:r w:rsidRPr="00A61318">
        <w:rPr>
          <w:b/>
          <w:bCs/>
          <w:sz w:val="32"/>
          <w:szCs w:val="32"/>
        </w:rPr>
        <w:t>Mo</w:t>
      </w:r>
      <w:r w:rsidR="0001250A" w:rsidRPr="00A61318">
        <w:rPr>
          <w:b/>
          <w:bCs/>
          <w:sz w:val="32"/>
          <w:szCs w:val="32"/>
        </w:rPr>
        <w:t>dule name</w:t>
      </w:r>
      <w:r w:rsidR="0001250A">
        <w:rPr>
          <w:sz w:val="32"/>
          <w:szCs w:val="32"/>
        </w:rPr>
        <w:t xml:space="preserve">: Empowering the </w:t>
      </w:r>
      <w:r w:rsidR="00D12AE1">
        <w:rPr>
          <w:sz w:val="32"/>
          <w:szCs w:val="32"/>
        </w:rPr>
        <w:t>Older Person</w:t>
      </w:r>
    </w:p>
    <w:p w14:paraId="68B3A17A" w14:textId="2BB2778D" w:rsidR="00A82B15" w:rsidRDefault="00A82B15">
      <w:pPr>
        <w:rPr>
          <w:sz w:val="32"/>
          <w:szCs w:val="32"/>
        </w:rPr>
      </w:pPr>
      <w:r w:rsidRPr="00A61318">
        <w:rPr>
          <w:b/>
          <w:bCs/>
          <w:sz w:val="32"/>
          <w:szCs w:val="32"/>
        </w:rPr>
        <w:t>Module Code</w:t>
      </w:r>
      <w:r>
        <w:rPr>
          <w:sz w:val="32"/>
          <w:szCs w:val="32"/>
        </w:rPr>
        <w:t>: BMHP6027</w:t>
      </w:r>
    </w:p>
    <w:p w14:paraId="5BEE921F" w14:textId="4B04E975" w:rsidR="00A82B15" w:rsidRDefault="00A82B15">
      <w:pPr>
        <w:rPr>
          <w:sz w:val="32"/>
          <w:szCs w:val="32"/>
        </w:rPr>
      </w:pPr>
      <w:r w:rsidRPr="00A61318">
        <w:rPr>
          <w:b/>
          <w:bCs/>
          <w:sz w:val="32"/>
          <w:szCs w:val="32"/>
        </w:rPr>
        <w:t>Student:</w:t>
      </w:r>
      <w:r>
        <w:rPr>
          <w:sz w:val="32"/>
          <w:szCs w:val="32"/>
        </w:rPr>
        <w:t xml:space="preserve"> Emilia Milewska</w:t>
      </w:r>
    </w:p>
    <w:p w14:paraId="0FFAACC9" w14:textId="09CE94E0" w:rsidR="00F60A0B" w:rsidRDefault="00F60A0B">
      <w:pPr>
        <w:rPr>
          <w:sz w:val="32"/>
          <w:szCs w:val="32"/>
        </w:rPr>
      </w:pPr>
      <w:r w:rsidRPr="00A61318">
        <w:rPr>
          <w:b/>
          <w:bCs/>
          <w:sz w:val="32"/>
          <w:szCs w:val="32"/>
        </w:rPr>
        <w:t>Student ID:</w:t>
      </w:r>
      <w:r w:rsidR="005371CC">
        <w:rPr>
          <w:sz w:val="32"/>
          <w:szCs w:val="32"/>
        </w:rPr>
        <w:t xml:space="preserve"> 2245525</w:t>
      </w:r>
    </w:p>
    <w:p w14:paraId="53B821D9" w14:textId="2BAB08F7" w:rsidR="00A82B15" w:rsidRDefault="00A82B15">
      <w:pPr>
        <w:rPr>
          <w:sz w:val="32"/>
          <w:szCs w:val="32"/>
        </w:rPr>
      </w:pPr>
      <w:r w:rsidRPr="00AB2413">
        <w:rPr>
          <w:b/>
          <w:bCs/>
          <w:sz w:val="32"/>
          <w:szCs w:val="32"/>
        </w:rPr>
        <w:t xml:space="preserve">Lecturer: </w:t>
      </w:r>
      <w:r>
        <w:rPr>
          <w:sz w:val="32"/>
          <w:szCs w:val="32"/>
        </w:rPr>
        <w:t>Dr Laila Surani</w:t>
      </w:r>
    </w:p>
    <w:p w14:paraId="6693227D" w14:textId="77777777" w:rsidR="00A82B15" w:rsidRDefault="00A82B15">
      <w:pPr>
        <w:rPr>
          <w:sz w:val="32"/>
          <w:szCs w:val="32"/>
        </w:rPr>
      </w:pPr>
    </w:p>
    <w:p w14:paraId="307D9732" w14:textId="77777777" w:rsidR="00A82B15" w:rsidRDefault="00A82B15">
      <w:pPr>
        <w:rPr>
          <w:sz w:val="32"/>
          <w:szCs w:val="32"/>
        </w:rPr>
      </w:pPr>
    </w:p>
    <w:p w14:paraId="679AE16F" w14:textId="77777777" w:rsidR="00A82B15" w:rsidRDefault="00A82B15">
      <w:pPr>
        <w:rPr>
          <w:sz w:val="32"/>
          <w:szCs w:val="32"/>
        </w:rPr>
      </w:pPr>
    </w:p>
    <w:p w14:paraId="6824ACAF" w14:textId="77777777" w:rsidR="00A82B15" w:rsidRDefault="00A82B15">
      <w:pPr>
        <w:rPr>
          <w:sz w:val="32"/>
          <w:szCs w:val="32"/>
        </w:rPr>
      </w:pPr>
    </w:p>
    <w:p w14:paraId="7D6D4F23" w14:textId="77777777" w:rsidR="005371CC" w:rsidRDefault="005371CC">
      <w:pPr>
        <w:rPr>
          <w:sz w:val="32"/>
          <w:szCs w:val="32"/>
        </w:rPr>
      </w:pPr>
    </w:p>
    <w:p w14:paraId="44D459FF" w14:textId="77777777" w:rsidR="005371CC" w:rsidRDefault="005371CC">
      <w:pPr>
        <w:rPr>
          <w:sz w:val="32"/>
          <w:szCs w:val="32"/>
        </w:rPr>
      </w:pPr>
    </w:p>
    <w:p w14:paraId="4ABC90FF" w14:textId="77777777" w:rsidR="005371CC" w:rsidRDefault="005371CC">
      <w:pPr>
        <w:rPr>
          <w:sz w:val="32"/>
          <w:szCs w:val="32"/>
        </w:rPr>
      </w:pPr>
    </w:p>
    <w:p w14:paraId="67B07FBD" w14:textId="77777777" w:rsidR="005371CC" w:rsidRDefault="005371CC">
      <w:pPr>
        <w:rPr>
          <w:sz w:val="32"/>
          <w:szCs w:val="32"/>
        </w:rPr>
      </w:pPr>
    </w:p>
    <w:p w14:paraId="0EFF0726" w14:textId="77777777" w:rsidR="005371CC" w:rsidRDefault="005371CC">
      <w:pPr>
        <w:rPr>
          <w:sz w:val="32"/>
          <w:szCs w:val="32"/>
        </w:rPr>
      </w:pPr>
    </w:p>
    <w:p w14:paraId="732BCBD3" w14:textId="77777777" w:rsidR="005371CC" w:rsidRDefault="005371CC">
      <w:pPr>
        <w:rPr>
          <w:sz w:val="32"/>
          <w:szCs w:val="32"/>
        </w:rPr>
      </w:pPr>
    </w:p>
    <w:p w14:paraId="3E1C94E5" w14:textId="04EE78EA" w:rsidR="00D838A0" w:rsidRDefault="00D838A0">
      <w:pPr>
        <w:rPr>
          <w:sz w:val="32"/>
          <w:szCs w:val="32"/>
        </w:rPr>
      </w:pPr>
      <w:r>
        <w:rPr>
          <w:sz w:val="32"/>
          <w:szCs w:val="32"/>
        </w:rPr>
        <w:lastRenderedPageBreak/>
        <w:t>References:</w:t>
      </w:r>
    </w:p>
    <w:p w14:paraId="315B6691" w14:textId="186BD481" w:rsidR="00D838A0" w:rsidRDefault="00D838A0">
      <w:r w:rsidRPr="00D838A0">
        <w:t>Baker, S., Warburton, J. &amp; Hodgkin, S. (2017), ‘Everyday life with assistive technology: Older people’s perspectives’, Ageing &amp; Society, 37(3)</w:t>
      </w:r>
      <w:r w:rsidR="005511CE">
        <w:t xml:space="preserve">, available at </w:t>
      </w:r>
      <w:hyperlink r:id="rId8" w:history="1">
        <w:r w:rsidR="00335D64" w:rsidRPr="001C4DF9">
          <w:rPr>
            <w:rStyle w:val="Hyperlink"/>
          </w:rPr>
          <w:t>www.britishgerontology.org</w:t>
        </w:r>
      </w:hyperlink>
      <w:r w:rsidR="00335D64">
        <w:t xml:space="preserve"> , accessed on 28 November 2025</w:t>
      </w:r>
    </w:p>
    <w:p w14:paraId="6D063974" w14:textId="01342EDC" w:rsidR="00D838A0" w:rsidRDefault="00D838A0">
      <w:r>
        <w:t>Barnett, K. et al. (2014)</w:t>
      </w:r>
      <w:r w:rsidR="00E35C63">
        <w:t>,’ E-health and primary care for older adults: Opportunities and challenges’, Journal of Primary Health Care, 6(1),</w:t>
      </w:r>
      <w:r w:rsidR="00483F45">
        <w:t xml:space="preserve"> availabl</w:t>
      </w:r>
      <w:r w:rsidR="000C1F86">
        <w:t>e at</w:t>
      </w:r>
      <w:r w:rsidR="00484631">
        <w:t xml:space="preserve"> </w:t>
      </w:r>
      <w:hyperlink r:id="rId9" w:history="1">
        <w:r w:rsidR="009355D7" w:rsidRPr="001C4DF9">
          <w:rPr>
            <w:rStyle w:val="Hyperlink"/>
          </w:rPr>
          <w:t>www.scholar.google.co.uk</w:t>
        </w:r>
      </w:hyperlink>
      <w:r w:rsidR="009355D7">
        <w:t xml:space="preserve"> , accessed on</w:t>
      </w:r>
      <w:r w:rsidR="00B402E2">
        <w:t xml:space="preserve"> 29 November 2025</w:t>
      </w:r>
    </w:p>
    <w:p w14:paraId="7CCEBD79" w14:textId="3F27B71F" w:rsidR="00E35C63" w:rsidRDefault="00E35C63">
      <w:proofErr w:type="spellStart"/>
      <w:r>
        <w:t>Botrugno</w:t>
      </w:r>
      <w:proofErr w:type="spellEnd"/>
      <w:r>
        <w:t xml:space="preserve">, C. (2021), ‘Social robotics and the future of care for older people’, International Journal of Social Robotics, 13(2), </w:t>
      </w:r>
      <w:r w:rsidR="00427E2B">
        <w:t xml:space="preserve">available at </w:t>
      </w:r>
      <w:hyperlink r:id="rId10" w:history="1">
        <w:r w:rsidR="006A16AC" w:rsidRPr="001C4DF9">
          <w:rPr>
            <w:rStyle w:val="Hyperlink"/>
          </w:rPr>
          <w:t>www.researchgate.net.co.uk</w:t>
        </w:r>
      </w:hyperlink>
      <w:r w:rsidR="006A16AC">
        <w:t xml:space="preserve"> </w:t>
      </w:r>
      <w:r w:rsidR="00704E86">
        <w:t>,</w:t>
      </w:r>
      <w:r w:rsidR="00470817">
        <w:t>accessed on 30 November 20</w:t>
      </w:r>
      <w:r w:rsidR="00F06742">
        <w:t>25</w:t>
      </w:r>
    </w:p>
    <w:p w14:paraId="12CC7B87" w14:textId="32866941" w:rsidR="00E35C63" w:rsidRDefault="00E35C63">
      <w:r w:rsidRPr="00E35C63">
        <w:rPr>
          <w:lang w:val="nl-NL"/>
        </w:rPr>
        <w:t>Czaja, S.J. et al.</w:t>
      </w:r>
      <w:r>
        <w:rPr>
          <w:lang w:val="nl-NL"/>
        </w:rPr>
        <w:t xml:space="preserve"> </w:t>
      </w:r>
      <w:r w:rsidRPr="00E35C63">
        <w:t>(2015), ‘Factors predicting the use of t</w:t>
      </w:r>
      <w:r>
        <w:t xml:space="preserve">echnology: Findings from the </w:t>
      </w:r>
      <w:proofErr w:type="spellStart"/>
      <w:r>
        <w:t>Center</w:t>
      </w:r>
      <w:proofErr w:type="spellEnd"/>
      <w:r>
        <w:t xml:space="preserve"> for Research and Education on Aging and Technology</w:t>
      </w:r>
      <w:r w:rsidR="00A60FC1">
        <w:t xml:space="preserve"> Enhancement’, Psychology and Aging, 30(3), </w:t>
      </w:r>
      <w:r w:rsidR="00615F29">
        <w:t xml:space="preserve">available at </w:t>
      </w:r>
      <w:hyperlink r:id="rId11" w:history="1">
        <w:r w:rsidR="00D421EE" w:rsidRPr="001C4DF9">
          <w:rPr>
            <w:rStyle w:val="Hyperlink"/>
          </w:rPr>
          <w:t>www.ageing-better.org.uk</w:t>
        </w:r>
      </w:hyperlink>
      <w:r w:rsidR="00D421EE">
        <w:t xml:space="preserve"> , </w:t>
      </w:r>
      <w:r w:rsidR="00CD4329">
        <w:t>accessed on 1 December 2025</w:t>
      </w:r>
    </w:p>
    <w:p w14:paraId="3DC1F97F" w14:textId="6AF19044" w:rsidR="00A60FC1" w:rsidRDefault="00A60FC1">
      <w:r>
        <w:t>Elliot, A.J. &amp; Mooney, R. (2020),’ Digital health interventions for ageing populations: A systematic review’, Gerontology, 66(1), pp. 1-15.</w:t>
      </w:r>
    </w:p>
    <w:p w14:paraId="316EA902" w14:textId="612F342D" w:rsidR="00A60FC1" w:rsidRDefault="00A60FC1">
      <w:r>
        <w:t>European Commission (2020), The impact of digitalisation on elderly care. Brussels: European Union Publications Office.</w:t>
      </w:r>
    </w:p>
    <w:p w14:paraId="7E3A0110" w14:textId="7B9C1AB2" w:rsidR="00A60FC1" w:rsidRDefault="00A60FC1">
      <w:r>
        <w:t>Greenhalgh, T. et al. (2018), ‘Adoption of telehealth solutions: A</w:t>
      </w:r>
      <w:r w:rsidR="0025394E">
        <w:t xml:space="preserve"> meta-review’, BMJ, 361,k1734.</w:t>
      </w:r>
    </w:p>
    <w:p w14:paraId="0FCAE8ED" w14:textId="3297703C" w:rsidR="0025394E" w:rsidRDefault="0025394E">
      <w:r>
        <w:t>Hernandez-</w:t>
      </w:r>
      <w:proofErr w:type="spellStart"/>
      <w:r>
        <w:t>Encuentra</w:t>
      </w:r>
      <w:proofErr w:type="spellEnd"/>
      <w:r>
        <w:t>, E., Pousada, M. &amp; Gomez-Zuniga, B. (2009), ‘ICT and older people: Beyond usability’, Educational Gerontology, 35(3), pp. 226-245.</w:t>
      </w:r>
    </w:p>
    <w:p w14:paraId="46E8A623" w14:textId="21B3C5C2" w:rsidR="0025394E" w:rsidRDefault="0025394E">
      <w:r w:rsidRPr="0025394E">
        <w:rPr>
          <w:lang w:val="nl-NL"/>
        </w:rPr>
        <w:t>Hwang, A.S. et al.</w:t>
      </w:r>
      <w:r>
        <w:rPr>
          <w:lang w:val="nl-NL"/>
        </w:rPr>
        <w:t xml:space="preserve"> </w:t>
      </w:r>
      <w:r w:rsidRPr="0025394E">
        <w:t>(2019), ‘Assistive technology in dementia care:</w:t>
      </w:r>
      <w:r>
        <w:t xml:space="preserve"> Use and attitudes of caregivers’, Journal of Alzheimer’s</w:t>
      </w:r>
      <w:r w:rsidR="00FF0859">
        <w:t xml:space="preserve"> </w:t>
      </w:r>
      <w:r>
        <w:t xml:space="preserve"> Disease</w:t>
      </w:r>
      <w:r w:rsidR="00FF0859">
        <w:t>, 70(2), pp. 677-686.</w:t>
      </w:r>
    </w:p>
    <w:p w14:paraId="569A1BA8" w14:textId="0112A0B5" w:rsidR="00FF0859" w:rsidRDefault="00FF0859">
      <w:r>
        <w:t xml:space="preserve">Khosravi, P. &amp; </w:t>
      </w:r>
      <w:proofErr w:type="spellStart"/>
      <w:r>
        <w:t>Ghapanchi</w:t>
      </w:r>
      <w:proofErr w:type="spellEnd"/>
      <w:r>
        <w:t>, A.H. (2016), ‘Investigating the effectiveness of technologies applied to assist older adults: A systematic review’, Health Informatics Journal, 22(4)</w:t>
      </w:r>
      <w:r w:rsidR="008C4B2C">
        <w:t>, pp. 909-928.</w:t>
      </w:r>
    </w:p>
    <w:p w14:paraId="5BDDE1BD" w14:textId="1FB4486A" w:rsidR="008C4B2C" w:rsidRDefault="008C4B2C">
      <w:r w:rsidRPr="008F1B7C">
        <w:t xml:space="preserve">Lindeman, D. et al.  </w:t>
      </w:r>
      <w:r w:rsidRPr="008C4B2C">
        <w:t>(2020), Emerging technologies to support ageing in</w:t>
      </w:r>
      <w:r>
        <w:t xml:space="preserve"> place. Washington, DC: National Academies Press.</w:t>
      </w:r>
    </w:p>
    <w:p w14:paraId="6C60D06F" w14:textId="5AF60795" w:rsidR="008C4B2C" w:rsidRDefault="008C4B2C">
      <w:r>
        <w:t>Mubashir, M., Shao, L. &amp; Seed, L. (2013), ‘ A survey on fall detection: Principles and approaches’, Neurocomputing, 100</w:t>
      </w:r>
      <w:r w:rsidR="003261A6">
        <w:t>, pp. 144-152.</w:t>
      </w:r>
    </w:p>
    <w:p w14:paraId="77796E34" w14:textId="078E3C25" w:rsidR="003261A6" w:rsidRDefault="003261A6">
      <w:r w:rsidRPr="003261A6">
        <w:rPr>
          <w:lang w:val="nl-NL"/>
        </w:rPr>
        <w:t>Peek, S.T.M. et al</w:t>
      </w:r>
      <w:r>
        <w:rPr>
          <w:lang w:val="nl-NL"/>
        </w:rPr>
        <w:t xml:space="preserve">. </w:t>
      </w:r>
      <w:r w:rsidRPr="003261A6">
        <w:t>(2014), ‘Understanding technology acceptance in older a</w:t>
      </w:r>
      <w:r>
        <w:t>dults: A six-year study’, Journal of Aging Studies, 27(1), pp. 9-19.</w:t>
      </w:r>
    </w:p>
    <w:p w14:paraId="5AFDAB0B" w14:textId="6283ECEE" w:rsidR="003261A6" w:rsidRDefault="003261A6">
      <w:r w:rsidRPr="008F1B7C">
        <w:t xml:space="preserve">Petersen, J. et al. </w:t>
      </w:r>
      <w:r w:rsidRPr="003261A6">
        <w:t>(2014), ‘Smart home technologies to support a</w:t>
      </w:r>
      <w:r>
        <w:t xml:space="preserve">geing populations’, </w:t>
      </w:r>
      <w:proofErr w:type="spellStart"/>
      <w:r>
        <w:t>Gerontechnology</w:t>
      </w:r>
      <w:proofErr w:type="spellEnd"/>
      <w:r>
        <w:t xml:space="preserve">, 13(2), </w:t>
      </w:r>
      <w:r w:rsidR="00D56A17">
        <w:t xml:space="preserve">available at </w:t>
      </w:r>
      <w:hyperlink r:id="rId12" w:history="1">
        <w:r w:rsidR="00833E8D" w:rsidRPr="001C4DF9">
          <w:rPr>
            <w:rStyle w:val="Hyperlink"/>
          </w:rPr>
          <w:t>www.sciencedirect.com</w:t>
        </w:r>
      </w:hyperlink>
      <w:r w:rsidR="00833E8D">
        <w:t xml:space="preserve"> </w:t>
      </w:r>
      <w:r w:rsidR="00CD6E9F">
        <w:t xml:space="preserve">accessed on </w:t>
      </w:r>
      <w:r w:rsidR="00893B3D">
        <w:t>30 November 2025</w:t>
      </w:r>
    </w:p>
    <w:p w14:paraId="01D35817" w14:textId="5B60ABE5" w:rsidR="003261A6" w:rsidRDefault="003261A6">
      <w:r>
        <w:t xml:space="preserve">Steele, R., Lo, A., Secombe, C. &amp; Wong, Y.K. (2009), ‘E-health technologies for </w:t>
      </w:r>
      <w:r w:rsidR="001B4463">
        <w:t>older adults: A review’, Ageing International, 34(2), pp. 119-136.</w:t>
      </w:r>
    </w:p>
    <w:p w14:paraId="2EFCB7F7" w14:textId="20E1014E" w:rsidR="001B4463" w:rsidRDefault="001B4463">
      <w:r>
        <w:t>Tian, W. &amp; Neely, D. (2021), ‘Telehealth in long-term care: Effects on quality and access’, Health Services Research, 56(4), pp. 567-579.</w:t>
      </w:r>
    </w:p>
    <w:p w14:paraId="40B32B21" w14:textId="2C71A820" w:rsidR="001B4463" w:rsidRDefault="001B4463">
      <w:r>
        <w:t>United Nations (2023), World social report: The contribution of digital technologies to healthy ageing. New York: UN Department of Economic and Social Affairs</w:t>
      </w:r>
      <w:r w:rsidR="00FC4D09">
        <w:t>, ava</w:t>
      </w:r>
      <w:r w:rsidR="00160ECE">
        <w:t xml:space="preserve">ilable at </w:t>
      </w:r>
      <w:hyperlink r:id="rId13" w:history="1">
        <w:r w:rsidR="007F32E9" w:rsidRPr="001C4DF9">
          <w:rPr>
            <w:rStyle w:val="Hyperlink"/>
          </w:rPr>
          <w:t>www.un.org</w:t>
        </w:r>
      </w:hyperlink>
      <w:r w:rsidR="007F32E9">
        <w:t xml:space="preserve"> </w:t>
      </w:r>
    </w:p>
    <w:p w14:paraId="26889D8E" w14:textId="0A83344B" w:rsidR="006D0FF1" w:rsidRDefault="006D0FF1">
      <w:r>
        <w:lastRenderedPageBreak/>
        <w:t xml:space="preserve">Vallor, S. (2016). Technology and </w:t>
      </w:r>
      <w:r w:rsidR="00ED0793">
        <w:t>the</w:t>
      </w:r>
      <w:r>
        <w:t xml:space="preserve"> virtues: A philosophical guide to a future worth wanting. Oxford: Oxford University Press</w:t>
      </w:r>
      <w:r w:rsidR="00D71A2C">
        <w:t>,</w:t>
      </w:r>
      <w:r w:rsidR="00ED0793">
        <w:t xml:space="preserve"> </w:t>
      </w:r>
      <w:r w:rsidR="00630568">
        <w:t xml:space="preserve">available at </w:t>
      </w:r>
      <w:hyperlink r:id="rId14" w:history="1">
        <w:r w:rsidR="008A593E" w:rsidRPr="001C4DF9">
          <w:rPr>
            <w:rStyle w:val="Hyperlink"/>
          </w:rPr>
          <w:t>www.springer.com</w:t>
        </w:r>
      </w:hyperlink>
      <w:r w:rsidR="008A593E">
        <w:t xml:space="preserve"> </w:t>
      </w:r>
      <w:r w:rsidR="00386CFB">
        <w:t>accessed</w:t>
      </w:r>
      <w:r w:rsidR="00D961A2">
        <w:t xml:space="preserve"> on 3 December 2025</w:t>
      </w:r>
      <w:r w:rsidR="008A593E">
        <w:t xml:space="preserve"> </w:t>
      </w:r>
    </w:p>
    <w:p w14:paraId="2EF9A9A6" w14:textId="4E5D0B24" w:rsidR="006D0FF1" w:rsidRDefault="006D0FF1">
      <w:r>
        <w:t>WHO (2020), Decade of healthy ageing: Baseline report. Geneva: World Health Organization</w:t>
      </w:r>
      <w:r w:rsidR="00BE7DE9">
        <w:t>, available at</w:t>
      </w:r>
      <w:r w:rsidR="0004793A">
        <w:t xml:space="preserve"> </w:t>
      </w:r>
      <w:hyperlink r:id="rId15" w:history="1">
        <w:r w:rsidR="00040E38" w:rsidRPr="001C4DF9">
          <w:rPr>
            <w:rStyle w:val="Hyperlink"/>
          </w:rPr>
          <w:t>www.ageing-better.org.uk</w:t>
        </w:r>
      </w:hyperlink>
      <w:r w:rsidR="00040E38">
        <w:t xml:space="preserve"> </w:t>
      </w:r>
      <w:r w:rsidR="006E66ED">
        <w:t>accessed</w:t>
      </w:r>
      <w:r w:rsidR="002B72DA">
        <w:t xml:space="preserve"> on 1 December 2025</w:t>
      </w:r>
    </w:p>
    <w:p w14:paraId="40E9F270" w14:textId="2564CCCE" w:rsidR="006D0FF1" w:rsidRPr="006D0FF1" w:rsidRDefault="006D0FF1">
      <w:r w:rsidRPr="006D0FF1">
        <w:t>Zhou, J. &amp; Rau, P.L.P. (2019), ‘Ol</w:t>
      </w:r>
      <w:r>
        <w:t xml:space="preserve">der adults’ acceptance of smart home technologies: A review’, Universal Access in the Information Society, 18(4), </w:t>
      </w:r>
      <w:r w:rsidR="00EF0759">
        <w:t xml:space="preserve">available at </w:t>
      </w:r>
      <w:hyperlink r:id="rId16" w:history="1">
        <w:r w:rsidR="000A0233" w:rsidRPr="001C4DF9">
          <w:rPr>
            <w:rStyle w:val="Hyperlink"/>
          </w:rPr>
          <w:t>www.aging.jmir.org</w:t>
        </w:r>
      </w:hyperlink>
      <w:r w:rsidR="000A0233">
        <w:t xml:space="preserve"> accessed</w:t>
      </w:r>
      <w:r w:rsidR="002E58CB">
        <w:t xml:space="preserve"> on 1 December 2025</w:t>
      </w:r>
    </w:p>
    <w:p w14:paraId="096225AE" w14:textId="77777777" w:rsidR="006D0FF1" w:rsidRPr="006D0FF1" w:rsidRDefault="006D0FF1"/>
    <w:sectPr w:rsidR="006D0FF1" w:rsidRPr="006D0F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D5701" w14:textId="77777777" w:rsidR="00F32FA1" w:rsidRDefault="00F32FA1" w:rsidP="006B0E7C">
      <w:pPr>
        <w:spacing w:after="0" w:line="240" w:lineRule="auto"/>
      </w:pPr>
      <w:r>
        <w:separator/>
      </w:r>
    </w:p>
  </w:endnote>
  <w:endnote w:type="continuationSeparator" w:id="0">
    <w:p w14:paraId="29433F98" w14:textId="77777777" w:rsidR="00F32FA1" w:rsidRDefault="00F32FA1" w:rsidP="006B0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F2BAE" w14:textId="77777777" w:rsidR="00F32FA1" w:rsidRDefault="00F32FA1" w:rsidP="006B0E7C">
      <w:pPr>
        <w:spacing w:after="0" w:line="240" w:lineRule="auto"/>
      </w:pPr>
      <w:r>
        <w:separator/>
      </w:r>
    </w:p>
  </w:footnote>
  <w:footnote w:type="continuationSeparator" w:id="0">
    <w:p w14:paraId="4EF67D38" w14:textId="77777777" w:rsidR="00F32FA1" w:rsidRDefault="00F32FA1" w:rsidP="006B0E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B15"/>
    <w:rsid w:val="0001250A"/>
    <w:rsid w:val="00040E38"/>
    <w:rsid w:val="0004793A"/>
    <w:rsid w:val="00063C17"/>
    <w:rsid w:val="000A0233"/>
    <w:rsid w:val="000C1F86"/>
    <w:rsid w:val="00144BE0"/>
    <w:rsid w:val="00160ECE"/>
    <w:rsid w:val="001A1D19"/>
    <w:rsid w:val="001B4463"/>
    <w:rsid w:val="00221CAE"/>
    <w:rsid w:val="0025394E"/>
    <w:rsid w:val="002B72DA"/>
    <w:rsid w:val="002E58CB"/>
    <w:rsid w:val="003261A6"/>
    <w:rsid w:val="00335D64"/>
    <w:rsid w:val="0034617A"/>
    <w:rsid w:val="00386CFB"/>
    <w:rsid w:val="004217ED"/>
    <w:rsid w:val="00427E2B"/>
    <w:rsid w:val="00470817"/>
    <w:rsid w:val="00483F45"/>
    <w:rsid w:val="00484631"/>
    <w:rsid w:val="005371CC"/>
    <w:rsid w:val="00544033"/>
    <w:rsid w:val="005511CE"/>
    <w:rsid w:val="00560F67"/>
    <w:rsid w:val="005A7347"/>
    <w:rsid w:val="005A7B91"/>
    <w:rsid w:val="00615F29"/>
    <w:rsid w:val="00630568"/>
    <w:rsid w:val="006A16AC"/>
    <w:rsid w:val="006B0E7C"/>
    <w:rsid w:val="006D0FF1"/>
    <w:rsid w:val="006E66ED"/>
    <w:rsid w:val="006F1D83"/>
    <w:rsid w:val="00704E86"/>
    <w:rsid w:val="007F32E9"/>
    <w:rsid w:val="00833E8D"/>
    <w:rsid w:val="00893B3D"/>
    <w:rsid w:val="008A593E"/>
    <w:rsid w:val="008C4B2C"/>
    <w:rsid w:val="008E494A"/>
    <w:rsid w:val="008F1B7C"/>
    <w:rsid w:val="009100D7"/>
    <w:rsid w:val="009355D7"/>
    <w:rsid w:val="00952C7B"/>
    <w:rsid w:val="009D4CD9"/>
    <w:rsid w:val="00A60FC1"/>
    <w:rsid w:val="00A61318"/>
    <w:rsid w:val="00A82B15"/>
    <w:rsid w:val="00AB2413"/>
    <w:rsid w:val="00B402E2"/>
    <w:rsid w:val="00BE313F"/>
    <w:rsid w:val="00BE7DE9"/>
    <w:rsid w:val="00CB5B8D"/>
    <w:rsid w:val="00CD4329"/>
    <w:rsid w:val="00CD6E9F"/>
    <w:rsid w:val="00D053EC"/>
    <w:rsid w:val="00D12AE1"/>
    <w:rsid w:val="00D421EE"/>
    <w:rsid w:val="00D56A17"/>
    <w:rsid w:val="00D56E28"/>
    <w:rsid w:val="00D71A2C"/>
    <w:rsid w:val="00D838A0"/>
    <w:rsid w:val="00D961A2"/>
    <w:rsid w:val="00DA1903"/>
    <w:rsid w:val="00DD1699"/>
    <w:rsid w:val="00E35C63"/>
    <w:rsid w:val="00ED0793"/>
    <w:rsid w:val="00EF0759"/>
    <w:rsid w:val="00F06742"/>
    <w:rsid w:val="00F32FA1"/>
    <w:rsid w:val="00F60A0B"/>
    <w:rsid w:val="00F81AC8"/>
    <w:rsid w:val="00FC4D09"/>
    <w:rsid w:val="00FF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40053"/>
  <w15:chartTrackingRefBased/>
  <w15:docId w15:val="{7ABB55B5-0590-4DD2-835A-D342A52FE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2B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2B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2B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2B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2B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2B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2B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2B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2B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2B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2B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2B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2B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2B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2B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2B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2B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2B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2B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2B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2B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2B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2B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2B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2B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2B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2B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2B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2B1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B0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0E7C"/>
  </w:style>
  <w:style w:type="paragraph" w:styleId="Footer">
    <w:name w:val="footer"/>
    <w:basedOn w:val="Normal"/>
    <w:link w:val="FooterChar"/>
    <w:uiPriority w:val="99"/>
    <w:unhideWhenUsed/>
    <w:rsid w:val="006B0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E7C"/>
  </w:style>
  <w:style w:type="character" w:styleId="Hyperlink">
    <w:name w:val="Hyperlink"/>
    <w:basedOn w:val="DefaultParagraphFont"/>
    <w:uiPriority w:val="99"/>
    <w:unhideWhenUsed/>
    <w:rsid w:val="00335D6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5D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itishgerontology.org" TargetMode="External"/><Relationship Id="rId13" Type="http://schemas.openxmlformats.org/officeDocument/2006/relationships/hyperlink" Target="http://www.un.org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image001.png@01D0EA4A.2BD679A0" TargetMode="External"/><Relationship Id="rId12" Type="http://schemas.openxmlformats.org/officeDocument/2006/relationships/hyperlink" Target="http://www.sciencedirect.com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aging.jmir.org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ageing-better.org.uk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geing-better.org.uk" TargetMode="External"/><Relationship Id="rId10" Type="http://schemas.openxmlformats.org/officeDocument/2006/relationships/hyperlink" Target="http://www.researchgate.net.co.uk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scholar.google.co.uk" TargetMode="External"/><Relationship Id="rId14" Type="http://schemas.openxmlformats.org/officeDocument/2006/relationships/hyperlink" Target="http://www.springe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Milewska (2245525)</dc:creator>
  <cp:keywords/>
  <dc:description/>
  <cp:lastModifiedBy>Emilia Milewska (2245525)</cp:lastModifiedBy>
  <cp:revision>2</cp:revision>
  <dcterms:created xsi:type="dcterms:W3CDTF">2025-12-09T09:00:00Z</dcterms:created>
  <dcterms:modified xsi:type="dcterms:W3CDTF">2025-12-09T09:00:00Z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c93d52e3-fb9d-4b1b-9822-47d764ad541a</vt:lpwstr>
  </property>
</Properties>
</file>