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B97C47" w14:textId="5EE585EC" w:rsidR="00D66E21" w:rsidRPr="00DE56FA" w:rsidRDefault="00DE56FA" w:rsidP="00DE56FA">
      <w:pPr>
        <w:spacing w:line="360" w:lineRule="auto"/>
        <w:jc w:val="center"/>
        <w:rPr>
          <w:rFonts w:ascii="Arial" w:hAnsi="Arial" w:cs="Arial"/>
        </w:rPr>
      </w:pPr>
      <w:r w:rsidRPr="00DE56FA">
        <w:rPr>
          <w:rFonts w:ascii="Arial" w:hAnsi="Arial" w:cs="Arial"/>
          <w:noProof/>
        </w:rPr>
        <w:drawing>
          <wp:inline distT="0" distB="0" distL="0" distR="0" wp14:anchorId="264F9E28" wp14:editId="57731BD4">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1B5D725A" w14:textId="77777777" w:rsidR="00DE56FA" w:rsidRPr="00DA0363" w:rsidRDefault="00DE56FA" w:rsidP="00DE56FA">
      <w:pPr>
        <w:spacing w:line="360" w:lineRule="auto"/>
        <w:jc w:val="center"/>
        <w:rPr>
          <w:rFonts w:ascii="Arial" w:hAnsi="Arial" w:cs="Arial"/>
          <w:b/>
          <w:bCs/>
        </w:rPr>
      </w:pPr>
      <w:r w:rsidRPr="00DA0363">
        <w:rPr>
          <w:rFonts w:ascii="Arial" w:hAnsi="Arial" w:cs="Arial"/>
          <w:b/>
          <w:bCs/>
        </w:rPr>
        <w:t>Cover Page</w:t>
      </w:r>
    </w:p>
    <w:p w14:paraId="6AF8A21C" w14:textId="77777777" w:rsidR="00DE56FA" w:rsidRPr="00DE56FA" w:rsidRDefault="00DE56FA" w:rsidP="00DE56FA">
      <w:pPr>
        <w:spacing w:line="360" w:lineRule="auto"/>
        <w:jc w:val="center"/>
        <w:rPr>
          <w:rFonts w:ascii="Arial" w:hAnsi="Arial" w:cs="Arial"/>
        </w:rPr>
      </w:pPr>
    </w:p>
    <w:p w14:paraId="5F700DF2" w14:textId="77777777" w:rsidR="00DE56FA" w:rsidRPr="009A75FC" w:rsidRDefault="00DE56FA" w:rsidP="00DE56FA">
      <w:pPr>
        <w:spacing w:line="360" w:lineRule="auto"/>
        <w:rPr>
          <w:rFonts w:ascii="Arial" w:eastAsia="Arial Nova" w:hAnsi="Arial" w:cs="Arial"/>
        </w:rPr>
      </w:pPr>
      <w:r w:rsidRPr="009A75FC">
        <w:rPr>
          <w:rFonts w:ascii="Arial" w:eastAsia="Arial Nova" w:hAnsi="Arial" w:cs="Arial"/>
        </w:rPr>
        <w:t>Student Name: Susannah Moriarty</w:t>
      </w:r>
    </w:p>
    <w:p w14:paraId="68D3EDD4" w14:textId="77777777" w:rsidR="00DE56FA" w:rsidRPr="009A75FC" w:rsidRDefault="00DE56FA" w:rsidP="00DE56FA">
      <w:pPr>
        <w:spacing w:line="360" w:lineRule="auto"/>
        <w:rPr>
          <w:rFonts w:ascii="Arial" w:eastAsia="Arial Nova" w:hAnsi="Arial" w:cs="Arial"/>
        </w:rPr>
      </w:pPr>
      <w:r w:rsidRPr="009A75FC">
        <w:rPr>
          <w:rFonts w:ascii="Arial" w:eastAsia="Arial Nova" w:hAnsi="Arial" w:cs="Arial"/>
        </w:rPr>
        <w:t>Student Number: 2331924</w:t>
      </w:r>
    </w:p>
    <w:p w14:paraId="2557D3F4" w14:textId="1DFB6D5C" w:rsidR="00DE56FA" w:rsidRPr="009A75FC" w:rsidRDefault="00DE56FA" w:rsidP="00DE56FA">
      <w:pPr>
        <w:spacing w:line="360" w:lineRule="auto"/>
        <w:rPr>
          <w:rFonts w:ascii="Arial" w:eastAsia="Arial Nova" w:hAnsi="Arial" w:cs="Arial"/>
        </w:rPr>
      </w:pPr>
      <w:r w:rsidRPr="009A75FC">
        <w:rPr>
          <w:rFonts w:ascii="Arial" w:eastAsia="Arial Nova" w:hAnsi="Arial" w:cs="Arial"/>
        </w:rPr>
        <w:t>Module Name:</w:t>
      </w:r>
      <w:r w:rsidR="001C66B9" w:rsidRPr="009A75FC">
        <w:rPr>
          <w:rFonts w:ascii="Arial" w:eastAsia="Arial Nova" w:hAnsi="Arial" w:cs="Arial"/>
        </w:rPr>
        <w:t xml:space="preserve"> Psychological Classifications and Provisions, Component Two</w:t>
      </w:r>
    </w:p>
    <w:p w14:paraId="356B0DBC" w14:textId="3CF808E7" w:rsidR="00DE56FA" w:rsidRPr="009A75FC" w:rsidRDefault="00DE56FA" w:rsidP="00DE56FA">
      <w:pPr>
        <w:spacing w:line="360" w:lineRule="auto"/>
        <w:rPr>
          <w:rFonts w:ascii="Arial" w:eastAsia="Arial Nova" w:hAnsi="Arial" w:cs="Arial"/>
        </w:rPr>
      </w:pPr>
      <w:r w:rsidRPr="009A75FC">
        <w:rPr>
          <w:rFonts w:ascii="Arial" w:eastAsia="Arial Nova" w:hAnsi="Arial" w:cs="Arial"/>
        </w:rPr>
        <w:t>Module Code:</w:t>
      </w:r>
      <w:r w:rsidRPr="009A75FC">
        <w:rPr>
          <w:rFonts w:ascii="Arial" w:hAnsi="Arial" w:cs="Arial"/>
          <w:b/>
        </w:rPr>
        <w:t xml:space="preserve"> </w:t>
      </w:r>
      <w:r w:rsidR="001C66B9" w:rsidRPr="009A75FC">
        <w:rPr>
          <w:rFonts w:ascii="Arial" w:hAnsi="Arial" w:cs="Arial"/>
          <w:bCs/>
        </w:rPr>
        <w:t>BMHP 6029</w:t>
      </w:r>
      <w:r w:rsidRPr="009A75FC">
        <w:rPr>
          <w:rFonts w:ascii="Arial" w:hAnsi="Arial" w:cs="Arial"/>
          <w:bCs/>
        </w:rPr>
        <w:t xml:space="preserve"> </w:t>
      </w:r>
    </w:p>
    <w:p w14:paraId="66FAB3D2" w14:textId="4C65CAA4" w:rsidR="00DE56FA" w:rsidRPr="009A75FC" w:rsidRDefault="00DE56FA" w:rsidP="00DE56FA">
      <w:pPr>
        <w:spacing w:line="360" w:lineRule="auto"/>
        <w:rPr>
          <w:rFonts w:ascii="Arial" w:eastAsia="Arial Nova" w:hAnsi="Arial" w:cs="Arial"/>
        </w:rPr>
      </w:pPr>
      <w:r w:rsidRPr="009A75FC">
        <w:rPr>
          <w:rFonts w:ascii="Arial" w:eastAsia="Arial Nova" w:hAnsi="Arial" w:cs="Arial"/>
        </w:rPr>
        <w:t xml:space="preserve">Lecture Name: </w:t>
      </w:r>
      <w:r w:rsidRPr="009A75FC">
        <w:rPr>
          <w:rFonts w:ascii="Arial" w:hAnsi="Arial" w:cs="Arial"/>
        </w:rPr>
        <w:t>Neale Haddon</w:t>
      </w:r>
    </w:p>
    <w:p w14:paraId="3AD166EA" w14:textId="1C84ADF4" w:rsidR="00DE56FA" w:rsidRPr="009A75FC" w:rsidRDefault="00DE56FA" w:rsidP="00DE56FA">
      <w:pPr>
        <w:spacing w:line="360" w:lineRule="auto"/>
        <w:rPr>
          <w:rFonts w:ascii="Arial" w:hAnsi="Arial" w:cs="Arial"/>
        </w:rPr>
      </w:pPr>
      <w:r w:rsidRPr="009A75FC">
        <w:rPr>
          <w:rFonts w:ascii="Arial" w:hAnsi="Arial" w:cs="Arial"/>
        </w:rPr>
        <w:t xml:space="preserve">Submission Date: </w:t>
      </w:r>
      <w:r w:rsidRPr="009A75FC">
        <w:rPr>
          <w:rFonts w:ascii="Arial" w:hAnsi="Arial" w:cs="Arial"/>
        </w:rPr>
        <w:t>20</w:t>
      </w:r>
      <w:r w:rsidRPr="009A75FC">
        <w:rPr>
          <w:rFonts w:ascii="Arial" w:hAnsi="Arial" w:cs="Arial"/>
          <w:vertAlign w:val="superscript"/>
        </w:rPr>
        <w:t xml:space="preserve">th </w:t>
      </w:r>
      <w:r w:rsidRPr="009A75FC">
        <w:rPr>
          <w:rFonts w:ascii="Arial" w:hAnsi="Arial" w:cs="Arial"/>
        </w:rPr>
        <w:t>July 2026</w:t>
      </w:r>
    </w:p>
    <w:p w14:paraId="4FBE55F4" w14:textId="6AFEE5C3" w:rsidR="00DE56FA" w:rsidRPr="009A75FC" w:rsidRDefault="00DE56FA" w:rsidP="00DE56FA">
      <w:pPr>
        <w:jc w:val="center"/>
        <w:rPr>
          <w:rFonts w:ascii="Arial" w:hAnsi="Arial" w:cs="Arial"/>
        </w:rPr>
      </w:pPr>
    </w:p>
    <w:p w14:paraId="7A42CC4A" w14:textId="77777777" w:rsidR="00DE56FA" w:rsidRPr="009A75FC" w:rsidRDefault="00DE56FA" w:rsidP="00DE56FA">
      <w:pPr>
        <w:jc w:val="center"/>
        <w:rPr>
          <w:rFonts w:ascii="Arial" w:hAnsi="Arial" w:cs="Arial"/>
        </w:rPr>
      </w:pPr>
    </w:p>
    <w:p w14:paraId="06DEA079" w14:textId="77777777" w:rsidR="00DE56FA" w:rsidRPr="009A75FC" w:rsidRDefault="00DE56FA" w:rsidP="00DE56FA">
      <w:pPr>
        <w:jc w:val="center"/>
        <w:rPr>
          <w:rFonts w:ascii="Arial" w:hAnsi="Arial" w:cs="Arial"/>
        </w:rPr>
      </w:pPr>
    </w:p>
    <w:p w14:paraId="2A58EF4F" w14:textId="77777777" w:rsidR="00DE56FA" w:rsidRPr="009A75FC" w:rsidRDefault="00DE56FA" w:rsidP="00DE56FA">
      <w:pPr>
        <w:jc w:val="center"/>
        <w:rPr>
          <w:rFonts w:ascii="Arial" w:hAnsi="Arial" w:cs="Arial"/>
        </w:rPr>
      </w:pPr>
    </w:p>
    <w:p w14:paraId="524187B0" w14:textId="77777777" w:rsidR="00DE56FA" w:rsidRPr="009A75FC" w:rsidRDefault="00DE56FA" w:rsidP="00DE56FA">
      <w:pPr>
        <w:jc w:val="center"/>
        <w:rPr>
          <w:rFonts w:ascii="Arial" w:hAnsi="Arial" w:cs="Arial"/>
        </w:rPr>
      </w:pPr>
    </w:p>
    <w:p w14:paraId="7D6830A5" w14:textId="77777777" w:rsidR="00DE56FA" w:rsidRPr="009A75FC" w:rsidRDefault="00DE56FA" w:rsidP="00DE56FA">
      <w:pPr>
        <w:jc w:val="center"/>
        <w:rPr>
          <w:rFonts w:ascii="Arial" w:hAnsi="Arial" w:cs="Arial"/>
        </w:rPr>
      </w:pPr>
    </w:p>
    <w:p w14:paraId="45894934" w14:textId="77777777" w:rsidR="00DE56FA" w:rsidRPr="009A75FC" w:rsidRDefault="00DE56FA" w:rsidP="00DE56FA">
      <w:pPr>
        <w:jc w:val="center"/>
        <w:rPr>
          <w:rFonts w:ascii="Arial" w:hAnsi="Arial" w:cs="Arial"/>
        </w:rPr>
      </w:pPr>
    </w:p>
    <w:p w14:paraId="6C28A2AE" w14:textId="77777777" w:rsidR="00DE56FA" w:rsidRPr="009A75FC" w:rsidRDefault="00DE56FA" w:rsidP="00DE56FA">
      <w:pPr>
        <w:jc w:val="center"/>
        <w:rPr>
          <w:rFonts w:ascii="Arial" w:hAnsi="Arial" w:cs="Arial"/>
        </w:rPr>
      </w:pPr>
    </w:p>
    <w:p w14:paraId="0ED86AE0" w14:textId="77777777" w:rsidR="00DE56FA" w:rsidRPr="009A75FC" w:rsidRDefault="00DE56FA" w:rsidP="00DE56FA">
      <w:pPr>
        <w:jc w:val="center"/>
        <w:rPr>
          <w:rFonts w:ascii="Arial" w:hAnsi="Arial" w:cs="Arial"/>
        </w:rPr>
      </w:pPr>
    </w:p>
    <w:p w14:paraId="5F0D562C" w14:textId="77777777" w:rsidR="00DE56FA" w:rsidRPr="009A75FC" w:rsidRDefault="00DE56FA" w:rsidP="00DE56FA">
      <w:pPr>
        <w:jc w:val="center"/>
        <w:rPr>
          <w:rFonts w:ascii="Arial" w:hAnsi="Arial" w:cs="Arial"/>
        </w:rPr>
      </w:pPr>
    </w:p>
    <w:p w14:paraId="7C938E4C" w14:textId="77777777" w:rsidR="00DE56FA" w:rsidRPr="009A75FC" w:rsidRDefault="00DE56FA" w:rsidP="00DE56FA">
      <w:pPr>
        <w:jc w:val="center"/>
        <w:rPr>
          <w:rFonts w:ascii="Arial" w:hAnsi="Arial" w:cs="Arial"/>
        </w:rPr>
      </w:pPr>
    </w:p>
    <w:p w14:paraId="4319F5EE" w14:textId="77777777" w:rsidR="00DE56FA" w:rsidRPr="009A75FC" w:rsidRDefault="00DE56FA" w:rsidP="00DE56FA">
      <w:pPr>
        <w:jc w:val="center"/>
        <w:rPr>
          <w:rFonts w:ascii="Arial" w:hAnsi="Arial" w:cs="Arial"/>
        </w:rPr>
      </w:pPr>
    </w:p>
    <w:p w14:paraId="549840E0" w14:textId="77777777" w:rsidR="00DE56FA" w:rsidRPr="009A75FC" w:rsidRDefault="00DE56FA" w:rsidP="00DE56FA">
      <w:pPr>
        <w:jc w:val="center"/>
        <w:rPr>
          <w:rFonts w:ascii="Arial" w:hAnsi="Arial" w:cs="Arial"/>
        </w:rPr>
      </w:pPr>
    </w:p>
    <w:p w14:paraId="72D7808E" w14:textId="77777777" w:rsidR="00DE56FA" w:rsidRPr="009A75FC" w:rsidRDefault="00DE56FA" w:rsidP="00DE56FA">
      <w:pPr>
        <w:jc w:val="center"/>
        <w:rPr>
          <w:rFonts w:ascii="Arial" w:hAnsi="Arial" w:cs="Arial"/>
        </w:rPr>
      </w:pPr>
    </w:p>
    <w:p w14:paraId="4DBA91B9" w14:textId="77777777" w:rsidR="00DE56FA" w:rsidRPr="009A75FC" w:rsidRDefault="00DE56FA" w:rsidP="00DE56FA">
      <w:pPr>
        <w:jc w:val="center"/>
        <w:rPr>
          <w:rFonts w:ascii="Arial" w:hAnsi="Arial" w:cs="Arial"/>
        </w:rPr>
      </w:pPr>
    </w:p>
    <w:p w14:paraId="69F7E592" w14:textId="77777777" w:rsidR="00DE56FA" w:rsidRPr="009A75FC" w:rsidRDefault="00DE56FA" w:rsidP="00DE56FA">
      <w:pPr>
        <w:jc w:val="center"/>
        <w:rPr>
          <w:rFonts w:ascii="Arial" w:hAnsi="Arial" w:cs="Arial"/>
        </w:rPr>
      </w:pPr>
    </w:p>
    <w:p w14:paraId="328EB7BA" w14:textId="38419348" w:rsidR="00DE56FA" w:rsidRDefault="00DE56FA" w:rsidP="00DE56FA">
      <w:pPr>
        <w:rPr>
          <w:rFonts w:ascii="Arial" w:hAnsi="Arial" w:cs="Arial"/>
          <w:b/>
          <w:bCs/>
        </w:rPr>
      </w:pPr>
      <w:r w:rsidRPr="009A75FC">
        <w:rPr>
          <w:rFonts w:ascii="Arial" w:hAnsi="Arial" w:cs="Arial"/>
          <w:b/>
          <w:bCs/>
        </w:rPr>
        <w:lastRenderedPageBreak/>
        <w:t>Contents Page</w:t>
      </w:r>
    </w:p>
    <w:p w14:paraId="16BD96BE" w14:textId="77777777" w:rsidR="00A7402D" w:rsidRPr="009A75FC" w:rsidRDefault="00A7402D" w:rsidP="00DE56FA">
      <w:pPr>
        <w:rPr>
          <w:rFonts w:ascii="Arial" w:hAnsi="Arial" w:cs="Arial"/>
          <w:b/>
          <w:bCs/>
        </w:rPr>
      </w:pPr>
    </w:p>
    <w:p w14:paraId="729B322F" w14:textId="34D10859" w:rsidR="0099110A" w:rsidRPr="009A75FC" w:rsidRDefault="0099110A" w:rsidP="0099110A">
      <w:pPr>
        <w:spacing w:line="360" w:lineRule="auto"/>
        <w:rPr>
          <w:rFonts w:ascii="Arial" w:hAnsi="Arial" w:cs="Arial"/>
        </w:rPr>
      </w:pPr>
      <w:r w:rsidRPr="009A75FC">
        <w:rPr>
          <w:rFonts w:ascii="Arial" w:hAnsi="Arial" w:cs="Arial"/>
        </w:rPr>
        <w:t>Introduction…………………</w:t>
      </w:r>
      <w:r w:rsidR="000D6F24" w:rsidRPr="009A75FC">
        <w:rPr>
          <w:rFonts w:ascii="Arial" w:hAnsi="Arial" w:cs="Arial"/>
        </w:rPr>
        <w:t>……</w:t>
      </w:r>
      <w:r w:rsidRPr="009A75FC">
        <w:rPr>
          <w:rFonts w:ascii="Arial" w:hAnsi="Arial" w:cs="Arial"/>
        </w:rPr>
        <w:t>…............</w:t>
      </w:r>
      <w:r w:rsidR="00012469" w:rsidRPr="009A75FC">
        <w:rPr>
          <w:rFonts w:ascii="Arial" w:hAnsi="Arial" w:cs="Arial"/>
        </w:rPr>
        <w:t>.</w:t>
      </w:r>
      <w:r w:rsidRPr="009A75FC">
        <w:rPr>
          <w:rFonts w:ascii="Arial" w:hAnsi="Arial" w:cs="Arial"/>
        </w:rPr>
        <w:t>...Page 3</w:t>
      </w:r>
    </w:p>
    <w:p w14:paraId="46E129F6" w14:textId="329A46C1" w:rsidR="0099110A" w:rsidRPr="009A75FC" w:rsidRDefault="004658BB" w:rsidP="0099110A">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Classifications and Diagnosis</w:t>
      </w:r>
      <w:r w:rsidR="0099110A" w:rsidRPr="009A75FC">
        <w:rPr>
          <w:rFonts w:ascii="Arial" w:eastAsia="Times New Roman" w:hAnsi="Arial" w:cs="Arial"/>
          <w:kern w:val="0"/>
          <w:lang w:eastAsia="en-GB"/>
          <w14:ligatures w14:val="none"/>
        </w:rPr>
        <w:t>…</w:t>
      </w:r>
      <w:r w:rsidR="00012469" w:rsidRPr="009A75FC">
        <w:rPr>
          <w:rFonts w:ascii="Arial" w:eastAsia="Times New Roman" w:hAnsi="Arial" w:cs="Arial"/>
          <w:kern w:val="0"/>
          <w:lang w:eastAsia="en-GB"/>
          <w14:ligatures w14:val="none"/>
        </w:rPr>
        <w:t>.</w:t>
      </w:r>
      <w:r w:rsidR="0099110A" w:rsidRPr="009A75FC">
        <w:rPr>
          <w:rFonts w:ascii="Arial" w:eastAsia="Times New Roman" w:hAnsi="Arial" w:cs="Arial"/>
          <w:kern w:val="0"/>
          <w:lang w:eastAsia="en-GB"/>
          <w14:ligatures w14:val="none"/>
        </w:rPr>
        <w:t>……</w:t>
      </w:r>
      <w:r w:rsidRPr="009A75FC">
        <w:rPr>
          <w:rFonts w:ascii="Arial" w:eastAsia="Times New Roman" w:hAnsi="Arial" w:cs="Arial"/>
          <w:kern w:val="0"/>
          <w:lang w:eastAsia="en-GB"/>
          <w14:ligatures w14:val="none"/>
        </w:rPr>
        <w:t>...</w:t>
      </w:r>
      <w:r w:rsidR="0099110A" w:rsidRPr="009A75FC">
        <w:rPr>
          <w:rFonts w:ascii="Arial" w:eastAsia="Times New Roman" w:hAnsi="Arial" w:cs="Arial"/>
          <w:kern w:val="0"/>
          <w:lang w:eastAsia="en-GB"/>
          <w14:ligatures w14:val="none"/>
        </w:rPr>
        <w:t>..</w:t>
      </w:r>
      <w:r w:rsidR="000D6F24" w:rsidRPr="009A75FC">
        <w:rPr>
          <w:rFonts w:ascii="Arial" w:eastAsia="Times New Roman" w:hAnsi="Arial" w:cs="Arial"/>
          <w:kern w:val="0"/>
          <w:lang w:eastAsia="en-GB"/>
          <w14:ligatures w14:val="none"/>
        </w:rPr>
        <w:t>.......</w:t>
      </w:r>
      <w:r w:rsidR="0099110A" w:rsidRPr="009A75FC">
        <w:rPr>
          <w:rFonts w:ascii="Arial" w:eastAsia="Times New Roman" w:hAnsi="Arial" w:cs="Arial"/>
          <w:kern w:val="0"/>
          <w:lang w:eastAsia="en-GB"/>
          <w14:ligatures w14:val="none"/>
        </w:rPr>
        <w:t>Page 3</w:t>
      </w:r>
    </w:p>
    <w:p w14:paraId="4713A9FE" w14:textId="459B55B5" w:rsidR="0099110A" w:rsidRPr="009A75FC" w:rsidRDefault="00FC52B1" w:rsidP="0099110A">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 xml:space="preserve">Treatment Approaches </w:t>
      </w:r>
      <w:r w:rsidR="0099110A" w:rsidRPr="009A75FC">
        <w:rPr>
          <w:rFonts w:ascii="Arial" w:eastAsia="Times New Roman" w:hAnsi="Arial" w:cs="Arial"/>
          <w:kern w:val="0"/>
          <w:lang w:eastAsia="en-GB"/>
          <w14:ligatures w14:val="none"/>
        </w:rPr>
        <w:t>……</w:t>
      </w:r>
      <w:r w:rsidRPr="009A75FC">
        <w:rPr>
          <w:rFonts w:ascii="Arial" w:eastAsia="Times New Roman" w:hAnsi="Arial" w:cs="Arial"/>
          <w:kern w:val="0"/>
          <w:lang w:eastAsia="en-GB"/>
          <w14:ligatures w14:val="none"/>
        </w:rPr>
        <w:t>.</w:t>
      </w:r>
      <w:r w:rsidR="0099110A" w:rsidRPr="009A75FC">
        <w:rPr>
          <w:rFonts w:ascii="Arial" w:eastAsia="Times New Roman" w:hAnsi="Arial" w:cs="Arial"/>
          <w:kern w:val="0"/>
          <w:lang w:eastAsia="en-GB"/>
          <w14:ligatures w14:val="none"/>
        </w:rPr>
        <w:t>…..............</w:t>
      </w:r>
      <w:r w:rsidR="000D6F24" w:rsidRPr="009A75FC">
        <w:rPr>
          <w:rFonts w:ascii="Arial" w:eastAsia="Times New Roman" w:hAnsi="Arial" w:cs="Arial"/>
          <w:kern w:val="0"/>
          <w:lang w:eastAsia="en-GB"/>
          <w14:ligatures w14:val="none"/>
        </w:rPr>
        <w:t>.......</w:t>
      </w:r>
      <w:r w:rsidR="0099110A" w:rsidRPr="009A75FC">
        <w:rPr>
          <w:rFonts w:ascii="Arial" w:eastAsia="Times New Roman" w:hAnsi="Arial" w:cs="Arial"/>
          <w:kern w:val="0"/>
          <w:lang w:eastAsia="en-GB"/>
          <w14:ligatures w14:val="none"/>
        </w:rPr>
        <w:t xml:space="preserve">.Page </w:t>
      </w:r>
      <w:r w:rsidR="00012469" w:rsidRPr="009A75FC">
        <w:rPr>
          <w:rFonts w:ascii="Arial" w:eastAsia="Times New Roman" w:hAnsi="Arial" w:cs="Arial"/>
          <w:kern w:val="0"/>
          <w:lang w:eastAsia="en-GB"/>
          <w14:ligatures w14:val="none"/>
        </w:rPr>
        <w:t>4</w:t>
      </w:r>
    </w:p>
    <w:p w14:paraId="586D5721" w14:textId="0CE98FFF" w:rsidR="0099110A" w:rsidRPr="009A75FC" w:rsidRDefault="00666EF2" w:rsidP="0099110A">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 xml:space="preserve">Rehabilitation and </w:t>
      </w:r>
      <w:r w:rsidR="000D6F24" w:rsidRPr="009A75FC">
        <w:rPr>
          <w:rFonts w:ascii="Arial" w:eastAsia="Times New Roman" w:hAnsi="Arial" w:cs="Arial"/>
          <w:kern w:val="0"/>
          <w:lang w:eastAsia="en-GB"/>
          <w14:ligatures w14:val="none"/>
        </w:rPr>
        <w:t>Long-term</w:t>
      </w:r>
      <w:r w:rsidRPr="009A75FC">
        <w:rPr>
          <w:rFonts w:ascii="Arial" w:eastAsia="Times New Roman" w:hAnsi="Arial" w:cs="Arial"/>
          <w:kern w:val="0"/>
          <w:lang w:eastAsia="en-GB"/>
          <w14:ligatures w14:val="none"/>
        </w:rPr>
        <w:t xml:space="preserve"> Management</w:t>
      </w:r>
      <w:r w:rsidR="0099110A" w:rsidRPr="009A75FC">
        <w:rPr>
          <w:rFonts w:ascii="Arial" w:eastAsia="Times New Roman" w:hAnsi="Arial" w:cs="Arial"/>
          <w:kern w:val="0"/>
          <w:lang w:eastAsia="en-GB"/>
          <w14:ligatures w14:val="none"/>
        </w:rPr>
        <w:t xml:space="preserve">…Page </w:t>
      </w:r>
      <w:r w:rsidR="001E2691" w:rsidRPr="009A75FC">
        <w:rPr>
          <w:rFonts w:ascii="Arial" w:eastAsia="Times New Roman" w:hAnsi="Arial" w:cs="Arial"/>
          <w:kern w:val="0"/>
          <w:lang w:eastAsia="en-GB"/>
          <w14:ligatures w14:val="none"/>
        </w:rPr>
        <w:t>5</w:t>
      </w:r>
    </w:p>
    <w:p w14:paraId="75B46F5E" w14:textId="237ABD20" w:rsidR="0099110A" w:rsidRPr="009A75FC" w:rsidRDefault="001E2691" w:rsidP="0099110A">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 xml:space="preserve">Current </w:t>
      </w:r>
      <w:r w:rsidR="00740AF7" w:rsidRPr="009A75FC">
        <w:rPr>
          <w:rFonts w:ascii="Arial" w:eastAsia="Times New Roman" w:hAnsi="Arial" w:cs="Arial"/>
          <w:kern w:val="0"/>
          <w:lang w:eastAsia="en-GB"/>
          <w14:ligatures w14:val="none"/>
        </w:rPr>
        <w:t>Debates and Emerging Issues…</w:t>
      </w:r>
      <w:r w:rsidR="0099110A" w:rsidRPr="009A75FC">
        <w:rPr>
          <w:rFonts w:ascii="Arial" w:eastAsia="Times New Roman" w:hAnsi="Arial" w:cs="Arial"/>
          <w:kern w:val="0"/>
          <w:lang w:eastAsia="en-GB"/>
          <w14:ligatures w14:val="none"/>
        </w:rPr>
        <w:t xml:space="preserve">……Page </w:t>
      </w:r>
      <w:r w:rsidR="00740AF7" w:rsidRPr="009A75FC">
        <w:rPr>
          <w:rFonts w:ascii="Arial" w:eastAsia="Times New Roman" w:hAnsi="Arial" w:cs="Arial"/>
          <w:kern w:val="0"/>
          <w:lang w:eastAsia="en-GB"/>
          <w14:ligatures w14:val="none"/>
        </w:rPr>
        <w:t>6</w:t>
      </w:r>
    </w:p>
    <w:p w14:paraId="262155F2" w14:textId="7E5FF712" w:rsidR="0099110A" w:rsidRPr="009A75FC" w:rsidRDefault="00D06E2B" w:rsidP="0099110A">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 xml:space="preserve">The Impact </w:t>
      </w:r>
      <w:r w:rsidR="00130389" w:rsidRPr="009A75FC">
        <w:rPr>
          <w:rFonts w:ascii="Arial" w:eastAsia="Times New Roman" w:hAnsi="Arial" w:cs="Arial"/>
          <w:kern w:val="0"/>
          <w:lang w:eastAsia="en-GB"/>
          <w14:ligatures w14:val="none"/>
        </w:rPr>
        <w:t>of Social and Cultural factors</w:t>
      </w:r>
      <w:r w:rsidR="0099110A" w:rsidRPr="009A75FC">
        <w:rPr>
          <w:rFonts w:ascii="Arial" w:eastAsia="Times New Roman" w:hAnsi="Arial" w:cs="Arial"/>
          <w:kern w:val="0"/>
          <w:lang w:eastAsia="en-GB"/>
          <w14:ligatures w14:val="none"/>
        </w:rPr>
        <w:t xml:space="preserve">……Page </w:t>
      </w:r>
      <w:r w:rsidR="00130389" w:rsidRPr="009A75FC">
        <w:rPr>
          <w:rFonts w:ascii="Arial" w:eastAsia="Times New Roman" w:hAnsi="Arial" w:cs="Arial"/>
          <w:kern w:val="0"/>
          <w:lang w:eastAsia="en-GB"/>
          <w14:ligatures w14:val="none"/>
        </w:rPr>
        <w:t>6</w:t>
      </w:r>
    </w:p>
    <w:p w14:paraId="4F7DBD37" w14:textId="20ED0597" w:rsidR="00DE56FA" w:rsidRPr="009A75FC" w:rsidRDefault="00D26FB1" w:rsidP="00DE56FA">
      <w:pPr>
        <w:rPr>
          <w:rFonts w:ascii="Arial" w:hAnsi="Arial" w:cs="Arial"/>
        </w:rPr>
      </w:pPr>
      <w:r w:rsidRPr="009A75FC">
        <w:rPr>
          <w:rFonts w:ascii="Arial" w:hAnsi="Arial" w:cs="Arial"/>
        </w:rPr>
        <w:t xml:space="preserve">The Impact of Media </w:t>
      </w:r>
      <w:r w:rsidR="005019E2" w:rsidRPr="009A75FC">
        <w:rPr>
          <w:rFonts w:ascii="Arial" w:hAnsi="Arial" w:cs="Arial"/>
        </w:rPr>
        <w:t>Misrepresentation……</w:t>
      </w:r>
      <w:r w:rsidR="00FE10E3" w:rsidRPr="009A75FC">
        <w:rPr>
          <w:rFonts w:ascii="Arial" w:hAnsi="Arial" w:cs="Arial"/>
        </w:rPr>
        <w:t>…</w:t>
      </w:r>
      <w:r w:rsidR="005019E2" w:rsidRPr="009A75FC">
        <w:rPr>
          <w:rFonts w:ascii="Arial" w:hAnsi="Arial" w:cs="Arial"/>
        </w:rPr>
        <w:t xml:space="preserve">Page 7 </w:t>
      </w:r>
    </w:p>
    <w:p w14:paraId="570BACBB" w14:textId="6AAD904D" w:rsidR="00DE56FA" w:rsidRPr="009A75FC" w:rsidRDefault="00531994" w:rsidP="00DE56FA">
      <w:pPr>
        <w:rPr>
          <w:rFonts w:ascii="Arial" w:hAnsi="Arial" w:cs="Arial"/>
        </w:rPr>
      </w:pPr>
      <w:r w:rsidRPr="009A75FC">
        <w:rPr>
          <w:rFonts w:ascii="Arial" w:hAnsi="Arial" w:cs="Arial"/>
        </w:rPr>
        <w:t>Recommendations</w:t>
      </w:r>
      <w:r w:rsidR="006B22C1" w:rsidRPr="009A75FC">
        <w:rPr>
          <w:rFonts w:ascii="Arial" w:hAnsi="Arial" w:cs="Arial"/>
        </w:rPr>
        <w:t>………………………………Page 7</w:t>
      </w:r>
    </w:p>
    <w:p w14:paraId="5859DD87" w14:textId="02587A37" w:rsidR="00DE56FA" w:rsidRPr="009A75FC" w:rsidRDefault="006B22C1" w:rsidP="00DE56FA">
      <w:pPr>
        <w:rPr>
          <w:rFonts w:ascii="Arial" w:hAnsi="Arial" w:cs="Arial"/>
        </w:rPr>
      </w:pPr>
      <w:r w:rsidRPr="009A75FC">
        <w:rPr>
          <w:rFonts w:ascii="Arial" w:hAnsi="Arial" w:cs="Arial"/>
        </w:rPr>
        <w:t>Conclusion……………………………………</w:t>
      </w:r>
      <w:proofErr w:type="gramStart"/>
      <w:r w:rsidR="003F311F" w:rsidRPr="009A75FC">
        <w:rPr>
          <w:rFonts w:ascii="Arial" w:hAnsi="Arial" w:cs="Arial"/>
        </w:rPr>
        <w:t>….Page</w:t>
      </w:r>
      <w:proofErr w:type="gramEnd"/>
      <w:r w:rsidR="003F311F" w:rsidRPr="009A75FC">
        <w:rPr>
          <w:rFonts w:ascii="Arial" w:hAnsi="Arial" w:cs="Arial"/>
        </w:rPr>
        <w:t xml:space="preserve"> 8</w:t>
      </w:r>
    </w:p>
    <w:p w14:paraId="269C5DDA" w14:textId="693DF5F0" w:rsidR="003F311F" w:rsidRPr="009A75FC" w:rsidRDefault="003F311F" w:rsidP="00DE56FA">
      <w:pPr>
        <w:rPr>
          <w:rFonts w:ascii="Arial" w:hAnsi="Arial" w:cs="Arial"/>
        </w:rPr>
      </w:pPr>
      <w:r w:rsidRPr="009A75FC">
        <w:rPr>
          <w:rFonts w:ascii="Arial" w:hAnsi="Arial" w:cs="Arial"/>
        </w:rPr>
        <w:t>Reference List…………………………………</w:t>
      </w:r>
      <w:r w:rsidR="00AD394E" w:rsidRPr="009A75FC">
        <w:rPr>
          <w:rFonts w:ascii="Arial" w:hAnsi="Arial" w:cs="Arial"/>
        </w:rPr>
        <w:t>...</w:t>
      </w:r>
      <w:r w:rsidRPr="009A75FC">
        <w:rPr>
          <w:rFonts w:ascii="Arial" w:hAnsi="Arial" w:cs="Arial"/>
        </w:rPr>
        <w:t>Page 10</w:t>
      </w:r>
    </w:p>
    <w:p w14:paraId="78418003" w14:textId="77777777" w:rsidR="00DE56FA" w:rsidRPr="009A75FC" w:rsidRDefault="00DE56FA" w:rsidP="00DE56FA">
      <w:pPr>
        <w:rPr>
          <w:rFonts w:ascii="Arial" w:hAnsi="Arial" w:cs="Arial"/>
        </w:rPr>
      </w:pPr>
    </w:p>
    <w:p w14:paraId="350015BC" w14:textId="77777777" w:rsidR="00DE56FA" w:rsidRPr="009A75FC" w:rsidRDefault="00DE56FA" w:rsidP="00DE56FA">
      <w:pPr>
        <w:rPr>
          <w:rFonts w:ascii="Arial" w:hAnsi="Arial" w:cs="Arial"/>
        </w:rPr>
      </w:pPr>
    </w:p>
    <w:p w14:paraId="672C9E5C" w14:textId="77777777" w:rsidR="00DE56FA" w:rsidRPr="009A75FC" w:rsidRDefault="00DE56FA" w:rsidP="00DE56FA">
      <w:pPr>
        <w:rPr>
          <w:rFonts w:ascii="Arial" w:hAnsi="Arial" w:cs="Arial"/>
        </w:rPr>
      </w:pPr>
    </w:p>
    <w:p w14:paraId="3F47A29F" w14:textId="77777777" w:rsidR="00DE56FA" w:rsidRPr="009A75FC" w:rsidRDefault="00DE56FA" w:rsidP="00DE56FA">
      <w:pPr>
        <w:rPr>
          <w:rFonts w:ascii="Arial" w:hAnsi="Arial" w:cs="Arial"/>
        </w:rPr>
      </w:pPr>
    </w:p>
    <w:p w14:paraId="5784618F" w14:textId="77777777" w:rsidR="00DE56FA" w:rsidRPr="009A75FC" w:rsidRDefault="00DE56FA" w:rsidP="00DE56FA">
      <w:pPr>
        <w:rPr>
          <w:rFonts w:ascii="Arial" w:hAnsi="Arial" w:cs="Arial"/>
        </w:rPr>
      </w:pPr>
    </w:p>
    <w:p w14:paraId="5F0F270B" w14:textId="77777777" w:rsidR="00DE56FA" w:rsidRPr="009A75FC" w:rsidRDefault="00DE56FA" w:rsidP="00DE56FA">
      <w:pPr>
        <w:rPr>
          <w:rFonts w:ascii="Arial" w:hAnsi="Arial" w:cs="Arial"/>
        </w:rPr>
      </w:pPr>
    </w:p>
    <w:p w14:paraId="05C459D6" w14:textId="77777777" w:rsidR="00DE56FA" w:rsidRPr="009A75FC" w:rsidRDefault="00DE56FA" w:rsidP="00DE56FA">
      <w:pPr>
        <w:rPr>
          <w:rFonts w:ascii="Arial" w:hAnsi="Arial" w:cs="Arial"/>
        </w:rPr>
      </w:pPr>
    </w:p>
    <w:p w14:paraId="023C561E" w14:textId="77777777" w:rsidR="00DE56FA" w:rsidRPr="009A75FC" w:rsidRDefault="00DE56FA" w:rsidP="00DE56FA">
      <w:pPr>
        <w:rPr>
          <w:rFonts w:ascii="Arial" w:hAnsi="Arial" w:cs="Arial"/>
        </w:rPr>
      </w:pPr>
    </w:p>
    <w:p w14:paraId="72E65898" w14:textId="77777777" w:rsidR="00DE56FA" w:rsidRPr="009A75FC" w:rsidRDefault="00DE56FA" w:rsidP="00DE56FA">
      <w:pPr>
        <w:rPr>
          <w:rFonts w:ascii="Arial" w:hAnsi="Arial" w:cs="Arial"/>
        </w:rPr>
      </w:pPr>
    </w:p>
    <w:p w14:paraId="3018566B" w14:textId="77777777" w:rsidR="00DE56FA" w:rsidRPr="009A75FC" w:rsidRDefault="00DE56FA" w:rsidP="00DE56FA">
      <w:pPr>
        <w:rPr>
          <w:rFonts w:ascii="Arial" w:hAnsi="Arial" w:cs="Arial"/>
        </w:rPr>
      </w:pPr>
    </w:p>
    <w:p w14:paraId="372408A1" w14:textId="77777777" w:rsidR="00DE56FA" w:rsidRPr="009A75FC" w:rsidRDefault="00DE56FA" w:rsidP="00DE56FA">
      <w:pPr>
        <w:jc w:val="center"/>
        <w:rPr>
          <w:rFonts w:ascii="Arial" w:hAnsi="Arial" w:cs="Arial"/>
        </w:rPr>
      </w:pPr>
    </w:p>
    <w:p w14:paraId="53DF357E" w14:textId="77777777" w:rsidR="00F01BF8" w:rsidRPr="009A75FC" w:rsidRDefault="00F01BF8" w:rsidP="00DE56FA">
      <w:pPr>
        <w:jc w:val="center"/>
        <w:rPr>
          <w:rFonts w:ascii="Arial" w:hAnsi="Arial" w:cs="Arial"/>
        </w:rPr>
      </w:pPr>
    </w:p>
    <w:p w14:paraId="78572E13" w14:textId="77777777" w:rsidR="001C66B9" w:rsidRPr="009A75FC" w:rsidRDefault="001C66B9" w:rsidP="00DE56FA">
      <w:pPr>
        <w:jc w:val="center"/>
        <w:rPr>
          <w:rFonts w:ascii="Arial" w:hAnsi="Arial" w:cs="Arial"/>
        </w:rPr>
      </w:pPr>
    </w:p>
    <w:p w14:paraId="718C5D5B" w14:textId="77777777" w:rsidR="001C66B9" w:rsidRPr="009A75FC" w:rsidRDefault="001C66B9" w:rsidP="00DE56FA">
      <w:pPr>
        <w:jc w:val="center"/>
        <w:rPr>
          <w:rFonts w:ascii="Arial" w:hAnsi="Arial" w:cs="Arial"/>
        </w:rPr>
      </w:pPr>
    </w:p>
    <w:p w14:paraId="0E9868EC" w14:textId="77777777" w:rsidR="001C66B9" w:rsidRPr="009A75FC" w:rsidRDefault="001C66B9" w:rsidP="00DE56FA">
      <w:pPr>
        <w:jc w:val="center"/>
        <w:rPr>
          <w:rFonts w:ascii="Arial" w:hAnsi="Arial" w:cs="Arial"/>
        </w:rPr>
      </w:pPr>
    </w:p>
    <w:p w14:paraId="2FA56840" w14:textId="77777777" w:rsidR="001C66B9" w:rsidRPr="009A75FC" w:rsidRDefault="001C66B9" w:rsidP="00DE56FA">
      <w:pPr>
        <w:jc w:val="center"/>
        <w:rPr>
          <w:rFonts w:ascii="Arial" w:hAnsi="Arial" w:cs="Arial"/>
        </w:rPr>
      </w:pPr>
    </w:p>
    <w:p w14:paraId="745D8864" w14:textId="77777777" w:rsidR="00A7402D" w:rsidRDefault="00A7402D" w:rsidP="00DA0363">
      <w:pPr>
        <w:spacing w:before="100" w:beforeAutospacing="1" w:after="100" w:afterAutospacing="1" w:line="360" w:lineRule="auto"/>
        <w:outlineLvl w:val="1"/>
        <w:rPr>
          <w:rFonts w:ascii="Arial" w:hAnsi="Arial" w:cs="Arial"/>
        </w:rPr>
      </w:pPr>
    </w:p>
    <w:p w14:paraId="230EB343" w14:textId="27F81C2C" w:rsidR="000933CB" w:rsidRPr="009A75FC" w:rsidRDefault="000933CB" w:rsidP="00DA0363">
      <w:pPr>
        <w:spacing w:before="100" w:beforeAutospacing="1" w:after="100" w:afterAutospacing="1" w:line="360" w:lineRule="auto"/>
        <w:outlineLvl w:val="1"/>
        <w:rPr>
          <w:rFonts w:ascii="Arial" w:eastAsia="Times New Roman" w:hAnsi="Arial" w:cs="Arial"/>
          <w:b/>
          <w:bCs/>
          <w:kern w:val="0"/>
          <w:lang w:eastAsia="en-GB"/>
          <w14:ligatures w14:val="none"/>
        </w:rPr>
      </w:pPr>
      <w:r w:rsidRPr="009A75FC">
        <w:rPr>
          <w:rFonts w:ascii="Arial" w:eastAsia="Times New Roman" w:hAnsi="Arial" w:cs="Arial"/>
          <w:b/>
          <w:bCs/>
          <w:kern w:val="0"/>
          <w:lang w:eastAsia="en-GB"/>
          <w14:ligatures w14:val="none"/>
        </w:rPr>
        <w:lastRenderedPageBreak/>
        <w:t>Introduction</w:t>
      </w:r>
    </w:p>
    <w:p w14:paraId="05FFD05C" w14:textId="015600DD" w:rsidR="000933CB" w:rsidRPr="009A75FC" w:rsidRDefault="000933CB" w:rsidP="00DA0363">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Obsessive</w:t>
      </w:r>
      <w:r w:rsidR="00EB5464"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Compulsive Disorder (OCD) is a severe, chronic psychiatric condition that presents a profound public health, operational, and social challenge within the United Kingdom</w:t>
      </w:r>
      <w:r w:rsidR="00EB5464" w:rsidRPr="009A75FC">
        <w:rPr>
          <w:rFonts w:ascii="Arial" w:eastAsia="Times New Roman" w:hAnsi="Arial" w:cs="Arial"/>
          <w:kern w:val="0"/>
          <w:lang w:eastAsia="en-GB"/>
          <w14:ligatures w14:val="none"/>
        </w:rPr>
        <w:t xml:space="preserve"> (UK)</w:t>
      </w:r>
      <w:r w:rsidRPr="009A75FC">
        <w:rPr>
          <w:rFonts w:ascii="Arial" w:eastAsia="Times New Roman" w:hAnsi="Arial" w:cs="Arial"/>
          <w:kern w:val="0"/>
          <w:lang w:eastAsia="en-GB"/>
          <w14:ligatures w14:val="none"/>
        </w:rPr>
        <w:t>. Data from the Office for National Statistics (ONS) and the NHS England Adult Psychiatric Morbidity Survey (APMS) indicate that the prevalence of OCD has risen to approximately 2.2%, meaning over one million individuals are currently living with the condition across the UK. The public health significance of studying OCD lies in its extraordinary functional impact on daily life</w:t>
      </w:r>
      <w:r w:rsidR="00EB5464" w:rsidRPr="009A75FC">
        <w:rPr>
          <w:rFonts w:ascii="Arial" w:eastAsia="Times New Roman" w:hAnsi="Arial" w:cs="Arial"/>
          <w:kern w:val="0"/>
          <w:lang w:eastAsia="en-GB"/>
          <w14:ligatures w14:val="none"/>
        </w:rPr>
        <w:t>,</w:t>
      </w:r>
      <w:r w:rsidRPr="009A75FC">
        <w:rPr>
          <w:rFonts w:ascii="Arial" w:eastAsia="Times New Roman" w:hAnsi="Arial" w:cs="Arial"/>
          <w:kern w:val="0"/>
          <w:lang w:eastAsia="en-GB"/>
          <w14:ligatures w14:val="none"/>
        </w:rPr>
        <w:t xml:space="preserve"> Public Health England (PHE) frameworks highlight that severe manifestations incur massive secondary costs on local authority social care budgets and informal </w:t>
      </w:r>
      <w:r w:rsidR="00157DEC" w:rsidRPr="009A75FC">
        <w:rPr>
          <w:rFonts w:ascii="Arial" w:eastAsia="Times New Roman" w:hAnsi="Arial" w:cs="Arial"/>
          <w:kern w:val="0"/>
          <w:lang w:eastAsia="en-GB"/>
          <w14:ligatures w14:val="none"/>
        </w:rPr>
        <w:t>support system</w:t>
      </w:r>
      <w:r w:rsidRPr="009A75FC">
        <w:rPr>
          <w:rFonts w:ascii="Arial" w:eastAsia="Times New Roman" w:hAnsi="Arial" w:cs="Arial"/>
          <w:kern w:val="0"/>
          <w:lang w:eastAsia="en-GB"/>
          <w14:ligatures w14:val="none"/>
        </w:rPr>
        <w:t xml:space="preserve"> due to exceptionally high rates of </w:t>
      </w:r>
      <w:r w:rsidR="00EB5464" w:rsidRPr="009A75FC">
        <w:rPr>
          <w:rFonts w:ascii="Arial" w:eastAsia="Times New Roman" w:hAnsi="Arial" w:cs="Arial"/>
          <w:kern w:val="0"/>
          <w:lang w:eastAsia="en-GB"/>
          <w14:ligatures w14:val="none"/>
        </w:rPr>
        <w:t>long-term</w:t>
      </w:r>
      <w:r w:rsidRPr="009A75FC">
        <w:rPr>
          <w:rFonts w:ascii="Arial" w:eastAsia="Times New Roman" w:hAnsi="Arial" w:cs="Arial"/>
          <w:kern w:val="0"/>
          <w:lang w:eastAsia="en-GB"/>
          <w14:ligatures w14:val="none"/>
        </w:rPr>
        <w:t xml:space="preserve"> disability.</w:t>
      </w:r>
    </w:p>
    <w:p w14:paraId="090F1030" w14:textId="75C2BF8C" w:rsidR="000933CB" w:rsidRPr="009A75FC" w:rsidRDefault="000933CB" w:rsidP="00DA0363">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Frontline statutory services face systemic operational pressures, with contemporary NHS performance reports showing extensive waiting times for specialist psychiatric assessments, often leaving vulnerable individuals without clinical support for months. This report provides a structured critical evaluation of OCD management within the UK health and social care sector. It analy</w:t>
      </w:r>
      <w:r w:rsidR="00EB5464" w:rsidRPr="009A75FC">
        <w:rPr>
          <w:rFonts w:ascii="Arial" w:eastAsia="Times New Roman" w:hAnsi="Arial" w:cs="Arial"/>
          <w:kern w:val="0"/>
          <w:lang w:eastAsia="en-GB"/>
          <w14:ligatures w14:val="none"/>
        </w:rPr>
        <w:t>s</w:t>
      </w:r>
      <w:r w:rsidRPr="009A75FC">
        <w:rPr>
          <w:rFonts w:ascii="Arial" w:eastAsia="Times New Roman" w:hAnsi="Arial" w:cs="Arial"/>
          <w:kern w:val="0"/>
          <w:lang w:eastAsia="en-GB"/>
          <w14:ligatures w14:val="none"/>
        </w:rPr>
        <w:t>es the transition to modern diagnostic classification under the ICD-11 framework, appraises NHS frontline stepped-care treatment pathways, and evaluates long-term community rehabilitation strategies. Furthermore, it analy</w:t>
      </w:r>
      <w:r w:rsidR="00EB5464" w:rsidRPr="009A75FC">
        <w:rPr>
          <w:rFonts w:ascii="Arial" w:eastAsia="Times New Roman" w:hAnsi="Arial" w:cs="Arial"/>
          <w:kern w:val="0"/>
          <w:lang w:eastAsia="en-GB"/>
          <w14:ligatures w14:val="none"/>
        </w:rPr>
        <w:t>s</w:t>
      </w:r>
      <w:r w:rsidRPr="009A75FC">
        <w:rPr>
          <w:rFonts w:ascii="Arial" w:eastAsia="Times New Roman" w:hAnsi="Arial" w:cs="Arial"/>
          <w:kern w:val="0"/>
          <w:lang w:eastAsia="en-GB"/>
          <w14:ligatures w14:val="none"/>
        </w:rPr>
        <w:t>es contemporary clinical debates surrounding neurodivergence, assesses socioeconomic inequalities, and reviews the statutory protections established by modern UK legislation. The report concludes with evidence-based recommendations for service reform, aiming to bridge the divide between clinical policy and the reality of service delivery for those affected by chronic, debilitating OCD, emphasi</w:t>
      </w:r>
      <w:r w:rsidR="00EB5464" w:rsidRPr="009A75FC">
        <w:rPr>
          <w:rFonts w:ascii="Arial" w:eastAsia="Times New Roman" w:hAnsi="Arial" w:cs="Arial"/>
          <w:kern w:val="0"/>
          <w:lang w:eastAsia="en-GB"/>
          <w14:ligatures w14:val="none"/>
        </w:rPr>
        <w:t>s</w:t>
      </w:r>
      <w:r w:rsidRPr="009A75FC">
        <w:rPr>
          <w:rFonts w:ascii="Arial" w:eastAsia="Times New Roman" w:hAnsi="Arial" w:cs="Arial"/>
          <w:kern w:val="0"/>
          <w:lang w:eastAsia="en-GB"/>
          <w14:ligatures w14:val="none"/>
        </w:rPr>
        <w:t>ing the critical need for integrated funding and neurodiversity-affirming care models.</w:t>
      </w:r>
    </w:p>
    <w:p w14:paraId="233F1523" w14:textId="50EB6D52" w:rsidR="000933CB" w:rsidRPr="009A75FC" w:rsidRDefault="000933CB" w:rsidP="00DA0363">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b/>
          <w:bCs/>
          <w:kern w:val="0"/>
          <w:lang w:eastAsia="en-GB"/>
          <w14:ligatures w14:val="none"/>
        </w:rPr>
        <w:t>Classification and Diagnosis</w:t>
      </w:r>
    </w:p>
    <w:p w14:paraId="461A9AE8" w14:textId="246C5D1C" w:rsidR="000933CB" w:rsidRPr="009A75FC" w:rsidRDefault="000933CB" w:rsidP="00DA0363">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Under the World Health Organization’s ICD-11 framework, OCD is officially categorized within the dedicated chapter for Mental, Behavioural or Neurodevelopmental Disorders (Code 6B20). The diagnostic criteria define the condition by the persistent presence of obsessions, compulsions, or a combination of both. Obsessions are identified as repetitive, intrusive, and unwanted thoughts, images, or impulses that trigger intense anxiety. In response, individuals feel driven to perform compulsions</w:t>
      </w:r>
      <w:r w:rsidR="002E1C8F"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ranging from physical behaviours to rigid mental acts</w:t>
      </w:r>
      <w:r w:rsidR="002E1C8F"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in a desperate attempt to neutralise distress or achieve a subjective sense of "completeness."</w:t>
      </w:r>
    </w:p>
    <w:p w14:paraId="05B5A328" w14:textId="05B5F0ED" w:rsidR="000933CB" w:rsidRPr="009A75FC" w:rsidRDefault="000933CB" w:rsidP="00DA0363">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lastRenderedPageBreak/>
        <w:t>The ICD-11 introduces a dimensional approach, replacing rigid time-bound rules with a requirement that symptoms must be time-consuming</w:t>
      </w:r>
      <w:r w:rsidR="002E1C8F"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typically taking at least one hour per day</w:t>
      </w:r>
      <w:r w:rsidR="002E1C8F"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and result in significant impairment in personal, family, social, or occupational functioning. Within the NHS, practice is guided by NICE quality standards. However, the diagnostic process is rarely straightforward. NHS Digital reports indicate that the average waiting time from an initial GP consultation to a formal secondary care psychiatric assessment routinely exceeds six months. This gap is fundamentally exacerbated by the "masking effect": because obsessions frequently revolve around taboo themes</w:t>
      </w:r>
      <w:r w:rsidR="002E1C8F"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such as harm or moral impropriety</w:t>
      </w:r>
      <w:r w:rsidR="002E1C8F"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individuals often conceal their behaviours due to social stigma, delaying clinical contact for ten to fifteen years (Del Casale et al., 2019).</w:t>
      </w:r>
    </w:p>
    <w:p w14:paraId="2440E616" w14:textId="2A46E9DE" w:rsidR="000933CB" w:rsidRPr="009A75FC" w:rsidRDefault="000933CB" w:rsidP="00DA0363">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International diagnostic processes vary significantly</w:t>
      </w:r>
      <w:r w:rsidR="002E1C8F" w:rsidRPr="009A75FC">
        <w:rPr>
          <w:rFonts w:ascii="Arial" w:eastAsia="Times New Roman" w:hAnsi="Arial" w:cs="Arial"/>
          <w:kern w:val="0"/>
          <w:lang w:eastAsia="en-GB"/>
          <w14:ligatures w14:val="none"/>
        </w:rPr>
        <w:t>,</w:t>
      </w:r>
      <w:r w:rsidRPr="009A75FC">
        <w:rPr>
          <w:rFonts w:ascii="Arial" w:eastAsia="Times New Roman" w:hAnsi="Arial" w:cs="Arial"/>
          <w:kern w:val="0"/>
          <w:lang w:eastAsia="en-GB"/>
          <w14:ligatures w14:val="none"/>
        </w:rPr>
        <w:t xml:space="preserve"> while the UK relies strictly on the ICD-11 for commissioning, North American settings often utili</w:t>
      </w:r>
      <w:r w:rsidR="00EB5464" w:rsidRPr="009A75FC">
        <w:rPr>
          <w:rFonts w:ascii="Arial" w:eastAsia="Times New Roman" w:hAnsi="Arial" w:cs="Arial"/>
          <w:kern w:val="0"/>
          <w:lang w:eastAsia="en-GB"/>
          <w14:ligatures w14:val="none"/>
        </w:rPr>
        <w:t>s</w:t>
      </w:r>
      <w:r w:rsidRPr="009A75FC">
        <w:rPr>
          <w:rFonts w:ascii="Arial" w:eastAsia="Times New Roman" w:hAnsi="Arial" w:cs="Arial"/>
          <w:kern w:val="0"/>
          <w:lang w:eastAsia="en-GB"/>
          <w14:ligatures w14:val="none"/>
        </w:rPr>
        <w:t>e the DSM-5-TR, which relies on different coding thresholds driven by private medical insurance models. This creates a risk of "diagnostic drift," where the same patient might receive different care based on whether they are in a public or private system. Furthermore, within UK clinical spaces, there is an ongoing debate regarding language: practitioners are increasingly moving away from the medicali</w:t>
      </w:r>
      <w:r w:rsidR="002E1C8F" w:rsidRPr="009A75FC">
        <w:rPr>
          <w:rFonts w:ascii="Arial" w:eastAsia="Times New Roman" w:hAnsi="Arial" w:cs="Arial"/>
          <w:kern w:val="0"/>
          <w:lang w:eastAsia="en-GB"/>
          <w14:ligatures w14:val="none"/>
        </w:rPr>
        <w:t>s</w:t>
      </w:r>
      <w:r w:rsidRPr="009A75FC">
        <w:rPr>
          <w:rFonts w:ascii="Arial" w:eastAsia="Times New Roman" w:hAnsi="Arial" w:cs="Arial"/>
          <w:kern w:val="0"/>
          <w:lang w:eastAsia="en-GB"/>
          <w14:ligatures w14:val="none"/>
        </w:rPr>
        <w:t>ed term "disorder" toward "condition" to promote neurodiversity</w:t>
      </w:r>
      <w:r w:rsidR="002E1C8F"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 xml:space="preserve">affirming care. This shift is not merely </w:t>
      </w:r>
      <w:proofErr w:type="gramStart"/>
      <w:r w:rsidRPr="009A75FC">
        <w:rPr>
          <w:rFonts w:ascii="Arial" w:eastAsia="Times New Roman" w:hAnsi="Arial" w:cs="Arial"/>
          <w:kern w:val="0"/>
          <w:lang w:eastAsia="en-GB"/>
          <w14:ligatures w14:val="none"/>
        </w:rPr>
        <w:t>semantic</w:t>
      </w:r>
      <w:r w:rsidR="002E1C8F" w:rsidRPr="009A75FC">
        <w:rPr>
          <w:rFonts w:ascii="Arial" w:eastAsia="Times New Roman" w:hAnsi="Arial" w:cs="Arial"/>
          <w:kern w:val="0"/>
          <w:lang w:eastAsia="en-GB"/>
          <w14:ligatures w14:val="none"/>
        </w:rPr>
        <w:t>,</w:t>
      </w:r>
      <w:proofErr w:type="gramEnd"/>
      <w:r w:rsidRPr="009A75FC">
        <w:rPr>
          <w:rFonts w:ascii="Arial" w:eastAsia="Times New Roman" w:hAnsi="Arial" w:cs="Arial"/>
          <w:kern w:val="0"/>
          <w:lang w:eastAsia="en-GB"/>
          <w14:ligatures w14:val="none"/>
        </w:rPr>
        <w:t xml:space="preserve"> it represents a fundamental change in how the NHS views the patient</w:t>
      </w:r>
      <w:r w:rsidR="002E1C8F"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moving from an object to be "fixed" to an individual to be supported within their unique neuro-psychological framework. This transition aligns with the broader NHS Long Term Plan, which advocates for a shift toward patient</w:t>
      </w:r>
      <w:r w:rsidR="00674B99" w:rsidRPr="009A75FC">
        <w:rPr>
          <w:rFonts w:ascii="Arial" w:eastAsia="Times New Roman" w:hAnsi="Arial" w:cs="Arial"/>
          <w:kern w:val="0"/>
          <w:lang w:eastAsia="en-GB"/>
          <w14:ligatures w14:val="none"/>
        </w:rPr>
        <w:t xml:space="preserve"> centred</w:t>
      </w:r>
      <w:r w:rsidRPr="009A75FC">
        <w:rPr>
          <w:rFonts w:ascii="Arial" w:eastAsia="Times New Roman" w:hAnsi="Arial" w:cs="Arial"/>
          <w:kern w:val="0"/>
          <w:lang w:eastAsia="en-GB"/>
          <w14:ligatures w14:val="none"/>
        </w:rPr>
        <w:t xml:space="preserve"> outcomes, though clinicians note that the current commissioning of diagnostic services often fails to reflect this commitment, leaving many patients caught in an administrative cycle that prioriti</w:t>
      </w:r>
      <w:r w:rsidR="002E1C8F" w:rsidRPr="009A75FC">
        <w:rPr>
          <w:rFonts w:ascii="Arial" w:eastAsia="Times New Roman" w:hAnsi="Arial" w:cs="Arial"/>
          <w:kern w:val="0"/>
          <w:lang w:eastAsia="en-GB"/>
          <w14:ligatures w14:val="none"/>
        </w:rPr>
        <w:t>s</w:t>
      </w:r>
      <w:r w:rsidRPr="009A75FC">
        <w:rPr>
          <w:rFonts w:ascii="Arial" w:eastAsia="Times New Roman" w:hAnsi="Arial" w:cs="Arial"/>
          <w:kern w:val="0"/>
          <w:lang w:eastAsia="en-GB"/>
          <w14:ligatures w14:val="none"/>
        </w:rPr>
        <w:t xml:space="preserve">es efficiency over diagnostic accuracy. The challenge for UK practitioners, therefore, is to balance the structured requirements of the ICD-11 with the necessity of a nuanced, </w:t>
      </w:r>
      <w:r w:rsidR="00674B99" w:rsidRPr="009A75FC">
        <w:rPr>
          <w:rFonts w:ascii="Arial" w:eastAsia="Times New Roman" w:hAnsi="Arial" w:cs="Arial"/>
          <w:kern w:val="0"/>
          <w:lang w:eastAsia="en-GB"/>
          <w14:ligatures w14:val="none"/>
        </w:rPr>
        <w:t>person-centred</w:t>
      </w:r>
      <w:r w:rsidRPr="009A75FC">
        <w:rPr>
          <w:rFonts w:ascii="Arial" w:eastAsia="Times New Roman" w:hAnsi="Arial" w:cs="Arial"/>
          <w:kern w:val="0"/>
          <w:lang w:eastAsia="en-GB"/>
          <w14:ligatures w14:val="none"/>
        </w:rPr>
        <w:t xml:space="preserve"> approach that acknowledges the patient's individual experience of distress rather than treating them as a cluster of symptoms.</w:t>
      </w:r>
    </w:p>
    <w:p w14:paraId="68C7A871" w14:textId="02E69588" w:rsidR="000933CB" w:rsidRPr="009A75FC" w:rsidRDefault="000933CB" w:rsidP="00DA0363">
      <w:pPr>
        <w:spacing w:before="100" w:beforeAutospacing="1" w:after="100" w:afterAutospacing="1" w:line="360" w:lineRule="auto"/>
        <w:outlineLvl w:val="1"/>
        <w:rPr>
          <w:rFonts w:ascii="Arial" w:eastAsia="Times New Roman" w:hAnsi="Arial" w:cs="Arial"/>
          <w:b/>
          <w:bCs/>
          <w:kern w:val="0"/>
          <w:lang w:eastAsia="en-GB"/>
          <w14:ligatures w14:val="none"/>
        </w:rPr>
      </w:pPr>
      <w:r w:rsidRPr="009A75FC">
        <w:rPr>
          <w:rFonts w:ascii="Arial" w:eastAsia="Times New Roman" w:hAnsi="Arial" w:cs="Arial"/>
          <w:b/>
          <w:bCs/>
          <w:kern w:val="0"/>
          <w:lang w:eastAsia="en-GB"/>
          <w14:ligatures w14:val="none"/>
        </w:rPr>
        <w:t>Treatment Approaches</w:t>
      </w:r>
    </w:p>
    <w:p w14:paraId="4E95D7B5" w14:textId="34D2D1EC" w:rsidR="000933CB" w:rsidRPr="009A75FC" w:rsidRDefault="000933CB" w:rsidP="00DA0363">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Management of OCD within the NHS is operationalised through the NICE stepped-care model (CG31). Although NICE guidelines present a stepped</w:t>
      </w:r>
      <w:r w:rsidR="00674B99"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care model starting at Step 2, it is vital to recognise that Step 1 functions as the critical clinical gatekeeping phase. The effectiveness of the entire pathway relies on the GP’s ability to accurately identify OCD symptoms during this initial encounter</w:t>
      </w:r>
      <w:r w:rsidR="002E1C8F" w:rsidRPr="009A75FC">
        <w:rPr>
          <w:rFonts w:ascii="Arial" w:eastAsia="Times New Roman" w:hAnsi="Arial" w:cs="Arial"/>
          <w:kern w:val="0"/>
          <w:lang w:eastAsia="en-GB"/>
          <w14:ligatures w14:val="none"/>
        </w:rPr>
        <w:t>,</w:t>
      </w:r>
      <w:r w:rsidRPr="009A75FC">
        <w:rPr>
          <w:rFonts w:ascii="Arial" w:eastAsia="Times New Roman" w:hAnsi="Arial" w:cs="Arial"/>
          <w:kern w:val="0"/>
          <w:lang w:eastAsia="en-GB"/>
          <w14:ligatures w14:val="none"/>
        </w:rPr>
        <w:t xml:space="preserve"> any failure at Step 1 results in diagnostic delay, </w:t>
      </w:r>
      <w:r w:rsidRPr="009A75FC">
        <w:rPr>
          <w:rFonts w:ascii="Arial" w:eastAsia="Times New Roman" w:hAnsi="Arial" w:cs="Arial"/>
          <w:kern w:val="0"/>
          <w:lang w:eastAsia="en-GB"/>
          <w14:ligatures w14:val="none"/>
        </w:rPr>
        <w:lastRenderedPageBreak/>
        <w:t>forcing patients to wait longer before entering the evidence-based treatment steps of the NHS Talking Therapies pathway.</w:t>
      </w:r>
    </w:p>
    <w:p w14:paraId="658120BB" w14:textId="69CCB3C5" w:rsidR="000933CB" w:rsidRPr="009A75FC" w:rsidRDefault="000933CB" w:rsidP="00DA0363">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For moderate to severe presentations, the pathway escalates to high-intensity interventions (Step 3). A major systemic limitation is the gap between clinical trial data and real-world outcomes. The OCTET trial demonstrated that low-intensity interventions, while intended to manage high demand, often yield no significant long-term improvement compared to waiting list controls (Lovell et al., 2017). This highlights the insufficiency of "light-touch" models for severe cases. Regarding pharmacology, SSRIs are designated as first-line medical intervention. However, Del Casale et al. (2019) note that 40</w:t>
      </w:r>
      <w:r w:rsidR="00674B99" w:rsidRPr="009A75FC">
        <w:rPr>
          <w:rFonts w:ascii="Arial" w:eastAsia="Times New Roman" w:hAnsi="Arial" w:cs="Arial"/>
          <w:kern w:val="0"/>
          <w:lang w:eastAsia="en-GB"/>
          <w14:ligatures w14:val="none"/>
        </w:rPr>
        <w:t>-</w:t>
      </w:r>
      <w:r w:rsidRPr="009A75FC">
        <w:rPr>
          <w:rFonts w:ascii="Arial" w:eastAsia="Times New Roman" w:hAnsi="Arial" w:cs="Arial"/>
          <w:kern w:val="0"/>
          <w:lang w:eastAsia="en-GB"/>
          <w14:ligatures w14:val="none"/>
        </w:rPr>
        <w:t>60% of patients exhibit disabling residual symptoms even after appropriate SSRI treatment, indicating a need for innovative augmentation strategies. Many patients report that generic low-intensity CBT feels impersonal and lacks the necessary nuance to address their specific, often complex, intrusive thoughts.</w:t>
      </w:r>
    </w:p>
    <w:p w14:paraId="25D187F1" w14:textId="2B5DAD63" w:rsidR="000933CB" w:rsidRPr="009A75FC" w:rsidRDefault="000933CB" w:rsidP="00DA0363">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 xml:space="preserve">The UK’s prescribing policies are constrained by budgetary limitations within </w:t>
      </w:r>
      <w:r w:rsidR="00B945A3" w:rsidRPr="009A75FC">
        <w:rPr>
          <w:rFonts w:ascii="Arial" w:eastAsia="Times New Roman" w:hAnsi="Arial" w:cs="Arial"/>
          <w:kern w:val="0"/>
          <w:lang w:eastAsia="en-GB"/>
          <w14:ligatures w14:val="none"/>
        </w:rPr>
        <w:t>Integrated Care Board</w:t>
      </w:r>
      <w:r w:rsidRPr="009A75FC">
        <w:rPr>
          <w:rFonts w:ascii="Arial" w:eastAsia="Times New Roman" w:hAnsi="Arial" w:cs="Arial"/>
          <w:kern w:val="0"/>
          <w:lang w:eastAsia="en-GB"/>
          <w14:ligatures w14:val="none"/>
        </w:rPr>
        <w:t>s</w:t>
      </w:r>
      <w:r w:rsidR="00B945A3" w:rsidRPr="009A75FC">
        <w:rPr>
          <w:rFonts w:ascii="Arial" w:eastAsia="Times New Roman" w:hAnsi="Arial" w:cs="Arial"/>
          <w:kern w:val="0"/>
          <w:lang w:eastAsia="en-GB"/>
          <w14:ligatures w14:val="none"/>
        </w:rPr>
        <w:t xml:space="preserve"> (ICBs)</w:t>
      </w:r>
      <w:r w:rsidRPr="009A75FC">
        <w:rPr>
          <w:rFonts w:ascii="Arial" w:eastAsia="Times New Roman" w:hAnsi="Arial" w:cs="Arial"/>
          <w:kern w:val="0"/>
          <w:lang w:eastAsia="en-GB"/>
          <w14:ligatures w14:val="none"/>
        </w:rPr>
        <w:t>, which often limit access to off</w:t>
      </w:r>
      <w:r w:rsidR="00674B99"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label augmentation strategies that might otherwise be clinically indicated. Furthermore, the reliance on high</w:t>
      </w:r>
      <w:r w:rsidR="00674B99"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volume, low</w:t>
      </w:r>
      <w:r w:rsidR="00674B99"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 xml:space="preserve">intensity services </w:t>
      </w:r>
      <w:r w:rsidR="00674B99" w:rsidRPr="009A75FC">
        <w:rPr>
          <w:rFonts w:ascii="Arial" w:eastAsia="Times New Roman" w:hAnsi="Arial" w:cs="Arial"/>
          <w:kern w:val="0"/>
          <w:lang w:eastAsia="en-GB"/>
          <w14:ligatures w14:val="none"/>
        </w:rPr>
        <w:t>create</w:t>
      </w:r>
      <w:r w:rsidRPr="009A75FC">
        <w:rPr>
          <w:rFonts w:ascii="Arial" w:eastAsia="Times New Roman" w:hAnsi="Arial" w:cs="Arial"/>
          <w:kern w:val="0"/>
          <w:lang w:eastAsia="en-GB"/>
          <w14:ligatures w14:val="none"/>
        </w:rPr>
        <w:t xml:space="preserve"> a bottleneck</w:t>
      </w:r>
      <w:r w:rsidR="00674B99" w:rsidRPr="009A75FC">
        <w:rPr>
          <w:rFonts w:ascii="Arial" w:eastAsia="Times New Roman" w:hAnsi="Arial" w:cs="Arial"/>
          <w:kern w:val="0"/>
          <w:lang w:eastAsia="en-GB"/>
          <w14:ligatures w14:val="none"/>
        </w:rPr>
        <w:t>,</w:t>
      </w:r>
      <w:r w:rsidRPr="009A75FC">
        <w:rPr>
          <w:rFonts w:ascii="Arial" w:eastAsia="Times New Roman" w:hAnsi="Arial" w:cs="Arial"/>
          <w:kern w:val="0"/>
          <w:lang w:eastAsia="en-GB"/>
          <w14:ligatures w14:val="none"/>
        </w:rPr>
        <w:t xml:space="preserve"> clinicians are often forced to discharge patients who have not fully reached recovery simply to manage the high volume of incoming referrals.</w:t>
      </w:r>
      <w:r w:rsidR="00B945A3" w:rsidRPr="009A75FC">
        <w:rPr>
          <w:rFonts w:ascii="Arial" w:hAnsi="Arial" w:cs="Arial"/>
        </w:rPr>
        <w:t xml:space="preserve"> </w:t>
      </w:r>
      <w:r w:rsidR="00B945A3" w:rsidRPr="009A75FC">
        <w:rPr>
          <w:rFonts w:ascii="Arial" w:hAnsi="Arial" w:cs="Arial"/>
        </w:rPr>
        <w:t>This operational failing is not the fault of the individual clinician, but rather a structural consequence of commissioning models that prioritise volume over quality of care.</w:t>
      </w:r>
      <w:r w:rsidRPr="009A75FC">
        <w:rPr>
          <w:rFonts w:ascii="Arial" w:eastAsia="Times New Roman" w:hAnsi="Arial" w:cs="Arial"/>
          <w:kern w:val="0"/>
          <w:lang w:eastAsia="en-GB"/>
          <w14:ligatures w14:val="none"/>
        </w:rPr>
        <w:t xml:space="preserve"> As a result, many patients with treatment-resistant OCD are essentially "lost" to the system, as they fall into the gap between standard primary care and the limited availability of high-intensity specialist services. This creates an ethical dilemma for practitioners: the obligation to provide NICE</w:t>
      </w:r>
      <w:r w:rsidR="00B945A3"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recommended care frequently conflicts with the operational reality of limited resources. To improve outcomes, the NHS must revisit the commissioning strategy for Step 3 and Step 4 care, ensuring that treatment is driven by patient need and severity rather than by the constraints of a generic, performance-based funding model.</w:t>
      </w:r>
    </w:p>
    <w:p w14:paraId="7258F281" w14:textId="22229423" w:rsidR="000933CB" w:rsidRPr="009A75FC" w:rsidRDefault="000933CB" w:rsidP="00DA0363">
      <w:pPr>
        <w:spacing w:before="100" w:beforeAutospacing="1" w:after="100" w:afterAutospacing="1" w:line="360" w:lineRule="auto"/>
        <w:outlineLvl w:val="1"/>
        <w:rPr>
          <w:rFonts w:ascii="Arial" w:eastAsia="Times New Roman" w:hAnsi="Arial" w:cs="Arial"/>
          <w:b/>
          <w:bCs/>
          <w:kern w:val="0"/>
          <w:lang w:eastAsia="en-GB"/>
          <w14:ligatures w14:val="none"/>
        </w:rPr>
      </w:pPr>
      <w:r w:rsidRPr="009A75FC">
        <w:rPr>
          <w:rFonts w:ascii="Arial" w:eastAsia="Times New Roman" w:hAnsi="Arial" w:cs="Arial"/>
          <w:b/>
          <w:bCs/>
          <w:kern w:val="0"/>
          <w:lang w:eastAsia="en-GB"/>
          <w14:ligatures w14:val="none"/>
        </w:rPr>
        <w:t xml:space="preserve">Rehabilitation &amp; Long-Term Management </w:t>
      </w:r>
    </w:p>
    <w:p w14:paraId="595C236A" w14:textId="65358A97" w:rsidR="000933CB" w:rsidRPr="009A75FC" w:rsidRDefault="000933CB" w:rsidP="00DA0363">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Long-term management requires an acknowledgement that OCD is often "</w:t>
      </w:r>
      <w:r w:rsidR="00B945A3" w:rsidRPr="009A75FC">
        <w:rPr>
          <w:rFonts w:ascii="Arial" w:eastAsia="Times New Roman" w:hAnsi="Arial" w:cs="Arial"/>
          <w:kern w:val="0"/>
          <w:lang w:eastAsia="en-GB"/>
          <w14:ligatures w14:val="none"/>
        </w:rPr>
        <w:t>family based</w:t>
      </w:r>
      <w:r w:rsidRPr="009A75FC">
        <w:rPr>
          <w:rFonts w:ascii="Arial" w:eastAsia="Times New Roman" w:hAnsi="Arial" w:cs="Arial"/>
          <w:kern w:val="0"/>
          <w:lang w:eastAsia="en-GB"/>
          <w14:ligatures w14:val="none"/>
        </w:rPr>
        <w:t>." Family members frequently become unknowingly integrated into an individual's compulsions, which can inadvertently sustain the disorder. Statutory support must treat the family as an "expert partner" in care, rather than a passive observer (OCD Action, 2026). Complementing clinical care, peer-led support groups are a critical "pillar of collective healing." Unlike manuali</w:t>
      </w:r>
      <w:r w:rsidR="00B945A3" w:rsidRPr="009A75FC">
        <w:rPr>
          <w:rFonts w:ascii="Arial" w:eastAsia="Times New Roman" w:hAnsi="Arial" w:cs="Arial"/>
          <w:kern w:val="0"/>
          <w:lang w:eastAsia="en-GB"/>
          <w14:ligatures w14:val="none"/>
        </w:rPr>
        <w:t>s</w:t>
      </w:r>
      <w:r w:rsidRPr="009A75FC">
        <w:rPr>
          <w:rFonts w:ascii="Arial" w:eastAsia="Times New Roman" w:hAnsi="Arial" w:cs="Arial"/>
          <w:kern w:val="0"/>
          <w:lang w:eastAsia="en-GB"/>
          <w14:ligatures w14:val="none"/>
        </w:rPr>
        <w:t xml:space="preserve">ed therapy, peer groups provide a space where individuals share experiences with </w:t>
      </w:r>
      <w:r w:rsidRPr="009A75FC">
        <w:rPr>
          <w:rFonts w:ascii="Arial" w:eastAsia="Times New Roman" w:hAnsi="Arial" w:cs="Arial"/>
          <w:kern w:val="0"/>
          <w:lang w:eastAsia="en-GB"/>
          <w14:ligatures w14:val="none"/>
        </w:rPr>
        <w:lastRenderedPageBreak/>
        <w:t>others who "genuinely understand" intrusive thoughts. Research suggests participation in peer support improves treatment adherence and reduces repeat hospital visits (Anxious Minds, 2026).</w:t>
      </w:r>
    </w:p>
    <w:p w14:paraId="3EC790B8" w14:textId="77777777" w:rsidR="000933CB" w:rsidRPr="009A75FC" w:rsidRDefault="000933CB" w:rsidP="00DA0363">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Furthermore, rehabilitation involves functional adaptation—empowering service users to reclaim social, educational, and occupational roles. The Care Act 2014 mandate for local authorities to provide social care support is essential here, as it allows for the integration of vocational and community-based support. Without this, the clinical progress made during psychological therapy is often lost when a patient returns to an environment that does not understand or support their needs. The role of the voluntary sector—such as Mind and Rethink Mental Illness—is pivotal, as these organizations often provide the long-term, low-intensity support that statutory services struggle to maintain. By combining statutory legislative rights under the Care Act 2014 with community-based support, the UK framework aims to transition individuals from dependency back to independent living. However, these services are frequently under-funded and subject to cyclical commissioning gaps, leaving long-term management vulnerable to budget cuts. Effective rehabilitation must therefore be viewed as a continuous process rather than a short-term intervention, requiring sustained collaboration between clinical psychiatric teams, social workers, and community-based organizations.</w:t>
      </w:r>
    </w:p>
    <w:p w14:paraId="0907BC50" w14:textId="4AD45614" w:rsidR="000933CB" w:rsidRPr="009A75FC" w:rsidRDefault="000933CB" w:rsidP="00DA0363">
      <w:pPr>
        <w:spacing w:before="100" w:beforeAutospacing="1" w:after="100" w:afterAutospacing="1" w:line="360" w:lineRule="auto"/>
        <w:outlineLvl w:val="1"/>
        <w:rPr>
          <w:rFonts w:ascii="Arial" w:eastAsia="Times New Roman" w:hAnsi="Arial" w:cs="Arial"/>
          <w:b/>
          <w:bCs/>
          <w:kern w:val="0"/>
          <w:lang w:eastAsia="en-GB"/>
          <w14:ligatures w14:val="none"/>
        </w:rPr>
      </w:pPr>
      <w:r w:rsidRPr="009A75FC">
        <w:rPr>
          <w:rFonts w:ascii="Arial" w:eastAsia="Times New Roman" w:hAnsi="Arial" w:cs="Arial"/>
          <w:b/>
          <w:bCs/>
          <w:kern w:val="0"/>
          <w:lang w:eastAsia="en-GB"/>
          <w14:ligatures w14:val="none"/>
        </w:rPr>
        <w:t>Current Debates &amp; Emerging Issues</w:t>
      </w:r>
    </w:p>
    <w:p w14:paraId="08CFF7E5" w14:textId="1DFCB784" w:rsidR="000933CB" w:rsidRPr="009A75FC" w:rsidRDefault="000933CB" w:rsidP="00DA0363">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 xml:space="preserve">A major contemporary debate involves the clinical boundary between OCD and neurodivergent presentations, particularly </w:t>
      </w:r>
      <w:r w:rsidR="00825EC8" w:rsidRPr="009A75FC">
        <w:rPr>
          <w:rFonts w:ascii="Arial" w:eastAsia="Times New Roman" w:hAnsi="Arial" w:cs="Arial"/>
          <w:kern w:val="0"/>
          <w:lang w:eastAsia="en-GB"/>
          <w14:ligatures w14:val="none"/>
        </w:rPr>
        <w:t>autism spectrum disorder</w:t>
      </w:r>
      <w:r w:rsidRPr="009A75FC">
        <w:rPr>
          <w:rFonts w:ascii="Arial" w:eastAsia="Times New Roman" w:hAnsi="Arial" w:cs="Arial"/>
          <w:kern w:val="0"/>
          <w:lang w:eastAsia="en-GB"/>
          <w14:ligatures w14:val="none"/>
        </w:rPr>
        <w:t xml:space="preserve"> (ASD). </w:t>
      </w:r>
      <w:proofErr w:type="spellStart"/>
      <w:r w:rsidRPr="009A75FC">
        <w:rPr>
          <w:rFonts w:ascii="Arial" w:eastAsia="Times New Roman" w:hAnsi="Arial" w:cs="Arial"/>
          <w:kern w:val="0"/>
          <w:lang w:eastAsia="en-GB"/>
          <w14:ligatures w14:val="none"/>
        </w:rPr>
        <w:t>Dell’Osso</w:t>
      </w:r>
      <w:proofErr w:type="spellEnd"/>
      <w:r w:rsidRPr="009A75FC">
        <w:rPr>
          <w:rFonts w:ascii="Arial" w:eastAsia="Times New Roman" w:hAnsi="Arial" w:cs="Arial"/>
          <w:kern w:val="0"/>
          <w:lang w:eastAsia="en-GB"/>
          <w14:ligatures w14:val="none"/>
        </w:rPr>
        <w:t xml:space="preserve"> et al. (2024) emphasize that while ASD traits—such as inflexibility and adherence to routines—frequently overlap with OCD, the underlying mechanism differs. Autistic routines are often ego-syntonic (providing comfort and sensory regulation), whereas OCD compulsions are ego-dystonic (distressing and unwanted responses to fear). Conflating these conditions creates a significant practice risk, as treatment protocols are distinct.</w:t>
      </w:r>
    </w:p>
    <w:p w14:paraId="71B263A3" w14:textId="77777777" w:rsidR="00DD0626" w:rsidRPr="009A75FC" w:rsidRDefault="00DD0626" w:rsidP="00DA0363">
      <w:pPr>
        <w:spacing w:before="100" w:beforeAutospacing="1" w:after="100" w:afterAutospacing="1" w:line="360" w:lineRule="auto"/>
        <w:rPr>
          <w:rFonts w:ascii="Arial" w:hAnsi="Arial" w:cs="Arial"/>
        </w:rPr>
      </w:pPr>
      <w:r w:rsidRPr="009A75FC">
        <w:rPr>
          <w:rFonts w:ascii="Arial" w:hAnsi="Arial" w:cs="Arial"/>
          <w:b/>
          <w:bCs/>
        </w:rPr>
        <w:t>The Impact of Social and Cultural Factors</w:t>
      </w:r>
      <w:r w:rsidRPr="009A75FC">
        <w:rPr>
          <w:rFonts w:ascii="Arial" w:hAnsi="Arial" w:cs="Arial"/>
        </w:rPr>
        <w:t xml:space="preserve"> </w:t>
      </w:r>
    </w:p>
    <w:p w14:paraId="6E5A70E2" w14:textId="32FD220B" w:rsidR="00DD0626" w:rsidRPr="009A75FC" w:rsidRDefault="00DD0626" w:rsidP="00DA0363">
      <w:pPr>
        <w:spacing w:before="100" w:beforeAutospacing="1" w:after="100" w:afterAutospacing="1" w:line="360" w:lineRule="auto"/>
        <w:rPr>
          <w:rFonts w:ascii="Arial" w:eastAsia="Times New Roman" w:hAnsi="Arial" w:cs="Arial"/>
          <w:b/>
          <w:bCs/>
          <w:kern w:val="0"/>
          <w:lang w:eastAsia="en-GB"/>
          <w14:ligatures w14:val="none"/>
        </w:rPr>
      </w:pPr>
      <w:r w:rsidRPr="009A75FC">
        <w:rPr>
          <w:rFonts w:ascii="Arial" w:hAnsi="Arial" w:cs="Arial"/>
        </w:rPr>
        <w:t>Research confirms that a person’s environment significantly impacts both the development and the management of OCD. Individuals living in the most deprived areas of the UK often face compounding pressures</w:t>
      </w:r>
      <w:r w:rsidRPr="009A75FC">
        <w:rPr>
          <w:rFonts w:ascii="Arial" w:hAnsi="Arial" w:cs="Arial"/>
        </w:rPr>
        <w:t xml:space="preserve"> </w:t>
      </w:r>
      <w:r w:rsidRPr="009A75FC">
        <w:rPr>
          <w:rFonts w:ascii="Arial" w:hAnsi="Arial" w:cs="Arial"/>
        </w:rPr>
        <w:t>such as financial stress, insecure employment, and housing challenges</w:t>
      </w:r>
      <w:r w:rsidRPr="009A75FC">
        <w:rPr>
          <w:rFonts w:ascii="Arial" w:hAnsi="Arial" w:cs="Arial"/>
        </w:rPr>
        <w:t xml:space="preserve"> </w:t>
      </w:r>
      <w:r w:rsidRPr="009A75FC">
        <w:rPr>
          <w:rFonts w:ascii="Arial" w:hAnsi="Arial" w:cs="Arial"/>
        </w:rPr>
        <w:t xml:space="preserve">that make it much harder to engage with long-term therapy. When a patient is struggling to meet their basic needs, the daily requirements of intensive treatment can become an overwhelming additional burden. Furthermore, the experience of accessing </w:t>
      </w:r>
      <w:r w:rsidRPr="009A75FC">
        <w:rPr>
          <w:rFonts w:ascii="Arial" w:hAnsi="Arial" w:cs="Arial"/>
        </w:rPr>
        <w:lastRenderedPageBreak/>
        <w:t>support is not the same for everyone. As Rethink Mental Illness (2026) highlights, structural barriers</w:t>
      </w:r>
      <w:r w:rsidRPr="009A75FC">
        <w:rPr>
          <w:rFonts w:ascii="Arial" w:hAnsi="Arial" w:cs="Arial"/>
        </w:rPr>
        <w:t xml:space="preserve"> </w:t>
      </w:r>
      <w:r w:rsidRPr="009A75FC">
        <w:rPr>
          <w:rFonts w:ascii="Arial" w:hAnsi="Arial" w:cs="Arial"/>
        </w:rPr>
        <w:t>including a lack of culturally sensitive diagnostic tools and a historical mistrust of statutory services</w:t>
      </w:r>
      <w:r w:rsidRPr="009A75FC">
        <w:rPr>
          <w:rFonts w:ascii="Arial" w:hAnsi="Arial" w:cs="Arial"/>
        </w:rPr>
        <w:t xml:space="preserve"> </w:t>
      </w:r>
      <w:r w:rsidRPr="009A75FC">
        <w:rPr>
          <w:rFonts w:ascii="Arial" w:hAnsi="Arial" w:cs="Arial"/>
        </w:rPr>
        <w:t>often leave individuals from diverse backgrounds underrepresented in specialist clinical settings. Addressing these inequalities requires Integrated Care Boards (ICBs) to move away from "one-size-fits-all" service models. Instead, there must be a shift toward targeted, community-based outreach that recognises how a person's wider circumstances impact their clinical outcomes. Rather than viewing a lack of progress as a failure of the patient, the system must acknowledge that individuals cannot thrive in treatment if their daily life remains unsupported by integrated social care.</w:t>
      </w:r>
    </w:p>
    <w:p w14:paraId="5CA6951F" w14:textId="77777777" w:rsidR="00DD0626" w:rsidRPr="009A75FC" w:rsidRDefault="000933CB" w:rsidP="00DA0363">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b/>
          <w:bCs/>
          <w:kern w:val="0"/>
          <w:lang w:eastAsia="en-GB"/>
          <w14:ligatures w14:val="none"/>
        </w:rPr>
        <w:t>The Impact of Media Misrepresentation</w:t>
      </w:r>
      <w:r w:rsidRPr="009A75FC">
        <w:rPr>
          <w:rFonts w:ascii="Arial" w:eastAsia="Times New Roman" w:hAnsi="Arial" w:cs="Arial"/>
          <w:kern w:val="0"/>
          <w:lang w:eastAsia="en-GB"/>
          <w14:ligatures w14:val="none"/>
        </w:rPr>
        <w:t xml:space="preserve"> </w:t>
      </w:r>
    </w:p>
    <w:p w14:paraId="2C08D87C" w14:textId="2BEB0591" w:rsidR="000933CB" w:rsidRPr="009A75FC" w:rsidRDefault="000933CB" w:rsidP="00DA0363">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A significant barrier to clinical engagement is the pervasive trivialisation of OCD in popular media and social vernacular. Research indicates that the casual use of phrases like "I’m so OCD" to describe non-disordered traits</w:t>
      </w:r>
      <w:r w:rsidR="00DD0626"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such as tidiness or organi</w:t>
      </w:r>
      <w:r w:rsidR="00DD0626" w:rsidRPr="009A75FC">
        <w:rPr>
          <w:rFonts w:ascii="Arial" w:eastAsia="Times New Roman" w:hAnsi="Arial" w:cs="Arial"/>
          <w:kern w:val="0"/>
          <w:lang w:eastAsia="en-GB"/>
          <w14:ligatures w14:val="none"/>
        </w:rPr>
        <w:t>s</w:t>
      </w:r>
      <w:r w:rsidRPr="009A75FC">
        <w:rPr>
          <w:rFonts w:ascii="Arial" w:eastAsia="Times New Roman" w:hAnsi="Arial" w:cs="Arial"/>
          <w:kern w:val="0"/>
          <w:lang w:eastAsia="en-GB"/>
          <w14:ligatures w14:val="none"/>
        </w:rPr>
        <w:t>ational habits</w:t>
      </w:r>
      <w:r w:rsidR="00DD0626"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 xml:space="preserve">perpetuates significant stigma </w:t>
      </w:r>
      <w:r w:rsidR="002E1C8F" w:rsidRPr="009A75FC">
        <w:rPr>
          <w:rFonts w:ascii="Arial" w:eastAsia="Times New Roman" w:hAnsi="Arial" w:cs="Arial"/>
          <w:kern w:val="0"/>
          <w:lang w:eastAsia="en-GB"/>
          <w14:ligatures w14:val="none"/>
        </w:rPr>
        <w:t>Rethink Mental Illness (2026</w:t>
      </w:r>
      <w:r w:rsidRPr="009A75FC">
        <w:rPr>
          <w:rFonts w:ascii="Arial" w:eastAsia="Times New Roman" w:hAnsi="Arial" w:cs="Arial"/>
          <w:kern w:val="0"/>
          <w:lang w:eastAsia="en-GB"/>
          <w14:ligatures w14:val="none"/>
        </w:rPr>
        <w:t>). This cultural trivialisation frequently obscures the ego</w:t>
      </w:r>
      <w:r w:rsidR="002E1C8F" w:rsidRPr="009A75FC">
        <w:rPr>
          <w:rFonts w:ascii="Arial" w:eastAsia="Times New Roman" w:hAnsi="Arial" w:cs="Arial"/>
          <w:kern w:val="0"/>
          <w:lang w:eastAsia="en-GB"/>
          <w14:ligatures w14:val="none"/>
        </w:rPr>
        <w:t xml:space="preserve"> </w:t>
      </w:r>
      <w:r w:rsidRPr="009A75FC">
        <w:rPr>
          <w:rFonts w:ascii="Arial" w:eastAsia="Times New Roman" w:hAnsi="Arial" w:cs="Arial"/>
          <w:kern w:val="0"/>
          <w:lang w:eastAsia="en-GB"/>
          <w14:ligatures w14:val="none"/>
        </w:rPr>
        <w:t xml:space="preserve">dystonic reality of the condition, leading to "diagnostic delay," as individuals fail to recognise their own intrusive thoughts as clinical symptoms because they do not match the stereotypical "cleanliness" markers portrayed online. Ultimately, as the charity OCD Action (2026) asserts, OCD must be understood as a serious, debilitating psychiatric condition rather than a "personality quirk." This distinction is essential for shifting the cultural narrative and ensuring that patients are directed toward evidence-based treatment rather than being met with dismissal or stigmatising labels. This misrepresentation serves as a major systemic barrier to care, as it invalidates the genuine, non-hygiene-related suffering of </w:t>
      </w:r>
      <w:proofErr w:type="gramStart"/>
      <w:r w:rsidRPr="009A75FC">
        <w:rPr>
          <w:rFonts w:ascii="Arial" w:eastAsia="Times New Roman" w:hAnsi="Arial" w:cs="Arial"/>
          <w:kern w:val="0"/>
          <w:lang w:eastAsia="en-GB"/>
          <w14:ligatures w14:val="none"/>
        </w:rPr>
        <w:t>the majority of</w:t>
      </w:r>
      <w:proofErr w:type="gramEnd"/>
      <w:r w:rsidRPr="009A75FC">
        <w:rPr>
          <w:rFonts w:ascii="Arial" w:eastAsia="Times New Roman" w:hAnsi="Arial" w:cs="Arial"/>
          <w:kern w:val="0"/>
          <w:lang w:eastAsia="en-GB"/>
          <w14:ligatures w14:val="none"/>
        </w:rPr>
        <w:t xml:space="preserve"> OCD patients.</w:t>
      </w:r>
    </w:p>
    <w:p w14:paraId="6A65E490" w14:textId="0E7F2AF2" w:rsidR="000933CB" w:rsidRPr="009A75FC" w:rsidRDefault="000933CB" w:rsidP="00DA0363">
      <w:pPr>
        <w:spacing w:before="100" w:beforeAutospacing="1" w:after="100" w:afterAutospacing="1" w:line="360" w:lineRule="auto"/>
        <w:outlineLvl w:val="1"/>
        <w:rPr>
          <w:rFonts w:ascii="Arial" w:eastAsia="Times New Roman" w:hAnsi="Arial" w:cs="Arial"/>
          <w:b/>
          <w:bCs/>
          <w:kern w:val="0"/>
          <w:lang w:eastAsia="en-GB"/>
          <w14:ligatures w14:val="none"/>
        </w:rPr>
      </w:pPr>
      <w:r w:rsidRPr="009A75FC">
        <w:rPr>
          <w:rFonts w:ascii="Arial" w:eastAsia="Times New Roman" w:hAnsi="Arial" w:cs="Arial"/>
          <w:b/>
          <w:bCs/>
          <w:kern w:val="0"/>
          <w:lang w:eastAsia="en-GB"/>
          <w14:ligatures w14:val="none"/>
        </w:rPr>
        <w:t>Recommendations</w:t>
      </w:r>
    </w:p>
    <w:p w14:paraId="233549F4" w14:textId="53EE13F0" w:rsidR="00964B59" w:rsidRPr="009A75FC" w:rsidRDefault="00964B59" w:rsidP="00DA0363">
      <w:pPr>
        <w:pStyle w:val="NormalWeb"/>
        <w:spacing w:line="360" w:lineRule="auto"/>
        <w:rPr>
          <w:rFonts w:ascii="Arial" w:hAnsi="Arial" w:cs="Arial"/>
          <w:sz w:val="22"/>
          <w:szCs w:val="22"/>
        </w:rPr>
      </w:pPr>
      <w:r w:rsidRPr="009A75FC">
        <w:rPr>
          <w:rFonts w:ascii="Arial" w:hAnsi="Arial" w:cs="Arial"/>
          <w:sz w:val="22"/>
          <w:szCs w:val="22"/>
        </w:rPr>
        <w:t>To bridge the gap between policy and patient reality, I propose the following strategic shifts</w:t>
      </w:r>
      <w:r w:rsidRPr="009A75FC">
        <w:rPr>
          <w:rFonts w:ascii="Arial" w:hAnsi="Arial" w:cs="Arial"/>
          <w:sz w:val="22"/>
          <w:szCs w:val="22"/>
        </w:rPr>
        <w:t>.</w:t>
      </w:r>
    </w:p>
    <w:p w14:paraId="4E62CA51" w14:textId="77777777" w:rsidR="00964B59" w:rsidRPr="009A75FC" w:rsidRDefault="00964B59" w:rsidP="00DA0363">
      <w:pPr>
        <w:pStyle w:val="NormalWeb"/>
        <w:spacing w:line="360" w:lineRule="auto"/>
        <w:rPr>
          <w:rFonts w:ascii="Arial" w:hAnsi="Arial" w:cs="Arial"/>
          <w:sz w:val="22"/>
          <w:szCs w:val="22"/>
        </w:rPr>
      </w:pPr>
      <w:r w:rsidRPr="009A75FC">
        <w:rPr>
          <w:rFonts w:ascii="Arial" w:hAnsi="Arial" w:cs="Arial"/>
          <w:sz w:val="22"/>
          <w:szCs w:val="22"/>
        </w:rPr>
        <w:t>Mandatory Neurodivergence Training: NICE should update CG31 to include clear, specific pathways for differentiating OCD from ADHD and autism. This is a vital step in reducing the "practice risk" of misdiagnosis and ensuring that patients receive the right support from their very first appointment.</w:t>
      </w:r>
    </w:p>
    <w:p w14:paraId="3EF85380" w14:textId="77777777" w:rsidR="00964B59" w:rsidRPr="009A75FC" w:rsidRDefault="00964B59" w:rsidP="00DA0363">
      <w:pPr>
        <w:pStyle w:val="NormalWeb"/>
        <w:spacing w:line="360" w:lineRule="auto"/>
        <w:rPr>
          <w:rFonts w:ascii="Arial" w:hAnsi="Arial" w:cs="Arial"/>
          <w:sz w:val="22"/>
          <w:szCs w:val="22"/>
        </w:rPr>
      </w:pPr>
      <w:r w:rsidRPr="009A75FC">
        <w:rPr>
          <w:rFonts w:ascii="Arial" w:hAnsi="Arial" w:cs="Arial"/>
          <w:sz w:val="22"/>
          <w:szCs w:val="22"/>
        </w:rPr>
        <w:t xml:space="preserve">Specialised OCD Hubs: Rather than relying on generic "Talking Therapies," ICBs should prioritise funding for specialised, high-intensity ERP hubs. This would allow for the kind of </w:t>
      </w:r>
      <w:r w:rsidRPr="009A75FC">
        <w:rPr>
          <w:rFonts w:ascii="Arial" w:hAnsi="Arial" w:cs="Arial"/>
          <w:sz w:val="22"/>
          <w:szCs w:val="22"/>
        </w:rPr>
        <w:lastRenderedPageBreak/>
        <w:t>face-to-face, consistent support that is often essential for those with complex, treatment-resistant symptoms.</w:t>
      </w:r>
    </w:p>
    <w:p w14:paraId="57A839AE" w14:textId="090E86CB" w:rsidR="00964B59" w:rsidRPr="009A75FC" w:rsidRDefault="00964B59" w:rsidP="00DA0363">
      <w:pPr>
        <w:pStyle w:val="NormalWeb"/>
        <w:spacing w:line="360" w:lineRule="auto"/>
        <w:rPr>
          <w:rFonts w:ascii="Arial" w:hAnsi="Arial" w:cs="Arial"/>
          <w:sz w:val="22"/>
          <w:szCs w:val="22"/>
        </w:rPr>
      </w:pPr>
      <w:r w:rsidRPr="009A75FC">
        <w:rPr>
          <w:rFonts w:ascii="Arial" w:hAnsi="Arial" w:cs="Arial"/>
          <w:sz w:val="22"/>
          <w:szCs w:val="22"/>
        </w:rPr>
        <w:t>Integrated Commissioning: Local authorities should establish "OCD Integrated Care Plans" that bridge the divide between psychiatric care and wider social needs. My analysis suggests that linking clinical treatment directly with vocational and housing support is the only way to prevent service users from falling through the gaps inherent in the current fragmented model.</w:t>
      </w:r>
    </w:p>
    <w:p w14:paraId="6BB99C6E" w14:textId="03B28A6B" w:rsidR="00964B59" w:rsidRPr="009A75FC" w:rsidRDefault="00964B59" w:rsidP="00DA0363">
      <w:pPr>
        <w:pStyle w:val="NormalWeb"/>
        <w:spacing w:line="360" w:lineRule="auto"/>
        <w:rPr>
          <w:rFonts w:ascii="Arial" w:hAnsi="Arial" w:cs="Arial"/>
          <w:sz w:val="22"/>
          <w:szCs w:val="22"/>
        </w:rPr>
      </w:pPr>
      <w:r w:rsidRPr="009A75FC">
        <w:rPr>
          <w:rFonts w:ascii="Arial" w:hAnsi="Arial" w:cs="Arial"/>
          <w:sz w:val="22"/>
          <w:szCs w:val="22"/>
        </w:rPr>
        <w:t xml:space="preserve">Ring-fenced Funding: National policy must move toward ring-fenced funding specifically for severe, treatment-resistant OCD. This would help eliminate the current "post-code lottery," ensuring that a patient’s access to care is based on their clinical needs rather than their </w:t>
      </w:r>
      <w:r w:rsidRPr="009A75FC">
        <w:rPr>
          <w:rFonts w:ascii="Arial" w:hAnsi="Arial" w:cs="Arial"/>
          <w:sz w:val="22"/>
          <w:szCs w:val="22"/>
        </w:rPr>
        <w:t>regional funding discrepancies.</w:t>
      </w:r>
    </w:p>
    <w:p w14:paraId="4AB30818" w14:textId="77777777" w:rsidR="00964B59" w:rsidRPr="009A75FC" w:rsidRDefault="00964B59" w:rsidP="00DA0363">
      <w:pPr>
        <w:pStyle w:val="NormalWeb"/>
        <w:spacing w:line="360" w:lineRule="auto"/>
        <w:rPr>
          <w:rFonts w:ascii="Arial" w:hAnsi="Arial" w:cs="Arial"/>
          <w:sz w:val="22"/>
          <w:szCs w:val="22"/>
        </w:rPr>
      </w:pPr>
      <w:r w:rsidRPr="009A75FC">
        <w:rPr>
          <w:rFonts w:ascii="Arial" w:hAnsi="Arial" w:cs="Arial"/>
          <w:sz w:val="22"/>
          <w:szCs w:val="22"/>
        </w:rPr>
        <w:t>Ultimately, a more effective system is one that views the patient as a whole person, not just a set of symptoms or a unit of "throughput." By moving toward an integrated, neurodiversity-affirming model, the NHS can create a care pathway that is defined by clinical efficacy and genuine support.</w:t>
      </w:r>
    </w:p>
    <w:p w14:paraId="0B04614C" w14:textId="77777777" w:rsidR="00964B59" w:rsidRPr="009A75FC" w:rsidRDefault="00964B59" w:rsidP="00DA0363">
      <w:pPr>
        <w:spacing w:before="100" w:beforeAutospacing="1" w:after="100" w:afterAutospacing="1" w:line="360" w:lineRule="auto"/>
        <w:outlineLvl w:val="1"/>
        <w:rPr>
          <w:rFonts w:ascii="Arial" w:eastAsia="Times New Roman" w:hAnsi="Arial" w:cs="Arial"/>
          <w:b/>
          <w:bCs/>
          <w:kern w:val="0"/>
          <w:lang w:eastAsia="en-GB"/>
          <w14:ligatures w14:val="none"/>
        </w:rPr>
      </w:pPr>
    </w:p>
    <w:p w14:paraId="002C2EEF" w14:textId="19D2AB9B" w:rsidR="000933CB" w:rsidRPr="009A75FC" w:rsidRDefault="000933CB" w:rsidP="00DA0363">
      <w:pPr>
        <w:spacing w:before="100" w:beforeAutospacing="1" w:after="100" w:afterAutospacing="1" w:line="360" w:lineRule="auto"/>
        <w:outlineLvl w:val="1"/>
        <w:rPr>
          <w:rFonts w:ascii="Arial" w:eastAsia="Times New Roman" w:hAnsi="Arial" w:cs="Arial"/>
          <w:b/>
          <w:bCs/>
          <w:kern w:val="0"/>
          <w:lang w:eastAsia="en-GB"/>
          <w14:ligatures w14:val="none"/>
        </w:rPr>
      </w:pPr>
      <w:r w:rsidRPr="009A75FC">
        <w:rPr>
          <w:rFonts w:ascii="Arial" w:eastAsia="Times New Roman" w:hAnsi="Arial" w:cs="Arial"/>
          <w:b/>
          <w:bCs/>
          <w:kern w:val="0"/>
          <w:lang w:eastAsia="en-GB"/>
          <w14:ligatures w14:val="none"/>
        </w:rPr>
        <w:t>Conclusion</w:t>
      </w:r>
    </w:p>
    <w:p w14:paraId="3A112984" w14:textId="2FA6D884" w:rsidR="000933CB" w:rsidRPr="009A75FC" w:rsidRDefault="000933CB" w:rsidP="00DA0363">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 xml:space="preserve">In summary, this report has provided a critical evaluation of </w:t>
      </w:r>
      <w:r w:rsidR="002E1C8F" w:rsidRPr="009A75FC">
        <w:rPr>
          <w:rFonts w:ascii="Arial" w:eastAsia="Times New Roman" w:hAnsi="Arial" w:cs="Arial"/>
          <w:kern w:val="0"/>
          <w:lang w:eastAsia="en-GB"/>
          <w14:ligatures w14:val="none"/>
        </w:rPr>
        <w:t>obsessive-compulsive disorder</w:t>
      </w:r>
      <w:r w:rsidRPr="009A75FC">
        <w:rPr>
          <w:rFonts w:ascii="Arial" w:eastAsia="Times New Roman" w:hAnsi="Arial" w:cs="Arial"/>
          <w:kern w:val="0"/>
          <w:lang w:eastAsia="en-GB"/>
          <w14:ligatures w14:val="none"/>
        </w:rPr>
        <w:t xml:space="preserve"> within the contemporary UK health and social care landscape. While the shift toward the ICD-11 framework improves diagnostic precision and aligns clinical practice with modern neuro-psychological understandings, the real-world application of care remains fundamentally hampered by systemic pressures. The analysis demonstrates a clear disconnect between the evidence-based standards outlined by NICE and the operational reality of "post-code lottery" service provision, where funding silos prevent the seamless integration of psychiatric treatment and social support.</w:t>
      </w:r>
    </w:p>
    <w:p w14:paraId="7D08AA0F" w14:textId="3A4B4859" w:rsidR="004B46BE" w:rsidRPr="009A75FC" w:rsidRDefault="000933CB" w:rsidP="00DA0363">
      <w:pPr>
        <w:spacing w:before="100" w:beforeAutospacing="1" w:after="100" w:afterAutospacing="1" w:line="360" w:lineRule="auto"/>
        <w:rPr>
          <w:rFonts w:ascii="Arial" w:eastAsia="Times New Roman" w:hAnsi="Arial" w:cs="Arial"/>
          <w:kern w:val="0"/>
          <w:lang w:eastAsia="en-GB"/>
          <w14:ligatures w14:val="none"/>
        </w:rPr>
      </w:pPr>
      <w:r w:rsidRPr="009A75FC">
        <w:rPr>
          <w:rFonts w:ascii="Arial" w:eastAsia="Times New Roman" w:hAnsi="Arial" w:cs="Arial"/>
          <w:kern w:val="0"/>
          <w:lang w:eastAsia="en-GB"/>
          <w14:ligatures w14:val="none"/>
        </w:rPr>
        <w:t xml:space="preserve">Moving forward, the future of OCD management must transition away from fragmented, low-intensity "siloed" models toward integrated, high-intensity specialist hubs that recognize the socioeconomic and cultural determinants of health. Leveraging the legislative power of the Care Act 2014 and the collaborative mandate of the Health and Social Care Act 2022 is essential for providing patients with the holistic, neurodiversity-affirming support they require. Improving outcomes will ultimately depend on ring-fenced funding and a commitment to </w:t>
      </w:r>
      <w:r w:rsidRPr="009A75FC">
        <w:rPr>
          <w:rFonts w:ascii="Arial" w:eastAsia="Times New Roman" w:hAnsi="Arial" w:cs="Arial"/>
          <w:kern w:val="0"/>
          <w:lang w:eastAsia="en-GB"/>
          <w14:ligatures w14:val="none"/>
        </w:rPr>
        <w:lastRenderedPageBreak/>
        <w:t>early intervention, ensuring that individuals receive timely, expert care rather than navigating a system defined by long waiting times. Future research should prioritize evaluating the efficacy of these integrated models to ensure that policy reforms translate into genuine improvements in patient recovery and social inclusion.</w:t>
      </w:r>
    </w:p>
    <w:p w14:paraId="687BBBD6"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0D714D75"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1B08B87A"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00CC45DF"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3D1DA64B"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3CDC9386"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25DA1B3E"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1D8115E9"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2F980F55"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0D775FD6"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351456C6"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23A7F00D"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29EA939C"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1C26F570"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7F4C330B"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5F463B19"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15D93F1F"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1175DDFF" w14:textId="77777777" w:rsidR="00D739A2" w:rsidRPr="009A75FC" w:rsidRDefault="00D739A2" w:rsidP="00DA0363">
      <w:pPr>
        <w:spacing w:before="100" w:beforeAutospacing="1" w:after="100" w:afterAutospacing="1" w:line="360" w:lineRule="auto"/>
        <w:rPr>
          <w:rFonts w:ascii="Arial" w:eastAsia="Times New Roman" w:hAnsi="Arial" w:cs="Arial"/>
          <w:kern w:val="0"/>
          <w:lang w:eastAsia="en-GB"/>
          <w14:ligatures w14:val="none"/>
        </w:rPr>
      </w:pPr>
    </w:p>
    <w:p w14:paraId="010E468A" w14:textId="77777777" w:rsidR="003B2F7D" w:rsidRPr="009A75FC" w:rsidRDefault="003B2F7D" w:rsidP="00DA0363">
      <w:pPr>
        <w:spacing w:line="360" w:lineRule="auto"/>
        <w:rPr>
          <w:rFonts w:ascii="Arial" w:eastAsia="Times New Roman" w:hAnsi="Arial" w:cs="Arial"/>
          <w:kern w:val="0"/>
          <w:lang w:eastAsia="en-GB"/>
          <w14:ligatures w14:val="none"/>
        </w:rPr>
      </w:pPr>
    </w:p>
    <w:p w14:paraId="68E41CC3" w14:textId="0A8A91F6" w:rsidR="001C66B9" w:rsidRPr="009A75FC" w:rsidRDefault="001C66B9" w:rsidP="00DA0363">
      <w:pPr>
        <w:spacing w:line="360" w:lineRule="auto"/>
        <w:rPr>
          <w:rFonts w:ascii="Arial" w:hAnsi="Arial" w:cs="Arial"/>
          <w:b/>
          <w:bCs/>
        </w:rPr>
      </w:pPr>
      <w:r w:rsidRPr="009A75FC">
        <w:rPr>
          <w:rFonts w:ascii="Arial" w:hAnsi="Arial" w:cs="Arial"/>
          <w:b/>
          <w:bCs/>
        </w:rPr>
        <w:lastRenderedPageBreak/>
        <w:t>Reference List</w:t>
      </w:r>
    </w:p>
    <w:p w14:paraId="62E24EF7" w14:textId="77777777" w:rsidR="00F27577" w:rsidRPr="009A75FC" w:rsidRDefault="00F27577" w:rsidP="00F27577">
      <w:pPr>
        <w:pStyle w:val="NormalWeb"/>
        <w:spacing w:line="360" w:lineRule="auto"/>
        <w:rPr>
          <w:rFonts w:ascii="Arial" w:hAnsi="Arial" w:cs="Arial"/>
          <w:sz w:val="22"/>
          <w:szCs w:val="22"/>
        </w:rPr>
      </w:pPr>
      <w:r w:rsidRPr="009A75FC">
        <w:rPr>
          <w:rFonts w:ascii="Arial" w:hAnsi="Arial" w:cs="Arial"/>
          <w:sz w:val="22"/>
          <w:szCs w:val="22"/>
        </w:rPr>
        <w:t xml:space="preserve">Abramovitch, A. and Simpson, H.B. (2019) 'Co-morbid obsessive–compulsive disorder and attention deficit hyperactivity disorder: neurobiological commonalities and treatment implications', </w:t>
      </w:r>
      <w:r w:rsidRPr="009A75FC">
        <w:rPr>
          <w:rFonts w:ascii="Arial" w:hAnsi="Arial" w:cs="Arial"/>
          <w:i/>
          <w:iCs/>
          <w:sz w:val="22"/>
          <w:szCs w:val="22"/>
        </w:rPr>
        <w:t>Frontiers in Psychiatry</w:t>
      </w:r>
      <w:r w:rsidRPr="009A75FC">
        <w:rPr>
          <w:rFonts w:ascii="Arial" w:hAnsi="Arial" w:cs="Arial"/>
          <w:sz w:val="22"/>
          <w:szCs w:val="22"/>
        </w:rPr>
        <w:t>, 10, p. 557.</w:t>
      </w:r>
    </w:p>
    <w:p w14:paraId="1EFC3538" w14:textId="77777777"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 xml:space="preserve">Albert, U., </w:t>
      </w:r>
      <w:proofErr w:type="spellStart"/>
      <w:r w:rsidRPr="00334A2B">
        <w:rPr>
          <w:rFonts w:ascii="Arial" w:hAnsi="Arial" w:cs="Arial"/>
          <w:sz w:val="22"/>
          <w:szCs w:val="22"/>
        </w:rPr>
        <w:t>Marazziti</w:t>
      </w:r>
      <w:proofErr w:type="spellEnd"/>
      <w:r w:rsidRPr="00334A2B">
        <w:rPr>
          <w:rFonts w:ascii="Arial" w:hAnsi="Arial" w:cs="Arial"/>
          <w:sz w:val="22"/>
          <w:szCs w:val="22"/>
        </w:rPr>
        <w:t xml:space="preserve">, D., Di Salvo, G., Solia, F., Rosso, G. and Maina, G. (2019) 'A critical review of pharmacological treatment strategies for treatment-resistant obsessive-compulsive disorder', </w:t>
      </w:r>
      <w:r w:rsidRPr="00334A2B">
        <w:rPr>
          <w:rFonts w:ascii="Arial" w:hAnsi="Arial" w:cs="Arial"/>
          <w:i/>
          <w:iCs/>
          <w:sz w:val="22"/>
          <w:szCs w:val="22"/>
        </w:rPr>
        <w:t>Expert Opinion on Pharmacotherapy</w:t>
      </w:r>
      <w:r w:rsidRPr="00334A2B">
        <w:rPr>
          <w:rFonts w:ascii="Arial" w:hAnsi="Arial" w:cs="Arial"/>
          <w:sz w:val="22"/>
          <w:szCs w:val="22"/>
        </w:rPr>
        <w:t>, 20(10), pp. 1195–1206.</w:t>
      </w:r>
    </w:p>
    <w:p w14:paraId="4C9276DE" w14:textId="77777777"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 xml:space="preserve">Anxious Minds (2026) </w:t>
      </w:r>
      <w:r w:rsidRPr="00334A2B">
        <w:rPr>
          <w:rFonts w:ascii="Arial" w:hAnsi="Arial" w:cs="Arial"/>
          <w:i/>
          <w:iCs/>
          <w:sz w:val="22"/>
          <w:szCs w:val="22"/>
        </w:rPr>
        <w:t>Healing Together: the power of support groups in mental health recovery</w:t>
      </w:r>
      <w:r w:rsidRPr="00334A2B">
        <w:rPr>
          <w:rFonts w:ascii="Arial" w:hAnsi="Arial" w:cs="Arial"/>
          <w:sz w:val="22"/>
          <w:szCs w:val="22"/>
        </w:rPr>
        <w:t>. London: Anxious Minds Press.</w:t>
      </w:r>
    </w:p>
    <w:p w14:paraId="29E6EE1A" w14:textId="77777777"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Care Act 2014, c. 23. London: The Stationery Office.</w:t>
      </w:r>
    </w:p>
    <w:p w14:paraId="1B4931EA" w14:textId="77777777"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 xml:space="preserve">Del Casale, A., Sorice, S., Padovano, A., </w:t>
      </w:r>
      <w:proofErr w:type="spellStart"/>
      <w:r w:rsidRPr="00334A2B">
        <w:rPr>
          <w:rFonts w:ascii="Arial" w:hAnsi="Arial" w:cs="Arial"/>
          <w:sz w:val="22"/>
          <w:szCs w:val="22"/>
        </w:rPr>
        <w:t>Simmaco</w:t>
      </w:r>
      <w:proofErr w:type="spellEnd"/>
      <w:r w:rsidRPr="00334A2B">
        <w:rPr>
          <w:rFonts w:ascii="Arial" w:hAnsi="Arial" w:cs="Arial"/>
          <w:sz w:val="22"/>
          <w:szCs w:val="22"/>
        </w:rPr>
        <w:t xml:space="preserve">, M., </w:t>
      </w:r>
      <w:proofErr w:type="spellStart"/>
      <w:r w:rsidRPr="00334A2B">
        <w:rPr>
          <w:rFonts w:ascii="Arial" w:hAnsi="Arial" w:cs="Arial"/>
          <w:sz w:val="22"/>
          <w:szCs w:val="22"/>
        </w:rPr>
        <w:t>Ferracuti</w:t>
      </w:r>
      <w:proofErr w:type="spellEnd"/>
      <w:r w:rsidRPr="00334A2B">
        <w:rPr>
          <w:rFonts w:ascii="Arial" w:hAnsi="Arial" w:cs="Arial"/>
          <w:sz w:val="22"/>
          <w:szCs w:val="22"/>
        </w:rPr>
        <w:t xml:space="preserve">, S., Lamis, D.A., </w:t>
      </w:r>
      <w:proofErr w:type="spellStart"/>
      <w:r w:rsidRPr="00334A2B">
        <w:rPr>
          <w:rFonts w:ascii="Arial" w:hAnsi="Arial" w:cs="Arial"/>
          <w:sz w:val="22"/>
          <w:szCs w:val="22"/>
        </w:rPr>
        <w:t>Rapinesi</w:t>
      </w:r>
      <w:proofErr w:type="spellEnd"/>
      <w:r w:rsidRPr="00334A2B">
        <w:rPr>
          <w:rFonts w:ascii="Arial" w:hAnsi="Arial" w:cs="Arial"/>
          <w:sz w:val="22"/>
          <w:szCs w:val="22"/>
        </w:rPr>
        <w:t xml:space="preserve">, C., Sani, G., Girardi, P., Kotzalidis, G.D. and Pompili, M. (2019) 'Psychopharmacological treatment of obsessive-compulsive disorder (OCD)', </w:t>
      </w:r>
      <w:r w:rsidRPr="00334A2B">
        <w:rPr>
          <w:rFonts w:ascii="Arial" w:hAnsi="Arial" w:cs="Arial"/>
          <w:i/>
          <w:iCs/>
          <w:sz w:val="22"/>
          <w:szCs w:val="22"/>
        </w:rPr>
        <w:t>Current Neuropharmacology</w:t>
      </w:r>
      <w:r w:rsidRPr="00334A2B">
        <w:rPr>
          <w:rFonts w:ascii="Arial" w:hAnsi="Arial" w:cs="Arial"/>
          <w:sz w:val="22"/>
          <w:szCs w:val="22"/>
        </w:rPr>
        <w:t xml:space="preserve">, 17(8), pp. 710–736. </w:t>
      </w:r>
      <w:proofErr w:type="spellStart"/>
      <w:r w:rsidRPr="00334A2B">
        <w:rPr>
          <w:rFonts w:ascii="Arial" w:hAnsi="Arial" w:cs="Arial"/>
          <w:sz w:val="22"/>
          <w:szCs w:val="22"/>
        </w:rPr>
        <w:t>doi</w:t>
      </w:r>
      <w:proofErr w:type="spellEnd"/>
      <w:r w:rsidRPr="00334A2B">
        <w:rPr>
          <w:rFonts w:ascii="Arial" w:hAnsi="Arial" w:cs="Arial"/>
          <w:sz w:val="22"/>
          <w:szCs w:val="22"/>
        </w:rPr>
        <w:t>: 10.2174/1570159x16666180813155017</w:t>
      </w:r>
    </w:p>
    <w:p w14:paraId="620CA902" w14:textId="77777777" w:rsidR="00F27577" w:rsidRPr="00334A2B" w:rsidRDefault="00F27577" w:rsidP="00F27577">
      <w:pPr>
        <w:pStyle w:val="NormalWeb"/>
        <w:spacing w:line="360" w:lineRule="auto"/>
        <w:rPr>
          <w:rFonts w:ascii="Arial" w:hAnsi="Arial" w:cs="Arial"/>
          <w:sz w:val="22"/>
          <w:szCs w:val="22"/>
        </w:rPr>
      </w:pPr>
      <w:proofErr w:type="spellStart"/>
      <w:r w:rsidRPr="00334A2B">
        <w:rPr>
          <w:rFonts w:ascii="Arial" w:hAnsi="Arial" w:cs="Arial"/>
          <w:sz w:val="22"/>
          <w:szCs w:val="22"/>
        </w:rPr>
        <w:t>Dell’Osso</w:t>
      </w:r>
      <w:proofErr w:type="spellEnd"/>
      <w:r w:rsidRPr="00334A2B">
        <w:rPr>
          <w:rFonts w:ascii="Arial" w:hAnsi="Arial" w:cs="Arial"/>
          <w:sz w:val="22"/>
          <w:szCs w:val="22"/>
        </w:rPr>
        <w:t xml:space="preserve">, L., Nardi, B., Bonelli, C., </w:t>
      </w:r>
      <w:proofErr w:type="spellStart"/>
      <w:r w:rsidRPr="00334A2B">
        <w:rPr>
          <w:rFonts w:ascii="Arial" w:hAnsi="Arial" w:cs="Arial"/>
          <w:sz w:val="22"/>
          <w:szCs w:val="22"/>
        </w:rPr>
        <w:t>Amatori</w:t>
      </w:r>
      <w:proofErr w:type="spellEnd"/>
      <w:r w:rsidRPr="00334A2B">
        <w:rPr>
          <w:rFonts w:ascii="Arial" w:hAnsi="Arial" w:cs="Arial"/>
          <w:sz w:val="22"/>
          <w:szCs w:val="22"/>
        </w:rPr>
        <w:t xml:space="preserve">, G., Pereyra, M.A., Massimetti, E., </w:t>
      </w:r>
      <w:proofErr w:type="spellStart"/>
      <w:r w:rsidRPr="00334A2B">
        <w:rPr>
          <w:rFonts w:ascii="Arial" w:hAnsi="Arial" w:cs="Arial"/>
          <w:sz w:val="22"/>
          <w:szCs w:val="22"/>
        </w:rPr>
        <w:t>Cremone</w:t>
      </w:r>
      <w:proofErr w:type="spellEnd"/>
      <w:r w:rsidRPr="00334A2B">
        <w:rPr>
          <w:rFonts w:ascii="Arial" w:hAnsi="Arial" w:cs="Arial"/>
          <w:sz w:val="22"/>
          <w:szCs w:val="22"/>
        </w:rPr>
        <w:t xml:space="preserve">, I.M., Pini, S. and </w:t>
      </w:r>
      <w:proofErr w:type="spellStart"/>
      <w:r w:rsidRPr="00334A2B">
        <w:rPr>
          <w:rFonts w:ascii="Arial" w:hAnsi="Arial" w:cs="Arial"/>
          <w:sz w:val="22"/>
          <w:szCs w:val="22"/>
        </w:rPr>
        <w:t>Carpita</w:t>
      </w:r>
      <w:proofErr w:type="spellEnd"/>
      <w:r w:rsidRPr="00334A2B">
        <w:rPr>
          <w:rFonts w:ascii="Arial" w:hAnsi="Arial" w:cs="Arial"/>
          <w:sz w:val="22"/>
          <w:szCs w:val="22"/>
        </w:rPr>
        <w:t xml:space="preserve">, B. (2024) 'Autistic traits as predictors of increased obsessive–compulsive disorder severity: the role of inflexibility and communication impairment', </w:t>
      </w:r>
      <w:r w:rsidRPr="00334A2B">
        <w:rPr>
          <w:rFonts w:ascii="Arial" w:hAnsi="Arial" w:cs="Arial"/>
          <w:i/>
          <w:iCs/>
          <w:sz w:val="22"/>
          <w:szCs w:val="22"/>
        </w:rPr>
        <w:t>Brain Sciences</w:t>
      </w:r>
      <w:r w:rsidRPr="00334A2B">
        <w:rPr>
          <w:rFonts w:ascii="Arial" w:hAnsi="Arial" w:cs="Arial"/>
          <w:sz w:val="22"/>
          <w:szCs w:val="22"/>
        </w:rPr>
        <w:t xml:space="preserve">, 14(1), p. 64. </w:t>
      </w:r>
      <w:proofErr w:type="spellStart"/>
      <w:r w:rsidRPr="00334A2B">
        <w:rPr>
          <w:rFonts w:ascii="Arial" w:hAnsi="Arial" w:cs="Arial"/>
          <w:sz w:val="22"/>
          <w:szCs w:val="22"/>
        </w:rPr>
        <w:t>doi</w:t>
      </w:r>
      <w:proofErr w:type="spellEnd"/>
      <w:r w:rsidRPr="00334A2B">
        <w:rPr>
          <w:rFonts w:ascii="Arial" w:hAnsi="Arial" w:cs="Arial"/>
          <w:sz w:val="22"/>
          <w:szCs w:val="22"/>
        </w:rPr>
        <w:t>: 10.3390/brainsci14010064</w:t>
      </w:r>
    </w:p>
    <w:p w14:paraId="1ABCAB1D" w14:textId="77777777"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 xml:space="preserve">Dogan-Sander, E. and </w:t>
      </w:r>
      <w:proofErr w:type="spellStart"/>
      <w:r w:rsidRPr="00334A2B">
        <w:rPr>
          <w:rFonts w:ascii="Arial" w:hAnsi="Arial" w:cs="Arial"/>
          <w:sz w:val="22"/>
          <w:szCs w:val="22"/>
        </w:rPr>
        <w:t>Strauß</w:t>
      </w:r>
      <w:proofErr w:type="spellEnd"/>
      <w:r w:rsidRPr="00334A2B">
        <w:rPr>
          <w:rFonts w:ascii="Arial" w:hAnsi="Arial" w:cs="Arial"/>
          <w:sz w:val="22"/>
          <w:szCs w:val="22"/>
        </w:rPr>
        <w:t xml:space="preserve">, M. (2021) 'Case report: treatment of a comorbid attention deficit hyperactivity disorder and obsessive–compulsive disorder with psychostimulants', </w:t>
      </w:r>
      <w:r w:rsidRPr="00334A2B">
        <w:rPr>
          <w:rFonts w:ascii="Arial" w:hAnsi="Arial" w:cs="Arial"/>
          <w:i/>
          <w:iCs/>
          <w:sz w:val="22"/>
          <w:szCs w:val="22"/>
        </w:rPr>
        <w:t>Frontiers in Psychiatry</w:t>
      </w:r>
      <w:r w:rsidRPr="00334A2B">
        <w:rPr>
          <w:rFonts w:ascii="Arial" w:hAnsi="Arial" w:cs="Arial"/>
          <w:sz w:val="22"/>
          <w:szCs w:val="22"/>
        </w:rPr>
        <w:t xml:space="preserve">, 12, p. 649833. </w:t>
      </w:r>
      <w:proofErr w:type="spellStart"/>
      <w:r w:rsidRPr="00334A2B">
        <w:rPr>
          <w:rFonts w:ascii="Arial" w:hAnsi="Arial" w:cs="Arial"/>
          <w:sz w:val="22"/>
          <w:szCs w:val="22"/>
        </w:rPr>
        <w:t>doi</w:t>
      </w:r>
      <w:proofErr w:type="spellEnd"/>
      <w:r w:rsidRPr="00334A2B">
        <w:rPr>
          <w:rFonts w:ascii="Arial" w:hAnsi="Arial" w:cs="Arial"/>
          <w:sz w:val="22"/>
          <w:szCs w:val="22"/>
        </w:rPr>
        <w:t>: 10.3389/fpsyt.2021.649833</w:t>
      </w:r>
    </w:p>
    <w:p w14:paraId="52FD34E7" w14:textId="77777777"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Equality Act 2010, c. 15. London: The Stationery Office.</w:t>
      </w:r>
    </w:p>
    <w:p w14:paraId="56E352B1" w14:textId="77777777"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 xml:space="preserve">Fennell, M.J. and Teasdale, J.D. (1987) 'Cognitive therapy for chronic, treatment-resistant depression: </w:t>
      </w:r>
      <w:proofErr w:type="spellStart"/>
      <w:r w:rsidRPr="00334A2B">
        <w:rPr>
          <w:rFonts w:ascii="Arial" w:hAnsi="Arial" w:cs="Arial"/>
          <w:sz w:val="22"/>
          <w:szCs w:val="22"/>
        </w:rPr>
        <w:t>behavioral</w:t>
      </w:r>
      <w:proofErr w:type="spellEnd"/>
      <w:r w:rsidRPr="00334A2B">
        <w:rPr>
          <w:rFonts w:ascii="Arial" w:hAnsi="Arial" w:cs="Arial"/>
          <w:sz w:val="22"/>
          <w:szCs w:val="22"/>
        </w:rPr>
        <w:t xml:space="preserve"> experiments to test actionable assumptions', </w:t>
      </w:r>
      <w:r w:rsidRPr="00334A2B">
        <w:rPr>
          <w:rFonts w:ascii="Arial" w:hAnsi="Arial" w:cs="Arial"/>
          <w:i/>
          <w:iCs/>
          <w:sz w:val="22"/>
          <w:szCs w:val="22"/>
        </w:rPr>
        <w:t>Journal of Cognitive Psychotherapy</w:t>
      </w:r>
      <w:r w:rsidRPr="00334A2B">
        <w:rPr>
          <w:rFonts w:ascii="Arial" w:hAnsi="Arial" w:cs="Arial"/>
          <w:sz w:val="22"/>
          <w:szCs w:val="22"/>
        </w:rPr>
        <w:t>, 1(2), pp. 89–105.</w:t>
      </w:r>
    </w:p>
    <w:p w14:paraId="69E822CB" w14:textId="77777777"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 xml:space="preserve">Finegan, F. </w:t>
      </w:r>
      <w:r w:rsidRPr="00334A2B">
        <w:rPr>
          <w:rFonts w:ascii="Arial" w:hAnsi="Arial" w:cs="Arial"/>
          <w:i/>
          <w:iCs/>
          <w:sz w:val="22"/>
          <w:szCs w:val="22"/>
        </w:rPr>
        <w:t>et al.</w:t>
      </w:r>
      <w:r w:rsidRPr="00334A2B">
        <w:rPr>
          <w:rFonts w:ascii="Arial" w:hAnsi="Arial" w:cs="Arial"/>
          <w:sz w:val="22"/>
          <w:szCs w:val="22"/>
        </w:rPr>
        <w:t xml:space="preserve"> (2020) 'Impact of neighbourhood deprivation on psychological treatment outcomes', </w:t>
      </w:r>
      <w:r w:rsidRPr="00334A2B">
        <w:rPr>
          <w:rFonts w:ascii="Arial" w:hAnsi="Arial" w:cs="Arial"/>
          <w:i/>
          <w:iCs/>
          <w:sz w:val="22"/>
          <w:szCs w:val="22"/>
        </w:rPr>
        <w:t>Journal of Affective Disorders</w:t>
      </w:r>
      <w:r w:rsidRPr="00334A2B">
        <w:rPr>
          <w:rFonts w:ascii="Arial" w:hAnsi="Arial" w:cs="Arial"/>
          <w:sz w:val="22"/>
          <w:szCs w:val="22"/>
        </w:rPr>
        <w:t>, 260, pp. 615–622.</w:t>
      </w:r>
    </w:p>
    <w:p w14:paraId="098BC56D" w14:textId="77777777"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Health and Social Care Act 2022, c. 31. London: The Stationery Office.</w:t>
      </w:r>
    </w:p>
    <w:p w14:paraId="5221ADDB" w14:textId="77777777" w:rsidR="00F27577" w:rsidRPr="00334A2B" w:rsidRDefault="00F27577" w:rsidP="00F27577">
      <w:pPr>
        <w:pStyle w:val="NormalWeb"/>
        <w:spacing w:line="360" w:lineRule="auto"/>
        <w:rPr>
          <w:rFonts w:ascii="Arial" w:hAnsi="Arial" w:cs="Arial"/>
          <w:sz w:val="22"/>
          <w:szCs w:val="22"/>
        </w:rPr>
      </w:pPr>
      <w:proofErr w:type="spellStart"/>
      <w:r w:rsidRPr="00334A2B">
        <w:rPr>
          <w:rFonts w:ascii="Arial" w:hAnsi="Arial" w:cs="Arial"/>
          <w:sz w:val="22"/>
          <w:szCs w:val="22"/>
        </w:rPr>
        <w:lastRenderedPageBreak/>
        <w:t>Kalanthroff</w:t>
      </w:r>
      <w:proofErr w:type="spellEnd"/>
      <w:r w:rsidRPr="00334A2B">
        <w:rPr>
          <w:rFonts w:ascii="Arial" w:hAnsi="Arial" w:cs="Arial"/>
          <w:sz w:val="22"/>
          <w:szCs w:val="22"/>
        </w:rPr>
        <w:t xml:space="preserve">, E. and Wheaton, M.G. (2022) 'An integrative model for understanding obsessive-compulsive disorder: merging cognitive </w:t>
      </w:r>
      <w:proofErr w:type="spellStart"/>
      <w:r w:rsidRPr="00334A2B">
        <w:rPr>
          <w:rFonts w:ascii="Arial" w:hAnsi="Arial" w:cs="Arial"/>
          <w:sz w:val="22"/>
          <w:szCs w:val="22"/>
        </w:rPr>
        <w:t>behavioral</w:t>
      </w:r>
      <w:proofErr w:type="spellEnd"/>
      <w:r w:rsidRPr="00334A2B">
        <w:rPr>
          <w:rFonts w:ascii="Arial" w:hAnsi="Arial" w:cs="Arial"/>
          <w:sz w:val="22"/>
          <w:szCs w:val="22"/>
        </w:rPr>
        <w:t xml:space="preserve"> theory with insights from clinical neuroscience', </w:t>
      </w:r>
      <w:r w:rsidRPr="00334A2B">
        <w:rPr>
          <w:rFonts w:ascii="Arial" w:hAnsi="Arial" w:cs="Arial"/>
          <w:i/>
          <w:iCs/>
          <w:sz w:val="22"/>
          <w:szCs w:val="22"/>
        </w:rPr>
        <w:t>Journal of Clinical Medicine</w:t>
      </w:r>
      <w:r w:rsidRPr="00334A2B">
        <w:rPr>
          <w:rFonts w:ascii="Arial" w:hAnsi="Arial" w:cs="Arial"/>
          <w:sz w:val="22"/>
          <w:szCs w:val="22"/>
        </w:rPr>
        <w:t xml:space="preserve">, 11(24), p. 7379. </w:t>
      </w:r>
      <w:proofErr w:type="spellStart"/>
      <w:r w:rsidRPr="00334A2B">
        <w:rPr>
          <w:rFonts w:ascii="Arial" w:hAnsi="Arial" w:cs="Arial"/>
          <w:sz w:val="22"/>
          <w:szCs w:val="22"/>
        </w:rPr>
        <w:t>doi</w:t>
      </w:r>
      <w:proofErr w:type="spellEnd"/>
      <w:r w:rsidRPr="00334A2B">
        <w:rPr>
          <w:rFonts w:ascii="Arial" w:hAnsi="Arial" w:cs="Arial"/>
          <w:sz w:val="22"/>
          <w:szCs w:val="22"/>
        </w:rPr>
        <w:t>: 10.3390/jcm11247379</w:t>
      </w:r>
    </w:p>
    <w:p w14:paraId="71177A6E" w14:textId="77777777"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 xml:space="preserve">Lovell, K., Bower, P., Gellatly, J. </w:t>
      </w:r>
      <w:r w:rsidRPr="00334A2B">
        <w:rPr>
          <w:rStyle w:val="citation-39"/>
          <w:rFonts w:ascii="Arial" w:hAnsi="Arial" w:cs="Arial"/>
          <w:i/>
          <w:iCs/>
          <w:sz w:val="22"/>
          <w:szCs w:val="22"/>
        </w:rPr>
        <w:t>et al.</w:t>
      </w:r>
      <w:r w:rsidRPr="00334A2B">
        <w:rPr>
          <w:rStyle w:val="citation-39"/>
          <w:rFonts w:ascii="Arial" w:hAnsi="Arial" w:cs="Arial"/>
          <w:sz w:val="22"/>
          <w:szCs w:val="22"/>
        </w:rPr>
        <w:t xml:space="preserve"> (2017) 'Clinical effectiveness, cost-effectiveness and acceptability of low-intensity interventions in the management of obsessive–compulsive disorder: the Obsessive–Compulsive Treatment Efficacy randomised controlled Trial (OCTE</w:t>
      </w:r>
      <w:r w:rsidRPr="00334A2B">
        <w:rPr>
          <w:rFonts w:ascii="Arial" w:hAnsi="Arial" w:cs="Arial"/>
          <w:sz w:val="22"/>
          <w:szCs w:val="22"/>
        </w:rPr>
        <w:t xml:space="preserve">T)', </w:t>
      </w:r>
      <w:r w:rsidRPr="00334A2B">
        <w:rPr>
          <w:rFonts w:ascii="Arial" w:hAnsi="Arial" w:cs="Arial"/>
          <w:i/>
          <w:iCs/>
          <w:sz w:val="22"/>
          <w:szCs w:val="22"/>
        </w:rPr>
        <w:t>NIHR Journals Library</w:t>
      </w:r>
      <w:r w:rsidRPr="00334A2B">
        <w:rPr>
          <w:rFonts w:ascii="Arial" w:hAnsi="Arial" w:cs="Arial"/>
          <w:sz w:val="22"/>
          <w:szCs w:val="22"/>
        </w:rPr>
        <w:t xml:space="preserve">. </w:t>
      </w:r>
    </w:p>
    <w:p w14:paraId="2CC0BFEE" w14:textId="77777777"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Mental Health Act 1983, c. 20 (as amended by the Mental Health Act 2025, c. 33). London: HMSO.</w:t>
      </w:r>
    </w:p>
    <w:p w14:paraId="798FCB93" w14:textId="77777777"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 xml:space="preserve">National Collaborating Centre for Mental Health (2006) </w:t>
      </w:r>
      <w:proofErr w:type="gramStart"/>
      <w:r w:rsidRPr="00334A2B">
        <w:rPr>
          <w:rFonts w:ascii="Arial" w:hAnsi="Arial" w:cs="Arial"/>
          <w:i/>
          <w:iCs/>
          <w:sz w:val="22"/>
          <w:szCs w:val="22"/>
        </w:rPr>
        <w:t>Obsessive-compulsive disorder</w:t>
      </w:r>
      <w:proofErr w:type="gramEnd"/>
      <w:r w:rsidRPr="00334A2B">
        <w:rPr>
          <w:rFonts w:ascii="Arial" w:hAnsi="Arial" w:cs="Arial"/>
          <w:i/>
          <w:iCs/>
          <w:sz w:val="22"/>
          <w:szCs w:val="22"/>
        </w:rPr>
        <w:t>: core interventions in the treatment of obsessive-compulsive disorder and body dysmorphic disorder</w:t>
      </w:r>
      <w:r w:rsidRPr="00334A2B">
        <w:rPr>
          <w:rFonts w:ascii="Arial" w:hAnsi="Arial" w:cs="Arial"/>
          <w:sz w:val="22"/>
          <w:szCs w:val="22"/>
        </w:rPr>
        <w:t>. London: British Psychological Society.</w:t>
      </w:r>
    </w:p>
    <w:p w14:paraId="1C81B67F" w14:textId="77777777"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 xml:space="preserve">NHS Digital (2025) </w:t>
      </w:r>
      <w:r w:rsidRPr="00334A2B">
        <w:rPr>
          <w:rFonts w:ascii="Arial" w:hAnsi="Arial" w:cs="Arial"/>
          <w:i/>
          <w:iCs/>
          <w:sz w:val="22"/>
          <w:szCs w:val="22"/>
        </w:rPr>
        <w:t>Common mental health conditions: adult psychiatric morbidity survey</w:t>
      </w:r>
      <w:r w:rsidRPr="00334A2B">
        <w:rPr>
          <w:rFonts w:ascii="Arial" w:hAnsi="Arial" w:cs="Arial"/>
          <w:sz w:val="22"/>
          <w:szCs w:val="22"/>
        </w:rPr>
        <w:t>. London: Health and Social Care Information Centre.</w:t>
      </w:r>
    </w:p>
    <w:p w14:paraId="3742F5C9" w14:textId="10DD4C78"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 xml:space="preserve">OCD Action (2026) </w:t>
      </w:r>
      <w:r w:rsidRPr="00334A2B">
        <w:rPr>
          <w:rFonts w:ascii="Arial" w:hAnsi="Arial" w:cs="Arial"/>
          <w:i/>
          <w:iCs/>
          <w:sz w:val="22"/>
          <w:szCs w:val="22"/>
        </w:rPr>
        <w:t>OCD isn’t a personality quirk. It’s a serious condition</w:t>
      </w:r>
      <w:r w:rsidRPr="00334A2B">
        <w:rPr>
          <w:rFonts w:ascii="Arial" w:hAnsi="Arial" w:cs="Arial"/>
          <w:sz w:val="22"/>
          <w:szCs w:val="22"/>
        </w:rPr>
        <w:t xml:space="preserve">. Available at: </w:t>
      </w:r>
      <w:hyperlink r:id="rId11" w:tgtFrame="_blank" w:history="1">
        <w:r w:rsidRPr="00334A2B">
          <w:rPr>
            <w:rStyle w:val="Hyperlink"/>
            <w:rFonts w:ascii="Arial" w:hAnsi="Arial" w:cs="Arial"/>
            <w:color w:val="auto"/>
            <w:sz w:val="22"/>
            <w:szCs w:val="22"/>
          </w:rPr>
          <w:t>https://ocdaction.org.uk/</w:t>
        </w:r>
      </w:hyperlink>
      <w:r w:rsidRPr="00334A2B">
        <w:rPr>
          <w:rFonts w:ascii="Arial" w:hAnsi="Arial" w:cs="Arial"/>
          <w:sz w:val="22"/>
          <w:szCs w:val="22"/>
        </w:rPr>
        <w:t xml:space="preserve"> (Accessed: </w:t>
      </w:r>
      <w:r w:rsidR="00613633">
        <w:rPr>
          <w:rFonts w:ascii="Arial" w:hAnsi="Arial" w:cs="Arial"/>
          <w:sz w:val="22"/>
          <w:szCs w:val="22"/>
        </w:rPr>
        <w:t>7</w:t>
      </w:r>
      <w:r w:rsidRPr="00334A2B">
        <w:rPr>
          <w:rFonts w:ascii="Arial" w:hAnsi="Arial" w:cs="Arial"/>
          <w:sz w:val="22"/>
          <w:szCs w:val="22"/>
        </w:rPr>
        <w:t xml:space="preserve"> July 2026).</w:t>
      </w:r>
    </w:p>
    <w:p w14:paraId="1EDBFD15" w14:textId="77777777"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 xml:space="preserve">Office for National Statistics (2021) </w:t>
      </w:r>
      <w:r w:rsidRPr="00334A2B">
        <w:rPr>
          <w:rFonts w:ascii="Arial" w:hAnsi="Arial" w:cs="Arial"/>
          <w:i/>
          <w:iCs/>
          <w:sz w:val="22"/>
          <w:szCs w:val="22"/>
        </w:rPr>
        <w:t>Coronavirus and the social impacts on Great Britain: mental health and wellbeing</w:t>
      </w:r>
      <w:r w:rsidRPr="00334A2B">
        <w:rPr>
          <w:rFonts w:ascii="Arial" w:hAnsi="Arial" w:cs="Arial"/>
          <w:sz w:val="22"/>
          <w:szCs w:val="22"/>
        </w:rPr>
        <w:t>. London: ONS.</w:t>
      </w:r>
    </w:p>
    <w:p w14:paraId="7888D908" w14:textId="77777777"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 xml:space="preserve">Rethink Mental Illness (2026) </w:t>
      </w:r>
      <w:r w:rsidRPr="00334A2B">
        <w:rPr>
          <w:rFonts w:ascii="Arial" w:hAnsi="Arial" w:cs="Arial"/>
          <w:i/>
          <w:iCs/>
          <w:sz w:val="22"/>
          <w:szCs w:val="22"/>
        </w:rPr>
        <w:t>Ethnic minorities and mental health: addressing barriers to care</w:t>
      </w:r>
      <w:r w:rsidRPr="00334A2B">
        <w:rPr>
          <w:rFonts w:ascii="Arial" w:hAnsi="Arial" w:cs="Arial"/>
          <w:sz w:val="22"/>
          <w:szCs w:val="22"/>
        </w:rPr>
        <w:t>. London: Rethink Press.</w:t>
      </w:r>
    </w:p>
    <w:p w14:paraId="34FAEFE8" w14:textId="0F0B220F"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 xml:space="preserve">World Health Organization (2022) </w:t>
      </w:r>
      <w:r w:rsidRPr="00334A2B">
        <w:rPr>
          <w:rFonts w:ascii="Arial" w:hAnsi="Arial" w:cs="Arial"/>
          <w:i/>
          <w:iCs/>
          <w:sz w:val="22"/>
          <w:szCs w:val="22"/>
        </w:rPr>
        <w:t>International classification of diseases, 11th revision (ICD-11)</w:t>
      </w:r>
      <w:r w:rsidRPr="00334A2B">
        <w:rPr>
          <w:rFonts w:ascii="Arial" w:hAnsi="Arial" w:cs="Arial"/>
          <w:sz w:val="22"/>
          <w:szCs w:val="22"/>
        </w:rPr>
        <w:t xml:space="preserve">. Geneva: World Health Organization. Available at: </w:t>
      </w:r>
      <w:hyperlink r:id="rId12" w:tgtFrame="_blank" w:history="1">
        <w:r w:rsidRPr="00334A2B">
          <w:rPr>
            <w:rStyle w:val="Hyperlink"/>
            <w:rFonts w:ascii="Arial" w:hAnsi="Arial" w:cs="Arial"/>
            <w:color w:val="auto"/>
            <w:sz w:val="22"/>
            <w:szCs w:val="22"/>
          </w:rPr>
          <w:t>https://icd.who.int/en</w:t>
        </w:r>
      </w:hyperlink>
      <w:r w:rsidRPr="00334A2B">
        <w:rPr>
          <w:rFonts w:ascii="Arial" w:hAnsi="Arial" w:cs="Arial"/>
          <w:sz w:val="22"/>
          <w:szCs w:val="22"/>
        </w:rPr>
        <w:t xml:space="preserve"> (Accessed: </w:t>
      </w:r>
      <w:r w:rsidR="000055DB" w:rsidRPr="00334A2B">
        <w:rPr>
          <w:rFonts w:ascii="Arial" w:hAnsi="Arial" w:cs="Arial"/>
          <w:sz w:val="22"/>
          <w:szCs w:val="22"/>
        </w:rPr>
        <w:t xml:space="preserve">3 </w:t>
      </w:r>
      <w:r w:rsidRPr="00334A2B">
        <w:rPr>
          <w:rFonts w:ascii="Arial" w:hAnsi="Arial" w:cs="Arial"/>
          <w:sz w:val="22"/>
          <w:szCs w:val="22"/>
        </w:rPr>
        <w:t>July 2026).</w:t>
      </w:r>
    </w:p>
    <w:p w14:paraId="19D2759E" w14:textId="77777777" w:rsidR="00F27577" w:rsidRPr="00334A2B" w:rsidRDefault="00F27577" w:rsidP="00F27577">
      <w:pPr>
        <w:pStyle w:val="NormalWeb"/>
        <w:spacing w:line="360" w:lineRule="auto"/>
        <w:rPr>
          <w:rFonts w:ascii="Arial" w:hAnsi="Arial" w:cs="Arial"/>
          <w:sz w:val="22"/>
          <w:szCs w:val="22"/>
        </w:rPr>
      </w:pPr>
      <w:r w:rsidRPr="00334A2B">
        <w:rPr>
          <w:rFonts w:ascii="Arial" w:hAnsi="Arial" w:cs="Arial"/>
          <w:sz w:val="22"/>
          <w:szCs w:val="22"/>
        </w:rPr>
        <w:t xml:space="preserve">World Health Organization (2021) </w:t>
      </w:r>
      <w:r w:rsidRPr="00334A2B">
        <w:rPr>
          <w:rFonts w:ascii="Arial" w:hAnsi="Arial" w:cs="Arial"/>
          <w:i/>
          <w:iCs/>
          <w:sz w:val="22"/>
          <w:szCs w:val="22"/>
        </w:rPr>
        <w:t>International statistical classification of diseases and related health problems</w:t>
      </w:r>
      <w:r w:rsidRPr="00334A2B">
        <w:rPr>
          <w:rFonts w:ascii="Arial" w:hAnsi="Arial" w:cs="Arial"/>
          <w:sz w:val="22"/>
          <w:szCs w:val="22"/>
        </w:rPr>
        <w:t xml:space="preserve">. 11th </w:t>
      </w:r>
      <w:proofErr w:type="spellStart"/>
      <w:r w:rsidRPr="00334A2B">
        <w:rPr>
          <w:rFonts w:ascii="Arial" w:hAnsi="Arial" w:cs="Arial"/>
          <w:sz w:val="22"/>
          <w:szCs w:val="22"/>
        </w:rPr>
        <w:t>edn</w:t>
      </w:r>
      <w:proofErr w:type="spellEnd"/>
      <w:r w:rsidRPr="00334A2B">
        <w:rPr>
          <w:rFonts w:ascii="Arial" w:hAnsi="Arial" w:cs="Arial"/>
          <w:sz w:val="22"/>
          <w:szCs w:val="22"/>
        </w:rPr>
        <w:t>. Geneva: World Health Organization.</w:t>
      </w:r>
    </w:p>
    <w:p w14:paraId="544F5F1C" w14:textId="77777777" w:rsidR="00392360" w:rsidRDefault="00392360" w:rsidP="00392360"/>
    <w:sectPr w:rsidR="0039236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473DE7" w14:textId="77777777" w:rsidR="00317483" w:rsidRDefault="00317483" w:rsidP="00DE56FA">
      <w:pPr>
        <w:spacing w:after="0" w:line="240" w:lineRule="auto"/>
      </w:pPr>
      <w:r>
        <w:separator/>
      </w:r>
    </w:p>
  </w:endnote>
  <w:endnote w:type="continuationSeparator" w:id="0">
    <w:p w14:paraId="4E3E6FDC" w14:textId="77777777" w:rsidR="00317483" w:rsidRDefault="00317483" w:rsidP="00DE5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3114876"/>
      <w:docPartObj>
        <w:docPartGallery w:val="Page Numbers (Bottom of Page)"/>
        <w:docPartUnique/>
      </w:docPartObj>
    </w:sdtPr>
    <w:sdtEndPr>
      <w:rPr>
        <w:noProof/>
      </w:rPr>
    </w:sdtEndPr>
    <w:sdtContent>
      <w:p w14:paraId="0847ED07" w14:textId="6488E2CF" w:rsidR="00DE56FA" w:rsidRDefault="00DE56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CFE56D" w14:textId="77777777" w:rsidR="00DE56FA" w:rsidRDefault="00DE56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FDBF31" w14:textId="77777777" w:rsidR="00317483" w:rsidRDefault="00317483" w:rsidP="00DE56FA">
      <w:pPr>
        <w:spacing w:after="0" w:line="240" w:lineRule="auto"/>
      </w:pPr>
      <w:r>
        <w:separator/>
      </w:r>
    </w:p>
  </w:footnote>
  <w:footnote w:type="continuationSeparator" w:id="0">
    <w:p w14:paraId="3FF400CA" w14:textId="77777777" w:rsidR="00317483" w:rsidRDefault="00317483" w:rsidP="00DE56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C604D"/>
    <w:multiLevelType w:val="multilevel"/>
    <w:tmpl w:val="67C0B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C7721B"/>
    <w:multiLevelType w:val="multilevel"/>
    <w:tmpl w:val="9A265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1927EA"/>
    <w:multiLevelType w:val="multilevel"/>
    <w:tmpl w:val="CECE6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CE6439"/>
    <w:multiLevelType w:val="multilevel"/>
    <w:tmpl w:val="40347F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7E547E1"/>
    <w:multiLevelType w:val="multilevel"/>
    <w:tmpl w:val="68A88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4414D81"/>
    <w:multiLevelType w:val="multilevel"/>
    <w:tmpl w:val="1D3A81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51825049">
    <w:abstractNumId w:val="3"/>
  </w:num>
  <w:num w:numId="2" w16cid:durableId="359018928">
    <w:abstractNumId w:val="5"/>
  </w:num>
  <w:num w:numId="3" w16cid:durableId="2046522480">
    <w:abstractNumId w:val="1"/>
  </w:num>
  <w:num w:numId="4" w16cid:durableId="784539370">
    <w:abstractNumId w:val="2"/>
  </w:num>
  <w:num w:numId="5" w16cid:durableId="1515998100">
    <w:abstractNumId w:val="4"/>
  </w:num>
  <w:num w:numId="6" w16cid:durableId="15144135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6FA"/>
    <w:rsid w:val="000055DB"/>
    <w:rsid w:val="00012469"/>
    <w:rsid w:val="000933CB"/>
    <w:rsid w:val="000D6F24"/>
    <w:rsid w:val="00130389"/>
    <w:rsid w:val="00157DEC"/>
    <w:rsid w:val="001C66B9"/>
    <w:rsid w:val="001E2691"/>
    <w:rsid w:val="002E1C8F"/>
    <w:rsid w:val="002E3F71"/>
    <w:rsid w:val="00317483"/>
    <w:rsid w:val="00334A2B"/>
    <w:rsid w:val="00347B07"/>
    <w:rsid w:val="00392360"/>
    <w:rsid w:val="003B2F7D"/>
    <w:rsid w:val="003F311F"/>
    <w:rsid w:val="004658BB"/>
    <w:rsid w:val="004B46BE"/>
    <w:rsid w:val="005019E2"/>
    <w:rsid w:val="00531994"/>
    <w:rsid w:val="0060291A"/>
    <w:rsid w:val="00613633"/>
    <w:rsid w:val="00666EF2"/>
    <w:rsid w:val="00674B99"/>
    <w:rsid w:val="006B22C1"/>
    <w:rsid w:val="006D7EE9"/>
    <w:rsid w:val="00740AF7"/>
    <w:rsid w:val="00784B02"/>
    <w:rsid w:val="00825EC8"/>
    <w:rsid w:val="00882006"/>
    <w:rsid w:val="008F501B"/>
    <w:rsid w:val="00964B59"/>
    <w:rsid w:val="0099110A"/>
    <w:rsid w:val="009940E0"/>
    <w:rsid w:val="009A75FC"/>
    <w:rsid w:val="00A3663D"/>
    <w:rsid w:val="00A36B28"/>
    <w:rsid w:val="00A7402D"/>
    <w:rsid w:val="00AD394E"/>
    <w:rsid w:val="00B3225A"/>
    <w:rsid w:val="00B945A3"/>
    <w:rsid w:val="00BB60E3"/>
    <w:rsid w:val="00CF58B7"/>
    <w:rsid w:val="00D06E2B"/>
    <w:rsid w:val="00D26FB1"/>
    <w:rsid w:val="00D66E21"/>
    <w:rsid w:val="00D739A2"/>
    <w:rsid w:val="00DA0363"/>
    <w:rsid w:val="00DB21F5"/>
    <w:rsid w:val="00DD0626"/>
    <w:rsid w:val="00DE56FA"/>
    <w:rsid w:val="00E21F6A"/>
    <w:rsid w:val="00EB5464"/>
    <w:rsid w:val="00EB6DC4"/>
    <w:rsid w:val="00F01BF8"/>
    <w:rsid w:val="00F27577"/>
    <w:rsid w:val="00FC52B1"/>
    <w:rsid w:val="00FE1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B1D12"/>
  <w15:chartTrackingRefBased/>
  <w15:docId w15:val="{73EE5A14-2BED-40A2-A676-09F379ED4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56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56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56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56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56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56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6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6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6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6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56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56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56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56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56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56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56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56FA"/>
    <w:rPr>
      <w:rFonts w:eastAsiaTheme="majorEastAsia" w:cstheme="majorBidi"/>
      <w:color w:val="272727" w:themeColor="text1" w:themeTint="D8"/>
    </w:rPr>
  </w:style>
  <w:style w:type="paragraph" w:styleId="Title">
    <w:name w:val="Title"/>
    <w:basedOn w:val="Normal"/>
    <w:next w:val="Normal"/>
    <w:link w:val="TitleChar"/>
    <w:uiPriority w:val="10"/>
    <w:qFormat/>
    <w:rsid w:val="00DE56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6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56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6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6FA"/>
    <w:pPr>
      <w:spacing w:before="160"/>
      <w:jc w:val="center"/>
    </w:pPr>
    <w:rPr>
      <w:i/>
      <w:iCs/>
      <w:color w:val="404040" w:themeColor="text1" w:themeTint="BF"/>
    </w:rPr>
  </w:style>
  <w:style w:type="character" w:customStyle="1" w:styleId="QuoteChar">
    <w:name w:val="Quote Char"/>
    <w:basedOn w:val="DefaultParagraphFont"/>
    <w:link w:val="Quote"/>
    <w:uiPriority w:val="29"/>
    <w:rsid w:val="00DE56FA"/>
    <w:rPr>
      <w:i/>
      <w:iCs/>
      <w:color w:val="404040" w:themeColor="text1" w:themeTint="BF"/>
    </w:rPr>
  </w:style>
  <w:style w:type="paragraph" w:styleId="ListParagraph">
    <w:name w:val="List Paragraph"/>
    <w:basedOn w:val="Normal"/>
    <w:uiPriority w:val="34"/>
    <w:qFormat/>
    <w:rsid w:val="00DE56FA"/>
    <w:pPr>
      <w:ind w:left="720"/>
      <w:contextualSpacing/>
    </w:pPr>
  </w:style>
  <w:style w:type="character" w:styleId="IntenseEmphasis">
    <w:name w:val="Intense Emphasis"/>
    <w:basedOn w:val="DefaultParagraphFont"/>
    <w:uiPriority w:val="21"/>
    <w:qFormat/>
    <w:rsid w:val="00DE56FA"/>
    <w:rPr>
      <w:i/>
      <w:iCs/>
      <w:color w:val="0F4761" w:themeColor="accent1" w:themeShade="BF"/>
    </w:rPr>
  </w:style>
  <w:style w:type="paragraph" w:styleId="IntenseQuote">
    <w:name w:val="Intense Quote"/>
    <w:basedOn w:val="Normal"/>
    <w:next w:val="Normal"/>
    <w:link w:val="IntenseQuoteChar"/>
    <w:uiPriority w:val="30"/>
    <w:qFormat/>
    <w:rsid w:val="00DE56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6FA"/>
    <w:rPr>
      <w:i/>
      <w:iCs/>
      <w:color w:val="0F4761" w:themeColor="accent1" w:themeShade="BF"/>
    </w:rPr>
  </w:style>
  <w:style w:type="character" w:styleId="IntenseReference">
    <w:name w:val="Intense Reference"/>
    <w:basedOn w:val="DefaultParagraphFont"/>
    <w:uiPriority w:val="32"/>
    <w:qFormat/>
    <w:rsid w:val="00DE56FA"/>
    <w:rPr>
      <w:b/>
      <w:bCs/>
      <w:smallCaps/>
      <w:color w:val="0F4761" w:themeColor="accent1" w:themeShade="BF"/>
      <w:spacing w:val="5"/>
    </w:rPr>
  </w:style>
  <w:style w:type="paragraph" w:styleId="Header">
    <w:name w:val="header"/>
    <w:basedOn w:val="Normal"/>
    <w:link w:val="HeaderChar"/>
    <w:uiPriority w:val="99"/>
    <w:unhideWhenUsed/>
    <w:rsid w:val="00DE5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6FA"/>
  </w:style>
  <w:style w:type="paragraph" w:styleId="Footer">
    <w:name w:val="footer"/>
    <w:basedOn w:val="Normal"/>
    <w:link w:val="FooterChar"/>
    <w:uiPriority w:val="99"/>
    <w:unhideWhenUsed/>
    <w:rsid w:val="00DE5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6FA"/>
  </w:style>
  <w:style w:type="paragraph" w:styleId="NormalWeb">
    <w:name w:val="Normal (Web)"/>
    <w:basedOn w:val="Normal"/>
    <w:uiPriority w:val="99"/>
    <w:unhideWhenUsed/>
    <w:rsid w:val="0039236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392360"/>
    <w:rPr>
      <w:color w:val="0000FF"/>
      <w:u w:val="single"/>
    </w:rPr>
  </w:style>
  <w:style w:type="character" w:customStyle="1" w:styleId="citation-514">
    <w:name w:val="citation-514"/>
    <w:basedOn w:val="DefaultParagraphFont"/>
    <w:rsid w:val="0060291A"/>
  </w:style>
  <w:style w:type="character" w:customStyle="1" w:styleId="citation-513">
    <w:name w:val="citation-513"/>
    <w:basedOn w:val="DefaultParagraphFont"/>
    <w:rsid w:val="0060291A"/>
  </w:style>
  <w:style w:type="character" w:customStyle="1" w:styleId="citation-39">
    <w:name w:val="citation-39"/>
    <w:basedOn w:val="DefaultParagraphFont"/>
    <w:rsid w:val="00F275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icd.who.int/e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ocdaction.org.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2" ma:contentTypeDescription="Create a new document." ma:contentTypeScope="" ma:versionID="139bf1d4e6e6f02805a90d7126cd9cfa">
  <xsd:schema xmlns:xsd="http://www.w3.org/2001/XMLSchema" xmlns:xs="http://www.w3.org/2001/XMLSchema" xmlns:p="http://schemas.microsoft.com/office/2006/metadata/properties" xmlns:ns3="6642d537-5170-4cd9-a3f2-9ec198ee3eac" targetNamespace="http://schemas.microsoft.com/office/2006/metadata/properties" ma:root="true" ma:fieldsID="d141eafac75bad00fe925901508014e9"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E9864507-D198-4A61-BBC0-00C8955993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CC6352-7808-420C-BF83-AA3CEF905013}">
  <ds:schemaRefs>
    <ds:schemaRef ds:uri="http://schemas.microsoft.com/sharepoint/v3/contenttype/forms"/>
  </ds:schemaRefs>
</ds:datastoreItem>
</file>

<file path=customXml/itemProps3.xml><?xml version="1.0" encoding="utf-8"?>
<ds:datastoreItem xmlns:ds="http://schemas.openxmlformats.org/officeDocument/2006/customXml" ds:itemID="{D1C6D0F5-6396-409A-8E3A-9F8B1D003CAF}">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482</TotalTime>
  <Pages>11</Pages>
  <Words>3098</Words>
  <Characters>17664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Susannah Moriarty (2331924)</dc:creator>
  <cp:keywords/>
  <dc:description/>
  <cp:lastModifiedBy>Susannah Moriarty (2331924)</cp:lastModifiedBy>
  <cp:revision>27</cp:revision>
  <dcterms:created xsi:type="dcterms:W3CDTF">2026-07-18T11:14:00Z</dcterms:created>
  <dcterms:modified xsi:type="dcterms:W3CDTF">2026-07-18T20:52:00Z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