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5DA95248" w:rsidP="193EC07D" w:rsidRDefault="5DA95248" w14:paraId="7E5335D6" w14:textId="3993F595">
      <w:pPr>
        <w:pStyle w:val="Normal"/>
        <w:spacing w:before="0" w:beforeAutospacing="off" w:after="160" w:afterAutospacing="off" w:line="480" w:lineRule="auto"/>
        <w:jc w:val="center"/>
        <w:rPr>
          <w:rFonts w:ascii="Arial" w:hAnsi="Arial" w:eastAsia="Arial" w:cs="Arial"/>
          <w:sz w:val="24"/>
          <w:szCs w:val="24"/>
        </w:rPr>
      </w:pPr>
      <w:r w:rsidRPr="193EC07D" w:rsidR="5DA95248">
        <w:rPr>
          <w:rFonts w:ascii="Arial" w:hAnsi="Arial" w:eastAsia="Arial" w:cs="Arial"/>
          <w:sz w:val="24"/>
          <w:szCs w:val="24"/>
        </w:rPr>
        <w:t xml:space="preserve">Police, </w:t>
      </w:r>
      <w:r w:rsidRPr="193EC07D" w:rsidR="5DA95248">
        <w:rPr>
          <w:rFonts w:ascii="Arial" w:hAnsi="Arial" w:eastAsia="Arial" w:cs="Arial"/>
          <w:sz w:val="24"/>
          <w:szCs w:val="24"/>
        </w:rPr>
        <w:t>policing</w:t>
      </w:r>
      <w:r w:rsidRPr="193EC07D" w:rsidR="5DA95248">
        <w:rPr>
          <w:rFonts w:ascii="Arial" w:hAnsi="Arial" w:eastAsia="Arial" w:cs="Arial"/>
          <w:sz w:val="24"/>
          <w:szCs w:val="24"/>
        </w:rPr>
        <w:t xml:space="preserve"> and society</w:t>
      </w:r>
      <w:r w:rsidRPr="193EC07D" w:rsidR="7470C338">
        <w:rPr>
          <w:rFonts w:ascii="Arial" w:hAnsi="Arial" w:eastAsia="Arial" w:cs="Arial"/>
          <w:sz w:val="24"/>
          <w:szCs w:val="24"/>
        </w:rPr>
        <w:t xml:space="preserve"> (BMCP5005) assignment 1</w:t>
      </w:r>
      <w:r w:rsidRPr="193EC07D" w:rsidR="5DA95248">
        <w:rPr>
          <w:rFonts w:ascii="Arial" w:hAnsi="Arial" w:eastAsia="Arial" w:cs="Arial"/>
          <w:sz w:val="24"/>
          <w:szCs w:val="24"/>
        </w:rPr>
        <w:t xml:space="preserve"> </w:t>
      </w:r>
    </w:p>
    <w:p w:rsidR="5DA95248" w:rsidP="77AF214D" w:rsidRDefault="5DA95248" w14:paraId="1DA25BF8" w14:textId="1A3A1212">
      <w:pPr>
        <w:pStyle w:val="Normal"/>
        <w:spacing w:before="0" w:beforeAutospacing="off" w:after="160" w:afterAutospacing="off" w:line="480" w:lineRule="auto"/>
        <w:jc w:val="center"/>
        <w:rPr>
          <w:rFonts w:ascii="Arial" w:hAnsi="Arial" w:eastAsia="Arial" w:cs="Arial"/>
          <w:noProof w:val="0"/>
          <w:sz w:val="24"/>
          <w:szCs w:val="24"/>
          <w:lang w:val="en-GB"/>
        </w:rPr>
      </w:pPr>
      <w:r w:rsidRPr="193EC07D" w:rsidR="5DA95248">
        <w:rPr>
          <w:rFonts w:ascii="Arial" w:hAnsi="Arial" w:eastAsia="Arial" w:cs="Arial"/>
          <w:sz w:val="24"/>
          <w:szCs w:val="24"/>
        </w:rPr>
        <w:t xml:space="preserve">Ahmad Habib </w:t>
      </w:r>
    </w:p>
    <w:p w:rsidR="2989D585" w:rsidP="77AF214D" w:rsidRDefault="2989D585" w14:paraId="7D3570C2" w14:textId="367A691A">
      <w:pPr>
        <w:pStyle w:val="Normal"/>
        <w:spacing w:before="0" w:beforeAutospacing="off" w:after="160" w:afterAutospacing="off" w:line="480" w:lineRule="auto"/>
        <w:jc w:val="center"/>
        <w:rPr>
          <w:rFonts w:ascii="Arial" w:hAnsi="Arial" w:eastAsia="Arial" w:cs="Arial"/>
          <w:noProof w:val="0"/>
          <w:sz w:val="24"/>
          <w:szCs w:val="24"/>
          <w:lang w:val="en-GB"/>
        </w:rPr>
      </w:pPr>
      <w:r w:rsidRPr="193EC07D" w:rsidR="2989D585">
        <w:rPr>
          <w:rFonts w:ascii="Arial" w:hAnsi="Arial" w:eastAsia="Arial" w:cs="Arial"/>
          <w:sz w:val="24"/>
          <w:szCs w:val="24"/>
        </w:rPr>
        <w:t>(2317248)</w:t>
      </w:r>
    </w:p>
    <w:p w:rsidR="77AF214D" w:rsidP="77AF214D" w:rsidRDefault="77AF214D" w14:paraId="35829DC2" w14:textId="49AFE363">
      <w:pPr>
        <w:pStyle w:val="Normal"/>
        <w:spacing w:before="0" w:beforeAutospacing="off" w:after="160" w:afterAutospacing="off" w:line="480" w:lineRule="auto"/>
        <w:jc w:val="center"/>
        <w:rPr>
          <w:rFonts w:ascii="Arial" w:hAnsi="Arial" w:eastAsia="Arial" w:cs="Arial"/>
          <w:noProof w:val="0"/>
          <w:sz w:val="24"/>
          <w:szCs w:val="24"/>
          <w:lang w:val="en-GB"/>
        </w:rPr>
      </w:pPr>
    </w:p>
    <w:p w:rsidR="77AF214D" w:rsidP="193EC07D" w:rsidRDefault="77AF214D" w14:paraId="24C64D74" w14:textId="583C6503">
      <w:pPr>
        <w:spacing w:before="0" w:beforeAutospacing="off" w:after="160" w:afterAutospacing="off" w:line="480" w:lineRule="auto"/>
        <w:rPr>
          <w:rFonts w:ascii="Arial" w:hAnsi="Arial" w:eastAsia="Arial" w:cs="Arial"/>
          <w:sz w:val="24"/>
          <w:szCs w:val="24"/>
        </w:rPr>
      </w:pPr>
      <w:r w:rsidRPr="193EC07D" w:rsidR="0B23837B">
        <w:rPr>
          <w:rFonts w:ascii="Arial" w:hAnsi="Arial" w:eastAsia="Arial" w:cs="Arial"/>
          <w:sz w:val="24"/>
          <w:szCs w:val="24"/>
        </w:rPr>
        <w:t>According to Parsons (1991</w:t>
      </w:r>
      <w:r w:rsidRPr="193EC07D" w:rsidR="47E2E3E9">
        <w:rPr>
          <w:rFonts w:ascii="Arial" w:hAnsi="Arial" w:eastAsia="Arial" w:cs="Arial"/>
          <w:sz w:val="24"/>
          <w:szCs w:val="24"/>
        </w:rPr>
        <w:t>:250</w:t>
      </w:r>
      <w:r w:rsidRPr="193EC07D" w:rsidR="0B23837B">
        <w:rPr>
          <w:rFonts w:ascii="Arial" w:hAnsi="Arial" w:eastAsia="Arial" w:cs="Arial"/>
          <w:sz w:val="24"/>
          <w:szCs w:val="24"/>
        </w:rPr>
        <w:t>). Social control refers to how societies regulate individual and group behaviour to ensure conformity to norms and values. Parsons saw the existence of deviance as a naturally occurring factor that</w:t>
      </w:r>
      <w:r w:rsidRPr="193EC07D" w:rsidR="0B23837B">
        <w:rPr>
          <w:rFonts w:ascii="Arial" w:hAnsi="Arial" w:eastAsia="Arial" w:cs="Arial"/>
          <w:sz w:val="24"/>
          <w:szCs w:val="24"/>
        </w:rPr>
        <w:t xml:space="preserve"> necessitate</w:t>
      </w:r>
      <w:r w:rsidRPr="193EC07D" w:rsidR="0B23837B">
        <w:rPr>
          <w:rFonts w:ascii="Arial" w:hAnsi="Arial" w:eastAsia="Arial" w:cs="Arial"/>
          <w:sz w:val="24"/>
          <w:szCs w:val="24"/>
        </w:rPr>
        <w:t>d social control. That is the inclination of individuals or groups to act in ways that disrupt the balance of the social system. Thus, social control, according to Parsons, is the attempt to restore that equilibrium. Since all societies have standards for conduct, mechanisms to</w:t>
      </w:r>
      <w:r w:rsidRPr="193EC07D" w:rsidR="0B23837B">
        <w:rPr>
          <w:rFonts w:ascii="Arial" w:hAnsi="Arial" w:eastAsia="Arial" w:cs="Arial"/>
          <w:sz w:val="24"/>
          <w:szCs w:val="24"/>
        </w:rPr>
        <w:t xml:space="preserve"> maintai</w:t>
      </w:r>
      <w:r w:rsidRPr="193EC07D" w:rsidR="0B23837B">
        <w:rPr>
          <w:rFonts w:ascii="Arial" w:hAnsi="Arial" w:eastAsia="Arial" w:cs="Arial"/>
          <w:sz w:val="24"/>
          <w:szCs w:val="24"/>
        </w:rPr>
        <w:t>n order and address deviance are essential, making social control a universal aspect of society. At the heart of this issue is whether social control is best achieved through consent or control. However, policing is</w:t>
      </w:r>
      <w:r w:rsidRPr="193EC07D" w:rsidR="0B23837B">
        <w:rPr>
          <w:rFonts w:ascii="Arial" w:hAnsi="Arial" w:eastAsia="Arial" w:cs="Arial"/>
          <w:sz w:val="24"/>
          <w:szCs w:val="24"/>
        </w:rPr>
        <w:t xml:space="preserve"> arguably th</w:t>
      </w:r>
      <w:r w:rsidRPr="193EC07D" w:rsidR="0B23837B">
        <w:rPr>
          <w:rFonts w:ascii="Arial" w:hAnsi="Arial" w:eastAsia="Arial" w:cs="Arial"/>
          <w:sz w:val="24"/>
          <w:szCs w:val="24"/>
        </w:rPr>
        <w:t xml:space="preserve">e most overt form of social control in society. In the United Kingdom, policing has always involved balancing keeping order and gaining public support. This essay examines the concept of policing by consent, including its development from the Victorian Reforms till date, the failures of control-based approaches, and the modern approach with its challenges. In addition, it argues that social control has been more easily achieved through consent than control. </w:t>
      </w:r>
    </w:p>
    <w:p w:rsidR="77AF214D" w:rsidP="193EC07D" w:rsidRDefault="77AF214D" w14:paraId="005F6025" w14:textId="33DF65FE">
      <w:pPr>
        <w:pStyle w:val="Normal"/>
        <w:spacing w:before="0" w:beforeAutospacing="off" w:after="160" w:afterAutospacing="off" w:line="480" w:lineRule="auto"/>
      </w:pPr>
      <w:r w:rsidRPr="193EC07D" w:rsidR="0B23837B">
        <w:rPr>
          <w:rFonts w:ascii="Arial" w:hAnsi="Arial" w:eastAsia="Arial" w:cs="Arial"/>
          <w:sz w:val="24"/>
          <w:szCs w:val="24"/>
        </w:rPr>
        <w:t xml:space="preserve">As earlier defined, social control is how society keeps its members within the dictates of its norms and values. Commentators on social rules have come to view social control formally and informally. Social control involves formal institutions responsible for maintaining order, such as the police, the justice system, and various bureaucratic agencies that oversee essential aspects of modern life (Waddington, 1999). Informal social control, on the other hand, is not necessarily anchored on safeguarding law and order but may include varied forms of influence. The agents include anyone who influences others in everyday interactions, such as parents, neighbours, gang leaders, merchants, and bystanders (Waddington, 1999). </w:t>
      </w:r>
    </w:p>
    <w:p w:rsidR="77AF214D" w:rsidP="193EC07D" w:rsidRDefault="77AF214D" w14:paraId="385C5D4A" w14:textId="0109EC99">
      <w:pPr>
        <w:pStyle w:val="Normal"/>
        <w:spacing w:before="0" w:beforeAutospacing="off" w:after="160" w:afterAutospacing="off" w:line="480" w:lineRule="auto"/>
      </w:pPr>
      <w:r w:rsidRPr="193EC07D" w:rsidR="0B23837B">
        <w:rPr>
          <w:rFonts w:ascii="Arial" w:hAnsi="Arial" w:eastAsia="Arial" w:cs="Arial"/>
          <w:sz w:val="24"/>
          <w:szCs w:val="24"/>
        </w:rPr>
        <w:t xml:space="preserve">Another angle of viewing social control is the context of the cultures in which it </w:t>
      </w:r>
      <w:r w:rsidRPr="193EC07D" w:rsidR="0B23837B">
        <w:rPr>
          <w:rFonts w:ascii="Arial" w:hAnsi="Arial" w:eastAsia="Arial" w:cs="Arial"/>
          <w:sz w:val="24"/>
          <w:szCs w:val="24"/>
        </w:rPr>
        <w:t>operates</w:t>
      </w:r>
      <w:r w:rsidRPr="193EC07D" w:rsidR="0B23837B">
        <w:rPr>
          <w:rFonts w:ascii="Arial" w:hAnsi="Arial" w:eastAsia="Arial" w:cs="Arial"/>
          <w:sz w:val="24"/>
          <w:szCs w:val="24"/>
        </w:rPr>
        <w:t xml:space="preserve">. According to Gelfand (2011), there are tight and loose cultures. The former is a society with strict norms; hence, institutions of control enforce strict socialisation, limiting acceptable behaviour. In contrast, loose cultures are more liberal, allowing a wide range of permissible behaviours; hence, their institutions promote broader </w:t>
      </w:r>
      <w:r w:rsidRPr="193EC07D" w:rsidR="6F480C5C">
        <w:rPr>
          <w:rFonts w:ascii="Arial" w:hAnsi="Arial" w:eastAsia="Arial" w:cs="Arial"/>
          <w:sz w:val="24"/>
          <w:szCs w:val="24"/>
        </w:rPr>
        <w:t>socialisation</w:t>
      </w:r>
      <w:r w:rsidRPr="193EC07D" w:rsidR="0B23837B">
        <w:rPr>
          <w:rFonts w:ascii="Arial" w:hAnsi="Arial" w:eastAsia="Arial" w:cs="Arial"/>
          <w:sz w:val="24"/>
          <w:szCs w:val="24"/>
        </w:rPr>
        <w:t xml:space="preserve">. Gelfand et al., 2011). </w:t>
      </w:r>
    </w:p>
    <w:p w:rsidR="77AF214D" w:rsidP="193EC07D" w:rsidRDefault="77AF214D" w14:paraId="27F53CEC" w14:textId="1A70CEA4">
      <w:pPr>
        <w:pStyle w:val="Normal"/>
        <w:spacing w:before="0" w:beforeAutospacing="off" w:after="160" w:afterAutospacing="off" w:line="480" w:lineRule="auto"/>
      </w:pPr>
      <w:r w:rsidRPr="193EC07D" w:rsidR="0B23837B">
        <w:rPr>
          <w:rFonts w:ascii="Arial" w:hAnsi="Arial" w:eastAsia="Arial" w:cs="Arial"/>
          <w:sz w:val="24"/>
          <w:szCs w:val="24"/>
        </w:rPr>
        <w:t>The concept of ‘policing by consent’ is synonymous with British policing captured in Sir Robert Peel's ‘Nine Principles of Policing</w:t>
      </w:r>
      <w:r w:rsidRPr="193EC07D" w:rsidR="0B23837B">
        <w:rPr>
          <w:rFonts w:ascii="Arial" w:hAnsi="Arial" w:eastAsia="Arial" w:cs="Arial"/>
          <w:sz w:val="24"/>
          <w:szCs w:val="24"/>
        </w:rPr>
        <w:t>’.</w:t>
      </w:r>
      <w:r w:rsidRPr="193EC07D" w:rsidR="0B23837B">
        <w:rPr>
          <w:rFonts w:ascii="Arial" w:hAnsi="Arial" w:eastAsia="Arial" w:cs="Arial"/>
          <w:sz w:val="24"/>
          <w:szCs w:val="24"/>
        </w:rPr>
        <w:t xml:space="preserve"> Although scholars argue that they were not written explicitly by Sir Robert Peel but derived from a set of rules he issued to new officers publicly printed as the "General Instructions" in 1829. It is believed that Charles Rowan and Richard Mayne, who served as Commissioners of the Metropolitan Police at </w:t>
      </w:r>
      <w:r w:rsidRPr="193EC07D" w:rsidR="0B23837B">
        <w:rPr>
          <w:rFonts w:ascii="Arial" w:hAnsi="Arial" w:eastAsia="Arial" w:cs="Arial"/>
          <w:sz w:val="24"/>
          <w:szCs w:val="24"/>
        </w:rPr>
        <w:t>different times</w:t>
      </w:r>
      <w:r w:rsidRPr="193EC07D" w:rsidR="0B23837B">
        <w:rPr>
          <w:rFonts w:ascii="Arial" w:hAnsi="Arial" w:eastAsia="Arial" w:cs="Arial"/>
          <w:sz w:val="24"/>
          <w:szCs w:val="24"/>
        </w:rPr>
        <w:t>, composed them. Popularly known as the ‘</w:t>
      </w:r>
      <w:r w:rsidRPr="193EC07D" w:rsidR="0B23837B">
        <w:rPr>
          <w:rFonts w:ascii="Arial" w:hAnsi="Arial" w:eastAsia="Arial" w:cs="Arial"/>
          <w:sz w:val="24"/>
          <w:szCs w:val="24"/>
        </w:rPr>
        <w:t>Peelian</w:t>
      </w:r>
      <w:r w:rsidRPr="193EC07D" w:rsidR="0B23837B">
        <w:rPr>
          <w:rFonts w:ascii="Arial" w:hAnsi="Arial" w:eastAsia="Arial" w:cs="Arial"/>
          <w:sz w:val="24"/>
          <w:szCs w:val="24"/>
        </w:rPr>
        <w:t xml:space="preserve"> Principles</w:t>
      </w:r>
      <w:r w:rsidRPr="193EC07D" w:rsidR="0B23837B">
        <w:rPr>
          <w:rFonts w:ascii="Arial" w:hAnsi="Arial" w:eastAsia="Arial" w:cs="Arial"/>
          <w:sz w:val="24"/>
          <w:szCs w:val="24"/>
        </w:rPr>
        <w:t>’,</w:t>
      </w:r>
      <w:r w:rsidRPr="193EC07D" w:rsidR="0B23837B">
        <w:rPr>
          <w:rFonts w:ascii="Arial" w:hAnsi="Arial" w:eastAsia="Arial" w:cs="Arial"/>
          <w:sz w:val="24"/>
          <w:szCs w:val="24"/>
        </w:rPr>
        <w:t xml:space="preserve"> these ideas laid the foundation of British policing as the London Metropolitan Police was being </w:t>
      </w:r>
      <w:r w:rsidRPr="193EC07D" w:rsidR="0B23837B">
        <w:rPr>
          <w:rFonts w:ascii="Arial" w:hAnsi="Arial" w:eastAsia="Arial" w:cs="Arial"/>
          <w:sz w:val="24"/>
          <w:szCs w:val="24"/>
        </w:rPr>
        <w:t>established</w:t>
      </w:r>
      <w:r w:rsidRPr="193EC07D" w:rsidR="0B23837B">
        <w:rPr>
          <w:rFonts w:ascii="Arial" w:hAnsi="Arial" w:eastAsia="Arial" w:cs="Arial"/>
          <w:sz w:val="24"/>
          <w:szCs w:val="24"/>
        </w:rPr>
        <w:t xml:space="preserve"> in 1829. Peel emphasised that "the police are the public and the public are the police," meaning police legitimacy arises from public cooperation and trust, not coercive power. This model is founded in the social contract theory, which posits that individuals explicitly or implicitly enter a contract with the government to surrender some of their freedoms and </w:t>
      </w:r>
      <w:r w:rsidRPr="193EC07D" w:rsidR="0B23837B">
        <w:rPr>
          <w:rFonts w:ascii="Arial" w:hAnsi="Arial" w:eastAsia="Arial" w:cs="Arial"/>
          <w:sz w:val="24"/>
          <w:szCs w:val="24"/>
        </w:rPr>
        <w:t>submit</w:t>
      </w:r>
      <w:r w:rsidRPr="193EC07D" w:rsidR="0B23837B">
        <w:rPr>
          <w:rFonts w:ascii="Arial" w:hAnsi="Arial" w:eastAsia="Arial" w:cs="Arial"/>
          <w:sz w:val="24"/>
          <w:szCs w:val="24"/>
        </w:rPr>
        <w:t xml:space="preserve"> to authority in exchange for protection and social order (Huemer, 2013). Reich (1956</w:t>
      </w:r>
      <w:r w:rsidRPr="193EC07D" w:rsidR="5621EBCC">
        <w:rPr>
          <w:rFonts w:ascii="Arial" w:hAnsi="Arial" w:eastAsia="Arial" w:cs="Arial"/>
          <w:sz w:val="24"/>
          <w:szCs w:val="24"/>
        </w:rPr>
        <w:t xml:space="preserve">: </w:t>
      </w:r>
      <w:r w:rsidRPr="193EC07D" w:rsidR="0B23837B">
        <w:rPr>
          <w:rFonts w:ascii="Arial" w:hAnsi="Arial" w:eastAsia="Arial" w:cs="Arial"/>
          <w:sz w:val="24"/>
          <w:szCs w:val="24"/>
        </w:rPr>
        <w:t xml:space="preserve">140) noted that Peel’s conception of a police force was ‘unique in history and throughout the world because it derived not from fear but almost exclusively from public co-operation with the police, induced by them designedly by behaviour that secures and maintains for them the approval, respect, and affection of the public’. The opposite would be policing by control, which according to Waddington (1999) is "the exercise of the authority of the state over the civil population” and that the state legitimately </w:t>
      </w:r>
      <w:r w:rsidRPr="193EC07D" w:rsidR="0B23837B">
        <w:rPr>
          <w:rFonts w:ascii="Arial" w:hAnsi="Arial" w:eastAsia="Arial" w:cs="Arial"/>
          <w:sz w:val="24"/>
          <w:szCs w:val="24"/>
        </w:rPr>
        <w:t>possesses</w:t>
      </w:r>
      <w:r w:rsidRPr="193EC07D" w:rsidR="0B23837B">
        <w:rPr>
          <w:rFonts w:ascii="Arial" w:hAnsi="Arial" w:eastAsia="Arial" w:cs="Arial"/>
          <w:sz w:val="24"/>
          <w:szCs w:val="24"/>
        </w:rPr>
        <w:t xml:space="preserve"> the monopoly of coercion. </w:t>
      </w:r>
    </w:p>
    <w:p w:rsidR="77AF214D" w:rsidP="193EC07D" w:rsidRDefault="77AF214D" w14:paraId="6BCD6FDA" w14:textId="31E216BF">
      <w:pPr>
        <w:pStyle w:val="Normal"/>
        <w:spacing w:before="0" w:beforeAutospacing="off" w:after="160" w:afterAutospacing="off" w:line="480" w:lineRule="auto"/>
      </w:pPr>
      <w:r w:rsidRPr="193EC07D" w:rsidR="0B23837B">
        <w:rPr>
          <w:rFonts w:ascii="Arial" w:hAnsi="Arial" w:eastAsia="Arial" w:cs="Arial"/>
          <w:sz w:val="24"/>
          <w:szCs w:val="24"/>
        </w:rPr>
        <w:t xml:space="preserve">Policing by consent is a foundational principle of democracy and fundamental to a democratic society. Just like citizens delegate their power to elected representatives to govern on their behalf, police officers are lent authority to administer law and order on behalf of the citizenry. This reality becomes clearer when you trace the nature of early policing in Britain. Several events in the early 19th century underlined the need to take British society towards democratic ideals. These include the 1819 Peterloo Massacre in Manchester, which resulted in at least eighteen deaths when an army cavalry charge into a crowd of thousands advocating for universal suffrage (Encyclopaedia Britannica, 2024). Similar events recurred in Yorkshire West and Cinderloo in 1820 and 1821, setting a dangerous precedent. These events came about due to the government’s belief that it could exert social control without consent. However, sensing the urgent need for change, Sir Robert Peel articulated that while emancipation posed risks, civil strife presented an even greater threat, leading to the development of his policing principles (Gash, 2024). Peel’s model relies on the idea that social order is best maintained when the public willingly complies with the law because they see it as fair and just. </w:t>
      </w:r>
    </w:p>
    <w:p w:rsidR="77AF214D" w:rsidP="193EC07D" w:rsidRDefault="77AF214D" w14:paraId="65FFB9A0" w14:textId="4E056B43">
      <w:pPr>
        <w:pStyle w:val="Normal"/>
        <w:spacing w:before="0" w:beforeAutospacing="off" w:after="160" w:afterAutospacing="off" w:line="480" w:lineRule="auto"/>
      </w:pPr>
      <w:r w:rsidRPr="193EC07D" w:rsidR="0B23837B">
        <w:rPr>
          <w:rFonts w:ascii="Arial" w:hAnsi="Arial" w:eastAsia="Arial" w:cs="Arial"/>
          <w:sz w:val="24"/>
          <w:szCs w:val="24"/>
        </w:rPr>
        <w:t xml:space="preserve">Emsley (1982), while discussing the evolving role of the French police during the 19th century, noted that the police were so rough that “they disturbed the same peace they sought to maintain.” Citizens feared a large, possibly armed police force could suppress protests and support unpopular governance, especially amid ongoing wars with France since 1793. However, Jackson et al. (2011) observe that people care deeply about police fairness because the police represent a key social group tied to their sense of belonging to the nation or community. </w:t>
      </w:r>
    </w:p>
    <w:p w:rsidR="77AF214D" w:rsidP="193EC07D" w:rsidRDefault="77AF214D" w14:paraId="5EBC81D2" w14:textId="27425E36">
      <w:pPr>
        <w:pStyle w:val="Normal"/>
        <w:spacing w:before="0" w:beforeAutospacing="off" w:after="160" w:afterAutospacing="off" w:line="480" w:lineRule="auto"/>
      </w:pPr>
      <w:r w:rsidRPr="193EC07D" w:rsidR="0B23837B">
        <w:rPr>
          <w:rFonts w:ascii="Arial" w:hAnsi="Arial" w:eastAsia="Arial" w:cs="Arial"/>
          <w:sz w:val="24"/>
          <w:szCs w:val="24"/>
        </w:rPr>
        <w:t xml:space="preserve">In effect, the Victorian Reforms sought to remodel the image of the police in the eyes of the public. To recast policing as a necessary public good rather than mere state control. Enacting ‘Peelian’ policing marked a shift toward consent-based policing, which encouraged cooperation over authoritarianism as the foundation for social order. Thompson (1981) argues that the social order in Victorian Britain was extremely strained by the radical changes of industrialisation and urbanisation that put the country at the edge of anarchy or Marxist revolution. Despite this fate befalling most of Europe, it did not happen in Britain because of the transformation that began in the early 19th century (Thompson, 1981). Arguably, the implementation of Peel’s ‘Policing by Consent' played a big part in steering Britain to safety. Ever since its enactment, it has been fully or partially adopted by major democracies of the world. These include Commonwealth nations such as Australia, Canada, and New Zealand (de Lint, 2004; Goldsmith, 2001). It has also inspired policing reform in the United States, gaining prominence during the 1960s civil rights movements such as the American community policing movement in the 1960s (Cole, 2020). Reiner (2010) observes that although France already had a powerful national police force by the mid-18th century, commentators generally cite the founding of the Metropolitan Police in 1829 as the first example of a police force in the modern sense. Could this be because it was rooted in democratic principles of social control by consent, which have characterised Western civilisation up to date? Determining which model has achieved social control more effectively could come down to one question: how are the countries/societies that have embraced ‘policing by consent’, fully or partially, doing? The answer is that they are fledgling democracies and stable societies. </w:t>
      </w:r>
    </w:p>
    <w:p w:rsidR="77AF214D" w:rsidP="193EC07D" w:rsidRDefault="77AF214D" w14:paraId="5273DE81" w14:textId="2D38A2B0">
      <w:pPr>
        <w:pStyle w:val="Normal"/>
        <w:spacing w:before="0" w:beforeAutospacing="off" w:after="160" w:afterAutospacing="off" w:line="480" w:lineRule="auto"/>
      </w:pPr>
      <w:r w:rsidRPr="193EC07D" w:rsidR="0B23837B">
        <w:rPr>
          <w:rFonts w:ascii="Arial" w:hAnsi="Arial" w:eastAsia="Arial" w:cs="Arial"/>
          <w:sz w:val="24"/>
          <w:szCs w:val="24"/>
        </w:rPr>
        <w:t xml:space="preserve">The merit of consent is not limited to law enforcement. It mirrors the fundamental principles of Western philosophy, which has long viewed freedom and liberty as basic rights of a person. For instance, John Locke argued that every government derived its authority from the consent of those whom it governed (Tuckness, 2020). Therefore, the government's will to exert control is justified only when it reflects the will of the people. I believe the symbol that consent represents in society is so powerful that its merit over control as the means to govern society cannot be debated. It goes right to the core of what makes us human, that is, the desire for self-determination. History has taught us that if people are oppressed and denied a voice, they will rise and demand their rights. In his theory of ‘Power and Resistance’, Michael Foucault argued that power is everywhere and operates through discourse, but where there is power, there is also resistance. He further noted that oppression is met with a ‘plurality’ of resistance, which “plays the role of adversary, target, support, or insurgent” (Lawlor &amp; Nale, 2014). It is my view that policing by consent addresses this very pervasive nature of human beings by guaranteeing them a means for self-determination. </w:t>
      </w:r>
    </w:p>
    <w:p w:rsidR="77AF214D" w:rsidP="193EC07D" w:rsidRDefault="77AF214D" w14:paraId="5733243F" w14:textId="12C18FA4">
      <w:pPr>
        <w:pStyle w:val="Normal"/>
        <w:spacing w:before="0" w:beforeAutospacing="off" w:after="160" w:afterAutospacing="off" w:line="480" w:lineRule="auto"/>
      </w:pPr>
      <w:r w:rsidRPr="193EC07D" w:rsidR="0B23837B">
        <w:rPr>
          <w:rFonts w:ascii="Arial" w:hAnsi="Arial" w:eastAsia="Arial" w:cs="Arial"/>
          <w:sz w:val="24"/>
          <w:szCs w:val="24"/>
        </w:rPr>
        <w:t xml:space="preserve">Despite the merits and contributions of consent-based law enforcement policy in the UK, there has been a movement towards something one may argue as the state attempting to exert more control. A study by Varghese (2010) noted a shift from "policing by consent" to "policing by law" in the UK. It argued that while the British police are based on the principle of consent, the current system increasingly relies on legal authority, giving more power to the police. However, the Home Office in 2012 was quick to clarify that these laws remained keen to ensure police accountability to the public, rather than relying solely on public approval (UK Government Home Office, 2012). This has continued to be the approach by the new Labour government led by Prime Minister Keir Starmer, which has themed its commitment to eliminate crime as “taking back our streets." It is my opinion that these gradual changes have been necessitated by recent developments in the UK that demand the state exert more control. For instance, the rise of the threat of terrorism in Europe has compelled the UK government to reconsider its arming policy of law enforcement. </w:t>
      </w:r>
    </w:p>
    <w:p w:rsidR="77AF214D" w:rsidP="193EC07D" w:rsidRDefault="77AF214D" w14:paraId="425F982E" w14:textId="39B07B28">
      <w:pPr>
        <w:pStyle w:val="Normal"/>
        <w:spacing w:before="0" w:beforeAutospacing="off" w:after="160" w:afterAutospacing="off" w:line="480" w:lineRule="auto"/>
      </w:pPr>
      <w:r w:rsidRPr="193EC07D" w:rsidR="0B23837B">
        <w:rPr>
          <w:rFonts w:ascii="Arial" w:hAnsi="Arial" w:eastAsia="Arial" w:cs="Arial"/>
          <w:sz w:val="24"/>
          <w:szCs w:val="24"/>
        </w:rPr>
        <w:t xml:space="preserve">For a long time, British police officers have routinely been unarmed, with any calls for arming being consistently resisted. However, the last decade has seen the use of Tasers becoming more common, with critics citing this shift as damaging policing by consent. However, the polls have shown that most of the public approves of growing Taser use. In 2016, 79% of over 9,000 people surveyed favoured equipping more officers with Tasers, and in 2019, 66% felt safer if all officers had them (Drummond-Smith, 2020). A poll conducted during this year's summer riots showed that 75% of British people supported Taser use (Chambers, 2024). Other crime developments have increased the government's need to exert more control in policing, such as rising knife crime. For instance, knife-related offences in England and Wales increased to 49,489 in 2023, up from 46,153 in 2022 (Action on Armed Violence, 2024). From these statistics, it appears that the public is increasingly feeling unsafe and would like to see police officers armed better. For the first time, Britain is facing a real threat of a racial war, as has been witnessed in this election year with far-right figures inciting violence against minorities and migrants. One could argue that these challenges require a sterner approach to policing that stamps the rule of law more strongly. </w:t>
      </w:r>
    </w:p>
    <w:p w:rsidR="77AF214D" w:rsidP="193EC07D" w:rsidRDefault="77AF214D" w14:paraId="09C8E326" w14:textId="11108154">
      <w:pPr>
        <w:pStyle w:val="Normal"/>
        <w:spacing w:before="0" w:beforeAutospacing="off" w:after="160" w:afterAutospacing="off" w:line="480" w:lineRule="auto"/>
      </w:pPr>
      <w:r w:rsidRPr="193EC07D" w:rsidR="0B23837B">
        <w:rPr>
          <w:rFonts w:ascii="Arial" w:hAnsi="Arial" w:eastAsia="Arial" w:cs="Arial"/>
          <w:sz w:val="24"/>
          <w:szCs w:val="24"/>
        </w:rPr>
        <w:t xml:space="preserve"> </w:t>
      </w:r>
    </w:p>
    <w:p w:rsidR="77AF214D" w:rsidP="193EC07D" w:rsidRDefault="77AF214D" w14:paraId="2244190D" w14:textId="53EFB739">
      <w:pPr>
        <w:pStyle w:val="Normal"/>
        <w:spacing w:before="0" w:beforeAutospacing="off" w:after="160" w:afterAutospacing="off" w:line="480" w:lineRule="auto"/>
      </w:pPr>
      <w:r w:rsidRPr="193EC07D" w:rsidR="0B23837B">
        <w:rPr>
          <w:rFonts w:ascii="Arial" w:hAnsi="Arial" w:eastAsia="Arial" w:cs="Arial"/>
          <w:sz w:val="24"/>
          <w:szCs w:val="24"/>
        </w:rPr>
        <w:t>In conclusion, this essay has demonstrated that social control in the UK is more effectively achieved through consent than control. The evolution of policing from Victorian reforms to modern times clearly shows that policing by consent has since built a democratic, stable society that accords British people their right to self-determination. Consent is essentially rooted in Western philosophies of governance and social order. While recent shifts toward more control-based approaches, like increased Taser use and a focus on legal authority, may seem necessary due to rising crime and security threats, they don't negate the foundational importance of public support. So, while challenges exist, history suggests that embracing consent is the way forward for effective policing and social control.</w:t>
      </w:r>
    </w:p>
    <w:p w:rsidR="77AF214D" w:rsidP="77AF214D" w:rsidRDefault="77AF214D" w14:paraId="510CE63C" w14:textId="32DCEDB5">
      <w:pPr>
        <w:spacing w:before="0" w:beforeAutospacing="off" w:after="160" w:afterAutospacing="off" w:line="480" w:lineRule="auto"/>
        <w:rPr>
          <w:rFonts w:ascii="Arial" w:hAnsi="Arial" w:eastAsia="Arial" w:cs="Arial"/>
          <w:noProof w:val="0"/>
          <w:sz w:val="24"/>
          <w:szCs w:val="24"/>
          <w:lang w:val="en-GB"/>
        </w:rPr>
      </w:pPr>
    </w:p>
    <w:p w:rsidR="193EC07D" w:rsidP="193EC07D" w:rsidRDefault="193EC07D" w14:paraId="370155C6" w14:textId="4DBC381D">
      <w:pPr>
        <w:spacing w:before="0" w:beforeAutospacing="off" w:after="160" w:afterAutospacing="off" w:line="480" w:lineRule="auto"/>
        <w:rPr>
          <w:rFonts w:ascii="Arial" w:hAnsi="Arial" w:eastAsia="Arial" w:cs="Arial"/>
          <w:sz w:val="24"/>
          <w:szCs w:val="24"/>
        </w:rPr>
      </w:pPr>
    </w:p>
    <w:p w:rsidR="193EC07D" w:rsidP="193EC07D" w:rsidRDefault="193EC07D" w14:paraId="35FB704F" w14:textId="7A23A001">
      <w:pPr>
        <w:spacing w:before="0" w:beforeAutospacing="off" w:after="160" w:afterAutospacing="off" w:line="480" w:lineRule="auto"/>
        <w:rPr>
          <w:rFonts w:ascii="Arial" w:hAnsi="Arial" w:eastAsia="Arial" w:cs="Arial"/>
          <w:sz w:val="24"/>
          <w:szCs w:val="24"/>
        </w:rPr>
      </w:pPr>
    </w:p>
    <w:p w:rsidR="193EC07D" w:rsidP="193EC07D" w:rsidRDefault="193EC07D" w14:paraId="3BBD52DA" w14:textId="3BD5EAC8">
      <w:pPr>
        <w:spacing w:before="0" w:beforeAutospacing="off" w:after="160" w:afterAutospacing="off" w:line="480" w:lineRule="auto"/>
        <w:rPr>
          <w:rFonts w:ascii="Arial" w:hAnsi="Arial" w:eastAsia="Arial" w:cs="Arial"/>
          <w:sz w:val="24"/>
          <w:szCs w:val="24"/>
        </w:rPr>
      </w:pPr>
    </w:p>
    <w:p w:rsidR="193EC07D" w:rsidP="193EC07D" w:rsidRDefault="193EC07D" w14:paraId="3C18FB40" w14:textId="56D6E2E6">
      <w:pPr>
        <w:spacing w:before="0" w:beforeAutospacing="off" w:after="160" w:afterAutospacing="off" w:line="480" w:lineRule="auto"/>
        <w:rPr>
          <w:rFonts w:ascii="Arial" w:hAnsi="Arial" w:eastAsia="Arial" w:cs="Arial"/>
          <w:sz w:val="24"/>
          <w:szCs w:val="24"/>
        </w:rPr>
      </w:pPr>
    </w:p>
    <w:p w:rsidR="193EC07D" w:rsidP="193EC07D" w:rsidRDefault="193EC07D" w14:paraId="3A9EC1E4" w14:textId="1598860F">
      <w:pPr>
        <w:spacing w:before="0" w:beforeAutospacing="off" w:after="160" w:afterAutospacing="off" w:line="480" w:lineRule="auto"/>
        <w:rPr>
          <w:rFonts w:ascii="Arial" w:hAnsi="Arial" w:eastAsia="Arial" w:cs="Arial"/>
          <w:sz w:val="24"/>
          <w:szCs w:val="24"/>
        </w:rPr>
      </w:pPr>
    </w:p>
    <w:p w:rsidR="193EC07D" w:rsidP="193EC07D" w:rsidRDefault="193EC07D" w14:paraId="71BDCEEE" w14:textId="24623456">
      <w:pPr>
        <w:spacing w:before="0" w:beforeAutospacing="off" w:after="160" w:afterAutospacing="off" w:line="480" w:lineRule="auto"/>
        <w:rPr>
          <w:rFonts w:ascii="Arial" w:hAnsi="Arial" w:eastAsia="Arial" w:cs="Arial"/>
          <w:sz w:val="24"/>
          <w:szCs w:val="24"/>
        </w:rPr>
      </w:pPr>
    </w:p>
    <w:p w:rsidR="193EC07D" w:rsidP="193EC07D" w:rsidRDefault="193EC07D" w14:paraId="56CF55F7" w14:textId="0CE58B24">
      <w:pPr>
        <w:spacing w:before="0" w:beforeAutospacing="off" w:after="160" w:afterAutospacing="off" w:line="480" w:lineRule="auto"/>
        <w:rPr>
          <w:rFonts w:ascii="Arial" w:hAnsi="Arial" w:eastAsia="Arial" w:cs="Arial"/>
          <w:sz w:val="24"/>
          <w:szCs w:val="24"/>
        </w:rPr>
      </w:pPr>
    </w:p>
    <w:p w:rsidR="193EC07D" w:rsidP="193EC07D" w:rsidRDefault="193EC07D" w14:paraId="480573DB" w14:textId="212F5235">
      <w:pPr>
        <w:spacing w:before="0" w:beforeAutospacing="off" w:after="160" w:afterAutospacing="off" w:line="480" w:lineRule="auto"/>
        <w:rPr>
          <w:rFonts w:ascii="Arial" w:hAnsi="Arial" w:eastAsia="Arial" w:cs="Arial"/>
          <w:sz w:val="24"/>
          <w:szCs w:val="24"/>
        </w:rPr>
      </w:pPr>
    </w:p>
    <w:p w:rsidR="193EC07D" w:rsidP="193EC07D" w:rsidRDefault="193EC07D" w14:paraId="317C3697" w14:textId="1A8A0EDE">
      <w:pPr>
        <w:spacing w:before="0" w:beforeAutospacing="off" w:after="160" w:afterAutospacing="off" w:line="480" w:lineRule="auto"/>
        <w:rPr>
          <w:rFonts w:ascii="Arial" w:hAnsi="Arial" w:eastAsia="Arial" w:cs="Arial"/>
          <w:sz w:val="24"/>
          <w:szCs w:val="24"/>
        </w:rPr>
      </w:pPr>
    </w:p>
    <w:p w:rsidR="193EC07D" w:rsidP="193EC07D" w:rsidRDefault="193EC07D" w14:paraId="019FB35E" w14:textId="1760CBF8">
      <w:pPr>
        <w:spacing w:before="0" w:beforeAutospacing="off" w:after="160" w:afterAutospacing="off" w:line="480" w:lineRule="auto"/>
        <w:rPr>
          <w:rFonts w:ascii="Arial" w:hAnsi="Arial" w:eastAsia="Arial" w:cs="Arial"/>
          <w:sz w:val="24"/>
          <w:szCs w:val="24"/>
        </w:rPr>
      </w:pPr>
    </w:p>
    <w:p w:rsidR="5DA95248" w:rsidP="77AF214D" w:rsidRDefault="5DA95248" w14:paraId="054B79E9" w14:textId="13768169">
      <w:pPr>
        <w:pStyle w:val="Normal"/>
        <w:spacing w:before="0" w:beforeAutospacing="off" w:after="160" w:afterAutospacing="off" w:line="480" w:lineRule="auto"/>
        <w:rPr>
          <w:rFonts w:ascii="Arial" w:hAnsi="Arial" w:eastAsia="Arial" w:cs="Arial"/>
          <w:noProof w:val="0"/>
          <w:sz w:val="24"/>
          <w:szCs w:val="24"/>
          <w:lang w:val="en-GB"/>
        </w:rPr>
      </w:pPr>
      <w:r w:rsidRPr="193EC07D" w:rsidR="5DA95248">
        <w:rPr>
          <w:rFonts w:ascii="Aptos" w:hAnsi="Aptos" w:eastAsia="Aptos" w:cs="Aptos"/>
          <w:sz w:val="24"/>
          <w:szCs w:val="24"/>
        </w:rPr>
        <w:t xml:space="preserve">Reference list: </w:t>
      </w:r>
    </w:p>
    <w:p w:rsidR="5B11BE8E" w:rsidP="77AF214D" w:rsidRDefault="5B11BE8E" w14:paraId="5ECDD1F1" w14:textId="0050F31F">
      <w:pPr>
        <w:spacing w:before="0" w:beforeAutospacing="off" w:after="160" w:afterAutospacing="off" w:line="360" w:lineRule="auto"/>
        <w:ind w:left="0" w:right="0" w:hanging="0"/>
        <w:rPr>
          <w:rFonts w:ascii="Arial" w:hAnsi="Arial" w:eastAsia="Arial" w:cs="Arial"/>
          <w:strike w:val="0"/>
          <w:dstrike w:val="0"/>
          <w:noProof w:val="0"/>
          <w:color w:val="000000" w:themeColor="text1" w:themeTint="FF" w:themeShade="FF"/>
          <w:sz w:val="24"/>
          <w:szCs w:val="24"/>
          <w:u w:val="single"/>
          <w:lang w:val="en-US"/>
        </w:rPr>
      </w:pPr>
      <w:r w:rsidRPr="193EC07D" w:rsidR="5B11BE8E">
        <w:rPr>
          <w:rFonts w:ascii="Arial" w:hAnsi="Arial" w:eastAsia="Arial" w:cs="Arial"/>
          <w:color w:val="000000" w:themeColor="text1" w:themeTint="FF" w:themeShade="FF"/>
          <w:sz w:val="24"/>
          <w:szCs w:val="24"/>
        </w:rPr>
        <w:t xml:space="preserve">Cole, M. (2020). </w:t>
      </w:r>
      <w:r w:rsidRPr="193EC07D" w:rsidR="5B11BE8E">
        <w:rPr>
          <w:rFonts w:ascii="Arial" w:hAnsi="Arial" w:eastAsia="Arial" w:cs="Arial"/>
          <w:i w:val="1"/>
          <w:iCs w:val="1"/>
          <w:color w:val="000000" w:themeColor="text1" w:themeTint="FF" w:themeShade="FF"/>
          <w:sz w:val="24"/>
          <w:szCs w:val="24"/>
        </w:rPr>
        <w:t>America's police prepared for the wrong enemy</w:t>
      </w:r>
      <w:r w:rsidRPr="193EC07D" w:rsidR="5B11BE8E">
        <w:rPr>
          <w:rFonts w:ascii="Arial" w:hAnsi="Arial" w:eastAsia="Arial" w:cs="Arial"/>
          <w:color w:val="000000" w:themeColor="text1" w:themeTint="FF" w:themeShade="FF"/>
          <w:sz w:val="24"/>
          <w:szCs w:val="24"/>
        </w:rPr>
        <w:t>. Foreign Policy.</w:t>
      </w:r>
      <w:r w:rsidRPr="193EC07D" w:rsidR="5B11BE8E">
        <w:rPr>
          <w:rFonts w:ascii="Arial" w:hAnsi="Arial" w:eastAsia="Arial" w:cs="Arial"/>
          <w:strike w:val="0"/>
          <w:dstrike w:val="0"/>
          <w:color w:val="000000" w:themeColor="text1" w:themeTint="FF" w:themeShade="FF"/>
          <w:sz w:val="24"/>
          <w:szCs w:val="24"/>
          <w:u w:val="single"/>
        </w:rPr>
        <w:t xml:space="preserve"> </w:t>
      </w:r>
      <w:hyperlink r:id="Rb4c3dba0c86d4322">
        <w:r w:rsidRPr="193EC07D" w:rsidR="5B11BE8E">
          <w:rPr>
            <w:rStyle w:val="Hyperlink"/>
            <w:rFonts w:ascii="Arial" w:hAnsi="Arial" w:eastAsia="Arial" w:cs="Arial"/>
            <w:strike w:val="0"/>
            <w:dstrike w:val="0"/>
            <w:sz w:val="24"/>
            <w:szCs w:val="24"/>
          </w:rPr>
          <w:t>https://foreignpolicy.com/2020/05/06/police-coronavirus-social-distancing-enforcement-nypd/</w:t>
        </w:r>
      </w:hyperlink>
    </w:p>
    <w:p w:rsidR="5B11BE8E" w:rsidP="77AF214D" w:rsidRDefault="5B11BE8E" w14:paraId="7BA89F10" w14:textId="674A0424">
      <w:pPr>
        <w:spacing w:before="0" w:beforeAutospacing="off" w:after="160" w:afterAutospacing="off" w:line="360" w:lineRule="auto"/>
        <w:ind w:left="720" w:right="0" w:hanging="720"/>
        <w:rPr>
          <w:rFonts w:ascii="Arial" w:hAnsi="Arial" w:eastAsia="Arial" w:cs="Arial"/>
          <w:strike w:val="0"/>
          <w:dstrike w:val="0"/>
          <w:noProof w:val="0"/>
          <w:color w:val="000000" w:themeColor="text1" w:themeTint="FF" w:themeShade="FF"/>
          <w:sz w:val="24"/>
          <w:szCs w:val="24"/>
          <w:u w:val="single"/>
          <w:lang w:val="en-US"/>
        </w:rPr>
      </w:pPr>
      <w:r w:rsidRPr="193EC07D" w:rsidR="144EF204">
        <w:rPr>
          <w:rFonts w:ascii="Arial" w:hAnsi="Arial" w:eastAsia="Arial" w:cs="Arial"/>
          <w:color w:val="000000" w:themeColor="text1" w:themeTint="FF" w:themeShade="FF"/>
          <w:sz w:val="24"/>
          <w:szCs w:val="24"/>
        </w:rPr>
        <w:t>D</w:t>
      </w:r>
      <w:r w:rsidRPr="193EC07D" w:rsidR="5B11BE8E">
        <w:rPr>
          <w:rFonts w:ascii="Arial" w:hAnsi="Arial" w:eastAsia="Arial" w:cs="Arial"/>
          <w:color w:val="000000" w:themeColor="text1" w:themeTint="FF" w:themeShade="FF"/>
          <w:sz w:val="24"/>
          <w:szCs w:val="24"/>
        </w:rPr>
        <w:t xml:space="preserve">e Lint, W. (2004). </w:t>
      </w:r>
      <w:r w:rsidRPr="193EC07D" w:rsidR="5B11BE8E">
        <w:rPr>
          <w:rFonts w:ascii="Arial" w:hAnsi="Arial" w:eastAsia="Arial" w:cs="Arial"/>
          <w:i w:val="1"/>
          <w:iCs w:val="1"/>
          <w:color w:val="000000" w:themeColor="text1" w:themeTint="FF" w:themeShade="FF"/>
          <w:sz w:val="24"/>
          <w:szCs w:val="24"/>
        </w:rPr>
        <w:t>Public order policing in Canada</w:t>
      </w:r>
      <w:r w:rsidRPr="193EC07D" w:rsidR="5B11BE8E">
        <w:rPr>
          <w:rFonts w:ascii="Arial" w:hAnsi="Arial" w:eastAsia="Arial" w:cs="Arial"/>
          <w:color w:val="000000" w:themeColor="text1" w:themeTint="FF" w:themeShade="FF"/>
          <w:sz w:val="24"/>
          <w:szCs w:val="24"/>
        </w:rPr>
        <w:t>.</w:t>
      </w:r>
      <w:r w:rsidRPr="193EC07D" w:rsidR="5B11BE8E">
        <w:rPr>
          <w:rFonts w:ascii="Arial" w:hAnsi="Arial" w:eastAsia="Arial" w:cs="Arial"/>
          <w:strike w:val="0"/>
          <w:dstrike w:val="0"/>
          <w:color w:val="000000" w:themeColor="text1" w:themeTint="FF" w:themeShade="FF"/>
          <w:sz w:val="24"/>
          <w:szCs w:val="24"/>
          <w:u w:val="single"/>
        </w:rPr>
        <w:t xml:space="preserve"> </w:t>
      </w:r>
      <w:hyperlink r:id="R8f1e2c84d9d745b4">
        <w:r w:rsidRPr="193EC07D" w:rsidR="5B11BE8E">
          <w:rPr>
            <w:rStyle w:val="Hyperlink"/>
            <w:rFonts w:ascii="Arial" w:hAnsi="Arial" w:eastAsia="Arial" w:cs="Arial"/>
            <w:strike w:val="0"/>
            <w:dstrike w:val="0"/>
            <w:sz w:val="24"/>
            <w:szCs w:val="24"/>
          </w:rPr>
          <w:t>https://www.archives.gov.on.ca/en/e_records/ipperwash/policy_part/research/pdf/deLint.pdf</w:t>
        </w:r>
      </w:hyperlink>
    </w:p>
    <w:p w:rsidR="5B11BE8E" w:rsidP="77AF214D" w:rsidRDefault="5B11BE8E" w14:paraId="11940B2B" w14:textId="2EA67A47">
      <w:pPr>
        <w:spacing w:before="0" w:beforeAutospacing="off" w:after="160" w:afterAutospacing="off" w:line="360" w:lineRule="auto"/>
        <w:ind w:left="720" w:right="0" w:hanging="720"/>
      </w:pPr>
      <w:r w:rsidRPr="193EC07D" w:rsidR="5B11BE8E">
        <w:rPr>
          <w:rFonts w:ascii="Arial" w:hAnsi="Arial" w:eastAsia="Arial" w:cs="Arial"/>
          <w:color w:val="000000" w:themeColor="text1" w:themeTint="FF" w:themeShade="FF"/>
          <w:sz w:val="24"/>
          <w:szCs w:val="24"/>
        </w:rPr>
        <w:t xml:space="preserve">Drummond-Smith, I. (2020). </w:t>
      </w:r>
      <w:r w:rsidRPr="193EC07D" w:rsidR="5B11BE8E">
        <w:rPr>
          <w:rFonts w:ascii="Arial" w:hAnsi="Arial" w:eastAsia="Arial" w:cs="Arial"/>
          <w:i w:val="1"/>
          <w:iCs w:val="1"/>
          <w:color w:val="000000" w:themeColor="text1" w:themeTint="FF" w:themeShade="FF"/>
          <w:sz w:val="24"/>
          <w:szCs w:val="24"/>
        </w:rPr>
        <w:t xml:space="preserve">TASER® – Fifteen years on </w:t>
      </w:r>
      <w:r w:rsidRPr="193EC07D" w:rsidR="5B11BE8E">
        <w:rPr>
          <w:rFonts w:ascii="Arial" w:hAnsi="Arial" w:eastAsia="Arial" w:cs="Arial"/>
          <w:i w:val="1"/>
          <w:iCs w:val="1"/>
          <w:color w:val="000000" w:themeColor="text1" w:themeTint="FF" w:themeShade="FF"/>
          <w:sz w:val="24"/>
          <w:szCs w:val="24"/>
        </w:rPr>
        <w:t>An</w:t>
      </w:r>
      <w:r w:rsidRPr="193EC07D" w:rsidR="5B11BE8E">
        <w:rPr>
          <w:rFonts w:ascii="Arial" w:hAnsi="Arial" w:eastAsia="Arial" w:cs="Arial"/>
          <w:i w:val="1"/>
          <w:iCs w:val="1"/>
          <w:color w:val="000000" w:themeColor="text1" w:themeTint="FF" w:themeShade="FF"/>
          <w:sz w:val="24"/>
          <w:szCs w:val="24"/>
        </w:rPr>
        <w:t xml:space="preserve"> analysis of TASER® use in British Policing</w:t>
      </w:r>
      <w:r w:rsidRPr="193EC07D" w:rsidR="5B11BE8E">
        <w:rPr>
          <w:rFonts w:ascii="Arial" w:hAnsi="Arial" w:eastAsia="Arial" w:cs="Arial"/>
          <w:color w:val="000000" w:themeColor="text1" w:themeTint="FF" w:themeShade="FF"/>
          <w:sz w:val="24"/>
          <w:szCs w:val="24"/>
        </w:rPr>
        <w:t xml:space="preserve">. National Police Chiefs’ Council Less Lethal Weapons Secretariat. </w:t>
      </w:r>
      <w:hyperlink r:id="R21427fe30801421f">
        <w:r w:rsidRPr="193EC07D" w:rsidR="5B11BE8E">
          <w:rPr>
            <w:rStyle w:val="Hyperlink"/>
            <w:rFonts w:ascii="Arial" w:hAnsi="Arial" w:eastAsia="Arial" w:cs="Arial"/>
            <w:sz w:val="24"/>
            <w:szCs w:val="24"/>
          </w:rPr>
          <w:t>https://www.npcc.police.uk/SysSiteAssets/media/downloads/publications/publications-log/2020/an-analysis-of-taser-use-in-british-policing.pdf</w:t>
        </w:r>
      </w:hyperlink>
    </w:p>
    <w:p w:rsidR="5B11BE8E" w:rsidP="77AF214D" w:rsidRDefault="5B11BE8E" w14:paraId="02F606BA" w14:textId="503991E1">
      <w:pPr>
        <w:spacing w:before="0" w:beforeAutospacing="off" w:after="160" w:afterAutospacing="off" w:line="360" w:lineRule="auto"/>
        <w:ind w:left="720" w:right="0" w:hanging="720"/>
      </w:pPr>
      <w:r w:rsidRPr="193EC07D" w:rsidR="52C4B938">
        <w:rPr>
          <w:rFonts w:ascii="Arial" w:hAnsi="Arial" w:eastAsia="Arial" w:cs="Arial"/>
          <w:color w:val="000000" w:themeColor="text1" w:themeTint="FF" w:themeShade="FF"/>
          <w:sz w:val="24"/>
          <w:szCs w:val="24"/>
        </w:rPr>
        <w:t xml:space="preserve">Emsley, C. (1982). The French Police in the 19th </w:t>
      </w:r>
      <w:r w:rsidRPr="193EC07D" w:rsidR="52C4B938">
        <w:rPr>
          <w:rFonts w:ascii="Arial" w:hAnsi="Arial" w:eastAsia="Arial" w:cs="Arial"/>
          <w:color w:val="000000" w:themeColor="text1" w:themeTint="FF" w:themeShade="FF"/>
          <w:sz w:val="24"/>
          <w:szCs w:val="24"/>
        </w:rPr>
        <w:t>Century .</w:t>
      </w:r>
      <w:r w:rsidRPr="193EC07D" w:rsidR="52C4B938">
        <w:rPr>
          <w:rFonts w:ascii="Arial" w:hAnsi="Arial" w:eastAsia="Arial" w:cs="Arial"/>
          <w:color w:val="000000" w:themeColor="text1" w:themeTint="FF" w:themeShade="FF"/>
          <w:sz w:val="24"/>
          <w:szCs w:val="24"/>
        </w:rPr>
        <w:t xml:space="preserve"> </w:t>
      </w:r>
      <w:r w:rsidRPr="193EC07D" w:rsidR="52C4B938">
        <w:rPr>
          <w:rFonts w:ascii="Arial" w:hAnsi="Arial" w:eastAsia="Arial" w:cs="Arial"/>
          <w:i w:val="1"/>
          <w:iCs w:val="1"/>
          <w:color w:val="000000" w:themeColor="text1" w:themeTint="FF" w:themeShade="FF"/>
          <w:sz w:val="24"/>
          <w:szCs w:val="24"/>
        </w:rPr>
        <w:t>History Today</w:t>
      </w:r>
      <w:r w:rsidRPr="193EC07D" w:rsidR="52C4B938">
        <w:rPr>
          <w:rFonts w:ascii="Arial" w:hAnsi="Arial" w:eastAsia="Arial" w:cs="Arial"/>
          <w:color w:val="000000" w:themeColor="text1" w:themeTint="FF" w:themeShade="FF"/>
          <w:sz w:val="24"/>
          <w:szCs w:val="24"/>
        </w:rPr>
        <w:t xml:space="preserve">, </w:t>
      </w:r>
      <w:r w:rsidRPr="193EC07D" w:rsidR="52C4B938">
        <w:rPr>
          <w:rFonts w:ascii="Arial" w:hAnsi="Arial" w:eastAsia="Arial" w:cs="Arial"/>
          <w:i w:val="1"/>
          <w:iCs w:val="1"/>
          <w:color w:val="000000" w:themeColor="text1" w:themeTint="FF" w:themeShade="FF"/>
          <w:sz w:val="24"/>
          <w:szCs w:val="24"/>
        </w:rPr>
        <w:t>32</w:t>
      </w:r>
      <w:r w:rsidRPr="193EC07D" w:rsidR="52C4B938">
        <w:rPr>
          <w:rFonts w:ascii="Arial" w:hAnsi="Arial" w:eastAsia="Arial" w:cs="Arial"/>
          <w:color w:val="000000" w:themeColor="text1" w:themeTint="FF" w:themeShade="FF"/>
          <w:sz w:val="24"/>
          <w:szCs w:val="24"/>
        </w:rPr>
        <w:t>(1).</w:t>
      </w:r>
      <w:r w:rsidRPr="193EC07D" w:rsidR="3A186D6C">
        <w:rPr>
          <w:rFonts w:ascii="Arial" w:hAnsi="Arial" w:eastAsia="Arial" w:cs="Arial"/>
          <w:color w:val="000000" w:themeColor="text1" w:themeTint="FF" w:themeShade="FF"/>
          <w:sz w:val="24"/>
          <w:szCs w:val="24"/>
        </w:rPr>
        <w:t xml:space="preserve"> Available at:</w:t>
      </w:r>
      <w:r w:rsidRPr="193EC07D" w:rsidR="52C4B938">
        <w:rPr>
          <w:rFonts w:ascii="Arial" w:hAnsi="Arial" w:eastAsia="Arial" w:cs="Arial"/>
          <w:color w:val="000000" w:themeColor="text1" w:themeTint="FF" w:themeShade="FF"/>
          <w:sz w:val="24"/>
          <w:szCs w:val="24"/>
        </w:rPr>
        <w:t xml:space="preserve"> </w:t>
      </w:r>
      <w:hyperlink r:id="Rfddd56aebb144016">
        <w:r w:rsidRPr="193EC07D" w:rsidR="52C4B938">
          <w:rPr>
            <w:rStyle w:val="Hyperlink"/>
            <w:rFonts w:ascii="Arial" w:hAnsi="Arial" w:eastAsia="Arial" w:cs="Arial"/>
            <w:sz w:val="24"/>
            <w:szCs w:val="24"/>
          </w:rPr>
          <w:t>https://www.historytoday.com/archive/french-police-19th-century</w:t>
        </w:r>
      </w:hyperlink>
      <w:r w:rsidRPr="193EC07D" w:rsidR="3F0C7A7E">
        <w:rPr>
          <w:rFonts w:ascii="Arial" w:hAnsi="Arial" w:eastAsia="Arial" w:cs="Arial"/>
          <w:sz w:val="24"/>
          <w:szCs w:val="24"/>
        </w:rPr>
        <w:t xml:space="preserve"> (</w:t>
      </w:r>
      <w:r w:rsidRPr="193EC07D" w:rsidR="3F0C7A7E">
        <w:rPr>
          <w:rFonts w:ascii="Arial" w:hAnsi="Arial" w:eastAsia="Arial" w:cs="Arial"/>
          <w:sz w:val="24"/>
          <w:szCs w:val="24"/>
        </w:rPr>
        <w:t>Acessed</w:t>
      </w:r>
      <w:r w:rsidRPr="193EC07D" w:rsidR="3F0C7A7E">
        <w:rPr>
          <w:rFonts w:ascii="Arial" w:hAnsi="Arial" w:eastAsia="Arial" w:cs="Arial"/>
          <w:sz w:val="24"/>
          <w:szCs w:val="24"/>
        </w:rPr>
        <w:t>: 19/10/2024).</w:t>
      </w:r>
    </w:p>
    <w:p w:rsidR="5B11BE8E" w:rsidP="77AF214D" w:rsidRDefault="5B11BE8E" w14:paraId="06943A0A" w14:textId="1D5A858D">
      <w:pPr>
        <w:spacing w:before="0" w:beforeAutospacing="off" w:after="160" w:afterAutospacing="off" w:line="360" w:lineRule="auto"/>
        <w:ind w:left="720" w:right="0" w:hanging="720"/>
      </w:pPr>
      <w:r w:rsidRPr="193EC07D" w:rsidR="5B11BE8E">
        <w:rPr>
          <w:rFonts w:ascii="Arial" w:hAnsi="Arial" w:eastAsia="Arial" w:cs="Arial"/>
          <w:color w:val="000000" w:themeColor="text1" w:themeTint="FF" w:themeShade="FF"/>
          <w:sz w:val="24"/>
          <w:szCs w:val="24"/>
        </w:rPr>
        <w:t>Encyclopedia</w:t>
      </w:r>
      <w:r w:rsidRPr="193EC07D" w:rsidR="5B11BE8E">
        <w:rPr>
          <w:rFonts w:ascii="Arial" w:hAnsi="Arial" w:eastAsia="Arial" w:cs="Arial"/>
          <w:color w:val="000000" w:themeColor="text1" w:themeTint="FF" w:themeShade="FF"/>
          <w:sz w:val="24"/>
          <w:szCs w:val="24"/>
        </w:rPr>
        <w:t xml:space="preserve"> Britannica. (2024). </w:t>
      </w:r>
      <w:r w:rsidRPr="193EC07D" w:rsidR="5B11BE8E">
        <w:rPr>
          <w:rFonts w:ascii="Arial" w:hAnsi="Arial" w:eastAsia="Arial" w:cs="Arial"/>
          <w:i w:val="1"/>
          <w:iCs w:val="1"/>
          <w:color w:val="000000" w:themeColor="text1" w:themeTint="FF" w:themeShade="FF"/>
          <w:sz w:val="24"/>
          <w:szCs w:val="24"/>
        </w:rPr>
        <w:t xml:space="preserve">Peterloo </w:t>
      </w:r>
      <w:r w:rsidRPr="193EC07D" w:rsidR="5B11BE8E">
        <w:rPr>
          <w:rFonts w:ascii="Arial" w:hAnsi="Arial" w:eastAsia="Arial" w:cs="Arial"/>
          <w:i w:val="1"/>
          <w:iCs w:val="1"/>
          <w:color w:val="000000" w:themeColor="text1" w:themeTint="FF" w:themeShade="FF"/>
          <w:sz w:val="24"/>
          <w:szCs w:val="24"/>
        </w:rPr>
        <w:t xml:space="preserve">Massacre </w:t>
      </w:r>
      <w:r w:rsidRPr="193EC07D" w:rsidR="5B11BE8E">
        <w:rPr>
          <w:rFonts w:ascii="Arial" w:hAnsi="Arial" w:eastAsia="Arial" w:cs="Arial"/>
          <w:color w:val="000000" w:themeColor="text1" w:themeTint="FF" w:themeShade="FF"/>
          <w:sz w:val="24"/>
          <w:szCs w:val="24"/>
        </w:rPr>
        <w:t>.</w:t>
      </w:r>
      <w:r w:rsidRPr="193EC07D" w:rsidR="5B11BE8E">
        <w:rPr>
          <w:rFonts w:ascii="Arial" w:hAnsi="Arial" w:eastAsia="Arial" w:cs="Arial"/>
          <w:color w:val="000000" w:themeColor="text1" w:themeTint="FF" w:themeShade="FF"/>
          <w:sz w:val="24"/>
          <w:szCs w:val="24"/>
        </w:rPr>
        <w:t xml:space="preserve"> </w:t>
      </w:r>
      <w:r w:rsidRPr="193EC07D" w:rsidR="5B11BE8E">
        <w:rPr>
          <w:rFonts w:ascii="Arial" w:hAnsi="Arial" w:eastAsia="Arial" w:cs="Arial"/>
          <w:color w:val="000000" w:themeColor="text1" w:themeTint="FF" w:themeShade="FF"/>
          <w:sz w:val="24"/>
          <w:szCs w:val="24"/>
        </w:rPr>
        <w:t>Encyclopedia</w:t>
      </w:r>
      <w:r w:rsidRPr="193EC07D" w:rsidR="5B11BE8E">
        <w:rPr>
          <w:rFonts w:ascii="Arial" w:hAnsi="Arial" w:eastAsia="Arial" w:cs="Arial"/>
          <w:color w:val="000000" w:themeColor="text1" w:themeTint="FF" w:themeShade="FF"/>
          <w:sz w:val="24"/>
          <w:szCs w:val="24"/>
        </w:rPr>
        <w:t xml:space="preserve"> Britannica. </w:t>
      </w:r>
      <w:hyperlink r:id="Rcaeca258d7f94562">
        <w:r w:rsidRPr="193EC07D" w:rsidR="5B11BE8E">
          <w:rPr>
            <w:rStyle w:val="Hyperlink"/>
            <w:rFonts w:ascii="Arial" w:hAnsi="Arial" w:eastAsia="Arial" w:cs="Arial"/>
            <w:sz w:val="24"/>
            <w:szCs w:val="24"/>
          </w:rPr>
          <w:t>https://www.britannica.com/event/Peterloo-Massacre</w:t>
        </w:r>
      </w:hyperlink>
    </w:p>
    <w:p w:rsidR="5B11BE8E" w:rsidP="77AF214D" w:rsidRDefault="5B11BE8E" w14:paraId="403911F8" w14:textId="3F189A64">
      <w:pPr>
        <w:spacing w:before="0" w:beforeAutospacing="off" w:after="160" w:afterAutospacing="off" w:line="360" w:lineRule="auto"/>
        <w:ind w:left="720" w:right="0" w:hanging="720"/>
      </w:pPr>
      <w:r w:rsidRPr="193EC07D" w:rsidR="5B11BE8E">
        <w:rPr>
          <w:rFonts w:ascii="Arial" w:hAnsi="Arial" w:eastAsia="Arial" w:cs="Arial"/>
          <w:color w:val="000000" w:themeColor="text1" w:themeTint="FF" w:themeShade="FF"/>
          <w:sz w:val="24"/>
          <w:szCs w:val="24"/>
        </w:rPr>
        <w:t xml:space="preserve">Gash, N. (2024). </w:t>
      </w:r>
      <w:r w:rsidRPr="193EC07D" w:rsidR="5B11BE8E">
        <w:rPr>
          <w:rFonts w:ascii="Arial" w:hAnsi="Arial" w:eastAsia="Arial" w:cs="Arial"/>
          <w:i w:val="1"/>
          <w:iCs w:val="1"/>
          <w:color w:val="000000" w:themeColor="text1" w:themeTint="FF" w:themeShade="FF"/>
          <w:sz w:val="24"/>
          <w:szCs w:val="24"/>
        </w:rPr>
        <w:t xml:space="preserve">Robert </w:t>
      </w:r>
      <w:r w:rsidRPr="193EC07D" w:rsidR="5B11BE8E">
        <w:rPr>
          <w:rFonts w:ascii="Arial" w:hAnsi="Arial" w:eastAsia="Arial" w:cs="Arial"/>
          <w:i w:val="1"/>
          <w:iCs w:val="1"/>
          <w:color w:val="000000" w:themeColor="text1" w:themeTint="FF" w:themeShade="FF"/>
          <w:sz w:val="24"/>
          <w:szCs w:val="24"/>
        </w:rPr>
        <w:t xml:space="preserve">Peel </w:t>
      </w:r>
      <w:r w:rsidRPr="193EC07D" w:rsidR="5B11BE8E">
        <w:rPr>
          <w:rFonts w:ascii="Arial" w:hAnsi="Arial" w:eastAsia="Arial" w:cs="Arial"/>
          <w:color w:val="000000" w:themeColor="text1" w:themeTint="FF" w:themeShade="FF"/>
          <w:sz w:val="24"/>
          <w:szCs w:val="24"/>
        </w:rPr>
        <w:t>.</w:t>
      </w:r>
      <w:r w:rsidRPr="193EC07D" w:rsidR="5B11BE8E">
        <w:rPr>
          <w:rFonts w:ascii="Arial" w:hAnsi="Arial" w:eastAsia="Arial" w:cs="Arial"/>
          <w:color w:val="000000" w:themeColor="text1" w:themeTint="FF" w:themeShade="FF"/>
          <w:sz w:val="24"/>
          <w:szCs w:val="24"/>
        </w:rPr>
        <w:t xml:space="preserve"> </w:t>
      </w:r>
      <w:r w:rsidRPr="193EC07D" w:rsidR="5B11BE8E">
        <w:rPr>
          <w:rFonts w:ascii="Arial" w:hAnsi="Arial" w:eastAsia="Arial" w:cs="Arial"/>
          <w:color w:val="000000" w:themeColor="text1" w:themeTint="FF" w:themeShade="FF"/>
          <w:sz w:val="24"/>
          <w:szCs w:val="24"/>
        </w:rPr>
        <w:t>Encyclopedia</w:t>
      </w:r>
      <w:r w:rsidRPr="193EC07D" w:rsidR="5B11BE8E">
        <w:rPr>
          <w:rFonts w:ascii="Arial" w:hAnsi="Arial" w:eastAsia="Arial" w:cs="Arial"/>
          <w:color w:val="000000" w:themeColor="text1" w:themeTint="FF" w:themeShade="FF"/>
          <w:sz w:val="24"/>
          <w:szCs w:val="24"/>
        </w:rPr>
        <w:t xml:space="preserve"> Britannica. </w:t>
      </w:r>
      <w:hyperlink r:id="Rf993c1d0fc00439e">
        <w:r w:rsidRPr="193EC07D" w:rsidR="5B11BE8E">
          <w:rPr>
            <w:rStyle w:val="Hyperlink"/>
            <w:rFonts w:ascii="Arial" w:hAnsi="Arial" w:eastAsia="Arial" w:cs="Arial"/>
            <w:sz w:val="24"/>
            <w:szCs w:val="24"/>
          </w:rPr>
          <w:t>https://www.britannica.com/biography/Robert-Peel/Prime-minister-and-Conservative-leader</w:t>
        </w:r>
      </w:hyperlink>
    </w:p>
    <w:p w:rsidR="5B11BE8E" w:rsidP="77AF214D" w:rsidRDefault="5B11BE8E" w14:paraId="7EF6043F" w14:textId="6AF2CB13">
      <w:pPr>
        <w:spacing w:before="0" w:beforeAutospacing="off" w:after="160" w:afterAutospacing="off" w:line="360" w:lineRule="auto"/>
        <w:ind w:left="720" w:right="0" w:hanging="720"/>
      </w:pPr>
      <w:r w:rsidRPr="193EC07D" w:rsidR="5B11BE8E">
        <w:rPr>
          <w:rFonts w:ascii="Arial" w:hAnsi="Arial" w:eastAsia="Arial" w:cs="Arial"/>
          <w:color w:val="000000" w:themeColor="text1" w:themeTint="FF" w:themeShade="FF"/>
          <w:sz w:val="24"/>
          <w:szCs w:val="24"/>
        </w:rPr>
        <w:t xml:space="preserve">Gelfand, M. J., Raver, J., Nishi, L., &amp; Lun, J. (2011). Differences Between Tight and Loose Cultures: A 33-Nation Study. </w:t>
      </w:r>
      <w:r w:rsidRPr="193EC07D" w:rsidR="5B11BE8E">
        <w:rPr>
          <w:rFonts w:ascii="Arial" w:hAnsi="Arial" w:eastAsia="Arial" w:cs="Arial"/>
          <w:i w:val="1"/>
          <w:iCs w:val="1"/>
          <w:color w:val="000000" w:themeColor="text1" w:themeTint="FF" w:themeShade="FF"/>
          <w:sz w:val="24"/>
          <w:szCs w:val="24"/>
        </w:rPr>
        <w:t>Cornell University ILR School</w:t>
      </w:r>
      <w:r w:rsidRPr="193EC07D" w:rsidR="5B11BE8E">
        <w:rPr>
          <w:rFonts w:ascii="Arial" w:hAnsi="Arial" w:eastAsia="Arial" w:cs="Arial"/>
          <w:color w:val="000000" w:themeColor="text1" w:themeTint="FF" w:themeShade="FF"/>
          <w:sz w:val="24"/>
          <w:szCs w:val="24"/>
        </w:rPr>
        <w:t xml:space="preserve">. </w:t>
      </w:r>
      <w:hyperlink r:id="R9d0ac6c7390e46c7">
        <w:r w:rsidRPr="193EC07D" w:rsidR="5B11BE8E">
          <w:rPr>
            <w:rStyle w:val="Hyperlink"/>
            <w:rFonts w:ascii="Arial" w:hAnsi="Arial" w:eastAsia="Arial" w:cs="Arial"/>
            <w:sz w:val="24"/>
            <w:szCs w:val="24"/>
          </w:rPr>
          <w:t>https://core.ac.uk/download/pdf/219377125.pdf</w:t>
        </w:r>
      </w:hyperlink>
    </w:p>
    <w:p w:rsidR="5B11BE8E" w:rsidP="77AF214D" w:rsidRDefault="5B11BE8E" w14:paraId="20BAA209" w14:textId="21C5E1A3">
      <w:pPr>
        <w:spacing w:before="0" w:beforeAutospacing="off" w:after="160" w:afterAutospacing="off" w:line="360" w:lineRule="auto"/>
        <w:ind w:left="720" w:right="0" w:hanging="720"/>
        <w:rPr>
          <w:rFonts w:ascii="Arial" w:hAnsi="Arial" w:eastAsia="Arial" w:cs="Arial"/>
          <w:strike w:val="0"/>
          <w:dstrike w:val="0"/>
          <w:noProof w:val="0"/>
          <w:color w:val="000000" w:themeColor="text1" w:themeTint="FF" w:themeShade="FF"/>
          <w:sz w:val="24"/>
          <w:szCs w:val="24"/>
          <w:u w:val="single"/>
          <w:lang w:val="en-US"/>
        </w:rPr>
      </w:pPr>
      <w:r w:rsidRPr="193EC07D" w:rsidR="5B11BE8E">
        <w:rPr>
          <w:rFonts w:ascii="Arial" w:hAnsi="Arial" w:eastAsia="Arial" w:cs="Arial"/>
          <w:color w:val="000000" w:themeColor="text1" w:themeTint="FF" w:themeShade="FF"/>
          <w:sz w:val="24"/>
          <w:szCs w:val="24"/>
        </w:rPr>
        <w:t xml:space="preserve">Goldsmith, A. (2001). </w:t>
      </w:r>
      <w:r w:rsidRPr="193EC07D" w:rsidR="5B11BE8E">
        <w:rPr>
          <w:rFonts w:ascii="Arial" w:hAnsi="Arial" w:eastAsia="Arial" w:cs="Arial"/>
          <w:i w:val="1"/>
          <w:iCs w:val="1"/>
          <w:color w:val="000000" w:themeColor="text1" w:themeTint="FF" w:themeShade="FF"/>
          <w:sz w:val="24"/>
          <w:szCs w:val="24"/>
        </w:rPr>
        <w:t>Police power and democracy in Australia</w:t>
      </w:r>
      <w:r w:rsidRPr="193EC07D" w:rsidR="5B11BE8E">
        <w:rPr>
          <w:rFonts w:ascii="Arial" w:hAnsi="Arial" w:eastAsia="Arial" w:cs="Arial"/>
          <w:color w:val="000000" w:themeColor="text1" w:themeTint="FF" w:themeShade="FF"/>
          <w:sz w:val="24"/>
          <w:szCs w:val="24"/>
        </w:rPr>
        <w:t>. National Criminal Justice Reference Service.</w:t>
      </w:r>
      <w:r w:rsidRPr="193EC07D" w:rsidR="5B11BE8E">
        <w:rPr>
          <w:rFonts w:ascii="Arial" w:hAnsi="Arial" w:eastAsia="Arial" w:cs="Arial"/>
          <w:strike w:val="0"/>
          <w:dstrike w:val="0"/>
          <w:color w:val="000000" w:themeColor="text1" w:themeTint="FF" w:themeShade="FF"/>
          <w:sz w:val="24"/>
          <w:szCs w:val="24"/>
          <w:u w:val="single"/>
        </w:rPr>
        <w:t xml:space="preserve"> </w:t>
      </w:r>
      <w:hyperlink r:id="R5aa24e8f8cda4886">
        <w:r w:rsidRPr="193EC07D" w:rsidR="5B11BE8E">
          <w:rPr>
            <w:rStyle w:val="Hyperlink"/>
            <w:rFonts w:ascii="Arial" w:hAnsi="Arial" w:eastAsia="Arial" w:cs="Arial"/>
            <w:strike w:val="0"/>
            <w:dstrike w:val="0"/>
            <w:sz w:val="24"/>
            <w:szCs w:val="24"/>
          </w:rPr>
          <w:t>https://web.archive.org/web/20160304201446/https://www.ncjrs.gov/App/publications/abstract.aspx?ID=192675</w:t>
        </w:r>
      </w:hyperlink>
    </w:p>
    <w:p w:rsidR="5B11BE8E" w:rsidP="77AF214D" w:rsidRDefault="5B11BE8E" w14:paraId="3B37E6DB" w14:textId="5223CD2C">
      <w:pPr>
        <w:spacing w:before="0" w:beforeAutospacing="off" w:after="160" w:afterAutospacing="off" w:line="360" w:lineRule="auto"/>
        <w:ind w:left="720" w:right="0" w:hanging="720"/>
      </w:pPr>
      <w:r w:rsidRPr="193EC07D" w:rsidR="5B11BE8E">
        <w:rPr>
          <w:rFonts w:ascii="Arial" w:hAnsi="Arial" w:eastAsia="Arial" w:cs="Arial"/>
          <w:color w:val="000000" w:themeColor="text1" w:themeTint="FF" w:themeShade="FF"/>
          <w:sz w:val="24"/>
          <w:szCs w:val="24"/>
        </w:rPr>
        <w:t xml:space="preserve">Huemer, M. (2013). The Traditional Social Contract Theory. In </w:t>
      </w:r>
      <w:r w:rsidRPr="193EC07D" w:rsidR="5B11BE8E">
        <w:rPr>
          <w:rFonts w:ascii="Arial" w:hAnsi="Arial" w:eastAsia="Arial" w:cs="Arial"/>
          <w:i w:val="1"/>
          <w:iCs w:val="1"/>
          <w:color w:val="000000" w:themeColor="text1" w:themeTint="FF" w:themeShade="FF"/>
          <w:sz w:val="24"/>
          <w:szCs w:val="24"/>
        </w:rPr>
        <w:t>The Problem of Political Authority: An Examination of the Right to Coerce and the Duty to Obey</w:t>
      </w:r>
      <w:r w:rsidRPr="193EC07D" w:rsidR="5B11BE8E">
        <w:rPr>
          <w:rFonts w:ascii="Arial" w:hAnsi="Arial" w:eastAsia="Arial" w:cs="Arial"/>
          <w:color w:val="000000" w:themeColor="text1" w:themeTint="FF" w:themeShade="FF"/>
          <w:sz w:val="24"/>
          <w:szCs w:val="24"/>
        </w:rPr>
        <w:t xml:space="preserve"> (pp. 20–35). Palgrave Macmillan.</w:t>
      </w:r>
    </w:p>
    <w:p w:rsidR="5B11BE8E" w:rsidP="77AF214D" w:rsidRDefault="5B11BE8E" w14:paraId="61565877" w14:textId="4125CA20">
      <w:pPr>
        <w:spacing w:before="0" w:beforeAutospacing="off" w:after="0" w:afterAutospacing="off" w:line="480" w:lineRule="auto"/>
        <w:ind w:left="720" w:right="0" w:hanging="720"/>
      </w:pPr>
      <w:r w:rsidRPr="193EC07D" w:rsidR="5B11BE8E">
        <w:rPr>
          <w:rFonts w:ascii="Arial" w:hAnsi="Arial" w:eastAsia="Arial" w:cs="Arial"/>
          <w:sz w:val="24"/>
          <w:szCs w:val="24"/>
        </w:rPr>
        <w:t xml:space="preserve">Jackson, J., Bradford, B., &amp; Stanko, E. (2011). Just Authority? Public trust and police legitimacy. In </w:t>
      </w:r>
      <w:r w:rsidRPr="193EC07D" w:rsidR="5B11BE8E">
        <w:rPr>
          <w:rFonts w:ascii="Arial" w:hAnsi="Arial" w:eastAsia="Arial" w:cs="Arial"/>
          <w:i w:val="1"/>
          <w:iCs w:val="1"/>
          <w:sz w:val="24"/>
          <w:szCs w:val="24"/>
        </w:rPr>
        <w:t>Just Authority? Public trust and police legitimacy</w:t>
      </w:r>
      <w:r w:rsidRPr="193EC07D" w:rsidR="5B11BE8E">
        <w:rPr>
          <w:rFonts w:ascii="Arial" w:hAnsi="Arial" w:eastAsia="Arial" w:cs="Arial"/>
          <w:sz w:val="24"/>
          <w:szCs w:val="24"/>
        </w:rPr>
        <w:t xml:space="preserve">. Willan Publishing. </w:t>
      </w:r>
      <w:hyperlink r:id="R55fbcfd9b03b4727">
        <w:r w:rsidRPr="193EC07D" w:rsidR="5B11BE8E">
          <w:rPr>
            <w:rStyle w:val="Hyperlink"/>
            <w:rFonts w:ascii="Arial" w:hAnsi="Arial" w:eastAsia="Arial" w:cs="Arial"/>
            <w:sz w:val="24"/>
            <w:szCs w:val="24"/>
          </w:rPr>
          <w:t>https://www.researchgate.net/publication/210136157_Just_Authority_Public_trust_and_police_legitimacy</w:t>
        </w:r>
      </w:hyperlink>
    </w:p>
    <w:p w:rsidR="5B11BE8E" w:rsidP="77AF214D" w:rsidRDefault="5B11BE8E" w14:paraId="46FB0167" w14:textId="5BC33E85">
      <w:pPr>
        <w:spacing w:before="0" w:beforeAutospacing="off" w:after="160" w:afterAutospacing="off" w:line="360" w:lineRule="auto"/>
        <w:ind w:left="720" w:right="0" w:hanging="720"/>
      </w:pPr>
      <w:r w:rsidRPr="193EC07D" w:rsidR="5B11BE8E">
        <w:rPr>
          <w:rFonts w:ascii="Arial" w:hAnsi="Arial" w:eastAsia="Arial" w:cs="Arial"/>
          <w:color w:val="000000" w:themeColor="text1" w:themeTint="FF" w:themeShade="FF"/>
          <w:sz w:val="24"/>
          <w:szCs w:val="24"/>
        </w:rPr>
        <w:t xml:space="preserve">Lawlor, L., &amp; Nale, J. (2014). Resistance. In </w:t>
      </w:r>
      <w:r w:rsidRPr="193EC07D" w:rsidR="5B11BE8E">
        <w:rPr>
          <w:rFonts w:ascii="Arial" w:hAnsi="Arial" w:eastAsia="Arial" w:cs="Arial"/>
          <w:i w:val="1"/>
          <w:iCs w:val="1"/>
          <w:color w:val="000000" w:themeColor="text1" w:themeTint="FF" w:themeShade="FF"/>
          <w:sz w:val="24"/>
          <w:szCs w:val="24"/>
        </w:rPr>
        <w:t>The Cambridge Foucault Lexicon</w:t>
      </w:r>
      <w:r w:rsidRPr="193EC07D" w:rsidR="5B11BE8E">
        <w:rPr>
          <w:rFonts w:ascii="Arial" w:hAnsi="Arial" w:eastAsia="Arial" w:cs="Arial"/>
          <w:color w:val="000000" w:themeColor="text1" w:themeTint="FF" w:themeShade="FF"/>
          <w:sz w:val="24"/>
          <w:szCs w:val="24"/>
        </w:rPr>
        <w:t xml:space="preserve"> (pp. 432–437). Cambridge University Press. </w:t>
      </w:r>
      <w:hyperlink r:id="R8b268b33347f4d9f">
        <w:r w:rsidRPr="193EC07D" w:rsidR="5B11BE8E">
          <w:rPr>
            <w:rStyle w:val="Hyperlink"/>
            <w:rFonts w:ascii="Arial" w:hAnsi="Arial" w:eastAsia="Arial" w:cs="Arial"/>
            <w:sz w:val="24"/>
            <w:szCs w:val="24"/>
          </w:rPr>
          <w:t>https://doi.org/10.1017/cbo9781139022309.076</w:t>
        </w:r>
      </w:hyperlink>
    </w:p>
    <w:p w:rsidR="5B11BE8E" w:rsidP="77AF214D" w:rsidRDefault="5B11BE8E" w14:paraId="55DC67DB" w14:textId="68C9D20D">
      <w:pPr>
        <w:spacing w:before="0" w:beforeAutospacing="off" w:after="160" w:afterAutospacing="off" w:line="360" w:lineRule="auto"/>
        <w:ind w:left="720" w:right="0" w:hanging="720"/>
      </w:pPr>
      <w:r w:rsidRPr="193EC07D" w:rsidR="5B11BE8E">
        <w:rPr>
          <w:rFonts w:ascii="Arial" w:hAnsi="Arial" w:eastAsia="Arial" w:cs="Arial"/>
          <w:color w:val="000000" w:themeColor="text1" w:themeTint="FF" w:themeShade="FF"/>
          <w:sz w:val="24"/>
          <w:szCs w:val="24"/>
        </w:rPr>
        <w:t xml:space="preserve">Parsons, T. (1991). </w:t>
      </w:r>
      <w:r w:rsidRPr="193EC07D" w:rsidR="5B11BE8E">
        <w:rPr>
          <w:rFonts w:ascii="Arial" w:hAnsi="Arial" w:eastAsia="Arial" w:cs="Arial"/>
          <w:i w:val="1"/>
          <w:iCs w:val="1"/>
          <w:color w:val="000000" w:themeColor="text1" w:themeTint="FF" w:themeShade="FF"/>
          <w:sz w:val="24"/>
          <w:szCs w:val="24"/>
        </w:rPr>
        <w:t>The Social System</w:t>
      </w:r>
      <w:r w:rsidRPr="193EC07D" w:rsidR="327EC0A0">
        <w:rPr>
          <w:rFonts w:ascii="Arial" w:hAnsi="Arial" w:eastAsia="Arial" w:cs="Arial"/>
          <w:i w:val="1"/>
          <w:iCs w:val="1"/>
          <w:color w:val="000000" w:themeColor="text1" w:themeTint="FF" w:themeShade="FF"/>
          <w:sz w:val="24"/>
          <w:szCs w:val="24"/>
        </w:rPr>
        <w:t>.</w:t>
      </w:r>
      <w:r w:rsidRPr="193EC07D" w:rsidR="5B11BE8E">
        <w:rPr>
          <w:rFonts w:ascii="Arial" w:hAnsi="Arial" w:eastAsia="Arial" w:cs="Arial"/>
          <w:color w:val="000000" w:themeColor="text1" w:themeTint="FF" w:themeShade="FF"/>
          <w:sz w:val="24"/>
          <w:szCs w:val="24"/>
        </w:rPr>
        <w:t xml:space="preserve"> 2nd ed., p. 250. Routledge.</w:t>
      </w:r>
    </w:p>
    <w:p w:rsidR="5B11BE8E" w:rsidP="77AF214D" w:rsidRDefault="5B11BE8E" w14:paraId="2F3E5227" w14:textId="16BBFA4D">
      <w:pPr>
        <w:spacing w:before="0" w:beforeAutospacing="off" w:after="160" w:afterAutospacing="off" w:line="360" w:lineRule="auto"/>
        <w:ind w:left="720" w:right="0" w:hanging="720"/>
      </w:pPr>
      <w:r w:rsidRPr="193EC07D" w:rsidR="5B11BE8E">
        <w:rPr>
          <w:rFonts w:ascii="Arial" w:hAnsi="Arial" w:eastAsia="Arial" w:cs="Arial"/>
          <w:color w:val="000000" w:themeColor="text1" w:themeTint="FF" w:themeShade="FF"/>
          <w:sz w:val="24"/>
          <w:szCs w:val="24"/>
        </w:rPr>
        <w:t xml:space="preserve">Reith, C. (1956). </w:t>
      </w:r>
      <w:r w:rsidRPr="193EC07D" w:rsidR="5B11BE8E">
        <w:rPr>
          <w:rFonts w:ascii="Arial" w:hAnsi="Arial" w:eastAsia="Arial" w:cs="Arial"/>
          <w:i w:val="1"/>
          <w:iCs w:val="1"/>
          <w:color w:val="000000" w:themeColor="text1" w:themeTint="FF" w:themeShade="FF"/>
          <w:sz w:val="24"/>
          <w:szCs w:val="24"/>
        </w:rPr>
        <w:t>A New study of police history</w:t>
      </w:r>
      <w:r w:rsidRPr="193EC07D" w:rsidR="5B11BE8E">
        <w:rPr>
          <w:rFonts w:ascii="Arial" w:hAnsi="Arial" w:eastAsia="Arial" w:cs="Arial"/>
          <w:color w:val="000000" w:themeColor="text1" w:themeTint="FF" w:themeShade="FF"/>
          <w:sz w:val="24"/>
          <w:szCs w:val="24"/>
        </w:rPr>
        <w:t xml:space="preserve"> (1st ed.). Oliver &amp; Boyd.</w:t>
      </w:r>
    </w:p>
    <w:p w:rsidR="5B11BE8E" w:rsidP="77AF214D" w:rsidRDefault="5B11BE8E" w14:paraId="767BFDE5" w14:textId="21F255EE">
      <w:pPr>
        <w:spacing w:before="0" w:beforeAutospacing="off" w:after="160" w:afterAutospacing="off" w:line="360" w:lineRule="auto"/>
        <w:ind w:left="720" w:right="0" w:hanging="720"/>
      </w:pPr>
      <w:r w:rsidRPr="193EC07D" w:rsidR="5B11BE8E">
        <w:rPr>
          <w:rFonts w:ascii="Arial" w:hAnsi="Arial" w:eastAsia="Arial" w:cs="Arial"/>
          <w:color w:val="000000" w:themeColor="text1" w:themeTint="FF" w:themeShade="FF"/>
          <w:sz w:val="24"/>
          <w:szCs w:val="24"/>
        </w:rPr>
        <w:t>The Labor Party. (</w:t>
      </w:r>
      <w:r w:rsidRPr="193EC07D" w:rsidR="1EAFE7A9">
        <w:rPr>
          <w:rFonts w:ascii="Arial" w:hAnsi="Arial" w:eastAsia="Arial" w:cs="Arial"/>
          <w:color w:val="000000" w:themeColor="text1" w:themeTint="FF" w:themeShade="FF"/>
          <w:sz w:val="24"/>
          <w:szCs w:val="24"/>
        </w:rPr>
        <w:t>2024</w:t>
      </w:r>
      <w:r w:rsidRPr="193EC07D" w:rsidR="5B11BE8E">
        <w:rPr>
          <w:rFonts w:ascii="Arial" w:hAnsi="Arial" w:eastAsia="Arial" w:cs="Arial"/>
          <w:color w:val="000000" w:themeColor="text1" w:themeTint="FF" w:themeShade="FF"/>
          <w:sz w:val="24"/>
          <w:szCs w:val="24"/>
        </w:rPr>
        <w:t xml:space="preserve">). </w:t>
      </w:r>
      <w:r w:rsidRPr="193EC07D" w:rsidR="5B11BE8E">
        <w:rPr>
          <w:rFonts w:ascii="Arial" w:hAnsi="Arial" w:eastAsia="Arial" w:cs="Arial"/>
          <w:i w:val="1"/>
          <w:iCs w:val="1"/>
          <w:color w:val="000000" w:themeColor="text1" w:themeTint="FF" w:themeShade="FF"/>
          <w:sz w:val="24"/>
          <w:szCs w:val="24"/>
        </w:rPr>
        <w:t>Take back our streets</w:t>
      </w:r>
      <w:r w:rsidRPr="193EC07D" w:rsidR="5B11BE8E">
        <w:rPr>
          <w:rFonts w:ascii="Arial" w:hAnsi="Arial" w:eastAsia="Arial" w:cs="Arial"/>
          <w:color w:val="000000" w:themeColor="text1" w:themeTint="FF" w:themeShade="FF"/>
          <w:sz w:val="24"/>
          <w:szCs w:val="24"/>
        </w:rPr>
        <w:t xml:space="preserve">. The Labour Party. </w:t>
      </w:r>
      <w:hyperlink r:id="Rbfced32fc4194a66">
        <w:r w:rsidRPr="193EC07D" w:rsidR="5B11BE8E">
          <w:rPr>
            <w:rStyle w:val="Hyperlink"/>
            <w:rFonts w:ascii="Arial" w:hAnsi="Arial" w:eastAsia="Arial" w:cs="Arial"/>
            <w:sz w:val="24"/>
            <w:szCs w:val="24"/>
          </w:rPr>
          <w:t>https://labour.org.uk/change/take-back-our-streets/</w:t>
        </w:r>
      </w:hyperlink>
      <w:r w:rsidRPr="193EC07D" w:rsidR="71D52E47">
        <w:rPr>
          <w:rFonts w:ascii="Arial" w:hAnsi="Arial" w:eastAsia="Arial" w:cs="Arial"/>
          <w:sz w:val="24"/>
          <w:szCs w:val="24"/>
        </w:rPr>
        <w:t xml:space="preserve"> (Accessed: 21/10/2024).</w:t>
      </w:r>
    </w:p>
    <w:p w:rsidR="5B11BE8E" w:rsidP="77AF214D" w:rsidRDefault="5B11BE8E" w14:paraId="5BBB4C15" w14:textId="56B0AC9D">
      <w:pPr>
        <w:spacing w:before="0" w:beforeAutospacing="off" w:after="160" w:afterAutospacing="off" w:line="360" w:lineRule="auto"/>
        <w:ind w:left="720" w:right="0" w:hanging="720"/>
      </w:pPr>
      <w:r w:rsidRPr="193EC07D" w:rsidR="5B11BE8E">
        <w:rPr>
          <w:rFonts w:ascii="Arial" w:hAnsi="Arial" w:eastAsia="Arial" w:cs="Arial"/>
          <w:color w:val="000000" w:themeColor="text1" w:themeTint="FF" w:themeShade="FF"/>
          <w:sz w:val="24"/>
          <w:szCs w:val="24"/>
        </w:rPr>
        <w:t xml:space="preserve">Thompson, F. M. L. (1981). Social Control in Victorian Britain. </w:t>
      </w:r>
      <w:r w:rsidRPr="193EC07D" w:rsidR="5B11BE8E">
        <w:rPr>
          <w:rFonts w:ascii="Arial" w:hAnsi="Arial" w:eastAsia="Arial" w:cs="Arial"/>
          <w:i w:val="1"/>
          <w:iCs w:val="1"/>
          <w:color w:val="000000" w:themeColor="text1" w:themeTint="FF" w:themeShade="FF"/>
          <w:sz w:val="24"/>
          <w:szCs w:val="24"/>
        </w:rPr>
        <w:t>The Economic History Review</w:t>
      </w:r>
      <w:r w:rsidRPr="193EC07D" w:rsidR="5B11BE8E">
        <w:rPr>
          <w:rFonts w:ascii="Arial" w:hAnsi="Arial" w:eastAsia="Arial" w:cs="Arial"/>
          <w:color w:val="000000" w:themeColor="text1" w:themeTint="FF" w:themeShade="FF"/>
          <w:sz w:val="24"/>
          <w:szCs w:val="24"/>
        </w:rPr>
        <w:t xml:space="preserve">, </w:t>
      </w:r>
      <w:r w:rsidRPr="193EC07D" w:rsidR="5B11BE8E">
        <w:rPr>
          <w:rFonts w:ascii="Arial" w:hAnsi="Arial" w:eastAsia="Arial" w:cs="Arial"/>
          <w:i w:val="1"/>
          <w:iCs w:val="1"/>
          <w:color w:val="000000" w:themeColor="text1" w:themeTint="FF" w:themeShade="FF"/>
          <w:sz w:val="24"/>
          <w:szCs w:val="24"/>
        </w:rPr>
        <w:t>34</w:t>
      </w:r>
      <w:r w:rsidRPr="193EC07D" w:rsidR="5B11BE8E">
        <w:rPr>
          <w:rFonts w:ascii="Arial" w:hAnsi="Arial" w:eastAsia="Arial" w:cs="Arial"/>
          <w:color w:val="000000" w:themeColor="text1" w:themeTint="FF" w:themeShade="FF"/>
          <w:sz w:val="24"/>
          <w:szCs w:val="24"/>
        </w:rPr>
        <w:t xml:space="preserve">(2), 189–208. </w:t>
      </w:r>
      <w:hyperlink r:id="Refcb428ee9a34969">
        <w:r w:rsidRPr="193EC07D" w:rsidR="5B11BE8E">
          <w:rPr>
            <w:rStyle w:val="Hyperlink"/>
            <w:rFonts w:ascii="Arial" w:hAnsi="Arial" w:eastAsia="Arial" w:cs="Arial"/>
            <w:sz w:val="24"/>
            <w:szCs w:val="24"/>
          </w:rPr>
          <w:t>https://doi.org/10.2307/2595241</w:t>
        </w:r>
      </w:hyperlink>
    </w:p>
    <w:p w:rsidR="5B11BE8E" w:rsidP="77AF214D" w:rsidRDefault="5B11BE8E" w14:paraId="3A122F1C" w14:textId="771C3707">
      <w:pPr>
        <w:spacing w:before="0" w:beforeAutospacing="off" w:after="160" w:afterAutospacing="off" w:line="360" w:lineRule="auto"/>
        <w:ind w:left="720" w:right="0" w:hanging="720"/>
        <w:rPr>
          <w:rFonts w:ascii="Arial" w:hAnsi="Arial" w:eastAsia="Arial" w:cs="Arial"/>
          <w:strike w:val="0"/>
          <w:dstrike w:val="0"/>
          <w:noProof w:val="0"/>
          <w:color w:val="000000" w:themeColor="text1" w:themeTint="FF" w:themeShade="FF"/>
          <w:sz w:val="24"/>
          <w:szCs w:val="24"/>
          <w:u w:val="single"/>
          <w:lang w:val="en-US"/>
        </w:rPr>
      </w:pPr>
      <w:r w:rsidRPr="193EC07D" w:rsidR="5B11BE8E">
        <w:rPr>
          <w:rFonts w:ascii="Arial" w:hAnsi="Arial" w:eastAsia="Arial" w:cs="Arial"/>
          <w:color w:val="000000" w:themeColor="text1" w:themeTint="FF" w:themeShade="FF"/>
          <w:sz w:val="24"/>
          <w:szCs w:val="24"/>
        </w:rPr>
        <w:t>UK Government Home Office. (</w:t>
      </w:r>
      <w:r w:rsidRPr="193EC07D" w:rsidR="7F27E0E2">
        <w:rPr>
          <w:rFonts w:ascii="Arial" w:hAnsi="Arial" w:eastAsia="Arial" w:cs="Arial"/>
          <w:color w:val="000000" w:themeColor="text1" w:themeTint="FF" w:themeShade="FF"/>
          <w:sz w:val="24"/>
          <w:szCs w:val="24"/>
        </w:rPr>
        <w:t>10/12/</w:t>
      </w:r>
      <w:r w:rsidRPr="193EC07D" w:rsidR="5B11BE8E">
        <w:rPr>
          <w:rFonts w:ascii="Arial" w:hAnsi="Arial" w:eastAsia="Arial" w:cs="Arial"/>
          <w:color w:val="000000" w:themeColor="text1" w:themeTint="FF" w:themeShade="FF"/>
          <w:sz w:val="24"/>
          <w:szCs w:val="24"/>
        </w:rPr>
        <w:t>20</w:t>
      </w:r>
      <w:r w:rsidRPr="193EC07D" w:rsidR="5B11BE8E">
        <w:rPr>
          <w:rFonts w:ascii="Arial" w:hAnsi="Arial" w:eastAsia="Arial" w:cs="Arial"/>
          <w:color w:val="000000" w:themeColor="text1" w:themeTint="FF" w:themeShade="FF"/>
          <w:sz w:val="24"/>
          <w:szCs w:val="24"/>
        </w:rPr>
        <w:t>12</w:t>
      </w:r>
      <w:r w:rsidRPr="193EC07D" w:rsidR="5B11BE8E">
        <w:rPr>
          <w:rFonts w:ascii="Arial" w:hAnsi="Arial" w:eastAsia="Arial" w:cs="Arial"/>
          <w:color w:val="000000" w:themeColor="text1" w:themeTint="FF" w:themeShade="FF"/>
          <w:sz w:val="24"/>
          <w:szCs w:val="24"/>
        </w:rPr>
        <w:t>)</w:t>
      </w:r>
      <w:r w:rsidRPr="193EC07D" w:rsidR="5B11BE8E">
        <w:rPr>
          <w:rFonts w:ascii="Arial" w:hAnsi="Arial" w:eastAsia="Arial" w:cs="Arial"/>
          <w:color w:val="000000" w:themeColor="text1" w:themeTint="FF" w:themeShade="FF"/>
          <w:sz w:val="24"/>
          <w:szCs w:val="24"/>
        </w:rPr>
        <w:t xml:space="preserve">. </w:t>
      </w:r>
      <w:r w:rsidRPr="193EC07D" w:rsidR="5B11BE8E">
        <w:rPr>
          <w:rFonts w:ascii="Arial" w:hAnsi="Arial" w:eastAsia="Arial" w:cs="Arial"/>
          <w:i w:val="1"/>
          <w:iCs w:val="1"/>
          <w:color w:val="000000" w:themeColor="text1" w:themeTint="FF" w:themeShade="FF"/>
          <w:sz w:val="24"/>
          <w:szCs w:val="24"/>
        </w:rPr>
        <w:t>Policing by consent</w:t>
      </w:r>
      <w:r w:rsidRPr="193EC07D" w:rsidR="5B11BE8E">
        <w:rPr>
          <w:rFonts w:ascii="Arial" w:hAnsi="Arial" w:eastAsia="Arial" w:cs="Arial"/>
          <w:color w:val="000000" w:themeColor="text1" w:themeTint="FF" w:themeShade="FF"/>
          <w:sz w:val="24"/>
          <w:szCs w:val="24"/>
        </w:rPr>
        <w:t>.</w:t>
      </w:r>
      <w:r w:rsidRPr="193EC07D" w:rsidR="64F92445">
        <w:rPr>
          <w:rFonts w:ascii="Arial" w:hAnsi="Arial" w:eastAsia="Arial" w:cs="Arial"/>
          <w:color w:val="000000" w:themeColor="text1" w:themeTint="FF" w:themeShade="FF"/>
          <w:sz w:val="24"/>
          <w:szCs w:val="24"/>
        </w:rPr>
        <w:t xml:space="preserve"> Available at:</w:t>
      </w:r>
      <w:r w:rsidRPr="193EC07D" w:rsidR="5B11BE8E">
        <w:rPr>
          <w:rFonts w:ascii="Arial" w:hAnsi="Arial" w:eastAsia="Arial" w:cs="Arial"/>
          <w:color w:val="000000" w:themeColor="text1" w:themeTint="FF" w:themeShade="FF"/>
          <w:sz w:val="24"/>
          <w:szCs w:val="24"/>
        </w:rPr>
        <w:t xml:space="preserve"> </w:t>
      </w:r>
      <w:hyperlink r:id="Rdafff2716bc84cd0">
        <w:r w:rsidRPr="193EC07D" w:rsidR="5B11BE8E">
          <w:rPr>
            <w:rStyle w:val="Hyperlink"/>
            <w:rFonts w:ascii="Arial" w:hAnsi="Arial" w:eastAsia="Arial" w:cs="Arial"/>
            <w:strike w:val="0"/>
            <w:dstrike w:val="0"/>
            <w:sz w:val="24"/>
            <w:szCs w:val="24"/>
          </w:rPr>
          <w:t>https://www.gov.uk/government/publications/policing-by-consent</w:t>
        </w:r>
      </w:hyperlink>
      <w:r w:rsidRPr="193EC07D" w:rsidR="79FB8D0E">
        <w:rPr>
          <w:rFonts w:ascii="Arial" w:hAnsi="Arial" w:eastAsia="Arial" w:cs="Arial"/>
          <w:strike w:val="0"/>
          <w:dstrike w:val="0"/>
          <w:sz w:val="24"/>
          <w:szCs w:val="24"/>
        </w:rPr>
        <w:t xml:space="preserve"> (Accessed: 21/10/2024).</w:t>
      </w:r>
    </w:p>
    <w:p w:rsidR="5B11BE8E" w:rsidP="77AF214D" w:rsidRDefault="5B11BE8E" w14:paraId="6AB12D16" w14:textId="60C0CA00">
      <w:pPr>
        <w:spacing w:before="0" w:beforeAutospacing="off" w:after="160" w:afterAutospacing="off" w:line="360" w:lineRule="auto"/>
        <w:ind w:left="720" w:right="0" w:hanging="720"/>
        <w:rPr>
          <w:rFonts w:ascii="Arial" w:hAnsi="Arial" w:eastAsia="Arial" w:cs="Arial"/>
          <w:strike w:val="0"/>
          <w:dstrike w:val="0"/>
          <w:noProof w:val="0"/>
          <w:color w:val="000000" w:themeColor="text1" w:themeTint="FF" w:themeShade="FF"/>
          <w:sz w:val="24"/>
          <w:szCs w:val="24"/>
          <w:u w:val="single"/>
          <w:lang w:val="en-US"/>
        </w:rPr>
      </w:pPr>
      <w:r w:rsidRPr="193EC07D" w:rsidR="5B11BE8E">
        <w:rPr>
          <w:rFonts w:ascii="Arial" w:hAnsi="Arial" w:eastAsia="Arial" w:cs="Arial"/>
          <w:color w:val="000000" w:themeColor="text1" w:themeTint="FF" w:themeShade="FF"/>
          <w:sz w:val="24"/>
          <w:szCs w:val="24"/>
        </w:rPr>
        <w:t xml:space="preserve">Varghese, John (2010). "Police Structure: A Comparative Study of Policing Models". </w:t>
      </w:r>
      <w:r w:rsidRPr="193EC07D" w:rsidR="5B11BE8E">
        <w:rPr>
          <w:rFonts w:ascii="Arial" w:hAnsi="Arial" w:eastAsia="Arial" w:cs="Arial"/>
          <w:i w:val="1"/>
          <w:iCs w:val="1"/>
          <w:color w:val="000000" w:themeColor="text1" w:themeTint="FF" w:themeShade="FF"/>
          <w:sz w:val="24"/>
          <w:szCs w:val="24"/>
        </w:rPr>
        <w:t>SSRN Electronic Journal</w:t>
      </w:r>
      <w:r w:rsidRPr="193EC07D" w:rsidR="5B11BE8E">
        <w:rPr>
          <w:rFonts w:ascii="Arial" w:hAnsi="Arial" w:eastAsia="Arial" w:cs="Arial"/>
          <w:color w:val="000000" w:themeColor="text1" w:themeTint="FF" w:themeShade="FF"/>
          <w:sz w:val="24"/>
          <w:szCs w:val="24"/>
        </w:rPr>
        <w:t xml:space="preserve">. </w:t>
      </w:r>
      <w:hyperlink r:id="Refb0a4042dbc4a69">
        <w:r w:rsidRPr="193EC07D" w:rsidR="5B11BE8E">
          <w:rPr>
            <w:rStyle w:val="Hyperlink"/>
            <w:rFonts w:ascii="Arial" w:hAnsi="Arial" w:eastAsia="Arial" w:cs="Arial"/>
            <w:strike w:val="0"/>
            <w:dstrike w:val="0"/>
            <w:color w:val="000000" w:themeColor="text1" w:themeTint="FF" w:themeShade="FF"/>
            <w:sz w:val="24"/>
            <w:szCs w:val="24"/>
            <w:u w:val="none"/>
          </w:rPr>
          <w:t>doi</w:t>
        </w:r>
      </w:hyperlink>
      <w:r w:rsidRPr="193EC07D" w:rsidR="5B11BE8E">
        <w:rPr>
          <w:rFonts w:ascii="Arial" w:hAnsi="Arial" w:eastAsia="Arial" w:cs="Arial"/>
          <w:color w:val="000000" w:themeColor="text1" w:themeTint="FF" w:themeShade="FF"/>
          <w:sz w:val="24"/>
          <w:szCs w:val="24"/>
          <w:u w:val="none"/>
        </w:rPr>
        <w:t>:</w:t>
      </w:r>
      <w:r w:rsidRPr="193EC07D" w:rsidR="5B11BE8E">
        <w:rPr>
          <w:rFonts w:ascii="Arial" w:hAnsi="Arial" w:eastAsia="Arial" w:cs="Arial"/>
          <w:strike w:val="0"/>
          <w:dstrike w:val="0"/>
          <w:color w:val="000000" w:themeColor="text1" w:themeTint="FF" w:themeShade="FF"/>
          <w:sz w:val="24"/>
          <w:szCs w:val="24"/>
          <w:u w:val="none"/>
        </w:rPr>
        <w:t>10.2139/ssrn.160529</w:t>
      </w:r>
      <w:r w:rsidRPr="193EC07D" w:rsidR="3B201072">
        <w:rPr>
          <w:rFonts w:ascii="Arial" w:hAnsi="Arial" w:eastAsia="Arial" w:cs="Arial"/>
          <w:strike w:val="0"/>
          <w:dstrike w:val="0"/>
          <w:color w:val="000000" w:themeColor="text1" w:themeTint="FF" w:themeShade="FF"/>
          <w:sz w:val="24"/>
          <w:szCs w:val="24"/>
          <w:u w:val="none"/>
        </w:rPr>
        <w:t>0</w:t>
      </w:r>
    </w:p>
    <w:p w:rsidR="5B11BE8E" w:rsidP="77AF214D" w:rsidRDefault="5B11BE8E" w14:paraId="730DAE5E" w14:textId="09D64ECC">
      <w:pPr>
        <w:spacing w:before="0" w:beforeAutospacing="off" w:after="160" w:afterAutospacing="off" w:line="360" w:lineRule="auto"/>
        <w:ind w:left="720" w:right="0" w:hanging="720"/>
      </w:pPr>
      <w:r w:rsidRPr="193EC07D" w:rsidR="5B11BE8E">
        <w:rPr>
          <w:rFonts w:ascii="Arial" w:hAnsi="Arial" w:eastAsia="Arial" w:cs="Arial"/>
          <w:color w:val="000000" w:themeColor="text1" w:themeTint="FF" w:themeShade="FF"/>
          <w:sz w:val="24"/>
          <w:szCs w:val="24"/>
        </w:rPr>
        <w:t xml:space="preserve">Waddington, P. A. J. (1999). Policing Citizens: Authority and Rights. In </w:t>
      </w:r>
      <w:r w:rsidRPr="193EC07D" w:rsidR="5B11BE8E">
        <w:rPr>
          <w:rFonts w:ascii="Arial" w:hAnsi="Arial" w:eastAsia="Arial" w:cs="Arial"/>
          <w:i w:val="1"/>
          <w:iCs w:val="1"/>
          <w:color w:val="000000" w:themeColor="text1" w:themeTint="FF" w:themeShade="FF"/>
          <w:sz w:val="24"/>
          <w:szCs w:val="24"/>
        </w:rPr>
        <w:t>Ojp.gov</w:t>
      </w:r>
      <w:r w:rsidRPr="193EC07D" w:rsidR="5B11BE8E">
        <w:rPr>
          <w:rFonts w:ascii="Arial" w:hAnsi="Arial" w:eastAsia="Arial" w:cs="Arial"/>
          <w:color w:val="000000" w:themeColor="text1" w:themeTint="FF" w:themeShade="FF"/>
          <w:sz w:val="24"/>
          <w:szCs w:val="24"/>
        </w:rPr>
        <w:t xml:space="preserve"> (1st ed.). UCL Press Limited.</w:t>
      </w:r>
    </w:p>
    <w:p w:rsidR="5B11BE8E" w:rsidP="77AF214D" w:rsidRDefault="5B11BE8E" w14:paraId="5AB407A9" w14:textId="5C350423">
      <w:pPr>
        <w:spacing w:before="0" w:beforeAutospacing="off" w:after="160" w:afterAutospacing="off" w:line="360" w:lineRule="auto"/>
        <w:ind w:left="720" w:right="0" w:hanging="720"/>
      </w:pPr>
      <w:r w:rsidRPr="193EC07D" w:rsidR="5B11BE8E">
        <w:rPr>
          <w:rFonts w:ascii="Arial" w:hAnsi="Arial" w:eastAsia="Arial" w:cs="Arial"/>
          <w:color w:val="000000" w:themeColor="text1" w:themeTint="FF" w:themeShade="FF"/>
          <w:sz w:val="24"/>
          <w:szCs w:val="24"/>
        </w:rPr>
        <w:t>Tuckness, A. (</w:t>
      </w:r>
      <w:r w:rsidRPr="193EC07D" w:rsidR="5B11BE8E">
        <w:rPr>
          <w:rFonts w:ascii="Arial" w:hAnsi="Arial" w:eastAsia="Arial" w:cs="Arial"/>
          <w:color w:val="000000" w:themeColor="text1" w:themeTint="FF" w:themeShade="FF"/>
          <w:sz w:val="24"/>
          <w:szCs w:val="24"/>
        </w:rPr>
        <w:t xml:space="preserve">2020). </w:t>
      </w:r>
      <w:r w:rsidRPr="193EC07D" w:rsidR="5B11BE8E">
        <w:rPr>
          <w:rFonts w:ascii="Arial" w:hAnsi="Arial" w:eastAsia="Arial" w:cs="Arial"/>
          <w:i w:val="1"/>
          <w:iCs w:val="1"/>
          <w:color w:val="000000" w:themeColor="text1" w:themeTint="FF" w:themeShade="FF"/>
          <w:sz w:val="24"/>
          <w:szCs w:val="24"/>
        </w:rPr>
        <w:t>Locke’s political philosophy</w:t>
      </w:r>
      <w:r w:rsidRPr="193EC07D" w:rsidR="5B11BE8E">
        <w:rPr>
          <w:rFonts w:ascii="Arial" w:hAnsi="Arial" w:eastAsia="Arial" w:cs="Arial"/>
          <w:color w:val="000000" w:themeColor="text1" w:themeTint="FF" w:themeShade="FF"/>
          <w:sz w:val="24"/>
          <w:szCs w:val="24"/>
        </w:rPr>
        <w:t xml:space="preserve">. Stanford </w:t>
      </w:r>
      <w:r w:rsidRPr="193EC07D" w:rsidR="5B11BE8E">
        <w:rPr>
          <w:rFonts w:ascii="Arial" w:hAnsi="Arial" w:eastAsia="Arial" w:cs="Arial"/>
          <w:color w:val="000000" w:themeColor="text1" w:themeTint="FF" w:themeShade="FF"/>
          <w:sz w:val="24"/>
          <w:szCs w:val="24"/>
        </w:rPr>
        <w:t>Encyclopedia</w:t>
      </w:r>
      <w:r w:rsidRPr="193EC07D" w:rsidR="5B11BE8E">
        <w:rPr>
          <w:rFonts w:ascii="Arial" w:hAnsi="Arial" w:eastAsia="Arial" w:cs="Arial"/>
          <w:color w:val="000000" w:themeColor="text1" w:themeTint="FF" w:themeShade="FF"/>
          <w:sz w:val="24"/>
          <w:szCs w:val="24"/>
        </w:rPr>
        <w:t xml:space="preserve"> of Philosophy; Stanford University. </w:t>
      </w:r>
      <w:hyperlink r:id="R36dce30827354a2f">
        <w:r w:rsidRPr="193EC07D" w:rsidR="5B11BE8E">
          <w:rPr>
            <w:rStyle w:val="Hyperlink"/>
            <w:rFonts w:ascii="Arial" w:hAnsi="Arial" w:eastAsia="Arial" w:cs="Arial"/>
            <w:sz w:val="24"/>
            <w:szCs w:val="24"/>
          </w:rPr>
          <w:t>https://plato.stanford.edu/entries/locke-political/</w:t>
        </w:r>
      </w:hyperlink>
      <w:r w:rsidRPr="193EC07D" w:rsidR="5AEDF293">
        <w:rPr>
          <w:rFonts w:ascii="Arial" w:hAnsi="Arial" w:eastAsia="Arial" w:cs="Arial"/>
          <w:sz w:val="24"/>
          <w:szCs w:val="24"/>
        </w:rPr>
        <w:t xml:space="preserve"> </w:t>
      </w:r>
    </w:p>
    <w:p w:rsidR="5B11BE8E" w:rsidP="77AF214D" w:rsidRDefault="5B11BE8E" w14:paraId="5B96B350" w14:textId="65EEE84A">
      <w:pPr>
        <w:spacing w:before="0" w:beforeAutospacing="off" w:after="160" w:afterAutospacing="off" w:line="360" w:lineRule="auto"/>
        <w:ind w:left="720" w:right="0" w:hanging="720"/>
      </w:pPr>
      <w:r w:rsidRPr="193EC07D" w:rsidR="5B11BE8E">
        <w:rPr>
          <w:rFonts w:ascii="Arial" w:hAnsi="Arial" w:eastAsia="Arial" w:cs="Arial"/>
          <w:color w:val="000000" w:themeColor="text1" w:themeTint="FF" w:themeShade="FF"/>
          <w:sz w:val="24"/>
          <w:szCs w:val="24"/>
        </w:rPr>
        <w:t xml:space="preserve">Action on Armed </w:t>
      </w:r>
      <w:r w:rsidRPr="193EC07D" w:rsidR="5B11BE8E">
        <w:rPr>
          <w:rFonts w:ascii="Arial" w:hAnsi="Arial" w:eastAsia="Arial" w:cs="Arial"/>
          <w:color w:val="000000" w:themeColor="text1" w:themeTint="FF" w:themeShade="FF"/>
          <w:sz w:val="24"/>
          <w:szCs w:val="24"/>
        </w:rPr>
        <w:t>Violence .</w:t>
      </w:r>
      <w:r w:rsidRPr="193EC07D" w:rsidR="5B11BE8E">
        <w:rPr>
          <w:rFonts w:ascii="Arial" w:hAnsi="Arial" w:eastAsia="Arial" w:cs="Arial"/>
          <w:color w:val="000000" w:themeColor="text1" w:themeTint="FF" w:themeShade="FF"/>
          <w:sz w:val="24"/>
          <w:szCs w:val="24"/>
        </w:rPr>
        <w:t xml:space="preserve">(2024). </w:t>
      </w:r>
      <w:r w:rsidRPr="193EC07D" w:rsidR="5B11BE8E">
        <w:rPr>
          <w:rFonts w:ascii="Arial" w:hAnsi="Arial" w:eastAsia="Arial" w:cs="Arial"/>
          <w:i w:val="1"/>
          <w:iCs w:val="1"/>
          <w:color w:val="000000" w:themeColor="text1" w:themeTint="FF" w:themeShade="FF"/>
          <w:sz w:val="24"/>
          <w:szCs w:val="24"/>
        </w:rPr>
        <w:t xml:space="preserve">Knife crime on the rise in the UK: </w:t>
      </w:r>
      <w:r w:rsidRPr="193EC07D" w:rsidR="5B11BE8E">
        <w:rPr>
          <w:rFonts w:ascii="Arial" w:hAnsi="Arial" w:eastAsia="Arial" w:cs="Arial"/>
          <w:i w:val="1"/>
          <w:iCs w:val="1"/>
          <w:color w:val="000000" w:themeColor="text1" w:themeTint="FF" w:themeShade="FF"/>
          <w:sz w:val="24"/>
          <w:szCs w:val="24"/>
        </w:rPr>
        <w:t>analysing</w:t>
      </w:r>
      <w:r w:rsidRPr="193EC07D" w:rsidR="5B11BE8E">
        <w:rPr>
          <w:rFonts w:ascii="Arial" w:hAnsi="Arial" w:eastAsia="Arial" w:cs="Arial"/>
          <w:i w:val="1"/>
          <w:iCs w:val="1"/>
          <w:color w:val="000000" w:themeColor="text1" w:themeTint="FF" w:themeShade="FF"/>
          <w:sz w:val="24"/>
          <w:szCs w:val="24"/>
        </w:rPr>
        <w:t xml:space="preserve"> the data and exploring solutions - AOAV</w:t>
      </w:r>
      <w:r w:rsidRPr="193EC07D" w:rsidR="5B11BE8E">
        <w:rPr>
          <w:rFonts w:ascii="Arial" w:hAnsi="Arial" w:eastAsia="Arial" w:cs="Arial"/>
          <w:color w:val="000000" w:themeColor="text1" w:themeTint="FF" w:themeShade="FF"/>
          <w:sz w:val="24"/>
          <w:szCs w:val="24"/>
        </w:rPr>
        <w:t>. AOAV.</w:t>
      </w:r>
      <w:r w:rsidRPr="193EC07D" w:rsidR="3AFAEC47">
        <w:rPr>
          <w:rFonts w:ascii="Arial" w:hAnsi="Arial" w:eastAsia="Arial" w:cs="Arial"/>
          <w:color w:val="000000" w:themeColor="text1" w:themeTint="FF" w:themeShade="FF"/>
          <w:sz w:val="24"/>
          <w:szCs w:val="24"/>
        </w:rPr>
        <w:t xml:space="preserve"> Available at:</w:t>
      </w:r>
      <w:r w:rsidRPr="193EC07D" w:rsidR="5B11BE8E">
        <w:rPr>
          <w:rFonts w:ascii="Arial" w:hAnsi="Arial" w:eastAsia="Arial" w:cs="Arial"/>
          <w:color w:val="000000" w:themeColor="text1" w:themeTint="FF" w:themeShade="FF"/>
          <w:sz w:val="24"/>
          <w:szCs w:val="24"/>
        </w:rPr>
        <w:t xml:space="preserve"> </w:t>
      </w:r>
      <w:hyperlink r:id="Rf7b8e5ed8a3742d5">
        <w:r w:rsidRPr="193EC07D" w:rsidR="5B11BE8E">
          <w:rPr>
            <w:rStyle w:val="Hyperlink"/>
            <w:rFonts w:ascii="Arial" w:hAnsi="Arial" w:eastAsia="Arial" w:cs="Arial"/>
            <w:sz w:val="24"/>
            <w:szCs w:val="24"/>
          </w:rPr>
          <w:t>https://aoav.org.uk/2024/knife-crime-on-the-rise-in-the-uk-analysing-the-data-and-exploring-solutions/</w:t>
        </w:r>
      </w:hyperlink>
      <w:r w:rsidRPr="193EC07D" w:rsidR="5433F7B2">
        <w:rPr>
          <w:rFonts w:ascii="Arial" w:hAnsi="Arial" w:eastAsia="Arial" w:cs="Arial"/>
          <w:sz w:val="24"/>
          <w:szCs w:val="24"/>
        </w:rPr>
        <w:t xml:space="preserve"> (Accessed: 21/10/2024).</w:t>
      </w:r>
    </w:p>
    <w:p w:rsidR="5B11BE8E" w:rsidP="193EC07D" w:rsidRDefault="5B11BE8E" w14:paraId="4C7BF2A3" w14:textId="4C0140FF">
      <w:pPr>
        <w:spacing w:before="0" w:beforeAutospacing="off" w:after="160" w:afterAutospacing="off" w:line="360" w:lineRule="auto"/>
        <w:ind w:left="720" w:right="0" w:hanging="720"/>
        <w:rPr>
          <w:rFonts w:ascii="Arial" w:hAnsi="Arial" w:eastAsia="Arial" w:cs="Arial"/>
          <w:noProof w:val="0"/>
          <w:sz w:val="24"/>
          <w:szCs w:val="24"/>
          <w:lang w:val="en-US"/>
        </w:rPr>
      </w:pPr>
      <w:r w:rsidRPr="193EC07D" w:rsidR="5B11BE8E">
        <w:rPr>
          <w:rFonts w:ascii="Arial" w:hAnsi="Arial" w:eastAsia="Arial" w:cs="Arial"/>
          <w:color w:val="000000" w:themeColor="text1" w:themeTint="FF" w:themeShade="FF"/>
          <w:sz w:val="24"/>
          <w:szCs w:val="24"/>
        </w:rPr>
        <w:t>Chambers, S. (</w:t>
      </w:r>
      <w:r w:rsidRPr="193EC07D" w:rsidR="5B11BE8E">
        <w:rPr>
          <w:rFonts w:ascii="Arial" w:hAnsi="Arial" w:eastAsia="Arial" w:cs="Arial"/>
          <w:color w:val="000000" w:themeColor="text1" w:themeTint="FF" w:themeShade="FF"/>
          <w:sz w:val="24"/>
          <w:szCs w:val="24"/>
        </w:rPr>
        <w:t>2024</w:t>
      </w:r>
      <w:r w:rsidRPr="193EC07D" w:rsidR="6852C7FD">
        <w:rPr>
          <w:rFonts w:ascii="Arial" w:hAnsi="Arial" w:eastAsia="Arial" w:cs="Arial"/>
          <w:color w:val="000000" w:themeColor="text1" w:themeTint="FF" w:themeShade="FF"/>
          <w:sz w:val="24"/>
          <w:szCs w:val="24"/>
        </w:rPr>
        <w:t>)</w:t>
      </w:r>
      <w:r w:rsidRPr="193EC07D" w:rsidR="5B11BE8E">
        <w:rPr>
          <w:rFonts w:ascii="Arial" w:hAnsi="Arial" w:eastAsia="Arial" w:cs="Arial"/>
          <w:color w:val="000000" w:themeColor="text1" w:themeTint="FF" w:themeShade="FF"/>
          <w:sz w:val="24"/>
          <w:szCs w:val="24"/>
        </w:rPr>
        <w:t xml:space="preserve">. </w:t>
      </w:r>
      <w:r w:rsidRPr="193EC07D" w:rsidR="5B11BE8E">
        <w:rPr>
          <w:rFonts w:ascii="Arial" w:hAnsi="Arial" w:eastAsia="Arial" w:cs="Arial"/>
          <w:i w:val="1"/>
          <w:iCs w:val="1"/>
          <w:color w:val="000000" w:themeColor="text1" w:themeTint="FF" w:themeShade="FF"/>
          <w:sz w:val="24"/>
          <w:szCs w:val="24"/>
        </w:rPr>
        <w:t>T</w:t>
      </w:r>
      <w:r w:rsidRPr="193EC07D" w:rsidR="5B11BE8E">
        <w:rPr>
          <w:rFonts w:ascii="Arial" w:hAnsi="Arial" w:eastAsia="Arial" w:cs="Arial"/>
          <w:i w:val="1"/>
          <w:iCs w:val="1"/>
          <w:color w:val="000000" w:themeColor="text1" w:themeTint="FF" w:themeShade="FF"/>
          <w:sz w:val="24"/>
          <w:szCs w:val="24"/>
        </w:rPr>
        <w:t>he truth about Tasers: what the statistics and research tell us</w:t>
      </w:r>
      <w:r w:rsidRPr="193EC07D" w:rsidR="5B11BE8E">
        <w:rPr>
          <w:rFonts w:ascii="Arial" w:hAnsi="Arial" w:eastAsia="Arial" w:cs="Arial"/>
          <w:color w:val="000000" w:themeColor="text1" w:themeTint="FF" w:themeShade="FF"/>
          <w:sz w:val="24"/>
          <w:szCs w:val="24"/>
        </w:rPr>
        <w:t>.</w:t>
      </w:r>
      <w:r w:rsidRPr="193EC07D" w:rsidR="5B11BE8E">
        <w:rPr>
          <w:rFonts w:ascii="Arial" w:hAnsi="Arial" w:eastAsia="Arial" w:cs="Arial"/>
          <w:color w:val="000000" w:themeColor="text1" w:themeTint="FF" w:themeShade="FF"/>
          <w:sz w:val="24"/>
          <w:szCs w:val="24"/>
        </w:rPr>
        <w:t xml:space="preserve"> </w:t>
      </w:r>
      <w:r w:rsidRPr="193EC07D" w:rsidR="5B11BE8E">
        <w:rPr>
          <w:rFonts w:ascii="Arial" w:hAnsi="Arial" w:eastAsia="Arial" w:cs="Arial"/>
          <w:color w:val="000000" w:themeColor="text1" w:themeTint="FF" w:themeShade="FF"/>
          <w:sz w:val="24"/>
          <w:szCs w:val="24"/>
        </w:rPr>
        <w:t xml:space="preserve">The Conversation. </w:t>
      </w:r>
      <w:hyperlink r:id="R4d65b80c672a47c9">
        <w:r w:rsidRPr="193EC07D" w:rsidR="5B11BE8E">
          <w:rPr>
            <w:rStyle w:val="Hyperlink"/>
            <w:rFonts w:ascii="Arial" w:hAnsi="Arial" w:eastAsia="Arial" w:cs="Arial"/>
            <w:sz w:val="24"/>
            <w:szCs w:val="24"/>
          </w:rPr>
          <w:t>https://theconversation.com/the-truth-about-tasers-what-the-statistics-and-research-tell-us-236813</w:t>
        </w:r>
      </w:hyperlink>
      <w:r w:rsidRPr="193EC07D" w:rsidR="735EC189">
        <w:rPr>
          <w:rFonts w:ascii="Arial" w:hAnsi="Arial" w:eastAsia="Arial" w:cs="Arial"/>
          <w:sz w:val="24"/>
          <w:szCs w:val="24"/>
        </w:rPr>
        <w:t xml:space="preserve"> (Accessed: 21/10/2024).</w:t>
      </w:r>
    </w:p>
    <w:p w:rsidR="5DA95248" w:rsidP="77AF214D" w:rsidRDefault="5DA95248" w14:paraId="18170A9F" w14:textId="77DA4F68">
      <w:pPr>
        <w:pStyle w:val="Normal"/>
        <w:spacing w:before="0" w:beforeAutospacing="off" w:after="160" w:afterAutospacing="off" w:line="480" w:lineRule="auto"/>
        <w:rPr>
          <w:rFonts w:ascii="Aptos" w:hAnsi="Aptos" w:eastAsia="Aptos" w:cs="Aptos"/>
          <w:noProof w:val="0"/>
          <w:sz w:val="24"/>
          <w:szCs w:val="24"/>
          <w:lang w:val="en-GB"/>
        </w:rPr>
      </w:pPr>
      <w:r w:rsidRPr="193EC07D" w:rsidR="5DA95248">
        <w:rPr>
          <w:rFonts w:ascii="Aptos" w:hAnsi="Aptos" w:eastAsia="Aptos" w:cs="Aptos"/>
          <w:sz w:val="24"/>
          <w:szCs w:val="24"/>
        </w:rPr>
        <w:t xml:space="preserve"> </w:t>
      </w:r>
    </w:p>
    <w:p w:rsidR="5DA95248" w:rsidP="77AF214D" w:rsidRDefault="5DA95248" w14:paraId="37B15715" w14:textId="73CB2351">
      <w:pPr>
        <w:spacing w:before="0" w:beforeAutospacing="off" w:after="160" w:afterAutospacing="off" w:line="480" w:lineRule="auto"/>
      </w:pPr>
      <w:r w:rsidRPr="193EC07D" w:rsidR="5DA95248">
        <w:rPr>
          <w:rFonts w:ascii="Aptos" w:hAnsi="Aptos" w:eastAsia="Aptos" w:cs="Aptos"/>
          <w:sz w:val="24"/>
          <w:szCs w:val="24"/>
        </w:rPr>
        <w:t xml:space="preserve"> </w:t>
      </w:r>
    </w:p>
    <w:p w:rsidR="5DA95248" w:rsidP="77AF214D" w:rsidRDefault="5DA95248" w14:paraId="352FAC66" w14:textId="06769EFA">
      <w:pPr>
        <w:spacing w:before="0" w:beforeAutospacing="off" w:after="160" w:afterAutospacing="off" w:line="480" w:lineRule="auto"/>
      </w:pPr>
      <w:r w:rsidRPr="193EC07D" w:rsidR="5DA95248">
        <w:rPr>
          <w:rFonts w:ascii="Aptos" w:hAnsi="Aptos" w:eastAsia="Aptos" w:cs="Aptos"/>
          <w:sz w:val="24"/>
          <w:szCs w:val="24"/>
        </w:rPr>
        <w:t xml:space="preserve"> </w:t>
      </w:r>
    </w:p>
    <w:p w:rsidR="5DA95248" w:rsidP="77AF214D" w:rsidRDefault="5DA95248" w14:paraId="158A3295" w14:textId="22C5021E">
      <w:pPr>
        <w:spacing w:before="0" w:beforeAutospacing="off" w:after="160" w:afterAutospacing="off" w:line="480" w:lineRule="auto"/>
      </w:pPr>
      <w:r w:rsidRPr="193EC07D" w:rsidR="5DA95248">
        <w:rPr>
          <w:rFonts w:ascii="Aptos" w:hAnsi="Aptos" w:eastAsia="Aptos" w:cs="Aptos"/>
          <w:sz w:val="24"/>
          <w:szCs w:val="24"/>
        </w:rPr>
        <w:t xml:space="preserve"> </w:t>
      </w:r>
    </w:p>
    <w:p w:rsidR="5DA95248" w:rsidP="77AF214D" w:rsidRDefault="5DA95248" w14:paraId="04F7FA8D" w14:textId="2749291B">
      <w:pPr>
        <w:spacing w:before="0" w:beforeAutospacing="off" w:after="160" w:afterAutospacing="off" w:line="480" w:lineRule="auto"/>
      </w:pPr>
      <w:r w:rsidRPr="193EC07D" w:rsidR="5DA95248">
        <w:rPr>
          <w:rFonts w:ascii="Aptos" w:hAnsi="Aptos" w:eastAsia="Aptos" w:cs="Aptos"/>
          <w:sz w:val="24"/>
          <w:szCs w:val="24"/>
        </w:rPr>
        <w:t xml:space="preserve"> </w:t>
      </w:r>
    </w:p>
    <w:p w:rsidR="5DA95248" w:rsidP="77AF214D" w:rsidRDefault="5DA95248" w14:paraId="27691FE9" w14:textId="0EE4216A">
      <w:pPr>
        <w:spacing w:before="0" w:beforeAutospacing="off" w:after="160" w:afterAutospacing="off" w:line="480" w:lineRule="auto"/>
      </w:pPr>
      <w:r w:rsidRPr="193EC07D" w:rsidR="5DA95248">
        <w:rPr>
          <w:rFonts w:ascii="Aptos" w:hAnsi="Aptos" w:eastAsia="Aptos" w:cs="Aptos"/>
          <w:sz w:val="24"/>
          <w:szCs w:val="24"/>
        </w:rPr>
        <w:t xml:space="preserve"> </w:t>
      </w:r>
    </w:p>
    <w:p w:rsidR="5DA95248" w:rsidP="77AF214D" w:rsidRDefault="5DA95248" w14:paraId="49667882" w14:textId="1A7AFBE6">
      <w:pPr>
        <w:spacing w:before="0" w:beforeAutospacing="off" w:after="160" w:afterAutospacing="off" w:line="480" w:lineRule="auto"/>
      </w:pPr>
      <w:r w:rsidRPr="193EC07D" w:rsidR="5DA95248">
        <w:rPr>
          <w:rFonts w:ascii="Aptos" w:hAnsi="Aptos" w:eastAsia="Aptos" w:cs="Aptos"/>
          <w:sz w:val="24"/>
          <w:szCs w:val="24"/>
        </w:rPr>
        <w:t xml:space="preserve"> </w:t>
      </w:r>
    </w:p>
    <w:p w:rsidR="5DA95248" w:rsidP="77AF214D" w:rsidRDefault="5DA95248" w14:paraId="2CE59BF9" w14:textId="3C5D767D">
      <w:pPr>
        <w:spacing w:before="0" w:beforeAutospacing="off" w:after="160" w:afterAutospacing="off" w:line="480" w:lineRule="auto"/>
      </w:pPr>
      <w:r w:rsidRPr="193EC07D" w:rsidR="5DA95248">
        <w:rPr>
          <w:rFonts w:ascii="Aptos" w:hAnsi="Aptos" w:eastAsia="Aptos" w:cs="Aptos"/>
          <w:sz w:val="24"/>
          <w:szCs w:val="24"/>
        </w:rPr>
        <w:t xml:space="preserve"> </w:t>
      </w:r>
    </w:p>
    <w:p w:rsidR="5DA95248" w:rsidP="77AF214D" w:rsidRDefault="5DA95248" w14:paraId="399D450C" w14:textId="42F40B57">
      <w:pPr>
        <w:spacing w:before="0" w:beforeAutospacing="off" w:after="160" w:afterAutospacing="off" w:line="480" w:lineRule="auto"/>
      </w:pPr>
      <w:r w:rsidRPr="193EC07D" w:rsidR="5DA95248">
        <w:rPr>
          <w:rFonts w:ascii="Aptos" w:hAnsi="Aptos" w:eastAsia="Aptos" w:cs="Aptos"/>
          <w:sz w:val="24"/>
          <w:szCs w:val="24"/>
        </w:rPr>
        <w:t xml:space="preserve"> </w:t>
      </w:r>
    </w:p>
    <w:p w:rsidR="5DA95248" w:rsidP="77AF214D" w:rsidRDefault="5DA95248" w14:paraId="490310E2" w14:textId="2C741E52">
      <w:pPr>
        <w:spacing w:before="0" w:beforeAutospacing="off" w:after="160" w:afterAutospacing="off" w:line="480" w:lineRule="auto"/>
      </w:pPr>
      <w:r w:rsidRPr="193EC07D" w:rsidR="5DA95248">
        <w:rPr>
          <w:rFonts w:ascii="Aptos" w:hAnsi="Aptos" w:eastAsia="Aptos" w:cs="Aptos"/>
          <w:sz w:val="24"/>
          <w:szCs w:val="24"/>
        </w:rPr>
        <w:t xml:space="preserve"> </w:t>
      </w:r>
    </w:p>
    <w:p w:rsidR="5DA95248" w:rsidP="77AF214D" w:rsidRDefault="5DA95248" w14:paraId="552D27E5" w14:textId="74510571">
      <w:pPr>
        <w:spacing w:before="0" w:beforeAutospacing="off" w:after="160" w:afterAutospacing="off" w:line="480" w:lineRule="auto"/>
      </w:pPr>
      <w:r w:rsidRPr="193EC07D" w:rsidR="5DA95248">
        <w:rPr>
          <w:rFonts w:ascii="Aptos" w:hAnsi="Aptos" w:eastAsia="Aptos" w:cs="Aptos"/>
          <w:sz w:val="24"/>
          <w:szCs w:val="24"/>
        </w:rPr>
        <w:t xml:space="preserve"> </w:t>
      </w:r>
    </w:p>
    <w:p w:rsidR="5DA95248" w:rsidP="77AF214D" w:rsidRDefault="5DA95248" w14:paraId="6A43099C" w14:textId="362E8C87">
      <w:pPr>
        <w:spacing w:before="0" w:beforeAutospacing="off" w:after="160" w:afterAutospacing="off" w:line="480" w:lineRule="auto"/>
      </w:pPr>
      <w:r w:rsidRPr="193EC07D" w:rsidR="5DA95248">
        <w:rPr>
          <w:rFonts w:ascii="Aptos" w:hAnsi="Aptos" w:eastAsia="Aptos" w:cs="Aptos"/>
          <w:sz w:val="24"/>
          <w:szCs w:val="24"/>
        </w:rPr>
        <w:t xml:space="preserve"> </w:t>
      </w:r>
    </w:p>
    <w:p w:rsidR="5DA95248" w:rsidP="77AF214D" w:rsidRDefault="5DA95248" w14:paraId="4FC0725B" w14:textId="2EBAF270">
      <w:pPr>
        <w:spacing w:before="0" w:beforeAutospacing="off" w:after="160" w:afterAutospacing="off" w:line="480" w:lineRule="auto"/>
      </w:pPr>
      <w:r w:rsidRPr="193EC07D" w:rsidR="5DA95248">
        <w:rPr>
          <w:rFonts w:ascii="Aptos" w:hAnsi="Aptos" w:eastAsia="Aptos" w:cs="Aptos"/>
          <w:sz w:val="24"/>
          <w:szCs w:val="24"/>
        </w:rPr>
        <w:t xml:space="preserve"> </w:t>
      </w:r>
    </w:p>
    <w:p w:rsidR="5DA95248" w:rsidP="77AF214D" w:rsidRDefault="5DA95248" w14:paraId="4E2F2183" w14:textId="1716276A">
      <w:pPr>
        <w:spacing w:before="0" w:beforeAutospacing="off" w:after="160" w:afterAutospacing="off" w:line="480" w:lineRule="auto"/>
      </w:pPr>
      <w:r w:rsidRPr="193EC07D" w:rsidR="5DA95248">
        <w:rPr>
          <w:rFonts w:ascii="Aptos" w:hAnsi="Aptos" w:eastAsia="Aptos" w:cs="Aptos"/>
          <w:sz w:val="24"/>
          <w:szCs w:val="24"/>
        </w:rPr>
        <w:t xml:space="preserve"> </w:t>
      </w:r>
    </w:p>
    <w:p w:rsidR="77AF214D" w:rsidP="77AF214D" w:rsidRDefault="77AF214D" w14:paraId="74D1B2D3" w14:textId="058CF85D">
      <w:pPr>
        <w:spacing w:before="0" w:beforeAutospacing="off" w:after="160" w:afterAutospacing="off" w:line="278" w:lineRule="auto"/>
        <w:rPr>
          <w:rFonts w:ascii="Aptos" w:hAnsi="Aptos" w:eastAsia="Aptos" w:cs="Aptos"/>
          <w:noProof w:val="0"/>
          <w:sz w:val="24"/>
          <w:szCs w:val="24"/>
          <w:lang w:val="en-GB"/>
        </w:rPr>
      </w:pPr>
    </w:p>
    <w:p w:rsidR="77AF214D" w:rsidP="77AF214D" w:rsidRDefault="77AF214D" w14:paraId="47C81CD2" w14:textId="4F29B667">
      <w:pPr>
        <w:pStyle w:val="Normal"/>
        <w:rPr>
          <w:rFonts w:ascii="Arial" w:hAnsi="Arial" w:eastAsia="Arial" w:cs="Arial"/>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OvXxvZwH" int2:invalidationBookmarkName="" int2:hashCode="pZGmU5Q5PUeaBE" int2:id="mGzWpOgT">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3839e2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326fb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523AF39"/>
    <w:rsid w:val="002D6EED"/>
    <w:rsid w:val="0265F4D7"/>
    <w:rsid w:val="0479A0F1"/>
    <w:rsid w:val="04D73442"/>
    <w:rsid w:val="055F3BF2"/>
    <w:rsid w:val="08ADD4B4"/>
    <w:rsid w:val="0B23837B"/>
    <w:rsid w:val="0B66BF25"/>
    <w:rsid w:val="0D2E752E"/>
    <w:rsid w:val="0EA3C596"/>
    <w:rsid w:val="0F90FB69"/>
    <w:rsid w:val="0FA4FDEC"/>
    <w:rsid w:val="101284DC"/>
    <w:rsid w:val="10B5B26B"/>
    <w:rsid w:val="144EF204"/>
    <w:rsid w:val="167C038B"/>
    <w:rsid w:val="193EC07D"/>
    <w:rsid w:val="19A81F3D"/>
    <w:rsid w:val="19B77481"/>
    <w:rsid w:val="1A7406F0"/>
    <w:rsid w:val="1BBCFDFE"/>
    <w:rsid w:val="1CA4E787"/>
    <w:rsid w:val="1CD00F89"/>
    <w:rsid w:val="1E5863C9"/>
    <w:rsid w:val="1EAFE7A9"/>
    <w:rsid w:val="1ED383AE"/>
    <w:rsid w:val="200B205C"/>
    <w:rsid w:val="2089E67A"/>
    <w:rsid w:val="20978FDC"/>
    <w:rsid w:val="20F29634"/>
    <w:rsid w:val="23586EFB"/>
    <w:rsid w:val="24D37E11"/>
    <w:rsid w:val="2523AF39"/>
    <w:rsid w:val="253DCC64"/>
    <w:rsid w:val="2603354F"/>
    <w:rsid w:val="263A72B3"/>
    <w:rsid w:val="26E1EABB"/>
    <w:rsid w:val="26FB8C1F"/>
    <w:rsid w:val="28A56E6C"/>
    <w:rsid w:val="290FD136"/>
    <w:rsid w:val="2989D585"/>
    <w:rsid w:val="2A993A1D"/>
    <w:rsid w:val="2AB3FFA0"/>
    <w:rsid w:val="2C5ECD59"/>
    <w:rsid w:val="2C72BCA8"/>
    <w:rsid w:val="2F2A68A0"/>
    <w:rsid w:val="2F7BE265"/>
    <w:rsid w:val="30E33E80"/>
    <w:rsid w:val="327EC0A0"/>
    <w:rsid w:val="342A0D92"/>
    <w:rsid w:val="35814BBE"/>
    <w:rsid w:val="35F58C9E"/>
    <w:rsid w:val="39224704"/>
    <w:rsid w:val="3992E616"/>
    <w:rsid w:val="3A186D6C"/>
    <w:rsid w:val="3A8C4A70"/>
    <w:rsid w:val="3AFAEC47"/>
    <w:rsid w:val="3B201072"/>
    <w:rsid w:val="3B7FEA3A"/>
    <w:rsid w:val="3BB6BE47"/>
    <w:rsid w:val="3C994291"/>
    <w:rsid w:val="3DE31798"/>
    <w:rsid w:val="3EB57905"/>
    <w:rsid w:val="3EFE8D36"/>
    <w:rsid w:val="3F0C7A7E"/>
    <w:rsid w:val="3F12577B"/>
    <w:rsid w:val="4005E64A"/>
    <w:rsid w:val="41BB0B50"/>
    <w:rsid w:val="4617A833"/>
    <w:rsid w:val="4666EE17"/>
    <w:rsid w:val="472479AA"/>
    <w:rsid w:val="479B5B5C"/>
    <w:rsid w:val="47E2E3E9"/>
    <w:rsid w:val="498F2986"/>
    <w:rsid w:val="4A6BB574"/>
    <w:rsid w:val="4B5E85DB"/>
    <w:rsid w:val="4BC08A65"/>
    <w:rsid w:val="4C6438D5"/>
    <w:rsid w:val="4C794205"/>
    <w:rsid w:val="4F52A475"/>
    <w:rsid w:val="4F94F9D2"/>
    <w:rsid w:val="51112A83"/>
    <w:rsid w:val="51FBC7AD"/>
    <w:rsid w:val="52C4B938"/>
    <w:rsid w:val="52E79A47"/>
    <w:rsid w:val="535DBA20"/>
    <w:rsid w:val="5433F7B2"/>
    <w:rsid w:val="54DA4B85"/>
    <w:rsid w:val="54FB55C6"/>
    <w:rsid w:val="560DC693"/>
    <w:rsid w:val="561EB6D2"/>
    <w:rsid w:val="5621EBCC"/>
    <w:rsid w:val="5662AD07"/>
    <w:rsid w:val="56DA22F3"/>
    <w:rsid w:val="5AEDF293"/>
    <w:rsid w:val="5B11BE8E"/>
    <w:rsid w:val="5B32C4E3"/>
    <w:rsid w:val="5BC67291"/>
    <w:rsid w:val="5C64C6C6"/>
    <w:rsid w:val="5D02320D"/>
    <w:rsid w:val="5D09FFAC"/>
    <w:rsid w:val="5DA95248"/>
    <w:rsid w:val="5F0C135F"/>
    <w:rsid w:val="5F344A69"/>
    <w:rsid w:val="5F77341D"/>
    <w:rsid w:val="600E8EF7"/>
    <w:rsid w:val="6064259F"/>
    <w:rsid w:val="60A7BA21"/>
    <w:rsid w:val="61FCB198"/>
    <w:rsid w:val="6277F935"/>
    <w:rsid w:val="64F92445"/>
    <w:rsid w:val="66A76020"/>
    <w:rsid w:val="68111155"/>
    <w:rsid w:val="6852C7FD"/>
    <w:rsid w:val="69B6727B"/>
    <w:rsid w:val="6CEFCA66"/>
    <w:rsid w:val="6E72BEE2"/>
    <w:rsid w:val="6F480C5C"/>
    <w:rsid w:val="6FDC16DF"/>
    <w:rsid w:val="71D52E47"/>
    <w:rsid w:val="735EC189"/>
    <w:rsid w:val="740D0D4B"/>
    <w:rsid w:val="7470C338"/>
    <w:rsid w:val="77AF214D"/>
    <w:rsid w:val="79FB8D0E"/>
    <w:rsid w:val="7AF74488"/>
    <w:rsid w:val="7B05A21B"/>
    <w:rsid w:val="7DAC09D1"/>
    <w:rsid w:val="7F27E0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3AF39"/>
  <w15:chartTrackingRefBased/>
  <w15:docId w15:val="{F1F1CA51-87C8-4665-B6A9-3294501EB5C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77AF214D"/>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77AF214D"/>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77AF214D"/>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77AF214D"/>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77AF214D"/>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77AF214D"/>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77AF214D"/>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77AF214D"/>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77AF214D"/>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77AF214D"/>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77AF214D"/>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77AF214D"/>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77AF214D"/>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77AF214D"/>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77AF214D"/>
    <w:pPr>
      <w:spacing/>
      <w:ind w:left="720"/>
      <w:contextualSpacing/>
    </w:pPr>
  </w:style>
  <w:style w:type="paragraph" w:styleId="TOC1">
    <w:uiPriority w:val="39"/>
    <w:name w:val="toc 1"/>
    <w:basedOn w:val="Normal"/>
    <w:next w:val="Normal"/>
    <w:unhideWhenUsed/>
    <w:rsid w:val="77AF214D"/>
    <w:pPr>
      <w:spacing w:after="100"/>
    </w:pPr>
  </w:style>
  <w:style w:type="paragraph" w:styleId="TOC2">
    <w:uiPriority w:val="39"/>
    <w:name w:val="toc 2"/>
    <w:basedOn w:val="Normal"/>
    <w:next w:val="Normal"/>
    <w:unhideWhenUsed/>
    <w:rsid w:val="77AF214D"/>
    <w:pPr>
      <w:spacing w:after="100"/>
      <w:ind w:left="220"/>
    </w:pPr>
  </w:style>
  <w:style w:type="paragraph" w:styleId="TOC3">
    <w:uiPriority w:val="39"/>
    <w:name w:val="toc 3"/>
    <w:basedOn w:val="Normal"/>
    <w:next w:val="Normal"/>
    <w:unhideWhenUsed/>
    <w:rsid w:val="77AF214D"/>
    <w:pPr>
      <w:spacing w:after="100"/>
      <w:ind w:left="440"/>
    </w:pPr>
  </w:style>
  <w:style w:type="paragraph" w:styleId="TOC4">
    <w:uiPriority w:val="39"/>
    <w:name w:val="toc 4"/>
    <w:basedOn w:val="Normal"/>
    <w:next w:val="Normal"/>
    <w:unhideWhenUsed/>
    <w:rsid w:val="77AF214D"/>
    <w:pPr>
      <w:spacing w:after="100"/>
      <w:ind w:left="660"/>
    </w:pPr>
  </w:style>
  <w:style w:type="paragraph" w:styleId="TOC5">
    <w:uiPriority w:val="39"/>
    <w:name w:val="toc 5"/>
    <w:basedOn w:val="Normal"/>
    <w:next w:val="Normal"/>
    <w:unhideWhenUsed/>
    <w:rsid w:val="77AF214D"/>
    <w:pPr>
      <w:spacing w:after="100"/>
      <w:ind w:left="880"/>
    </w:pPr>
  </w:style>
  <w:style w:type="paragraph" w:styleId="TOC6">
    <w:uiPriority w:val="39"/>
    <w:name w:val="toc 6"/>
    <w:basedOn w:val="Normal"/>
    <w:next w:val="Normal"/>
    <w:unhideWhenUsed/>
    <w:rsid w:val="77AF214D"/>
    <w:pPr>
      <w:spacing w:after="100"/>
      <w:ind w:left="1100"/>
    </w:pPr>
  </w:style>
  <w:style w:type="paragraph" w:styleId="TOC7">
    <w:uiPriority w:val="39"/>
    <w:name w:val="toc 7"/>
    <w:basedOn w:val="Normal"/>
    <w:next w:val="Normal"/>
    <w:unhideWhenUsed/>
    <w:rsid w:val="77AF214D"/>
    <w:pPr>
      <w:spacing w:after="100"/>
      <w:ind w:left="1320"/>
    </w:pPr>
  </w:style>
  <w:style w:type="paragraph" w:styleId="TOC8">
    <w:uiPriority w:val="39"/>
    <w:name w:val="toc 8"/>
    <w:basedOn w:val="Normal"/>
    <w:next w:val="Normal"/>
    <w:unhideWhenUsed/>
    <w:rsid w:val="77AF214D"/>
    <w:pPr>
      <w:spacing w:after="100"/>
      <w:ind w:left="1540"/>
    </w:pPr>
  </w:style>
  <w:style w:type="paragraph" w:styleId="TOC9">
    <w:uiPriority w:val="39"/>
    <w:name w:val="toc 9"/>
    <w:basedOn w:val="Normal"/>
    <w:next w:val="Normal"/>
    <w:unhideWhenUsed/>
    <w:rsid w:val="77AF214D"/>
    <w:pPr>
      <w:spacing w:after="100"/>
      <w:ind w:left="1760"/>
    </w:pPr>
  </w:style>
  <w:style w:type="paragraph" w:styleId="EndnoteText">
    <w:uiPriority w:val="99"/>
    <w:name w:val="endnote text"/>
    <w:basedOn w:val="Normal"/>
    <w:semiHidden/>
    <w:unhideWhenUsed/>
    <w:link w:val="EndnoteTextChar"/>
    <w:rsid w:val="77AF214D"/>
    <w:rPr>
      <w:sz w:val="20"/>
      <w:szCs w:val="20"/>
    </w:rPr>
    <w:pPr>
      <w:spacing w:after="0" w:line="240" w:lineRule="auto"/>
    </w:pPr>
  </w:style>
  <w:style w:type="paragraph" w:styleId="Footer">
    <w:uiPriority w:val="99"/>
    <w:name w:val="footer"/>
    <w:basedOn w:val="Normal"/>
    <w:unhideWhenUsed/>
    <w:link w:val="FooterChar"/>
    <w:rsid w:val="77AF214D"/>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77AF214D"/>
    <w:rPr>
      <w:sz w:val="20"/>
      <w:szCs w:val="20"/>
    </w:rPr>
    <w:pPr>
      <w:spacing w:after="0" w:line="240" w:lineRule="auto"/>
    </w:pPr>
  </w:style>
  <w:style w:type="paragraph" w:styleId="Header">
    <w:uiPriority w:val="99"/>
    <w:name w:val="header"/>
    <w:basedOn w:val="Normal"/>
    <w:unhideWhenUsed/>
    <w:link w:val="HeaderChar"/>
    <w:rsid w:val="77AF214D"/>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570efcdf35a2457c" /><Relationship Type="http://schemas.openxmlformats.org/officeDocument/2006/relationships/hyperlink" Target="https://foreignpolicy.com/2020/05/06/police-coronavirus-social-distancing-enforcement-nypd/" TargetMode="External" Id="Rb4c3dba0c86d4322" /><Relationship Type="http://schemas.openxmlformats.org/officeDocument/2006/relationships/hyperlink" Target="https://www.archives.gov.on.ca/en/e_records/ipperwash/policy_part/research/pdf/deLint.pdf" TargetMode="External" Id="R8f1e2c84d9d745b4" /><Relationship Type="http://schemas.openxmlformats.org/officeDocument/2006/relationships/hyperlink" Target="https://www.npcc.police.uk/SysSiteAssets/media/downloads/publications/publications-log/2020/an-analysis-of-taser-use-in-british-policing.pdf" TargetMode="External" Id="R21427fe30801421f" /><Relationship Type="http://schemas.openxmlformats.org/officeDocument/2006/relationships/hyperlink" Target="https://www.historytoday.com/archive/french-police-19th-century" TargetMode="External" Id="Rfddd56aebb144016" /><Relationship Type="http://schemas.openxmlformats.org/officeDocument/2006/relationships/hyperlink" Target="https://www.britannica.com/event/Peterloo-Massacre" TargetMode="External" Id="Rcaeca258d7f94562" /><Relationship Type="http://schemas.openxmlformats.org/officeDocument/2006/relationships/hyperlink" Target="https://www.britannica.com/biography/Robert-Peel/Prime-minister-and-Conservative-leader" TargetMode="External" Id="Rf993c1d0fc00439e" /><Relationship Type="http://schemas.openxmlformats.org/officeDocument/2006/relationships/hyperlink" Target="https://core.ac.uk/download/pdf/219377125.pdf" TargetMode="External" Id="R9d0ac6c7390e46c7" /><Relationship Type="http://schemas.openxmlformats.org/officeDocument/2006/relationships/hyperlink" Target="https://web.archive.org/web/20160304201446/https://www.ncjrs.gov/App/publications/abstract.aspx?ID=192675" TargetMode="External" Id="R5aa24e8f8cda4886" /><Relationship Type="http://schemas.openxmlformats.org/officeDocument/2006/relationships/hyperlink" Target="https://www.researchgate.net/publication/210136157_Just_Authority_Public_trust_and_police_legitimacy" TargetMode="External" Id="R55fbcfd9b03b4727" /><Relationship Type="http://schemas.openxmlformats.org/officeDocument/2006/relationships/hyperlink" Target="https://doi.org/10.1017/cbo9781139022309.076" TargetMode="External" Id="R8b268b33347f4d9f" /><Relationship Type="http://schemas.openxmlformats.org/officeDocument/2006/relationships/hyperlink" Target="https://labour.org.uk/change/take-back-our-streets/" TargetMode="External" Id="Rbfced32fc4194a66" /><Relationship Type="http://schemas.openxmlformats.org/officeDocument/2006/relationships/hyperlink" Target="https://doi.org/10.2307/2595241" TargetMode="External" Id="Refcb428ee9a34969" /><Relationship Type="http://schemas.openxmlformats.org/officeDocument/2006/relationships/hyperlink" Target="https://www.gov.uk/government/publications/policing-by-consent" TargetMode="External" Id="Rdafff2716bc84cd0" /><Relationship Type="http://schemas.openxmlformats.org/officeDocument/2006/relationships/hyperlink" Target="https://en.wikipedia.org/wiki/Doi_(identifier)" TargetMode="External" Id="Refb0a4042dbc4a69" /><Relationship Type="http://schemas.openxmlformats.org/officeDocument/2006/relationships/hyperlink" Target="https://plato.stanford.edu/entries/locke-political/" TargetMode="External" Id="R36dce30827354a2f" /><Relationship Type="http://schemas.openxmlformats.org/officeDocument/2006/relationships/hyperlink" Target="https://aoav.org.uk/2024/knife-crime-on-the-rise-in-the-uk-analysing-the-data-and-exploring-solutions/" TargetMode="External" Id="Rf7b8e5ed8a3742d5" /><Relationship Type="http://schemas.openxmlformats.org/officeDocument/2006/relationships/hyperlink" Target="https://theconversation.com/the-truth-about-tasers-what-the-statistics-and-research-tell-us-236813" TargetMode="External" Id="R4d65b80c672a47c9" /><Relationship Type="http://schemas.microsoft.com/office/2020/10/relationships/intelligence" Target="intelligence2.xml" Id="Rb40b4541b192496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2024-10-21T10:07:06.4604209Z</dcterms:created>
  <dcterms:modified xsi:type="dcterms:W3CDTF">2024-11-06T23:33:51.7002819Z</dcterms:modified>
  <dc:creator>Ahmad Habib (2317248)</dc:creator>
  <lastModifiedBy>Ahmad Habib (2317248)</lastModifiedBy>
</coreProperties>
</file>