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AFB17C" w14:textId="5305C55D" w:rsidR="00AB24C8" w:rsidRPr="00BE1B22" w:rsidRDefault="009931C7">
      <w:pPr>
        <w:rPr>
          <w:color w:val="FF0000"/>
        </w:rPr>
      </w:pPr>
      <w:r w:rsidRPr="009931C7">
        <w:rPr>
          <w:i/>
          <w:color w:val="000000" w:themeColor="text1"/>
        </w:rPr>
        <w:t>The First Servant of the State</w:t>
      </w:r>
      <w:r>
        <w:rPr>
          <w:color w:val="000000" w:themeColor="text1"/>
        </w:rPr>
        <w:t xml:space="preserve">. Frederick The Great. </w:t>
      </w:r>
      <w:r w:rsidR="00BC3E78">
        <w:rPr>
          <w:color w:val="FF0000"/>
        </w:rPr>
        <w:t xml:space="preserve"> </w:t>
      </w:r>
      <w:r w:rsidRPr="009931C7">
        <w:rPr>
          <w:color w:val="000000" w:themeColor="text1"/>
        </w:rPr>
        <w:t xml:space="preserve">Simon Eliot and Keith Whitlock, (eds), </w:t>
      </w:r>
      <w:r w:rsidRPr="009931C7">
        <w:rPr>
          <w:i/>
          <w:color w:val="000000" w:themeColor="text1"/>
        </w:rPr>
        <w:t xml:space="preserve">The Enlightenment </w:t>
      </w:r>
      <w:r w:rsidRPr="009931C7">
        <w:rPr>
          <w:color w:val="000000" w:themeColor="text1"/>
        </w:rPr>
        <w:t>– Texts 1 (The Open University Press, 1992), pp.45-</w:t>
      </w:r>
      <w:r w:rsidR="0094701A">
        <w:rPr>
          <w:color w:val="000000" w:themeColor="text1"/>
        </w:rPr>
        <w:t>4</w:t>
      </w:r>
      <w:r w:rsidRPr="009931C7">
        <w:rPr>
          <w:color w:val="000000" w:themeColor="text1"/>
        </w:rPr>
        <w:t>6</w:t>
      </w:r>
      <w:r>
        <w:rPr>
          <w:color w:val="000000" w:themeColor="text1"/>
        </w:rPr>
        <w:t>.</w:t>
      </w:r>
      <w:r w:rsidR="00BC3E78" w:rsidRPr="009931C7">
        <w:rPr>
          <w:color w:val="000000" w:themeColor="text1"/>
        </w:rPr>
        <w:t xml:space="preserve">                         </w:t>
      </w:r>
    </w:p>
    <w:p w14:paraId="5ED0DE46" w14:textId="66B95110" w:rsidR="009B1303" w:rsidRDefault="00D56F21">
      <w:r>
        <w:t>Twe</w:t>
      </w:r>
      <w:r w:rsidR="00E62E31">
        <w:t>lve</w:t>
      </w:r>
      <w:r w:rsidR="00CD5747">
        <w:t xml:space="preserve"> years after holding office of K</w:t>
      </w:r>
      <w:r w:rsidR="00E62E31">
        <w:t>ing of Prussia, Fredrick II (the Great) wrote the blueprint for his heir to follow on how to reign. The blueprint</w:t>
      </w:r>
      <w:r w:rsidR="009931C7">
        <w:t xml:space="preserve"> was a letter</w:t>
      </w:r>
      <w:r w:rsidR="00E62E31">
        <w:t xml:space="preserve"> titled </w:t>
      </w:r>
      <w:r w:rsidR="00E62E31" w:rsidRPr="00E62E31">
        <w:rPr>
          <w:i/>
        </w:rPr>
        <w:t>The First Servant of the State</w:t>
      </w:r>
      <w:r w:rsidR="00E62E31">
        <w:t xml:space="preserve"> was written in 1752, but still contained valuable and relevant advice after the end of his reign in 1786.</w:t>
      </w:r>
      <w:r w:rsidR="00501E31">
        <w:t xml:space="preserve"> Advice </w:t>
      </w:r>
      <w:r w:rsidR="00A63E2A">
        <w:t>c</w:t>
      </w:r>
      <w:r w:rsidR="00501E31">
        <w:t>onsisted o</w:t>
      </w:r>
      <w:r w:rsidR="00A63E2A">
        <w:t>f maintaining full power over the main areas of government, serving the people and not enjoying the luxuries of a monarch without earning the rewards.</w:t>
      </w:r>
      <w:r w:rsidR="00E62E31">
        <w:t xml:space="preserve"> Fredrick II was aware that the heir to the throne is not guaranteed to be as effective or better than the current or previous ruler</w:t>
      </w:r>
      <w:r w:rsidR="00E51B77">
        <w:t xml:space="preserve">. This notion motivated Fredrick II to write his advice in the hope that his heirs could succeed and continue to develop a more prosperous and powerful Prussia. </w:t>
      </w:r>
    </w:p>
    <w:p w14:paraId="2475DDD9" w14:textId="0942F12A" w:rsidR="00BA289C" w:rsidRDefault="00306ABE">
      <w:r>
        <w:t xml:space="preserve">In the first section of the extract Fredrick II discusses the </w:t>
      </w:r>
      <w:r w:rsidR="0021090A">
        <w:t xml:space="preserve">role of the monarch and the aims of ministers. He states that the monarch must personally control every aspect of government </w:t>
      </w:r>
      <w:r w:rsidR="00824C55">
        <w:rPr>
          <w:rStyle w:val="FootnoteReference"/>
        </w:rPr>
        <w:footnoteReference w:id="1"/>
      </w:r>
      <w:r w:rsidR="0021090A">
        <w:t>as minister</w:t>
      </w:r>
      <w:r w:rsidR="00A71FD8">
        <w:t>’</w:t>
      </w:r>
      <w:r w:rsidR="0021090A">
        <w:t xml:space="preserve">s priorities </w:t>
      </w:r>
      <w:r w:rsidR="00BA289C">
        <w:t xml:space="preserve">lies in </w:t>
      </w:r>
      <w:r w:rsidR="0021090A">
        <w:t>self-interests</w:t>
      </w:r>
      <w:r w:rsidR="00BA289C">
        <w:t>,</w:t>
      </w:r>
      <w:r w:rsidR="0021090A">
        <w:t xml:space="preserve"> </w:t>
      </w:r>
      <w:r w:rsidR="00BA289C">
        <w:t>whereas</w:t>
      </w:r>
      <w:r w:rsidR="00A71FD8">
        <w:t xml:space="preserve"> the monarch should prioritise</w:t>
      </w:r>
      <w:r w:rsidR="0021090A">
        <w:t xml:space="preserve"> the interests of the people.</w:t>
      </w:r>
      <w:r w:rsidR="00505B03">
        <w:t xml:space="preserve"> This might help explain </w:t>
      </w:r>
      <w:r w:rsidR="00A71FD8">
        <w:t>why Fredrick II only appointed two</w:t>
      </w:r>
      <w:r w:rsidR="00505B03">
        <w:t xml:space="preserve"> chief ministers of state throughout the duration of his reign</w:t>
      </w:r>
      <w:r w:rsidR="00A71FD8">
        <w:t xml:space="preserve">. The first, </w:t>
      </w:r>
      <w:r w:rsidR="00C51C00" w:rsidRPr="00C51C00">
        <w:t xml:space="preserve">Georg </w:t>
      </w:r>
      <w:proofErr w:type="spellStart"/>
      <w:r w:rsidR="00C51C00" w:rsidRPr="00C51C00">
        <w:t>Dietloff</w:t>
      </w:r>
      <w:proofErr w:type="spellEnd"/>
      <w:r w:rsidR="00C51C00" w:rsidRPr="00C51C00">
        <w:t xml:space="preserve"> von Arnim-</w:t>
      </w:r>
      <w:proofErr w:type="spellStart"/>
      <w:r w:rsidR="00C51C00" w:rsidRPr="00C51C00">
        <w:t>Boitzenburg</w:t>
      </w:r>
      <w:proofErr w:type="spellEnd"/>
      <w:r w:rsidR="00A71FD8">
        <w:t>,</w:t>
      </w:r>
      <w:r w:rsidR="00C51C00">
        <w:t xml:space="preserve"> served his father Fredrick William I and later Fredrick II</w:t>
      </w:r>
      <w:r w:rsidR="00C51C00">
        <w:rPr>
          <w:rStyle w:val="FootnoteReference"/>
        </w:rPr>
        <w:footnoteReference w:id="2"/>
      </w:r>
      <w:r w:rsidR="00C51C00">
        <w:t>.</w:t>
      </w:r>
      <w:r w:rsidR="00505B03">
        <w:t xml:space="preserve"> </w:t>
      </w:r>
      <w:r w:rsidR="00C51C00">
        <w:t>T</w:t>
      </w:r>
      <w:r w:rsidR="00F5640A">
        <w:t xml:space="preserve">he second, </w:t>
      </w:r>
      <w:r w:rsidR="00C51C00" w:rsidRPr="00C51C00">
        <w:t xml:space="preserve">Count Karl-Wilhelm </w:t>
      </w:r>
      <w:proofErr w:type="spellStart"/>
      <w:r w:rsidR="00C51C00" w:rsidRPr="00C51C00">
        <w:t>Finck</w:t>
      </w:r>
      <w:proofErr w:type="spellEnd"/>
      <w:r w:rsidR="00C51C00" w:rsidRPr="00C51C00">
        <w:t xml:space="preserve"> von </w:t>
      </w:r>
      <w:proofErr w:type="spellStart"/>
      <w:r w:rsidR="00C51C00" w:rsidRPr="00C51C00">
        <w:t>Finckenstein</w:t>
      </w:r>
      <w:proofErr w:type="spellEnd"/>
      <w:r w:rsidR="00F5640A">
        <w:t>, serving the longest, even outliving Fredrick II,</w:t>
      </w:r>
      <w:r w:rsidR="00505B03">
        <w:t xml:space="preserve"> had been a close friend from his childhood.</w:t>
      </w:r>
      <w:r w:rsidR="0021090A">
        <w:t xml:space="preserve"> </w:t>
      </w:r>
    </w:p>
    <w:p w14:paraId="05EA786F" w14:textId="09DAEE1A" w:rsidR="008C1C18" w:rsidRDefault="0021090A">
      <w:r>
        <w:t xml:space="preserve">He supports </w:t>
      </w:r>
      <w:r w:rsidR="00BA289C">
        <w:t>his</w:t>
      </w:r>
      <w:r>
        <w:t xml:space="preserve"> claim </w:t>
      </w:r>
      <w:r w:rsidR="00BA289C">
        <w:t xml:space="preserve">that monarchs should personally take control of all matters of state </w:t>
      </w:r>
      <w:r>
        <w:t xml:space="preserve">by looking at France and identifying their 4 separate significant </w:t>
      </w:r>
      <w:r w:rsidR="00824C55">
        <w:t>departments, Finance</w:t>
      </w:r>
      <w:r w:rsidRPr="0021090A">
        <w:t>, Marine, War, and Foreign Affairs</w:t>
      </w:r>
      <w:r>
        <w:t xml:space="preserve">. All of these </w:t>
      </w:r>
      <w:r w:rsidR="00493F6A">
        <w:t xml:space="preserve">positions </w:t>
      </w:r>
      <w:r w:rsidR="00BE0CD0">
        <w:t>were controlled by four</w:t>
      </w:r>
      <w:r>
        <w:t xml:space="preserve"> separate people and in result inactivity, jealousy, contradiction and leaked secrets </w:t>
      </w:r>
      <w:r w:rsidR="006A34E3">
        <w:t>were</w:t>
      </w:r>
      <w:r>
        <w:t xml:space="preserve"> rife. </w:t>
      </w:r>
      <w:r w:rsidR="007F54FF">
        <w:t xml:space="preserve">It is worth noting that </w:t>
      </w:r>
      <w:r w:rsidR="00143E1F">
        <w:t xml:space="preserve">by </w:t>
      </w:r>
      <w:r w:rsidR="007F54FF">
        <w:t xml:space="preserve">1752 </w:t>
      </w:r>
      <w:r w:rsidR="00143E1F">
        <w:t>Fr</w:t>
      </w:r>
      <w:r w:rsidR="006A34E3">
        <w:t>ance under Louis XV had fought two</w:t>
      </w:r>
      <w:r w:rsidR="00143E1F">
        <w:t xml:space="preserve"> wars and had lost both but gained a sma</w:t>
      </w:r>
      <w:r w:rsidR="006A34E3">
        <w:t>ll portion of territory in the War of P</w:t>
      </w:r>
      <w:r w:rsidR="00143E1F">
        <w:t>olish succession but ultimately still lost the war.</w:t>
      </w:r>
      <w:r w:rsidR="006A34E3">
        <w:t xml:space="preserve"> Whereas Prussia had fought in three wars, all Silesian,</w:t>
      </w:r>
      <w:r w:rsidR="00143E1F">
        <w:t xml:space="preserve"> and ha</w:t>
      </w:r>
      <w:r w:rsidR="00C202DE">
        <w:t>d won all of them, all within twelve</w:t>
      </w:r>
      <w:r w:rsidR="00143E1F">
        <w:t xml:space="preserve"> years of Fredricks reign in comparison to Louis XV’s </w:t>
      </w:r>
      <w:r w:rsidR="00C202DE">
        <w:t>twenty nine</w:t>
      </w:r>
      <w:r w:rsidR="00F13B59">
        <w:t>-year</w:t>
      </w:r>
      <w:r w:rsidR="00143E1F">
        <w:t xml:space="preserve"> reign.</w:t>
      </w:r>
      <w:r w:rsidR="00C202DE">
        <w:t xml:space="preserve"> It i</w:t>
      </w:r>
      <w:r w:rsidR="00F13B59">
        <w:t>s possible Fredrick II was suggesting to his heir that France was being ruled so poorly and this was the result</w:t>
      </w:r>
      <w:r w:rsidR="00C3053B">
        <w:t xml:space="preserve"> of poor management.</w:t>
      </w:r>
      <w:r w:rsidR="00CB5B89">
        <w:t xml:space="preserve"> Fredrick develops on the different departments of government by further stating the importance of firmly controlling them. “</w:t>
      </w:r>
      <w:r w:rsidR="00CB5B89" w:rsidRPr="00CB5B89">
        <w:t>Finances, domestic government, foreign policy, and military affairs are so closely connected that it is impossible to deal with one of these branches in isolation from the others</w:t>
      </w:r>
      <w:r w:rsidR="00CB5B89">
        <w:t xml:space="preserve">.” </w:t>
      </w:r>
      <w:r w:rsidR="00893F3F">
        <w:rPr>
          <w:rStyle w:val="FootnoteReference"/>
        </w:rPr>
        <w:footnoteReference w:id="3"/>
      </w:r>
      <w:r w:rsidR="00CB5B89">
        <w:t xml:space="preserve">Fredrick </w:t>
      </w:r>
      <w:r w:rsidR="00893F3F">
        <w:t xml:space="preserve">II </w:t>
      </w:r>
      <w:r w:rsidR="00CB5B89">
        <w:t xml:space="preserve">maintained a </w:t>
      </w:r>
      <w:r w:rsidR="00893F3F">
        <w:t>firm</w:t>
      </w:r>
      <w:r w:rsidR="00CB5B89">
        <w:t xml:space="preserve"> grip on all these </w:t>
      </w:r>
      <w:r w:rsidR="00893F3F">
        <w:t>departments</w:t>
      </w:r>
      <w:r w:rsidR="00CB5B89">
        <w:t xml:space="preserve"> throughout his reign</w:t>
      </w:r>
      <w:r w:rsidR="00893F3F">
        <w:t xml:space="preserve"> and was not a weak monarch and held on to power and expanded Prussian influence significantly, which strengthens his argument for self-control of government as the monarch. I would say this is one of the key strengths of the letter as Fredrick II is not contradicting himself and sets the example that he lives by.</w:t>
      </w:r>
    </w:p>
    <w:p w14:paraId="73DF3724" w14:textId="69EC4045" w:rsidR="00A900A1" w:rsidRDefault="009A6021">
      <w:r>
        <w:t xml:space="preserve">Fredrick II towards the end of the letter discusses the relation between the monarch and his subjects (people). His opinion of the ordinary man and woman fits into the age of Enlightenment with </w:t>
      </w:r>
      <w:r w:rsidR="003C0EFC">
        <w:t>admiration from Voltaire. Fredrick II said “Idleness</w:t>
      </w:r>
      <w:r w:rsidR="003C0EFC" w:rsidRPr="003C0EFC">
        <w:t>, luxury or stupidity, prevent rulers from pursuing the noble task of bringing about their people’s happiness.</w:t>
      </w:r>
      <w:r w:rsidR="003C0EFC">
        <w:t xml:space="preserve">” The fact that Fredrick II acknowledges the importance of the pursuit of happiness among his people is very significant as this is a key feature in the </w:t>
      </w:r>
      <w:r w:rsidR="009A13FE">
        <w:t xml:space="preserve">Enlightenment and also </w:t>
      </w:r>
      <w:r w:rsidR="003C0EFC">
        <w:t>American constitution and too an extent the French</w:t>
      </w:r>
      <w:r w:rsidR="009A13FE">
        <w:t xml:space="preserve"> constitution</w:t>
      </w:r>
      <w:r w:rsidR="003C0EFC">
        <w:t xml:space="preserve">. But </w:t>
      </w:r>
      <w:r w:rsidR="00DF14B5">
        <w:t>Fredrick w</w:t>
      </w:r>
      <w:r w:rsidR="00B64F93">
        <w:t>rote</w:t>
      </w:r>
      <w:r w:rsidR="000C16C7">
        <w:t xml:space="preserve"> this letter in 1752, some twenty four</w:t>
      </w:r>
      <w:r w:rsidR="00DF14B5">
        <w:t xml:space="preserve"> years before the declaration of independence in 1776. This indicates that Fredrick II was likely to have studied the works of the English philosopher </w:t>
      </w:r>
      <w:r w:rsidR="00DF14B5">
        <w:lastRenderedPageBreak/>
        <w:t>John Locke 1632 – 1704 who distinguished between happiness and true happiness.</w:t>
      </w:r>
      <w:r w:rsidR="0034294F">
        <w:t xml:space="preserve"> </w:t>
      </w:r>
      <w:r w:rsidR="000C16C7">
        <w:t>Fredrick II after the Seven Y</w:t>
      </w:r>
      <w:r w:rsidR="00B22C94">
        <w:t>ears War made reforms to Prussia including rebuilding towns and agriculture, increased grain stockpiles to keep the price of bread down in times of famine as well as improving education and encouraging the arts and sciences</w:t>
      </w:r>
      <w:r w:rsidR="00EE46E0">
        <w:rPr>
          <w:rStyle w:val="FootnoteReference"/>
        </w:rPr>
        <w:footnoteReference w:id="4"/>
      </w:r>
      <w:r w:rsidR="00B22C94">
        <w:t xml:space="preserve">. All these factors improved the happiness </w:t>
      </w:r>
      <w:r w:rsidR="000C16C7">
        <w:t>of</w:t>
      </w:r>
      <w:r w:rsidR="00B22C94">
        <w:t xml:space="preserve"> the ordinary person living in Prussia, making this another example of Fredrick leading by example for his heirs.</w:t>
      </w:r>
    </w:p>
    <w:p w14:paraId="489953BF" w14:textId="2488E949" w:rsidR="00206CD1" w:rsidRDefault="007477E5">
      <w:r>
        <w:t xml:space="preserve">The strengths of the letter </w:t>
      </w:r>
      <w:r w:rsidR="0014675C">
        <w:t xml:space="preserve">are how clear </w:t>
      </w:r>
      <w:r w:rsidR="000C16C7">
        <w:t xml:space="preserve">and </w:t>
      </w:r>
      <w:r w:rsidR="0014675C">
        <w:t xml:space="preserve">easy </w:t>
      </w:r>
      <w:r w:rsidR="00183971">
        <w:t xml:space="preserve">and to the point </w:t>
      </w:r>
      <w:r w:rsidR="0014675C">
        <w:t>it is</w:t>
      </w:r>
      <w:r w:rsidR="00183971">
        <w:t xml:space="preserve">, allowing the reader </w:t>
      </w:r>
      <w:r w:rsidR="0014675C">
        <w:t>to understand what Fredrick II is trying to say</w:t>
      </w:r>
      <w:r w:rsidR="00183971">
        <w:t>.</w:t>
      </w:r>
      <w:r w:rsidR="0014675C">
        <w:t xml:space="preserve"> </w:t>
      </w:r>
      <w:r w:rsidR="00183971">
        <w:t>T</w:t>
      </w:r>
      <w:r w:rsidR="0014675C">
        <w:t>here is no doubt that he is stating that the monarch must be in full control of the country and all government departments. This makes the letter easy for anyone to understand</w:t>
      </w:r>
      <w:r w:rsidR="00040F37">
        <w:t>,</w:t>
      </w:r>
      <w:r w:rsidR="0014675C">
        <w:t xml:space="preserve"> but most importantly for the person </w:t>
      </w:r>
      <w:r w:rsidR="00FB66F4">
        <w:t xml:space="preserve">who </w:t>
      </w:r>
      <w:r w:rsidR="0014675C">
        <w:t>it was intended for</w:t>
      </w:r>
      <w:r w:rsidR="00FB66F4">
        <w:t>,</w:t>
      </w:r>
      <w:r w:rsidR="0014675C">
        <w:t xml:space="preserve"> there should not be any confusion. Another strength of the letter is the constant upkeep of Fredrick’s actions supporting what he says, which gives more validity to the contents of the letter.</w:t>
      </w:r>
      <w:r w:rsidR="00040F37">
        <w:t xml:space="preserve"> The content in his other letters generally support this as well, </w:t>
      </w:r>
      <w:r w:rsidR="00266E9F">
        <w:t>with a</w:t>
      </w:r>
      <w:r w:rsidR="00FB66F4">
        <w:t>n</w:t>
      </w:r>
      <w:r w:rsidR="00266E9F">
        <w:t xml:space="preserve"> exception of</w:t>
      </w:r>
      <w:r w:rsidR="00040F37">
        <w:t xml:space="preserve"> when Fredrick II writes about Machiavelli it is easy to notice that his actions contradict what he writes.</w:t>
      </w:r>
    </w:p>
    <w:p w14:paraId="42AB6CE3" w14:textId="1233EB4D" w:rsidR="00206CD1" w:rsidRDefault="00206CD1">
      <w:r>
        <w:t xml:space="preserve">The weaknesses of the letter however </w:t>
      </w:r>
      <w:r w:rsidR="00666CD0">
        <w:t xml:space="preserve">I would say are </w:t>
      </w:r>
      <w:r w:rsidR="00AE7980">
        <w:t>the lack of explanation for his heir</w:t>
      </w:r>
      <w:r w:rsidR="00784DE5">
        <w:t>s</w:t>
      </w:r>
      <w:r w:rsidR="00AE7980">
        <w:t xml:space="preserve"> on how to run the country on a daily basis such as methods of taxation, maintaining law and order and prioritising where money </w:t>
      </w:r>
      <w:r w:rsidR="002B4FA3">
        <w:t>should have been</w:t>
      </w:r>
      <w:r w:rsidR="00AE7980">
        <w:t xml:space="preserve"> spent. Fredrick II makes good statements about generalities on national governance but fails to enter detail in the everyday element of running the country. This might explain why his heir was not as much of a success as Fredrick the Great. Which takes me on to the second criticism of the letter which is that it does not achieve what it was set out to do. I do not think it is because of what the letter said, rather the lack of detail on essential material for governance, such as information on taxes</w:t>
      </w:r>
      <w:r w:rsidR="00F529AD">
        <w:t>, judiciary and budgeting.</w:t>
      </w:r>
      <w:r w:rsidR="002B4FA3">
        <w:t xml:space="preserve"> There is a letter that Fredrick II later writes in 1766 to </w:t>
      </w:r>
      <w:proofErr w:type="spellStart"/>
      <w:r w:rsidR="002B4FA3">
        <w:t>Electress</w:t>
      </w:r>
      <w:proofErr w:type="spellEnd"/>
      <w:r w:rsidR="002B4FA3">
        <w:t xml:space="preserve"> Maria Antonia of Saxony about war but includes a useful observation on justice which can be applied to the judiciary</w:t>
      </w:r>
      <w:r w:rsidR="00D80BF7">
        <w:t xml:space="preserve">. </w:t>
      </w:r>
      <w:r w:rsidR="00A76C50">
        <w:t>However,</w:t>
      </w:r>
      <w:r w:rsidR="00D80BF7">
        <w:t xml:space="preserve"> Maria Antonia was not a wife, mistress or of close</w:t>
      </w:r>
      <w:r w:rsidR="002B4FA3">
        <w:t xml:space="preserve"> </w:t>
      </w:r>
      <w:r w:rsidR="00D80BF7">
        <w:t>relation to Frederick William II, meaning the contents of the letter was unlikely to have benefited the new king of Prussia.</w:t>
      </w:r>
    </w:p>
    <w:p w14:paraId="4362C97C" w14:textId="40850A3A" w:rsidR="007755C6" w:rsidRDefault="007755C6">
      <w:r>
        <w:t xml:space="preserve">To conclude </w:t>
      </w:r>
      <w:r w:rsidR="006C44B8">
        <w:t>I think the letter was well written with many useful pieces of advice in general terms. The letter is also good as the author practices what he preaches in the letter giving it more credibility. However, the letter does not fully achieve its goal in making the heir of Prussia much more successful, however it could be argued that without the advi</w:t>
      </w:r>
      <w:r w:rsidR="00345940">
        <w:t>ce of the letter that the heir, Fredrick William II,</w:t>
      </w:r>
      <w:r w:rsidR="006C44B8">
        <w:t xml:space="preserve"> could have been even less successful than he was.</w:t>
      </w:r>
      <w:r w:rsidR="00FB5C43">
        <w:t xml:space="preserve"> As a primary source I would recommend it as a good insight to Frederick the Great’s personality, which would help understand why he ruled the way he did.</w:t>
      </w:r>
    </w:p>
    <w:p w14:paraId="0ADFC1E9" w14:textId="77777777" w:rsidR="00377A56" w:rsidRDefault="00377A56" w:rsidP="008D17A6">
      <w:pPr>
        <w:rPr>
          <w:color w:val="FF0000"/>
        </w:rPr>
      </w:pPr>
    </w:p>
    <w:p w14:paraId="451EC7B5" w14:textId="77777777" w:rsidR="00377A56" w:rsidRDefault="00377A56" w:rsidP="008D17A6">
      <w:pPr>
        <w:rPr>
          <w:color w:val="FF0000"/>
        </w:rPr>
      </w:pPr>
    </w:p>
    <w:p w14:paraId="2253DC8A" w14:textId="11C58444" w:rsidR="00326D45" w:rsidRPr="0010289C" w:rsidRDefault="0010289C">
      <w:pPr>
        <w:rPr>
          <w:color w:val="000000" w:themeColor="text1"/>
        </w:rPr>
      </w:pPr>
      <w:r w:rsidRPr="0010289C">
        <w:rPr>
          <w:color w:val="000000" w:themeColor="text1"/>
        </w:rPr>
        <w:t xml:space="preserve">Jeremy Black. </w:t>
      </w:r>
      <w:r w:rsidRPr="0010289C">
        <w:rPr>
          <w:i/>
          <w:color w:val="000000" w:themeColor="text1"/>
        </w:rPr>
        <w:t>European Warfare 1660-1815</w:t>
      </w:r>
      <w:r w:rsidRPr="0010289C">
        <w:rPr>
          <w:color w:val="000000" w:themeColor="text1"/>
        </w:rPr>
        <w:t>. UCL Press. London. UK. 1994.</w:t>
      </w:r>
    </w:p>
    <w:p w14:paraId="2DD11C5B" w14:textId="1E375444" w:rsidR="00C80C97" w:rsidRDefault="00CE5F35">
      <w:r>
        <w:t xml:space="preserve">Jeremy Black’s </w:t>
      </w:r>
      <w:r w:rsidRPr="00CE5F35">
        <w:rPr>
          <w:i/>
        </w:rPr>
        <w:t>European Warfare 1660 -1815</w:t>
      </w:r>
      <w:r w:rsidR="001242B0">
        <w:t xml:space="preserve"> aims to </w:t>
      </w:r>
      <w:r>
        <w:t>identif</w:t>
      </w:r>
      <w:r w:rsidR="001242B0">
        <w:t>y</w:t>
      </w:r>
      <w:r>
        <w:t xml:space="preserve"> the significance of European warfare both inside and outside Europe, and the greater impact it had on forming the world today.</w:t>
      </w:r>
      <w:r w:rsidR="001242B0">
        <w:t xml:space="preserve"> Dr Jeremy Black is a professor of history at the university of Exeter and has worked on over 100 books mostly surrounding the 18</w:t>
      </w:r>
      <w:r w:rsidR="001242B0" w:rsidRPr="001242B0">
        <w:rPr>
          <w:vertAlign w:val="superscript"/>
        </w:rPr>
        <w:t>th</w:t>
      </w:r>
      <w:r w:rsidR="001242B0">
        <w:t xml:space="preserve"> century from a Eurocentric point of view.</w:t>
      </w:r>
      <w:r w:rsidR="004F343C">
        <w:t xml:space="preserve"> The book covers where Europeans fought wars and what the result was after they finished their wars</w:t>
      </w:r>
      <w:r w:rsidR="00377A56">
        <w:t xml:space="preserve">. Sometimes these wars </w:t>
      </w:r>
      <w:r w:rsidR="00377A56">
        <w:lastRenderedPageBreak/>
        <w:t>le</w:t>
      </w:r>
      <w:r w:rsidR="002B428B">
        <w:t>d to the creation of new nation states and other circumstances strengthening or weakening the European countries involved.</w:t>
      </w:r>
      <w:r w:rsidR="004B3B0A">
        <w:t xml:space="preserve"> The </w:t>
      </w:r>
      <w:r w:rsidR="00AE1344">
        <w:t xml:space="preserve">purpose of the book is to provide and support accounts of other works in the subject field. Particularly Geoffrey Parker’s </w:t>
      </w:r>
      <w:proofErr w:type="gramStart"/>
      <w:r w:rsidR="00AE1344" w:rsidRPr="00AE1344">
        <w:rPr>
          <w:i/>
        </w:rPr>
        <w:t>The</w:t>
      </w:r>
      <w:proofErr w:type="gramEnd"/>
      <w:r w:rsidR="00AE1344" w:rsidRPr="00AE1344">
        <w:rPr>
          <w:i/>
        </w:rPr>
        <w:t xml:space="preserve"> </w:t>
      </w:r>
      <w:r w:rsidR="00AE1344">
        <w:rPr>
          <w:i/>
        </w:rPr>
        <w:t>M</w:t>
      </w:r>
      <w:r w:rsidR="00AE1344" w:rsidRPr="00AE1344">
        <w:rPr>
          <w:i/>
        </w:rPr>
        <w:t xml:space="preserve">ilitary </w:t>
      </w:r>
      <w:r w:rsidR="00AE1344">
        <w:rPr>
          <w:i/>
        </w:rPr>
        <w:t>R</w:t>
      </w:r>
      <w:r w:rsidR="00AE1344" w:rsidRPr="00AE1344">
        <w:rPr>
          <w:i/>
        </w:rPr>
        <w:t>evolution</w:t>
      </w:r>
      <w:r w:rsidR="00AE1344">
        <w:t xml:space="preserve"> and </w:t>
      </w:r>
      <w:r w:rsidR="00AE1344" w:rsidRPr="00AE1344">
        <w:rPr>
          <w:i/>
        </w:rPr>
        <w:t>Military innovation and rise of the West 1500-1800</w:t>
      </w:r>
      <w:r w:rsidR="00AE1344">
        <w:t>.</w:t>
      </w:r>
    </w:p>
    <w:p w14:paraId="7266B25D" w14:textId="4E4DDBBD" w:rsidR="00B71B6F" w:rsidRDefault="003E4B0D">
      <w:r w:rsidRPr="003E4B0D">
        <w:rPr>
          <w:i/>
        </w:rPr>
        <w:t>European Warfare 1660-1815</w:t>
      </w:r>
      <w:r>
        <w:t xml:space="preserve"> I would argue was written for students and lecturers mainly. The fact that University College London (UCL) published the book and </w:t>
      </w:r>
      <w:r w:rsidR="00913302">
        <w:t xml:space="preserve">that it </w:t>
      </w:r>
      <w:r>
        <w:t>was written by a university lecturer supports this audience. Further more the chapters are very specific with numerous statistics and annotated maps, accommodating</w:t>
      </w:r>
      <w:r w:rsidR="00130C34">
        <w:t xml:space="preserve"> the reader with an intellectual read ahead of them. The book has a recorded copy in the British Library, an institution which specialises in research and maintenance of both new and old works. </w:t>
      </w:r>
      <w:r w:rsidR="00546C59" w:rsidRPr="000B3722">
        <w:rPr>
          <w:i/>
        </w:rPr>
        <w:t>European Warfare 1660-1815</w:t>
      </w:r>
      <w:r w:rsidR="00546C59">
        <w:t xml:space="preserve"> divides itself up into </w:t>
      </w:r>
      <w:r w:rsidR="000B3722">
        <w:t xml:space="preserve">nine chapters, the first three give context to the following four chapters which focus on the wars, followed by a further two chapters which one gives further context and the last summaries the book. Each chapter has sub chapters within it to clearly differentiate between different topics. For </w:t>
      </w:r>
      <w:proofErr w:type="gramStart"/>
      <w:r w:rsidR="000B3722">
        <w:t>example</w:t>
      </w:r>
      <w:proofErr w:type="gramEnd"/>
      <w:r w:rsidR="000B3722">
        <w:t xml:space="preserve"> chapter four starts on the topic of ‘Military entrepreneurship and absolutism’ on page eighty seven and then has a sub title/chapter for ‘Rising Numbers’ on page ninety two. </w:t>
      </w:r>
    </w:p>
    <w:p w14:paraId="440D6ABA" w14:textId="5A453B79" w:rsidR="002F28B3" w:rsidRDefault="00612BF5">
      <w:r>
        <w:t xml:space="preserve">Black observes </w:t>
      </w:r>
      <w:r w:rsidR="00E62E84">
        <w:t>the development of weaponry and tactics throughout th</w:t>
      </w:r>
      <w:r w:rsidR="00913302">
        <w:t>e period 1660-1815 and evaluate</w:t>
      </w:r>
      <w:r w:rsidR="00995CDD">
        <w:t>s</w:t>
      </w:r>
      <w:r w:rsidR="00E62E84">
        <w:t xml:space="preserve"> how effective they were by splitting the events up</w:t>
      </w:r>
      <w:r w:rsidR="00995CDD">
        <w:t xml:space="preserve"> into sections e.g. in chapter five</w:t>
      </w:r>
      <w:r w:rsidR="00E62E84">
        <w:t xml:space="preserve"> Black discusses the problems with amphibious invasions by explaining that it took a long time to disembark troops, supplies and horses and that there was a serious shortage of transport ships across Europe during the period 1721-1763. He states that the most successful attempts were small scale raids made by the Russians in the Great Northern War</w:t>
      </w:r>
      <w:r w:rsidR="0059361E">
        <w:t>.</w:t>
      </w:r>
      <w:r w:rsidR="00E62E84">
        <w:t xml:space="preserve"> </w:t>
      </w:r>
      <w:r w:rsidR="0059361E">
        <w:t>Black</w:t>
      </w:r>
      <w:r w:rsidR="00E62E84">
        <w:t xml:space="preserve"> also includ</w:t>
      </w:r>
      <w:r w:rsidR="0059361E">
        <w:t>es</w:t>
      </w:r>
      <w:r w:rsidR="00E62E84">
        <w:t xml:space="preserve"> Britain (early stages of their naval supremacy) but indicates that even with Royal Naval support in an alliance with </w:t>
      </w:r>
      <w:r w:rsidR="0059361E">
        <w:t>the Austrians and Sardinians against Provence in 1707 and 1746</w:t>
      </w:r>
      <w:r w:rsidR="00995CDD">
        <w:t>,</w:t>
      </w:r>
      <w:r w:rsidR="0059361E">
        <w:t xml:space="preserve"> that the operation had little success.</w:t>
      </w:r>
    </w:p>
    <w:p w14:paraId="2D076F4B" w14:textId="2FA73A26" w:rsidR="00686B4B" w:rsidRDefault="00705E14">
      <w:r w:rsidRPr="00E20094">
        <w:rPr>
          <w:i/>
        </w:rPr>
        <w:t>European Warfare 1660-1815</w:t>
      </w:r>
      <w:r>
        <w:t xml:space="preserve"> also provides the reader with social and political context to help explain the reasoning behind the wars, developments in tactics and weaponry. </w:t>
      </w:r>
      <w:r w:rsidR="005432BE">
        <w:t xml:space="preserve">E.g. Chapter eight discusses the roles armies often played during peace time, which involved tasked such as canal building, agriculture and policing. </w:t>
      </w:r>
      <w:r w:rsidR="007D0239">
        <w:t>It also draws connections between civilians and their response to large standing armies and how there was often a resentment towards larger armies. Black further mentions countries with smaller armies and how they utilized their forces to their advantage. E.g. Bavaria 1780s building military schools and gardens, and even though their army was small and not overly effective on the battlefield, it was also a statement that an aggressive country would still have to fight to beat them.</w:t>
      </w:r>
    </w:p>
    <w:p w14:paraId="3D6E7F99" w14:textId="27E3DF3B" w:rsidR="006D237A" w:rsidRDefault="006D237A">
      <w:r>
        <w:t xml:space="preserve">The strengths of the book I would say are </w:t>
      </w:r>
      <w:r w:rsidR="00E20094">
        <w:t xml:space="preserve">that it is chronological making it easy to follow starting off with global context of European warfare, then the types of weaponry used and then moving onto the list of wars from 1660-1815. It was useful having the earlier context to help set an understanding for the list of events that follow on. The book is well referenced, looking at </w:t>
      </w:r>
      <w:r w:rsidR="00735F3D">
        <w:t xml:space="preserve">both primary and secondary sources but </w:t>
      </w:r>
      <w:r w:rsidR="00E20094">
        <w:t xml:space="preserve">mainly secondary sources. </w:t>
      </w:r>
      <w:r w:rsidR="00F61D53">
        <w:t>Some of t</w:t>
      </w:r>
      <w:r w:rsidR="00E20094">
        <w:t>he secondary sources come from top universities such as Oxford and Cambridge,</w:t>
      </w:r>
      <w:r w:rsidR="00F61D53">
        <w:t xml:space="preserve"> and other academic institutions.</w:t>
      </w:r>
      <w:r w:rsidR="00E20094">
        <w:t xml:space="preserve"> Black also looks at secondary sources from Europe and so doesn’t restrict himself to British only source material, building a fairer and more accurate outlook </w:t>
      </w:r>
      <w:proofErr w:type="gramStart"/>
      <w:r w:rsidR="00E20094">
        <w:t>on the subject of European</w:t>
      </w:r>
      <w:proofErr w:type="gramEnd"/>
      <w:r w:rsidR="00E20094">
        <w:t xml:space="preserve"> warfare from 1660-1815.</w:t>
      </w:r>
      <w:r w:rsidR="00F61D53">
        <w:t xml:space="preserve"> Black also picks a wide variety of primary source material ranging from Washington newspapers, Wellingtons relations with Spanish guerrillas, Frederick the Great’s letters and Edward Gibbon’s rise and fall.</w:t>
      </w:r>
      <w:r w:rsidR="004B77BF">
        <w:t xml:space="preserve"> His primary sources range from across Europe but are mainly English speaking.</w:t>
      </w:r>
    </w:p>
    <w:p w14:paraId="4E396D9A" w14:textId="1C89C511" w:rsidR="004B77BF" w:rsidRDefault="004B77BF">
      <w:r>
        <w:t>The</w:t>
      </w:r>
      <w:r w:rsidR="0037712F">
        <w:t xml:space="preserve"> main</w:t>
      </w:r>
      <w:r>
        <w:t xml:space="preserve"> weakness of Jeremy Black’s </w:t>
      </w:r>
      <w:r w:rsidRPr="004B77BF">
        <w:rPr>
          <w:i/>
        </w:rPr>
        <w:t>European Warfare 1660-1815</w:t>
      </w:r>
      <w:r>
        <w:t xml:space="preserve"> </w:t>
      </w:r>
      <w:r w:rsidR="0037712F">
        <w:t xml:space="preserve">is the lack of </w:t>
      </w:r>
      <w:r w:rsidR="00C842F3">
        <w:t xml:space="preserve">discussion between social political developments and military developments, both tactically and technologically. Black </w:t>
      </w:r>
      <w:r w:rsidR="00C842F3">
        <w:lastRenderedPageBreak/>
        <w:t>suggests that large standing armies came into service mainly for political reasons rather than military purposes. However, this point is not widely expanded upon leaving blank spaces for the reader.</w:t>
      </w:r>
      <w:r w:rsidR="00E152A0">
        <w:t xml:space="preserve"> Another weakness of the book is that it does not focus too much on the Enlightenment. It focuses </w:t>
      </w:r>
      <w:r w:rsidR="00063A1B">
        <w:t>on conflict during the Enlightenment period. Key Enlightenment thoughts and principles such as the pursuit of happiness, reason and knowledge are not heavily touched upon in the book. The military innovations and political motivations for war that are mentioned are not put down to Enlightenment for pushing that agenda.</w:t>
      </w:r>
      <w:r w:rsidR="00EB2B7D">
        <w:t xml:space="preserve"> For example on page</w:t>
      </w:r>
      <w:r w:rsidR="00244708">
        <w:t>s 44 and 45 Black discusses the development of cast-iron guns becoming central in naval warfare throughout Europe, he mentions Johann Maritz developing a newer, safer, more accurate ship cannon and the next stages of its development and who it benefited, but there is no mention in the passage of the advancement coming as a result of the Enlightenment.</w:t>
      </w:r>
    </w:p>
    <w:p w14:paraId="6D8EF897" w14:textId="442D45E7" w:rsidR="00326D45" w:rsidRDefault="00EC4B79">
      <w:r>
        <w:t xml:space="preserve">In conclusion I think that Jeremy Black’s </w:t>
      </w:r>
      <w:r w:rsidRPr="00EC4B79">
        <w:rPr>
          <w:i/>
        </w:rPr>
        <w:t>European Warfare 1660-1815</w:t>
      </w:r>
      <w:r>
        <w:t xml:space="preserve"> is a helpful secondary source if one wanted to attain an understanding of the age of warfare during this period. It is easy to follow and is split up in an organised fashion making it easy to locate specific con</w:t>
      </w:r>
      <w:r w:rsidR="00A107FF">
        <w:t>tent</w:t>
      </w:r>
      <w:r w:rsidR="00E152A0">
        <w:t xml:space="preserve"> or a specific conflict</w:t>
      </w:r>
      <w:r>
        <w:t>.</w:t>
      </w:r>
      <w:r w:rsidR="00A107FF">
        <w:t xml:space="preserve"> The book I would argue achieves its purpose of creating an account which complements other works in the same field to it.</w:t>
      </w:r>
      <w:r>
        <w:t xml:space="preserve"> I would for these reasons recommend it for academic purposes</w:t>
      </w:r>
      <w:r w:rsidR="00A107FF">
        <w:t>.</w:t>
      </w:r>
      <w:r w:rsidR="004D716D">
        <w:t xml:space="preserve"> However, if the reader sought after a text indulging into the Enlightenment I would not recommend it, as that is not a strong theme throughout the book.</w:t>
      </w:r>
    </w:p>
    <w:p w14:paraId="17DF9340" w14:textId="7720BA0A" w:rsidR="0094701A" w:rsidRDefault="0094701A"/>
    <w:p w14:paraId="3D8E0FE3" w14:textId="555E352B" w:rsidR="0094701A" w:rsidRPr="0094701A" w:rsidRDefault="0094701A">
      <w:pPr>
        <w:rPr>
          <w:b/>
        </w:rPr>
      </w:pPr>
      <w:r w:rsidRPr="0094701A">
        <w:rPr>
          <w:b/>
        </w:rPr>
        <w:t xml:space="preserve">Bibliography </w:t>
      </w:r>
    </w:p>
    <w:p w14:paraId="1958F4C5" w14:textId="77777777" w:rsidR="0094701A" w:rsidRDefault="0094701A">
      <w:r w:rsidRPr="0094701A">
        <w:rPr>
          <w:i/>
        </w:rPr>
        <w:t>The First Servant of the State</w:t>
      </w:r>
      <w:r w:rsidRPr="0094701A">
        <w:t>. Frederick The Great.  Simon Eliot and Keith Whitlock, (eds),</w:t>
      </w:r>
      <w:r w:rsidRPr="0094701A">
        <w:rPr>
          <w:i/>
        </w:rPr>
        <w:t xml:space="preserve"> The Enlightenment </w:t>
      </w:r>
      <w:r w:rsidRPr="0094701A">
        <w:t xml:space="preserve">– Texts 1 (The Open University Press, 1992), pp.45-46.     </w:t>
      </w:r>
    </w:p>
    <w:p w14:paraId="78BFB0E9" w14:textId="38898D9F" w:rsidR="0094701A" w:rsidRDefault="0094701A">
      <w:proofErr w:type="spellStart"/>
      <w:r w:rsidRPr="0094701A">
        <w:t>Sieghart</w:t>
      </w:r>
      <w:proofErr w:type="spellEnd"/>
      <w:r w:rsidRPr="0094701A">
        <w:t xml:space="preserve"> von Arnim </w:t>
      </w:r>
      <w:proofErr w:type="spellStart"/>
      <w:r w:rsidRPr="0094701A">
        <w:t>Aus</w:t>
      </w:r>
      <w:proofErr w:type="spellEnd"/>
      <w:r w:rsidRPr="0094701A">
        <w:t xml:space="preserve"> </w:t>
      </w:r>
      <w:proofErr w:type="spellStart"/>
      <w:r w:rsidRPr="0094701A">
        <w:t>dem</w:t>
      </w:r>
      <w:proofErr w:type="spellEnd"/>
      <w:r w:rsidRPr="0094701A">
        <w:t xml:space="preserve"> </w:t>
      </w:r>
      <w:proofErr w:type="spellStart"/>
      <w:r w:rsidRPr="0094701A">
        <w:t>Deutschen</w:t>
      </w:r>
      <w:proofErr w:type="spellEnd"/>
      <w:r w:rsidRPr="0094701A">
        <w:t xml:space="preserve"> </w:t>
      </w:r>
      <w:proofErr w:type="spellStart"/>
      <w:proofErr w:type="gramStart"/>
      <w:r w:rsidRPr="0094701A">
        <w:t>Adelsarchiv</w:t>
      </w:r>
      <w:proofErr w:type="spellEnd"/>
      <w:r w:rsidRPr="0094701A">
        <w:t xml:space="preserve"> .</w:t>
      </w:r>
      <w:proofErr w:type="gramEnd"/>
      <w:r w:rsidRPr="0094701A">
        <w:t xml:space="preserve"> 2005      </w:t>
      </w:r>
    </w:p>
    <w:p w14:paraId="100ADFB6" w14:textId="3F7CE222" w:rsidR="0094701A" w:rsidRDefault="0094701A">
      <w:r w:rsidRPr="0094701A">
        <w:t xml:space="preserve">History World. </w:t>
      </w:r>
      <w:r w:rsidRPr="0094701A">
        <w:rPr>
          <w:i/>
        </w:rPr>
        <w:t>History of Prussia</w:t>
      </w:r>
      <w:r w:rsidRPr="0094701A">
        <w:t xml:space="preserve">. </w:t>
      </w:r>
      <w:proofErr w:type="gramStart"/>
      <w:r w:rsidRPr="0094701A">
        <w:t>http://www.historyworld.net/wrldhis/PlainTextHistories.asp?ParagraphID=iww .</w:t>
      </w:r>
      <w:proofErr w:type="gramEnd"/>
      <w:r w:rsidRPr="0094701A">
        <w:t xml:space="preserve"> published N/A. [Last accessed 05/10/2018].</w:t>
      </w:r>
    </w:p>
    <w:p w14:paraId="34FC1170" w14:textId="1F381A39" w:rsidR="0094701A" w:rsidRDefault="0094701A">
      <w:r>
        <w:t>Jeremy Black.</w:t>
      </w:r>
      <w:r w:rsidRPr="0094701A">
        <w:t xml:space="preserve"> </w:t>
      </w:r>
      <w:r w:rsidRPr="0094701A">
        <w:rPr>
          <w:i/>
        </w:rPr>
        <w:t>European Warfare 1660-1815</w:t>
      </w:r>
      <w:r w:rsidRPr="0094701A">
        <w:t>. UCL Press. London. UK. 1994.</w:t>
      </w:r>
      <w:bookmarkStart w:id="0" w:name="_GoBack"/>
      <w:bookmarkEnd w:id="0"/>
    </w:p>
    <w:p w14:paraId="1A2A96E1" w14:textId="2672549A" w:rsidR="0094701A" w:rsidRDefault="0094701A">
      <w:r w:rsidRPr="0094701A">
        <w:t xml:space="preserve">            </w:t>
      </w:r>
    </w:p>
    <w:p w14:paraId="4708AA84" w14:textId="77777777" w:rsidR="0094701A" w:rsidRDefault="0094701A"/>
    <w:sectPr w:rsidR="009470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B66EC3" w14:textId="77777777" w:rsidR="00985AA2" w:rsidRDefault="00985AA2" w:rsidP="00824C55">
      <w:pPr>
        <w:spacing w:after="0" w:line="240" w:lineRule="auto"/>
      </w:pPr>
      <w:r>
        <w:separator/>
      </w:r>
    </w:p>
  </w:endnote>
  <w:endnote w:type="continuationSeparator" w:id="0">
    <w:p w14:paraId="1151F222" w14:textId="77777777" w:rsidR="00985AA2" w:rsidRDefault="00985AA2" w:rsidP="00824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E88692" w14:textId="77777777" w:rsidR="00985AA2" w:rsidRDefault="00985AA2" w:rsidP="00824C55">
      <w:pPr>
        <w:spacing w:after="0" w:line="240" w:lineRule="auto"/>
      </w:pPr>
      <w:r>
        <w:separator/>
      </w:r>
    </w:p>
  </w:footnote>
  <w:footnote w:type="continuationSeparator" w:id="0">
    <w:p w14:paraId="6EF2FC66" w14:textId="77777777" w:rsidR="00985AA2" w:rsidRDefault="00985AA2" w:rsidP="00824C55">
      <w:pPr>
        <w:spacing w:after="0" w:line="240" w:lineRule="auto"/>
      </w:pPr>
      <w:r>
        <w:continuationSeparator/>
      </w:r>
    </w:p>
  </w:footnote>
  <w:footnote w:id="1">
    <w:p w14:paraId="22342A8C" w14:textId="7378AEC3" w:rsidR="00824C55" w:rsidRPr="00CD5747" w:rsidRDefault="00824C55">
      <w:pPr>
        <w:pStyle w:val="FootnoteText"/>
        <w:rPr>
          <w:lang w:val="de-DE"/>
        </w:rPr>
      </w:pPr>
      <w:r>
        <w:rPr>
          <w:rStyle w:val="FootnoteReference"/>
        </w:rPr>
        <w:footnoteRef/>
      </w:r>
      <w:r>
        <w:t xml:space="preserve"> Fredrick II the Great. </w:t>
      </w:r>
      <w:r w:rsidRPr="00893F3F">
        <w:rPr>
          <w:i/>
        </w:rPr>
        <w:t>The first servant of the state</w:t>
      </w:r>
      <w:r>
        <w:t xml:space="preserve">. </w:t>
      </w:r>
      <w:r w:rsidRPr="00CD5747">
        <w:rPr>
          <w:lang w:val="de-DE"/>
        </w:rPr>
        <w:t>1752.</w:t>
      </w:r>
    </w:p>
  </w:footnote>
  <w:footnote w:id="2">
    <w:p w14:paraId="46B3DC05" w14:textId="3779082F" w:rsidR="00C51C00" w:rsidRDefault="00C51C00">
      <w:pPr>
        <w:pStyle w:val="FootnoteText"/>
      </w:pPr>
      <w:r>
        <w:rPr>
          <w:rStyle w:val="FootnoteReference"/>
        </w:rPr>
        <w:footnoteRef/>
      </w:r>
      <w:r w:rsidRPr="00142F67">
        <w:rPr>
          <w:lang w:val="de-DE"/>
        </w:rPr>
        <w:t xml:space="preserve"> Sieghart von Arnim Aus dem Deutschen Adelsarchiv . </w:t>
      </w:r>
      <w:r>
        <w:t>2005</w:t>
      </w:r>
    </w:p>
  </w:footnote>
  <w:footnote w:id="3">
    <w:p w14:paraId="4592BB40" w14:textId="7D4C5089" w:rsidR="00893F3F" w:rsidRDefault="00893F3F">
      <w:pPr>
        <w:pStyle w:val="FootnoteText"/>
      </w:pPr>
      <w:r>
        <w:rPr>
          <w:rStyle w:val="FootnoteReference"/>
        </w:rPr>
        <w:footnoteRef/>
      </w:r>
      <w:r>
        <w:t xml:space="preserve"> </w:t>
      </w:r>
      <w:r w:rsidRPr="00893F3F">
        <w:t xml:space="preserve">Fredrick II the Great. </w:t>
      </w:r>
      <w:r w:rsidRPr="00893F3F">
        <w:rPr>
          <w:i/>
        </w:rPr>
        <w:t>The first servant of the state</w:t>
      </w:r>
      <w:r w:rsidRPr="00893F3F">
        <w:t>. 1752</w:t>
      </w:r>
      <w:r>
        <w:t>.</w:t>
      </w:r>
    </w:p>
  </w:footnote>
  <w:footnote w:id="4">
    <w:p w14:paraId="0032353C" w14:textId="30248826" w:rsidR="00EE46E0" w:rsidRDefault="00EE46E0">
      <w:pPr>
        <w:pStyle w:val="FootnoteText"/>
      </w:pPr>
      <w:r>
        <w:rPr>
          <w:rStyle w:val="FootnoteReference"/>
        </w:rPr>
        <w:footnoteRef/>
      </w:r>
      <w:r>
        <w:t xml:space="preserve"> History World. </w:t>
      </w:r>
      <w:r w:rsidRPr="00EE46E0">
        <w:rPr>
          <w:i/>
        </w:rPr>
        <w:t>History of Prussia</w:t>
      </w:r>
      <w:r>
        <w:t xml:space="preserve">. </w:t>
      </w:r>
      <w:hyperlink r:id="rId1" w:history="1">
        <w:r w:rsidRPr="004814A4">
          <w:rPr>
            <w:rStyle w:val="Hyperlink"/>
          </w:rPr>
          <w:t>http://www.historyworld.net/wrldhis/PlainTextHistories.asp?ParagraphID=iww</w:t>
        </w:r>
      </w:hyperlink>
      <w:r>
        <w:t xml:space="preserve"> . published N/A. [Last accessed 05/10/2018].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F06"/>
    <w:rsid w:val="00040F37"/>
    <w:rsid w:val="000533A4"/>
    <w:rsid w:val="00063A1B"/>
    <w:rsid w:val="000B3722"/>
    <w:rsid w:val="000C16C7"/>
    <w:rsid w:val="0010289C"/>
    <w:rsid w:val="00110090"/>
    <w:rsid w:val="001242B0"/>
    <w:rsid w:val="00130C34"/>
    <w:rsid w:val="00142F67"/>
    <w:rsid w:val="00143E1F"/>
    <w:rsid w:val="0014675C"/>
    <w:rsid w:val="00155455"/>
    <w:rsid w:val="00183971"/>
    <w:rsid w:val="00203DD4"/>
    <w:rsid w:val="00206CD1"/>
    <w:rsid w:val="0021090A"/>
    <w:rsid w:val="00244708"/>
    <w:rsid w:val="00266E9F"/>
    <w:rsid w:val="002B428B"/>
    <w:rsid w:val="002B4FA3"/>
    <w:rsid w:val="002D39EA"/>
    <w:rsid w:val="002F28B3"/>
    <w:rsid w:val="00306ABE"/>
    <w:rsid w:val="00326D45"/>
    <w:rsid w:val="00336A82"/>
    <w:rsid w:val="0034294F"/>
    <w:rsid w:val="00345940"/>
    <w:rsid w:val="0037712F"/>
    <w:rsid w:val="00377A56"/>
    <w:rsid w:val="003C0EFC"/>
    <w:rsid w:val="003C64F2"/>
    <w:rsid w:val="003E4B0D"/>
    <w:rsid w:val="00424217"/>
    <w:rsid w:val="00493F6A"/>
    <w:rsid w:val="004B3B0A"/>
    <w:rsid w:val="004B77BF"/>
    <w:rsid w:val="004D716D"/>
    <w:rsid w:val="004F343C"/>
    <w:rsid w:val="00501E31"/>
    <w:rsid w:val="00505B03"/>
    <w:rsid w:val="005432BE"/>
    <w:rsid w:val="00546C59"/>
    <w:rsid w:val="0059361E"/>
    <w:rsid w:val="005A11CB"/>
    <w:rsid w:val="005B3BE1"/>
    <w:rsid w:val="00612BF5"/>
    <w:rsid w:val="00666CD0"/>
    <w:rsid w:val="00685F06"/>
    <w:rsid w:val="00686B4B"/>
    <w:rsid w:val="006A34E3"/>
    <w:rsid w:val="006C44B8"/>
    <w:rsid w:val="006D237A"/>
    <w:rsid w:val="006D40CD"/>
    <w:rsid w:val="00705E14"/>
    <w:rsid w:val="00735F3D"/>
    <w:rsid w:val="007477E5"/>
    <w:rsid w:val="007717C7"/>
    <w:rsid w:val="007755C6"/>
    <w:rsid w:val="00784DE5"/>
    <w:rsid w:val="007B3041"/>
    <w:rsid w:val="007D0239"/>
    <w:rsid w:val="007F54FF"/>
    <w:rsid w:val="00824C55"/>
    <w:rsid w:val="00884746"/>
    <w:rsid w:val="008936EA"/>
    <w:rsid w:val="00893F3F"/>
    <w:rsid w:val="008C1C18"/>
    <w:rsid w:val="008D17A6"/>
    <w:rsid w:val="008F19B6"/>
    <w:rsid w:val="00913302"/>
    <w:rsid w:val="0094701A"/>
    <w:rsid w:val="00985AA2"/>
    <w:rsid w:val="009931C7"/>
    <w:rsid w:val="00995CDD"/>
    <w:rsid w:val="009A13FE"/>
    <w:rsid w:val="009A6021"/>
    <w:rsid w:val="009B1303"/>
    <w:rsid w:val="00A107FF"/>
    <w:rsid w:val="00A63E2A"/>
    <w:rsid w:val="00A71FD8"/>
    <w:rsid w:val="00A760ED"/>
    <w:rsid w:val="00A76C50"/>
    <w:rsid w:val="00A900A1"/>
    <w:rsid w:val="00AB24C8"/>
    <w:rsid w:val="00AE1344"/>
    <w:rsid w:val="00AE7980"/>
    <w:rsid w:val="00B22C94"/>
    <w:rsid w:val="00B64F93"/>
    <w:rsid w:val="00B71B6F"/>
    <w:rsid w:val="00BA289C"/>
    <w:rsid w:val="00BC3E78"/>
    <w:rsid w:val="00BE0CD0"/>
    <w:rsid w:val="00BE1B22"/>
    <w:rsid w:val="00C202DE"/>
    <w:rsid w:val="00C3053B"/>
    <w:rsid w:val="00C51C00"/>
    <w:rsid w:val="00C80C97"/>
    <w:rsid w:val="00C842F3"/>
    <w:rsid w:val="00CB5B89"/>
    <w:rsid w:val="00CD5747"/>
    <w:rsid w:val="00CE5F35"/>
    <w:rsid w:val="00CF2483"/>
    <w:rsid w:val="00CF5368"/>
    <w:rsid w:val="00D56F21"/>
    <w:rsid w:val="00D80BF7"/>
    <w:rsid w:val="00DD7115"/>
    <w:rsid w:val="00DF14B5"/>
    <w:rsid w:val="00E152A0"/>
    <w:rsid w:val="00E20094"/>
    <w:rsid w:val="00E51B77"/>
    <w:rsid w:val="00E62E31"/>
    <w:rsid w:val="00E62E84"/>
    <w:rsid w:val="00EB2B7D"/>
    <w:rsid w:val="00EC4B79"/>
    <w:rsid w:val="00EE46E0"/>
    <w:rsid w:val="00F13B59"/>
    <w:rsid w:val="00F529AD"/>
    <w:rsid w:val="00F5640A"/>
    <w:rsid w:val="00F61D53"/>
    <w:rsid w:val="00FB5C43"/>
    <w:rsid w:val="00FB6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A2056"/>
  <w15:docId w15:val="{C06ABBF9-0780-4EE0-85CC-F21979084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24C5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4C55"/>
    <w:rPr>
      <w:sz w:val="20"/>
      <w:szCs w:val="20"/>
    </w:rPr>
  </w:style>
  <w:style w:type="character" w:styleId="FootnoteReference">
    <w:name w:val="footnote reference"/>
    <w:basedOn w:val="DefaultParagraphFont"/>
    <w:uiPriority w:val="99"/>
    <w:semiHidden/>
    <w:unhideWhenUsed/>
    <w:rsid w:val="00824C55"/>
    <w:rPr>
      <w:vertAlign w:val="superscript"/>
    </w:rPr>
  </w:style>
  <w:style w:type="character" w:styleId="Hyperlink">
    <w:name w:val="Hyperlink"/>
    <w:basedOn w:val="DefaultParagraphFont"/>
    <w:uiPriority w:val="99"/>
    <w:unhideWhenUsed/>
    <w:rsid w:val="00EE46E0"/>
    <w:rPr>
      <w:color w:val="0563C1" w:themeColor="hyperlink"/>
      <w:u w:val="single"/>
    </w:rPr>
  </w:style>
  <w:style w:type="character" w:customStyle="1" w:styleId="UnresolvedMention1">
    <w:name w:val="Unresolved Mention1"/>
    <w:basedOn w:val="DefaultParagraphFont"/>
    <w:uiPriority w:val="99"/>
    <w:semiHidden/>
    <w:unhideWhenUsed/>
    <w:rsid w:val="00EE46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historyworld.net/wrldhis/PlainTextHistories.asp?ParagraphID=iw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8D24A-64E1-42DA-97CC-A52B2D73F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4</Pages>
  <Words>2080</Words>
  <Characters>11857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malim</dc:creator>
  <cp:lastModifiedBy>hugo malim</cp:lastModifiedBy>
  <cp:revision>19</cp:revision>
  <dcterms:created xsi:type="dcterms:W3CDTF">2018-10-10T11:03:00Z</dcterms:created>
  <dcterms:modified xsi:type="dcterms:W3CDTF">2018-10-11T13:47:00Z</dcterms:modified>
</cp:coreProperties>
</file>