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50B64" w14:textId="77777777" w:rsidR="00B774A4" w:rsidRDefault="00B774A4" w:rsidP="00B774A4">
      <w:r>
        <w:t>Stephen Hadley</w:t>
      </w:r>
    </w:p>
    <w:p w14:paraId="0AEC1BB2" w14:textId="4212D35E" w:rsidR="00B774A4" w:rsidRDefault="00B774A4" w:rsidP="00B774A4">
      <w:r>
        <w:t>1709675</w:t>
      </w:r>
    </w:p>
    <w:p w14:paraId="5777BAB1" w14:textId="77777777" w:rsidR="00B774A4" w:rsidRDefault="00B774A4" w:rsidP="00400C7B"/>
    <w:p w14:paraId="607FB2AE" w14:textId="55828318" w:rsidR="0036550C" w:rsidRDefault="00D426C7" w:rsidP="00400C7B">
      <w:r>
        <w:t>Part 1: A critical analysis of a journal article</w:t>
      </w:r>
    </w:p>
    <w:p w14:paraId="424E79F1" w14:textId="2E0C76AC" w:rsidR="00D426C7" w:rsidRPr="00D426C7" w:rsidRDefault="00D426C7" w:rsidP="00804D4A">
      <w:pPr>
        <w:rPr>
          <w:b/>
        </w:rPr>
      </w:pPr>
      <w:r w:rsidRPr="00D426C7">
        <w:rPr>
          <w:b/>
        </w:rPr>
        <w:t>Extending the teacher educator role: developing tools for working with school mentors.</w:t>
      </w:r>
    </w:p>
    <w:p w14:paraId="2F316EAB" w14:textId="6268ED66" w:rsidR="00D426C7" w:rsidRDefault="00D426C7" w:rsidP="00804D4A">
      <w:proofErr w:type="spellStart"/>
      <w:r>
        <w:t>Alaster</w:t>
      </w:r>
      <w:proofErr w:type="spellEnd"/>
      <w:r>
        <w:t xml:space="preserve"> Scott Douglas, School of Education, University of Rockhampton, 2016.</w:t>
      </w:r>
    </w:p>
    <w:p w14:paraId="6E685178" w14:textId="77777777" w:rsidR="00C433B7" w:rsidRDefault="00C433B7" w:rsidP="00804D4A"/>
    <w:p w14:paraId="230C7005" w14:textId="197ECCA8" w:rsidR="00804D4A" w:rsidRDefault="00804D4A" w:rsidP="00A87105">
      <w:pPr>
        <w:spacing w:after="0" w:line="360" w:lineRule="auto"/>
      </w:pPr>
      <w:r>
        <w:t xml:space="preserve">This research paper aims to examine the ways in which </w:t>
      </w:r>
      <w:r w:rsidR="004170EE">
        <w:t>university-based</w:t>
      </w:r>
      <w:r>
        <w:t xml:space="preserve"> teacher educators work with </w:t>
      </w:r>
      <w:r w:rsidR="002C06E5">
        <w:t>school-based</w:t>
      </w:r>
      <w:r>
        <w:t xml:space="preserve"> mentors. This research was provoked by changes to </w:t>
      </w:r>
      <w:r w:rsidR="00E75BB5">
        <w:t>e</w:t>
      </w:r>
      <w:r>
        <w:t xml:space="preserve">ducation policy in England and a fear that teacher </w:t>
      </w:r>
      <w:r w:rsidR="008072F1">
        <w:t>educators</w:t>
      </w:r>
      <w:r w:rsidR="00AF578D">
        <w:t>’</w:t>
      </w:r>
      <w:r>
        <w:t xml:space="preserve"> experience and knowledge</w:t>
      </w:r>
      <w:r w:rsidR="008072F1">
        <w:t xml:space="preserve"> in working with and developing mentoring</w:t>
      </w:r>
      <w:r w:rsidR="00020AB9">
        <w:t xml:space="preserve"> and </w:t>
      </w:r>
      <w:r w:rsidR="00E75BB5">
        <w:t>coaching</w:t>
      </w:r>
      <w:r w:rsidR="00020AB9">
        <w:t xml:space="preserve"> </w:t>
      </w:r>
      <w:r w:rsidR="008072F1">
        <w:t>in schools</w:t>
      </w:r>
      <w:r>
        <w:t xml:space="preserve"> could be marginalised</w:t>
      </w:r>
      <w:r w:rsidR="00020AB9">
        <w:t xml:space="preserve"> with suggested changes to the ways in which teachers can be trained. Th</w:t>
      </w:r>
      <w:r w:rsidR="00905EA0">
        <w:t>is</w:t>
      </w:r>
      <w:r w:rsidR="00020AB9">
        <w:t xml:space="preserve"> research</w:t>
      </w:r>
      <w:r w:rsidR="00905EA0">
        <w:t xml:space="preserve"> paper</w:t>
      </w:r>
      <w:r w:rsidR="00020AB9">
        <w:t xml:space="preserve"> </w:t>
      </w:r>
      <w:r w:rsidR="00E75BB5">
        <w:t xml:space="preserve">has </w:t>
      </w:r>
      <w:r w:rsidR="00020AB9">
        <w:t>identifi</w:t>
      </w:r>
      <w:r w:rsidR="00905EA0">
        <w:t>ed</w:t>
      </w:r>
      <w:r w:rsidR="00020AB9">
        <w:t xml:space="preserve"> </w:t>
      </w:r>
      <w:r w:rsidR="004170EE">
        <w:t>three</w:t>
      </w:r>
      <w:r w:rsidR="00020AB9">
        <w:t xml:space="preserve"> tools that </w:t>
      </w:r>
      <w:r w:rsidR="00220881">
        <w:t xml:space="preserve">are beneficial in </w:t>
      </w:r>
      <w:r w:rsidR="00020AB9">
        <w:t>work</w:t>
      </w:r>
      <w:r w:rsidR="00220881">
        <w:t>ing</w:t>
      </w:r>
      <w:r w:rsidR="00020AB9">
        <w:t xml:space="preserve"> with </w:t>
      </w:r>
      <w:r w:rsidR="00FA6E23">
        <w:t>school-based</w:t>
      </w:r>
      <w:r w:rsidR="00020AB9">
        <w:t xml:space="preserve"> mentors</w:t>
      </w:r>
      <w:r w:rsidR="00220881">
        <w:t>.</w:t>
      </w:r>
      <w:r w:rsidR="00020AB9">
        <w:t xml:space="preserve"> It is hoped that th</w:t>
      </w:r>
      <w:r w:rsidR="00220881">
        <w:t>e finding</w:t>
      </w:r>
      <w:r w:rsidR="00905EA0">
        <w:t>s</w:t>
      </w:r>
      <w:r w:rsidR="00220881">
        <w:t xml:space="preserve"> of the research</w:t>
      </w:r>
      <w:r w:rsidR="00905EA0">
        <w:t>,</w:t>
      </w:r>
      <w:r w:rsidR="00220881">
        <w:t xml:space="preserve"> and in particular the</w:t>
      </w:r>
      <w:r w:rsidR="00020AB9">
        <w:t xml:space="preserve"> </w:t>
      </w:r>
      <w:r w:rsidR="00905EA0">
        <w:t xml:space="preserve">focus on the tools, </w:t>
      </w:r>
      <w:r w:rsidR="00020AB9">
        <w:t>will assist in the challenge</w:t>
      </w:r>
      <w:r w:rsidR="00C433B7">
        <w:t>s</w:t>
      </w:r>
      <w:r w:rsidR="00020AB9">
        <w:t xml:space="preserve"> ahead ensur</w:t>
      </w:r>
      <w:r w:rsidR="00C433B7">
        <w:t>ing</w:t>
      </w:r>
      <w:r w:rsidR="00020AB9">
        <w:t xml:space="preserve"> clarity in </w:t>
      </w:r>
      <w:r w:rsidR="0035443A">
        <w:t>the training</w:t>
      </w:r>
      <w:r w:rsidR="00E75BB5">
        <w:t>, mentoring</w:t>
      </w:r>
      <w:r w:rsidR="0035443A">
        <w:t xml:space="preserve"> and development of teacher educators</w:t>
      </w:r>
      <w:r w:rsidR="00E75BB5">
        <w:t>.</w:t>
      </w:r>
      <w:r w:rsidR="00D426C7">
        <w:t xml:space="preserve"> Although this aim is clear from the title of the paper</w:t>
      </w:r>
      <w:r w:rsidR="00C433B7">
        <w:t>,</w:t>
      </w:r>
      <w:r w:rsidR="00D426C7">
        <w:t xml:space="preserve"> it must be stated that this forms </w:t>
      </w:r>
      <w:r w:rsidR="00C433B7">
        <w:t>part</w:t>
      </w:r>
      <w:r w:rsidR="00D426C7">
        <w:t xml:space="preserve"> of the paper, with arguably to</w:t>
      </w:r>
      <w:r w:rsidR="004C0D02">
        <w:t>o</w:t>
      </w:r>
      <w:r w:rsidR="00D426C7">
        <w:t xml:space="preserve"> much focus given to the re</w:t>
      </w:r>
      <w:r w:rsidR="004C0D02">
        <w:t>actions</w:t>
      </w:r>
      <w:r w:rsidR="00D426C7">
        <w:t xml:space="preserve"> to the changes in teachers</w:t>
      </w:r>
      <w:r w:rsidR="00AF578D">
        <w:t>’</w:t>
      </w:r>
      <w:r w:rsidR="00D426C7">
        <w:t xml:space="preserve"> education</w:t>
      </w:r>
      <w:r w:rsidR="00C433B7">
        <w:t xml:space="preserve">. Not </w:t>
      </w:r>
      <w:r w:rsidR="004C0D02">
        <w:t>enough</w:t>
      </w:r>
      <w:r w:rsidR="00C433B7">
        <w:t xml:space="preserve"> attention is given</w:t>
      </w:r>
      <w:r w:rsidR="004C0D02">
        <w:t xml:space="preserve"> to working with mentors. Thus, the title of the research is</w:t>
      </w:r>
      <w:r w:rsidR="00905EA0">
        <w:t xml:space="preserve"> slightly</w:t>
      </w:r>
      <w:r w:rsidR="004C0D02">
        <w:t xml:space="preserve"> misleading.</w:t>
      </w:r>
      <w:r w:rsidR="007E4F26">
        <w:t xml:space="preserve"> Furthermore, there appears to be a disconnect between the abstract and the areas of focus in the research paper.</w:t>
      </w:r>
    </w:p>
    <w:p w14:paraId="307DFCCF" w14:textId="77777777" w:rsidR="00A87105" w:rsidRDefault="00A87105" w:rsidP="00A87105">
      <w:pPr>
        <w:spacing w:after="0" w:line="360" w:lineRule="auto"/>
      </w:pPr>
    </w:p>
    <w:p w14:paraId="76BFFD0C" w14:textId="3FFE4A8D" w:rsidR="00B938CC" w:rsidRDefault="0035443A" w:rsidP="00A87105">
      <w:pPr>
        <w:spacing w:after="0" w:line="360" w:lineRule="auto"/>
      </w:pPr>
      <w:r>
        <w:t>This research paper looks to address the anticipated issue</w:t>
      </w:r>
      <w:r w:rsidR="007D1AA5">
        <w:t>s</w:t>
      </w:r>
      <w:r>
        <w:t xml:space="preserve"> that will </w:t>
      </w:r>
      <w:r w:rsidR="007D1AA5">
        <w:t xml:space="preserve">arise </w:t>
      </w:r>
      <w:r>
        <w:t xml:space="preserve">with the changing context </w:t>
      </w:r>
      <w:r w:rsidR="007D1AA5">
        <w:t xml:space="preserve">surrounding the </w:t>
      </w:r>
      <w:r>
        <w:t xml:space="preserve">role of teacher educator. </w:t>
      </w:r>
      <w:r w:rsidR="00461D7D">
        <w:t xml:space="preserve">It started with a </w:t>
      </w:r>
      <w:r w:rsidR="00400C7B">
        <w:t>one-year</w:t>
      </w:r>
      <w:r w:rsidR="00461D7D">
        <w:t xml:space="preserve"> ethnographic study with interviews and observation</w:t>
      </w:r>
      <w:r w:rsidR="00905EA0">
        <w:t xml:space="preserve">. </w:t>
      </w:r>
      <w:r w:rsidR="00461D7D">
        <w:t>It was followed up nine years later with in- depth interviews that focused on the changes that had occurred since the initial interviews and observation</w:t>
      </w:r>
      <w:r w:rsidR="004170EE">
        <w:t>.</w:t>
      </w:r>
      <w:r w:rsidR="00BC395A">
        <w:t xml:space="preserve"> T</w:t>
      </w:r>
      <w:r w:rsidR="00F70710">
        <w:t xml:space="preserve">he two research questions </w:t>
      </w:r>
      <w:r w:rsidR="00AD1709">
        <w:t>used</w:t>
      </w:r>
      <w:r w:rsidR="00F70710">
        <w:t xml:space="preserve"> were</w:t>
      </w:r>
      <w:r w:rsidR="00462320">
        <w:t xml:space="preserve"> </w:t>
      </w:r>
      <w:r w:rsidR="00A87105">
        <w:t>–</w:t>
      </w:r>
    </w:p>
    <w:p w14:paraId="4E44C536" w14:textId="77777777" w:rsidR="00A87105" w:rsidRDefault="00A87105" w:rsidP="00A87105">
      <w:pPr>
        <w:spacing w:after="0" w:line="360" w:lineRule="auto"/>
      </w:pPr>
    </w:p>
    <w:p w14:paraId="24C9687B" w14:textId="0F6288F3" w:rsidR="00F70710" w:rsidRPr="00E75BB5" w:rsidRDefault="00F70710" w:rsidP="00A87105">
      <w:pPr>
        <w:spacing w:after="0" w:line="360" w:lineRule="auto"/>
        <w:rPr>
          <w:i/>
        </w:rPr>
      </w:pPr>
      <w:r w:rsidRPr="00E75BB5">
        <w:rPr>
          <w:i/>
        </w:rPr>
        <w:t>How do you reflect on the changing nature of teacher educators</w:t>
      </w:r>
      <w:r w:rsidR="00AF578D">
        <w:rPr>
          <w:i/>
        </w:rPr>
        <w:t>’</w:t>
      </w:r>
      <w:r w:rsidRPr="00E75BB5">
        <w:rPr>
          <w:i/>
        </w:rPr>
        <w:t xml:space="preserve"> role in school in relation to your own experiences in supporting school mentors?</w:t>
      </w:r>
    </w:p>
    <w:p w14:paraId="5DCD65D9" w14:textId="60FD7443" w:rsidR="00F70710" w:rsidRDefault="00F70710" w:rsidP="00A87105">
      <w:pPr>
        <w:spacing w:after="0" w:line="360" w:lineRule="auto"/>
        <w:rPr>
          <w:i/>
        </w:rPr>
      </w:pPr>
      <w:r w:rsidRPr="00E75BB5">
        <w:rPr>
          <w:i/>
        </w:rPr>
        <w:t>In your current experience of working with school mentors, how do you encourage a research-informed</w:t>
      </w:r>
      <w:r w:rsidR="00C52788" w:rsidRPr="00E75BB5">
        <w:rPr>
          <w:i/>
        </w:rPr>
        <w:t xml:space="preserve"> approach to critical theory</w:t>
      </w:r>
      <w:r w:rsidR="00E75BB5">
        <w:rPr>
          <w:i/>
        </w:rPr>
        <w:t>?</w:t>
      </w:r>
    </w:p>
    <w:p w14:paraId="76621477" w14:textId="77777777" w:rsidR="00A87105" w:rsidRPr="00E75BB5" w:rsidRDefault="00A87105" w:rsidP="00A87105">
      <w:pPr>
        <w:spacing w:after="0" w:line="360" w:lineRule="auto"/>
        <w:rPr>
          <w:i/>
        </w:rPr>
      </w:pPr>
    </w:p>
    <w:p w14:paraId="3D5560E1" w14:textId="54BFE820" w:rsidR="00CB7B33" w:rsidRDefault="00F04A9E" w:rsidP="00A87105">
      <w:pPr>
        <w:spacing w:after="0" w:line="360" w:lineRule="auto"/>
      </w:pPr>
      <w:r>
        <w:t>The rese</w:t>
      </w:r>
      <w:r w:rsidR="00A22F65">
        <w:t xml:space="preserve">arch is set in the context of structural shifts in teacher </w:t>
      </w:r>
      <w:r w:rsidR="00D2334C">
        <w:t>education</w:t>
      </w:r>
      <w:r w:rsidR="00461D7D">
        <w:t xml:space="preserve"> and the changing nature of the teacher education role</w:t>
      </w:r>
      <w:r w:rsidR="00D2334C">
        <w:t xml:space="preserve"> and</w:t>
      </w:r>
      <w:r w:rsidR="00A22F65">
        <w:t xml:space="preserve"> the impact on </w:t>
      </w:r>
      <w:r w:rsidR="00D2334C">
        <w:t xml:space="preserve">mentoring in schools. </w:t>
      </w:r>
      <w:r w:rsidR="00D2334C" w:rsidRPr="00D2334C">
        <w:t>It focuses on the perceived marginalisation of the traditional academic teacher educator</w:t>
      </w:r>
      <w:r w:rsidR="00D2334C">
        <w:t xml:space="preserve"> in England</w:t>
      </w:r>
      <w:r w:rsidR="00461D7D">
        <w:t xml:space="preserve"> with the shift of </w:t>
      </w:r>
      <w:r w:rsidR="00FA1A18">
        <w:t>emphasis</w:t>
      </w:r>
      <w:r w:rsidR="00461D7D">
        <w:t xml:space="preserve"> </w:t>
      </w:r>
      <w:r w:rsidR="00461D7D">
        <w:lastRenderedPageBreak/>
        <w:t>from the university to the school setting.</w:t>
      </w:r>
      <w:r w:rsidR="00FA1A18">
        <w:t xml:space="preserve"> The school direct programme is offered as example of the new routes into the teaching profession. </w:t>
      </w:r>
      <w:r w:rsidR="00905EA0">
        <w:t>Furthermore, t</w:t>
      </w:r>
      <w:r w:rsidR="00FA1A18">
        <w:t>he lack of training opportunities is also highlighted</w:t>
      </w:r>
      <w:r w:rsidR="00FA6E23">
        <w:t xml:space="preserve"> as an issue and </w:t>
      </w:r>
      <w:r w:rsidR="00905EA0">
        <w:t xml:space="preserve">its </w:t>
      </w:r>
      <w:r w:rsidR="00FA6E23">
        <w:t>detrimental effect on the quality and effectiveness of mentoring.</w:t>
      </w:r>
      <w:r w:rsidR="0014376B">
        <w:t xml:space="preserve"> There is an attempt to place t</w:t>
      </w:r>
      <w:r w:rsidR="00FA1A18">
        <w:t xml:space="preserve">he changing nature of the teacher educator </w:t>
      </w:r>
      <w:r w:rsidR="0014376B">
        <w:t>in</w:t>
      </w:r>
      <w:r w:rsidR="00D2334C">
        <w:t xml:space="preserve"> a wider context</w:t>
      </w:r>
      <w:r w:rsidR="00FA6E23">
        <w:t xml:space="preserve"> by identifying similar issues in the U</w:t>
      </w:r>
      <w:r w:rsidR="0014376B">
        <w:t xml:space="preserve">nited </w:t>
      </w:r>
      <w:r w:rsidR="00FA6E23">
        <w:t>S</w:t>
      </w:r>
      <w:r w:rsidR="0014376B">
        <w:t>tates,</w:t>
      </w:r>
      <w:r w:rsidR="0069292F">
        <w:t xml:space="preserve"> Belgium and The Netherlands.</w:t>
      </w:r>
    </w:p>
    <w:p w14:paraId="6138F435" w14:textId="77777777" w:rsidR="00A87105" w:rsidRDefault="00A87105" w:rsidP="00A87105">
      <w:pPr>
        <w:spacing w:after="0" w:line="360" w:lineRule="auto"/>
      </w:pPr>
    </w:p>
    <w:p w14:paraId="582B03D7" w14:textId="51238368" w:rsidR="00D2334C" w:rsidRDefault="00D2334C" w:rsidP="00A87105">
      <w:pPr>
        <w:spacing w:after="0" w:line="360" w:lineRule="auto"/>
      </w:pPr>
      <w:r>
        <w:t>The sample</w:t>
      </w:r>
      <w:r w:rsidR="0014376B">
        <w:t xml:space="preserve"> </w:t>
      </w:r>
      <w:r w:rsidR="00905EA0">
        <w:t>i</w:t>
      </w:r>
      <w:r>
        <w:t xml:space="preserve">s </w:t>
      </w:r>
      <w:r w:rsidR="00CF0745">
        <w:t>four</w:t>
      </w:r>
      <w:r>
        <w:t xml:space="preserve"> teacher educators who were interviewed </w:t>
      </w:r>
      <w:r w:rsidR="00461D7D">
        <w:t xml:space="preserve">over a </w:t>
      </w:r>
      <w:r w:rsidR="00730F1A">
        <w:t>nine-year</w:t>
      </w:r>
      <w:r w:rsidR="00461D7D">
        <w:t xml:space="preserve"> period. In the first year of the research the participant</w:t>
      </w:r>
      <w:r w:rsidR="00905EA0">
        <w:t>s</w:t>
      </w:r>
      <w:r w:rsidR="00461D7D">
        <w:t xml:space="preserve"> were interview</w:t>
      </w:r>
      <w:r w:rsidR="00AF578D">
        <w:t>ed</w:t>
      </w:r>
      <w:r w:rsidR="00461D7D">
        <w:t xml:space="preserve"> twice and observed in their school setting.</w:t>
      </w:r>
      <w:r w:rsidR="00FA1A18">
        <w:t xml:space="preserve"> The same 4 teacher educators were interviewed nine years later.</w:t>
      </w:r>
      <w:r w:rsidR="002C06E5">
        <w:t xml:space="preserve"> I</w:t>
      </w:r>
      <w:r w:rsidR="00E75BB5">
        <w:t>t</w:t>
      </w:r>
      <w:r w:rsidR="002C06E5">
        <w:t xml:space="preserve"> was important to </w:t>
      </w:r>
      <w:r w:rsidR="00753382">
        <w:t>maintain</w:t>
      </w:r>
      <w:r w:rsidR="002C06E5">
        <w:t xml:space="preserve"> the same sample size over the </w:t>
      </w:r>
      <w:r w:rsidR="00753382">
        <w:t>nine-year</w:t>
      </w:r>
      <w:r w:rsidR="002C06E5">
        <w:t xml:space="preserve"> period between the first and the </w:t>
      </w:r>
      <w:r w:rsidR="00753382">
        <w:t>final interview</w:t>
      </w:r>
      <w:r w:rsidR="00A87105">
        <w:t xml:space="preserve"> as this strengthens reliability in a longitudinal study.</w:t>
      </w:r>
      <w:r w:rsidR="00AF578D">
        <w:t xml:space="preserve"> </w:t>
      </w:r>
      <w:r w:rsidR="00753382">
        <w:t>It can be argued that the sample size could benefit from being slight larger, giving a larger range of experiences</w:t>
      </w:r>
      <w:r w:rsidR="00905EA0">
        <w:t>.</w:t>
      </w:r>
    </w:p>
    <w:p w14:paraId="5A74FAA1" w14:textId="77777777" w:rsidR="00A87105" w:rsidRDefault="00A87105" w:rsidP="00A87105">
      <w:pPr>
        <w:spacing w:after="0" w:line="360" w:lineRule="auto"/>
      </w:pPr>
    </w:p>
    <w:p w14:paraId="4D5D1EEE" w14:textId="06CDD7E8" w:rsidR="004C0D02" w:rsidRDefault="00905EA0" w:rsidP="00A87105">
      <w:pPr>
        <w:spacing w:after="0" w:line="360" w:lineRule="auto"/>
      </w:pPr>
      <w:r>
        <w:t>E</w:t>
      </w:r>
      <w:r w:rsidR="00730F1A">
        <w:t xml:space="preserve">thical issues </w:t>
      </w:r>
      <w:r w:rsidR="004C0D02">
        <w:t>are</w:t>
      </w:r>
      <w:r>
        <w:t xml:space="preserve"> partially</w:t>
      </w:r>
      <w:r w:rsidR="004C0D02">
        <w:t xml:space="preserve"> identified and explored. One method used</w:t>
      </w:r>
      <w:r w:rsidR="00AA7D5E">
        <w:t xml:space="preserve"> to address ethics was</w:t>
      </w:r>
      <w:r w:rsidR="00730F1A">
        <w:t xml:space="preserve"> </w:t>
      </w:r>
      <w:r w:rsidR="00FF0054">
        <w:t>informed consent procedures which aimed to minimise negative and personal consequences. As a result, participant</w:t>
      </w:r>
      <w:r w:rsidR="00E75BB5">
        <w:t>s</w:t>
      </w:r>
      <w:r w:rsidR="00FF0054">
        <w:t xml:space="preserve"> were allowed to assess the risks of their involvement. This approach was reinforced by </w:t>
      </w:r>
      <w:r w:rsidR="00BC395A">
        <w:t>using</w:t>
      </w:r>
      <w:r w:rsidR="00FF0054">
        <w:t xml:space="preserve"> reminders drawing attention to the fact that dialogue was being recorded.</w:t>
      </w:r>
      <w:r w:rsidR="00344BB8">
        <w:t xml:space="preserve"> </w:t>
      </w:r>
      <w:r w:rsidR="00462320">
        <w:t xml:space="preserve">Confidentiality and anonymity were </w:t>
      </w:r>
      <w:r w:rsidR="00E75BB5">
        <w:t>assured</w:t>
      </w:r>
      <w:r w:rsidR="00462320">
        <w:t xml:space="preserve">. </w:t>
      </w:r>
      <w:r w:rsidR="00344BB8">
        <w:t xml:space="preserve">By stressing the confidentiality of the </w:t>
      </w:r>
      <w:r w:rsidR="0001036E">
        <w:t>process,</w:t>
      </w:r>
      <w:r w:rsidR="00344BB8">
        <w:t xml:space="preserve"> </w:t>
      </w:r>
      <w:r w:rsidR="00462320">
        <w:t xml:space="preserve">it was hoped that </w:t>
      </w:r>
      <w:r w:rsidR="00E75BB5">
        <w:t>the interviewees would feel a sense of</w:t>
      </w:r>
      <w:r w:rsidR="00462320">
        <w:t xml:space="preserve"> empowerment and trust </w:t>
      </w:r>
      <w:r w:rsidR="00E75BB5">
        <w:t>lead</w:t>
      </w:r>
      <w:r w:rsidR="00AA7D5E">
        <w:t>ing</w:t>
      </w:r>
      <w:r w:rsidR="00E75BB5">
        <w:t xml:space="preserve"> to open discussion</w:t>
      </w:r>
      <w:r w:rsidR="00462320">
        <w:t>.</w:t>
      </w:r>
      <w:r w:rsidR="00C90974">
        <w:t xml:space="preserve"> </w:t>
      </w:r>
    </w:p>
    <w:p w14:paraId="1D96BCF1" w14:textId="5B7622F8" w:rsidR="00730F1A" w:rsidRDefault="00C90974" w:rsidP="00A87105">
      <w:pPr>
        <w:spacing w:after="0" w:line="360" w:lineRule="auto"/>
      </w:pPr>
      <w:r>
        <w:t>One could suggest that more attention was needed in relation to the interview</w:t>
      </w:r>
      <w:r w:rsidR="00220881">
        <w:t xml:space="preserve"> process. The first research question was likely to, and did, illicit responses that highlighted stress,</w:t>
      </w:r>
      <w:r w:rsidR="00BE43E1">
        <w:t xml:space="preserve"> vulnerability</w:t>
      </w:r>
      <w:r w:rsidR="0001036E">
        <w:t xml:space="preserve"> and fear of being marginalised.</w:t>
      </w:r>
      <w:r w:rsidR="0001036E" w:rsidRPr="0001036E">
        <w:t xml:space="preserve"> </w:t>
      </w:r>
      <w:r w:rsidR="0001036E">
        <w:t>As a result, there were</w:t>
      </w:r>
      <w:r w:rsidR="0001036E" w:rsidRPr="0001036E">
        <w:t xml:space="preserve"> potential</w:t>
      </w:r>
      <w:r w:rsidR="0014376B">
        <w:t xml:space="preserve"> </w:t>
      </w:r>
      <w:r w:rsidR="00AF578D">
        <w:t xml:space="preserve">concerns that </w:t>
      </w:r>
      <w:r w:rsidR="0014376B">
        <w:t>the interviews could lead to</w:t>
      </w:r>
      <w:r w:rsidR="0001036E" w:rsidRPr="0001036E">
        <w:t xml:space="preserve"> well-being </w:t>
      </w:r>
      <w:r w:rsidR="00BC395A">
        <w:t>and</w:t>
      </w:r>
      <w:r w:rsidR="0001036E" w:rsidRPr="0001036E">
        <w:t xml:space="preserve"> safeguarding issues</w:t>
      </w:r>
      <w:r w:rsidR="0014376B">
        <w:t>.</w:t>
      </w:r>
      <w:r w:rsidR="0001036E" w:rsidRPr="0001036E">
        <w:t xml:space="preserve"> </w:t>
      </w:r>
      <w:r w:rsidR="00675F16">
        <w:t>There is no mention of this in the paper and i</w:t>
      </w:r>
      <w:r w:rsidR="0001036E" w:rsidRPr="0001036E">
        <w:t>t w</w:t>
      </w:r>
      <w:r w:rsidR="009206C2">
        <w:t xml:space="preserve">ould </w:t>
      </w:r>
      <w:r w:rsidR="00675F16">
        <w:t xml:space="preserve">be </w:t>
      </w:r>
      <w:r w:rsidR="009206C2">
        <w:t xml:space="preserve">interesting to know if </w:t>
      </w:r>
      <w:r w:rsidR="0001036E" w:rsidRPr="0001036E">
        <w:t>the researcher ha</w:t>
      </w:r>
      <w:r w:rsidR="00675F16">
        <w:t>d</w:t>
      </w:r>
      <w:r w:rsidR="0001036E" w:rsidRPr="0001036E">
        <w:t xml:space="preserve"> sufficient support and response ready to deal with any emotional and psychological reactions to scrutiny of </w:t>
      </w:r>
      <w:r w:rsidR="002A33EA">
        <w:t>professional life</w:t>
      </w:r>
      <w:r w:rsidR="0001036E" w:rsidRPr="0001036E">
        <w:t>.</w:t>
      </w:r>
      <w:r w:rsidR="00675F16">
        <w:t xml:space="preserve"> </w:t>
      </w:r>
      <w:r w:rsidR="002A33EA">
        <w:t xml:space="preserve">It is unclear whether </w:t>
      </w:r>
      <w:r w:rsidR="00675F16">
        <w:t>the interviewer ha</w:t>
      </w:r>
      <w:r w:rsidR="002A33EA">
        <w:t>d</w:t>
      </w:r>
      <w:r w:rsidR="00675F16">
        <w:t xml:space="preserve"> the training or skill set to cope with potential reactions. Greater consideration</w:t>
      </w:r>
      <w:r w:rsidR="0014376B">
        <w:t xml:space="preserve"> and coverage</w:t>
      </w:r>
      <w:r w:rsidR="00675F16">
        <w:t xml:space="preserve"> of ethical issues </w:t>
      </w:r>
      <w:r w:rsidR="00CF0745">
        <w:t>would benefit</w:t>
      </w:r>
      <w:r w:rsidR="00675F16">
        <w:t xml:space="preserve"> th</w:t>
      </w:r>
      <w:r w:rsidR="00CF0745">
        <w:t xml:space="preserve">is </w:t>
      </w:r>
      <w:r w:rsidR="00675F16">
        <w:t>paper.</w:t>
      </w:r>
    </w:p>
    <w:p w14:paraId="5E287529" w14:textId="77777777" w:rsidR="00A87105" w:rsidRDefault="00A87105" w:rsidP="00A87105">
      <w:pPr>
        <w:spacing w:after="0" w:line="360" w:lineRule="auto"/>
      </w:pPr>
    </w:p>
    <w:p w14:paraId="5596F2BC" w14:textId="5302051B" w:rsidR="00FF0054" w:rsidRDefault="00E75BB5" w:rsidP="00A87105">
      <w:pPr>
        <w:spacing w:after="0" w:line="360" w:lineRule="auto"/>
      </w:pPr>
      <w:r>
        <w:t>During this project t</w:t>
      </w:r>
      <w:r w:rsidR="00FF0054">
        <w:t>he researcher acted as the interviewer</w:t>
      </w:r>
      <w:r>
        <w:t>.</w:t>
      </w:r>
      <w:r w:rsidR="00AE7308">
        <w:t xml:space="preserve"> It is worth cons</w:t>
      </w:r>
      <w:r w:rsidR="00AE7308" w:rsidRPr="00AE7308">
        <w:t>i</w:t>
      </w:r>
      <w:r w:rsidR="00AE7308">
        <w:t xml:space="preserve">dering that with </w:t>
      </w:r>
      <w:r w:rsidR="002A33EA">
        <w:t xml:space="preserve">one person </w:t>
      </w:r>
      <w:r w:rsidR="00AE7308" w:rsidRPr="00AE7308">
        <w:t>conduct</w:t>
      </w:r>
      <w:r w:rsidR="002A33EA">
        <w:t>ing the process</w:t>
      </w:r>
      <w:r w:rsidR="00AE7308" w:rsidRPr="00AE7308">
        <w:t xml:space="preserve"> </w:t>
      </w:r>
      <w:r w:rsidR="002A33EA">
        <w:t>issues</w:t>
      </w:r>
      <w:r w:rsidR="0014376B">
        <w:t xml:space="preserve"> could arise</w:t>
      </w:r>
      <w:r w:rsidR="00AE7308" w:rsidRPr="00AE7308">
        <w:t xml:space="preserve"> over interpretations</w:t>
      </w:r>
      <w:r w:rsidR="00AE7308">
        <w:t>. O</w:t>
      </w:r>
      <w:r w:rsidR="00AE7308" w:rsidRPr="00AE7308">
        <w:t xml:space="preserve">ne person’s point of view might be judged as prejudice by another (Bell and Opie, 2002) As a result, </w:t>
      </w:r>
      <w:r w:rsidR="00AE7308">
        <w:t xml:space="preserve">when using this research </w:t>
      </w:r>
      <w:r w:rsidR="00AE7308" w:rsidRPr="00AE7308">
        <w:t xml:space="preserve">there </w:t>
      </w:r>
      <w:r w:rsidR="00AE7308">
        <w:t xml:space="preserve">is </w:t>
      </w:r>
      <w:r w:rsidR="00AE7308" w:rsidRPr="00AE7308">
        <w:t>a need to be vigilant and impose criticality over the interpretation of the data (Bell, 2009) This reinforces the selection of</w:t>
      </w:r>
      <w:r w:rsidR="00AE7308">
        <w:t xml:space="preserve"> </w:t>
      </w:r>
      <w:r w:rsidR="00675F16">
        <w:t>multiple</w:t>
      </w:r>
      <w:r w:rsidR="00AE7308" w:rsidRPr="00AE7308">
        <w:t xml:space="preserve"> research methods to offer triangulation and balance the </w:t>
      </w:r>
      <w:r w:rsidR="00AE7308" w:rsidRPr="00AE7308">
        <w:lastRenderedPageBreak/>
        <w:t>possible effects of researcher bias.</w:t>
      </w:r>
      <w:r w:rsidR="00D426C7">
        <w:t xml:space="preserve"> Given that the researcher is part of a school of education, </w:t>
      </w:r>
      <w:r w:rsidR="004C0D02">
        <w:t>this risk of bias</w:t>
      </w:r>
      <w:r w:rsidR="00D426C7">
        <w:t xml:space="preserve"> </w:t>
      </w:r>
      <w:r w:rsidR="00B51ADB">
        <w:t>arguably</w:t>
      </w:r>
      <w:r w:rsidR="00D426C7">
        <w:t xml:space="preserve"> require</w:t>
      </w:r>
      <w:r w:rsidR="00B51ADB">
        <w:t>s</w:t>
      </w:r>
      <w:r w:rsidR="004C0D02">
        <w:t xml:space="preserve"> further</w:t>
      </w:r>
      <w:r w:rsidR="00D426C7">
        <w:t xml:space="preserve"> attention</w:t>
      </w:r>
      <w:r w:rsidR="000760B1">
        <w:t>.</w:t>
      </w:r>
    </w:p>
    <w:p w14:paraId="0F8AD0BA" w14:textId="77777777" w:rsidR="00A87105" w:rsidRDefault="00A87105" w:rsidP="00A87105">
      <w:pPr>
        <w:spacing w:after="0" w:line="360" w:lineRule="auto"/>
      </w:pPr>
    </w:p>
    <w:p w14:paraId="03A55184" w14:textId="13ED2B34" w:rsidR="00C52788" w:rsidRDefault="00675F16" w:rsidP="00A87105">
      <w:pPr>
        <w:spacing w:after="0" w:line="360" w:lineRule="auto"/>
      </w:pPr>
      <w:r>
        <w:t>The data collection used e</w:t>
      </w:r>
      <w:r w:rsidR="004170EE">
        <w:t xml:space="preserve">ight </w:t>
      </w:r>
      <w:r w:rsidR="00BC395A">
        <w:t>semi-</w:t>
      </w:r>
      <w:r w:rsidR="004170EE">
        <w:t>structured</w:t>
      </w:r>
      <w:r w:rsidR="00410EF8">
        <w:t xml:space="preserve"> one hour</w:t>
      </w:r>
      <w:r w:rsidR="004170EE">
        <w:t xml:space="preserve"> interviews to identify issues linked to working with school-based mentors and the role of teacher educator in a broader context.</w:t>
      </w:r>
      <w:r w:rsidR="00410EF8" w:rsidRPr="00410EF8">
        <w:t xml:space="preserve">  Interviews were recorded and fully transcribed. The semi structured interview with built in flexibility was designed to provoke extremely detailed information suitable for qualitative </w:t>
      </w:r>
      <w:r w:rsidR="00BC395A" w:rsidRPr="00410EF8">
        <w:t>analysis</w:t>
      </w:r>
      <w:r w:rsidR="00BC395A">
        <w:t>. The</w:t>
      </w:r>
      <w:r w:rsidR="00B938CC">
        <w:t xml:space="preserve"> respondents were experienced educators who had been connected to the same university-based teacher training programme for over ten years.</w:t>
      </w:r>
      <w:r w:rsidR="00753382">
        <w:t xml:space="preserve"> The interviews were one hour in len</w:t>
      </w:r>
      <w:r w:rsidR="00C90974">
        <w:t>gth.</w:t>
      </w:r>
      <w:r>
        <w:t xml:space="preserve"> </w:t>
      </w:r>
      <w:r w:rsidR="00B938CC">
        <w:t>One strength of the interview process was t</w:t>
      </w:r>
      <w:r w:rsidR="00AF578D">
        <w:t>hat</w:t>
      </w:r>
      <w:r w:rsidR="00B938CC">
        <w:t xml:space="preserve"> </w:t>
      </w:r>
      <w:r w:rsidR="00C52788">
        <w:t>it allowed the participants to assess the position taken by them with regards to their personal experiences as teacher educators</w:t>
      </w:r>
      <w:r w:rsidR="00BE43E1" w:rsidRPr="00BE43E1">
        <w:t xml:space="preserve"> work</w:t>
      </w:r>
      <w:r w:rsidR="00BE43E1">
        <w:t>ing</w:t>
      </w:r>
      <w:r w:rsidR="00BE43E1" w:rsidRPr="00BE43E1">
        <w:t xml:space="preserve"> with school mentors</w:t>
      </w:r>
      <w:r w:rsidR="00BE43E1">
        <w:t xml:space="preserve"> </w:t>
      </w:r>
      <w:r w:rsidR="00C52788">
        <w:t xml:space="preserve">over </w:t>
      </w:r>
      <w:r w:rsidR="00BE43E1">
        <w:t>a long period of time</w:t>
      </w:r>
      <w:r w:rsidR="00C52788">
        <w:t xml:space="preserve"> </w:t>
      </w:r>
      <w:r w:rsidR="00BE43E1">
        <w:t>following</w:t>
      </w:r>
      <w:r w:rsidR="00C52788">
        <w:t xml:space="preserve"> the</w:t>
      </w:r>
      <w:r w:rsidR="00BE43E1">
        <w:t xml:space="preserve"> </w:t>
      </w:r>
      <w:r w:rsidR="00C52788">
        <w:t>initial interview</w:t>
      </w:r>
      <w:r w:rsidR="00730F1A">
        <w:t>.</w:t>
      </w:r>
      <w:r w:rsidR="00CF0745">
        <w:t xml:space="preserve"> A question </w:t>
      </w:r>
      <w:r w:rsidR="000760B1">
        <w:t>might be</w:t>
      </w:r>
      <w:r w:rsidR="00CF0745">
        <w:t xml:space="preserve"> raised over the description of this as a semi structured process. There are two clearly defined questions given at the start of the paper and </w:t>
      </w:r>
      <w:r w:rsidR="00410EF8">
        <w:t xml:space="preserve">with a </w:t>
      </w:r>
      <w:r w:rsidR="0069292F">
        <w:t>one-hour</w:t>
      </w:r>
      <w:r w:rsidR="00410EF8">
        <w:t xml:space="preserve"> time frame it might be difficult to facilitate a semi structured approach.</w:t>
      </w:r>
    </w:p>
    <w:p w14:paraId="0C9F36B2" w14:textId="77777777" w:rsidR="00A87105" w:rsidRDefault="00A87105" w:rsidP="00A87105">
      <w:pPr>
        <w:spacing w:after="0" w:line="360" w:lineRule="auto"/>
      </w:pPr>
    </w:p>
    <w:p w14:paraId="660216CE" w14:textId="1CBCC5EE" w:rsidR="00D620A1" w:rsidRDefault="003C2888" w:rsidP="00A87105">
      <w:pPr>
        <w:spacing w:after="0" w:line="360" w:lineRule="auto"/>
      </w:pPr>
      <w:r w:rsidRPr="003C2888">
        <w:t>Research</w:t>
      </w:r>
      <w:r w:rsidR="000760B1">
        <w:t xml:space="preserve"> </w:t>
      </w:r>
      <w:r>
        <w:t>on teacher education and effective approaches to m</w:t>
      </w:r>
      <w:r w:rsidR="00CF0745">
        <w:t>en</w:t>
      </w:r>
      <w:r>
        <w:t>toring requires</w:t>
      </w:r>
      <w:r w:rsidRPr="003C2888">
        <w:t xml:space="preserve"> personal data and as a result, a word based qualitive approach is most suitable (Cohen, Manion, Morrison, 2009</w:t>
      </w:r>
      <w:r w:rsidR="00AF578D">
        <w:t xml:space="preserve">). </w:t>
      </w:r>
      <w:r>
        <w:t>However, another approach alongside the interview process</w:t>
      </w:r>
      <w:r w:rsidR="00AE7308">
        <w:t xml:space="preserve"> would have strengthened the</w:t>
      </w:r>
      <w:r w:rsidR="00410EF8">
        <w:t xml:space="preserve"> research o</w:t>
      </w:r>
      <w:r w:rsidR="00AE7308">
        <w:t xml:space="preserve">utcomes. </w:t>
      </w:r>
      <w:r w:rsidR="00D620A1" w:rsidRPr="00410EF8">
        <w:t>To</w:t>
      </w:r>
      <w:r w:rsidR="00410EF8" w:rsidRPr="00410EF8">
        <w:t xml:space="preserve"> increase the reliability and validity of this case study, methodological triangulation would </w:t>
      </w:r>
      <w:r w:rsidR="00410EF8">
        <w:t>help</w:t>
      </w:r>
      <w:r w:rsidR="00410EF8" w:rsidRPr="00410EF8">
        <w:t xml:space="preserve">. Denzin (1970) suggests that this allows the researcher to offset the weakness of one method with the strengths of the other. As </w:t>
      </w:r>
      <w:r w:rsidR="00D620A1" w:rsidRPr="00410EF8">
        <w:t xml:space="preserve">such, </w:t>
      </w:r>
      <w:r w:rsidR="00D620A1">
        <w:t xml:space="preserve">additional </w:t>
      </w:r>
      <w:r w:rsidR="00410EF8" w:rsidRPr="00410EF8">
        <w:t>methods considered in this proposal would be questionnaires, interviews and participant observation</w:t>
      </w:r>
      <w:r w:rsidR="00410EF8">
        <w:t xml:space="preserve">. </w:t>
      </w:r>
      <w:r w:rsidR="00AE7308">
        <w:t>For example</w:t>
      </w:r>
      <w:r w:rsidR="00410EF8">
        <w:t>,</w:t>
      </w:r>
      <w:r w:rsidR="00AE7308">
        <w:t xml:space="preserve"> </w:t>
      </w:r>
      <w:r w:rsidR="00675F16">
        <w:t>questionnaires</w:t>
      </w:r>
      <w:r w:rsidR="00AE7308">
        <w:t xml:space="preserve"> </w:t>
      </w:r>
      <w:r w:rsidR="00675F16">
        <w:t xml:space="preserve">could have been </w:t>
      </w:r>
      <w:r w:rsidR="00410EF8">
        <w:t xml:space="preserve">used at various stages of the </w:t>
      </w:r>
      <w:r w:rsidR="00275441">
        <w:t>nine-year</w:t>
      </w:r>
      <w:r w:rsidR="00410EF8">
        <w:t xml:space="preserve"> period to map changes in attitudes and practice.</w:t>
      </w:r>
      <w:r w:rsidR="00D620A1">
        <w:t xml:space="preserve"> Furthermore, </w:t>
      </w:r>
      <w:r w:rsidR="000760B1">
        <w:t xml:space="preserve">there is a lack of </w:t>
      </w:r>
      <w:r w:rsidR="00BC395A">
        <w:t xml:space="preserve">clarity with </w:t>
      </w:r>
      <w:r w:rsidR="00D620A1">
        <w:t xml:space="preserve">the research notes </w:t>
      </w:r>
      <w:r w:rsidR="00AF578D">
        <w:t xml:space="preserve">on </w:t>
      </w:r>
      <w:r w:rsidR="00D620A1">
        <w:t xml:space="preserve">the use of observation in the initial stages. In theory, this might offer the </w:t>
      </w:r>
      <w:r w:rsidR="00275441">
        <w:t>methodological triangulation</w:t>
      </w:r>
      <w:r w:rsidR="00D620A1">
        <w:t xml:space="preserve"> needed. However, little detail is given about the structure or purpose of the observation, or why this method was not used alongside the semi-structured interviews at the end of the </w:t>
      </w:r>
      <w:r w:rsidR="00275441">
        <w:t>nine-year</w:t>
      </w:r>
      <w:r w:rsidR="00D620A1">
        <w:t xml:space="preserve"> period.  Without this, it is difficult to acknowledge the method of observation as </w:t>
      </w:r>
      <w:r w:rsidR="00275441">
        <w:t>triangulation</w:t>
      </w:r>
      <w:r w:rsidR="00D620A1">
        <w:t>.</w:t>
      </w:r>
    </w:p>
    <w:p w14:paraId="1101FA54" w14:textId="77777777" w:rsidR="00A87105" w:rsidRDefault="00A87105" w:rsidP="00A87105">
      <w:pPr>
        <w:spacing w:after="0" w:line="360" w:lineRule="auto"/>
      </w:pPr>
    </w:p>
    <w:p w14:paraId="2095C0AB" w14:textId="57ABC144" w:rsidR="004C0D02" w:rsidRDefault="00462320" w:rsidP="00A87105">
      <w:pPr>
        <w:spacing w:after="0" w:line="360" w:lineRule="auto"/>
      </w:pPr>
      <w:r>
        <w:t>The analysis strategy used in this research is the cultural history and activity theory (CHAT) lens (</w:t>
      </w:r>
      <w:proofErr w:type="spellStart"/>
      <w:r>
        <w:t>Engestrom</w:t>
      </w:r>
      <w:proofErr w:type="spellEnd"/>
      <w:r w:rsidR="0069292F">
        <w:t>,</w:t>
      </w:r>
      <w:r>
        <w:t xml:space="preserve"> 2008</w:t>
      </w:r>
      <w:r w:rsidR="00B44C67">
        <w:t>). It</w:t>
      </w:r>
      <w:r>
        <w:t xml:space="preserve"> </w:t>
      </w:r>
      <w:r w:rsidR="00B44C67">
        <w:t xml:space="preserve">places focus on ‘working as a social phenomenon’ a process that occurs within social systems that have developed culturally and historically. These social systems offer tools with which to work on a </w:t>
      </w:r>
      <w:r w:rsidR="007270A3">
        <w:t>particular focus</w:t>
      </w:r>
      <w:r w:rsidR="00B44C67">
        <w:t xml:space="preserve">. </w:t>
      </w:r>
      <w:r w:rsidR="00C90974">
        <w:t>This allows</w:t>
      </w:r>
      <w:r w:rsidR="00B44C67">
        <w:t xml:space="preserve"> an understanding of how teacher educators view </w:t>
      </w:r>
      <w:r w:rsidR="00B44C67">
        <w:lastRenderedPageBreak/>
        <w:t>teacher education through looking at how they work and how they use tools within</w:t>
      </w:r>
      <w:r w:rsidR="00370614">
        <w:t xml:space="preserve"> teacher education. In this context, tools are seen </w:t>
      </w:r>
      <w:r w:rsidR="002C06E5">
        <w:t>as anything</w:t>
      </w:r>
      <w:r w:rsidR="00370614">
        <w:t xml:space="preserve"> that mediates participants’ actions upon objects (Russell, 2004)</w:t>
      </w:r>
      <w:r w:rsidR="00AF578D">
        <w:t>.</w:t>
      </w:r>
      <w:r w:rsidR="000760B1">
        <w:t xml:space="preserve"> </w:t>
      </w:r>
      <w:r w:rsidR="00370614">
        <w:t xml:space="preserve">The activity theory analysis strategy is </w:t>
      </w:r>
      <w:r w:rsidR="00C90974">
        <w:t>centred on the</w:t>
      </w:r>
      <w:r w:rsidR="00370614">
        <w:t xml:space="preserve"> us</w:t>
      </w:r>
      <w:r w:rsidR="00C90974">
        <w:t>e of</w:t>
      </w:r>
      <w:r w:rsidR="00370614">
        <w:t xml:space="preserve"> the social situation rather than the individual as the primary </w:t>
      </w:r>
      <w:r w:rsidR="00C90974">
        <w:t>feature</w:t>
      </w:r>
      <w:r w:rsidR="00370614">
        <w:t>. An advantage of using this analysis strategy is more focus is given to systemic practices</w:t>
      </w:r>
      <w:r w:rsidR="002C06E5">
        <w:t xml:space="preserve"> rather than individual workplace practices. Systemic level practices could </w:t>
      </w:r>
      <w:r w:rsidR="00C90974">
        <w:t>be interpreted as</w:t>
      </w:r>
      <w:r w:rsidR="002C06E5">
        <w:t xml:space="preserve"> rule, community and division of labour. </w:t>
      </w:r>
    </w:p>
    <w:p w14:paraId="015FE13D" w14:textId="2DBCE74F" w:rsidR="00220881" w:rsidRDefault="007270A3" w:rsidP="00A87105">
      <w:pPr>
        <w:spacing w:after="0" w:line="360" w:lineRule="auto"/>
      </w:pPr>
      <w:r>
        <w:t>One drawback of th</w:t>
      </w:r>
      <w:r w:rsidR="004C0D02">
        <w:t>e ‘CHAT lens’</w:t>
      </w:r>
      <w:r>
        <w:t xml:space="preserve"> is the role of the individual</w:t>
      </w:r>
      <w:r w:rsidR="004C0D02">
        <w:t xml:space="preserve"> is neglected</w:t>
      </w:r>
      <w:r>
        <w:t xml:space="preserve"> and </w:t>
      </w:r>
      <w:r w:rsidR="00AF578D">
        <w:t xml:space="preserve">focus is </w:t>
      </w:r>
      <w:r w:rsidR="00C90974">
        <w:t>maintained</w:t>
      </w:r>
      <w:r>
        <w:t xml:space="preserve"> on a bigger picture</w:t>
      </w:r>
      <w:r w:rsidR="00BC395A">
        <w:t xml:space="preserve"> </w:t>
      </w:r>
      <w:bookmarkStart w:id="0" w:name="_Hlk524065128"/>
      <w:proofErr w:type="spellStart"/>
      <w:r w:rsidR="00BC395A">
        <w:t>Toomela</w:t>
      </w:r>
      <w:proofErr w:type="spellEnd"/>
      <w:r>
        <w:t xml:space="preserve"> (200</w:t>
      </w:r>
      <w:r w:rsidR="0057583D">
        <w:t>0</w:t>
      </w:r>
      <w:r>
        <w:t>)</w:t>
      </w:r>
      <w:r w:rsidR="00B624A7">
        <w:t>.</w:t>
      </w:r>
      <w:r w:rsidR="00220881">
        <w:t xml:space="preserve"> </w:t>
      </w:r>
      <w:bookmarkEnd w:id="0"/>
      <w:r w:rsidR="004C0D02">
        <w:t>G</w:t>
      </w:r>
      <w:r w:rsidR="00220881">
        <w:t xml:space="preserve">iven that the focus of the research is on four individuals </w:t>
      </w:r>
      <w:r w:rsidR="00BE43E1">
        <w:t xml:space="preserve">over a </w:t>
      </w:r>
      <w:proofErr w:type="gramStart"/>
      <w:r w:rsidR="00BE43E1">
        <w:t>nine year</w:t>
      </w:r>
      <w:proofErr w:type="gramEnd"/>
      <w:r w:rsidR="00BE43E1">
        <w:t xml:space="preserve"> period the </w:t>
      </w:r>
      <w:r w:rsidR="00220881">
        <w:t>study would have been enhanced by the use of more tha</w:t>
      </w:r>
      <w:r w:rsidR="00BE43E1">
        <w:t>n</w:t>
      </w:r>
      <w:r w:rsidR="004C0D02">
        <w:t xml:space="preserve"> one</w:t>
      </w:r>
      <w:r w:rsidR="00220881">
        <w:t xml:space="preserve"> </w:t>
      </w:r>
      <w:r w:rsidR="00BE43E1">
        <w:t>specific</w:t>
      </w:r>
      <w:r w:rsidR="00220881">
        <w:t xml:space="preserve"> </w:t>
      </w:r>
      <w:r w:rsidR="000760B1">
        <w:t>‘</w:t>
      </w:r>
      <w:r w:rsidR="00220881">
        <w:t>lens</w:t>
      </w:r>
      <w:r w:rsidR="000760B1">
        <w:t>’,</w:t>
      </w:r>
      <w:r w:rsidR="004C0D02">
        <w:t xml:space="preserve"> thus providing greater levels of complexity to the research outcomes.</w:t>
      </w:r>
    </w:p>
    <w:p w14:paraId="43029073" w14:textId="77777777" w:rsidR="00687ADC" w:rsidRDefault="00687ADC" w:rsidP="00A87105">
      <w:pPr>
        <w:spacing w:after="0" w:line="360" w:lineRule="auto"/>
      </w:pPr>
    </w:p>
    <w:p w14:paraId="39889FF4" w14:textId="4BB0B55D" w:rsidR="00A50B65" w:rsidRDefault="00C22EF6" w:rsidP="00A87105">
      <w:pPr>
        <w:pStyle w:val="ListParagraph"/>
        <w:spacing w:after="0" w:line="360" w:lineRule="auto"/>
        <w:ind w:left="0"/>
      </w:pPr>
      <w:r>
        <w:t>T</w:t>
      </w:r>
      <w:r w:rsidR="006941C8">
        <w:t>he first research question</w:t>
      </w:r>
      <w:r>
        <w:t xml:space="preserve"> leads to </w:t>
      </w:r>
      <w:r w:rsidR="0001036E">
        <w:t>several</w:t>
      </w:r>
      <w:r w:rsidR="009A2663">
        <w:t xml:space="preserve"> conclusions. </w:t>
      </w:r>
      <w:r w:rsidR="008C6B7F">
        <w:t>Firstly, that</w:t>
      </w:r>
      <w:r w:rsidR="009A2663">
        <w:t xml:space="preserve"> new policy changes in England had impacted on teacher education, the most significant </w:t>
      </w:r>
      <w:r w:rsidR="00C90974">
        <w:t>of which</w:t>
      </w:r>
      <w:r w:rsidR="009A2663">
        <w:t xml:space="preserve"> was the School Direct Programme and the school centred initial teacher training initiative. These developments </w:t>
      </w:r>
      <w:r w:rsidR="0001036E">
        <w:t>are</w:t>
      </w:r>
      <w:r w:rsidR="009A2663">
        <w:t xml:space="preserve"> a threat to the university-based teacher training programmes</w:t>
      </w:r>
      <w:r w:rsidR="002B1546">
        <w:t xml:space="preserve"> thus creating a sense of vulnerability. </w:t>
      </w:r>
      <w:r w:rsidR="009A2663">
        <w:t xml:space="preserve"> </w:t>
      </w:r>
      <w:r w:rsidR="0001036E">
        <w:t>The ne</w:t>
      </w:r>
      <w:r w:rsidR="009A2663">
        <w:t>w programme</w:t>
      </w:r>
      <w:r w:rsidR="0001036E">
        <w:t xml:space="preserve">s </w:t>
      </w:r>
      <w:r w:rsidR="009A2663">
        <w:t>threat</w:t>
      </w:r>
      <w:r w:rsidR="0001036E">
        <w:t>en the</w:t>
      </w:r>
      <w:r w:rsidR="009A2663">
        <w:t xml:space="preserve"> sustainability and viability of</w:t>
      </w:r>
      <w:r w:rsidR="002B1546">
        <w:t xml:space="preserve"> university</w:t>
      </w:r>
      <w:r w:rsidR="009A2663">
        <w:t xml:space="preserve"> teacher training courses</w:t>
      </w:r>
      <w:r w:rsidR="002B1546">
        <w:t xml:space="preserve"> </w:t>
      </w:r>
      <w:r w:rsidR="0001036E">
        <w:t xml:space="preserve">which will lead to a </w:t>
      </w:r>
      <w:r w:rsidR="002B1546">
        <w:t xml:space="preserve">reduction of staffing and </w:t>
      </w:r>
      <w:r w:rsidR="0001036E">
        <w:t>an</w:t>
      </w:r>
      <w:r w:rsidR="002B1546">
        <w:t xml:space="preserve"> increase in workload</w:t>
      </w:r>
      <w:r w:rsidR="0001036E">
        <w:t xml:space="preserve">. This </w:t>
      </w:r>
      <w:r w:rsidR="002B1546">
        <w:t xml:space="preserve">was highlighted by all respondents. In addition, recruitment and maintaining numbers of students was a common concern expressed by </w:t>
      </w:r>
      <w:r w:rsidR="0001036E">
        <w:t>the respondents</w:t>
      </w:r>
      <w:r w:rsidR="002B1546">
        <w:t>.</w:t>
      </w:r>
      <w:r w:rsidR="00655D7C">
        <w:t xml:space="preserve"> </w:t>
      </w:r>
      <w:r w:rsidR="0001036E">
        <w:t>In conclusion</w:t>
      </w:r>
      <w:r w:rsidR="006941C8">
        <w:t>, this</w:t>
      </w:r>
      <w:r w:rsidR="00655D7C">
        <w:t xml:space="preserve"> has led to negative </w:t>
      </w:r>
      <w:r w:rsidR="006477EE">
        <w:t xml:space="preserve">perspective on </w:t>
      </w:r>
      <w:r w:rsidR="000760B1">
        <w:t>actions</w:t>
      </w:r>
      <w:r w:rsidR="00655D7C">
        <w:t xml:space="preserve"> </w:t>
      </w:r>
      <w:r w:rsidR="00B624A7">
        <w:t xml:space="preserve">of </w:t>
      </w:r>
      <w:r w:rsidR="00655D7C">
        <w:t>central government and a belief that the credibility of the expertise and professionalism of the teacher educator role has been challenged.</w:t>
      </w:r>
      <w:r w:rsidR="000760B1">
        <w:t xml:space="preserve"> One can suggest that this was a </w:t>
      </w:r>
      <w:r w:rsidR="006735F8">
        <w:t>predictable</w:t>
      </w:r>
      <w:r w:rsidR="000760B1">
        <w:t xml:space="preserve"> conclusion</w:t>
      </w:r>
      <w:r w:rsidR="006735F8">
        <w:t xml:space="preserve"> given the</w:t>
      </w:r>
      <w:r w:rsidR="00C239AC">
        <w:t xml:space="preserve"> nature of</w:t>
      </w:r>
      <w:r w:rsidR="006735F8">
        <w:t xml:space="preserve"> first question and the attitudes of the respondents towards change. </w:t>
      </w:r>
      <w:r w:rsidR="00817B50">
        <w:t>Secondly, t</w:t>
      </w:r>
      <w:r w:rsidR="00A50B65">
        <w:t>he perceived limits on the influence of the teacher education process highlighted concerns over the quality of the mentoring process in the school</w:t>
      </w:r>
      <w:r w:rsidR="003C6F44">
        <w:t>.</w:t>
      </w:r>
      <w:r w:rsidR="006477EE">
        <w:t xml:space="preserve"> This is a result of the </w:t>
      </w:r>
      <w:r w:rsidR="00A87105">
        <w:t xml:space="preserve">teacher educators </w:t>
      </w:r>
      <w:r w:rsidR="006477EE" w:rsidRPr="00A87105">
        <w:t xml:space="preserve">having </w:t>
      </w:r>
      <w:r w:rsidR="006477EE">
        <w:t>less</w:t>
      </w:r>
      <w:r w:rsidR="003C6F44">
        <w:t xml:space="preserve"> </w:t>
      </w:r>
      <w:r w:rsidR="00F65D27">
        <w:t>influence</w:t>
      </w:r>
      <w:r w:rsidR="006477EE">
        <w:t xml:space="preserve"> to </w:t>
      </w:r>
      <w:r w:rsidR="003C6F44">
        <w:t xml:space="preserve">advise and shape practice in schools, particularly with limited contact. </w:t>
      </w:r>
      <w:r w:rsidR="00F65D27">
        <w:t xml:space="preserve">The </w:t>
      </w:r>
      <w:r w:rsidR="006477EE">
        <w:t>research concludes that</w:t>
      </w:r>
      <w:r w:rsidR="00F65D27">
        <w:t xml:space="preserve"> a collective of mentors with regular dialogue between school based and </w:t>
      </w:r>
      <w:r w:rsidR="00655D7C">
        <w:t>university-based</w:t>
      </w:r>
      <w:r w:rsidR="00F65D27">
        <w:t xml:space="preserve"> staff creat</w:t>
      </w:r>
      <w:r w:rsidR="006735F8">
        <w:t>es</w:t>
      </w:r>
      <w:r w:rsidR="00F65D27">
        <w:t xml:space="preserve"> consistent and stable practices </w:t>
      </w:r>
      <w:r w:rsidR="006735F8">
        <w:t>which is</w:t>
      </w:r>
      <w:r w:rsidR="00F65D27">
        <w:t xml:space="preserve"> integral </w:t>
      </w:r>
      <w:r w:rsidR="006735F8">
        <w:t>to</w:t>
      </w:r>
      <w:r w:rsidR="00F65D27">
        <w:t xml:space="preserve"> </w:t>
      </w:r>
      <w:r w:rsidR="00655D7C">
        <w:t>successful teacher training.</w:t>
      </w:r>
      <w:r w:rsidR="00817B50">
        <w:t xml:space="preserve"> T</w:t>
      </w:r>
      <w:r w:rsidR="006735F8">
        <w:t xml:space="preserve">his conclusion is </w:t>
      </w:r>
      <w:r w:rsidR="00817B50">
        <w:t xml:space="preserve">unsurprising and would </w:t>
      </w:r>
      <w:r w:rsidR="00B624A7">
        <w:t xml:space="preserve">be </w:t>
      </w:r>
      <w:r w:rsidR="00817B50">
        <w:t>hard to argue against.</w:t>
      </w:r>
      <w:r w:rsidR="00817B50" w:rsidRPr="00817B50">
        <w:t xml:space="preserve"> My own experience in teacher education would support this conclusion</w:t>
      </w:r>
      <w:r w:rsidR="00B624A7">
        <w:t>.</w:t>
      </w:r>
    </w:p>
    <w:p w14:paraId="0F9E1BE4" w14:textId="3FA0BCF7" w:rsidR="006941C8" w:rsidRDefault="006941C8" w:rsidP="00A87105">
      <w:pPr>
        <w:pStyle w:val="ListParagraph"/>
        <w:spacing w:after="0" w:line="360" w:lineRule="auto"/>
      </w:pPr>
    </w:p>
    <w:p w14:paraId="540BEC31" w14:textId="27D392E4" w:rsidR="009D0B1A" w:rsidRDefault="006941C8" w:rsidP="00A87105">
      <w:pPr>
        <w:spacing w:after="0" w:line="360" w:lineRule="auto"/>
      </w:pPr>
      <w:r>
        <w:t xml:space="preserve">The second question was designed to open dialogue around how </w:t>
      </w:r>
      <w:bookmarkStart w:id="1" w:name="_Hlk522972330"/>
      <w:r>
        <w:t xml:space="preserve">a research informed approach to critical enquiry </w:t>
      </w:r>
      <w:bookmarkEnd w:id="1"/>
      <w:r>
        <w:t xml:space="preserve">is encouraged with school mentors. </w:t>
      </w:r>
      <w:r w:rsidR="008A7089">
        <w:t xml:space="preserve">It allowed respondents to discuss how work is conducted with mentors and tools have been used to facilitate teacher education practice. The findings of the interview highlighted three examples where tools have been used to strengthen </w:t>
      </w:r>
      <w:r w:rsidR="008A7089">
        <w:lastRenderedPageBreak/>
        <w:t>working practice with mentors.</w:t>
      </w:r>
      <w:r w:rsidR="00817B50">
        <w:t xml:space="preserve"> </w:t>
      </w:r>
      <w:r w:rsidR="008A7089">
        <w:t xml:space="preserve">Firstly, the idea of the mentor collective was identified as a key tool. High value was placed on collaboration and open discussion. A mentor community was viewed by the </w:t>
      </w:r>
      <w:r w:rsidR="009D0B1A">
        <w:t>respondents</w:t>
      </w:r>
      <w:r w:rsidR="008A7089">
        <w:t xml:space="preserve"> as</w:t>
      </w:r>
      <w:r w:rsidR="009D0B1A">
        <w:t xml:space="preserve"> a</w:t>
      </w:r>
      <w:r w:rsidR="008A7089">
        <w:t xml:space="preserve"> vital ingredient </w:t>
      </w:r>
      <w:r w:rsidR="009D0B1A">
        <w:t>in developing a research informed approach in teacher education.</w:t>
      </w:r>
      <w:r w:rsidR="00495E4B">
        <w:t xml:space="preserve"> </w:t>
      </w:r>
      <w:r w:rsidR="009D0B1A">
        <w:t>Second</w:t>
      </w:r>
      <w:r w:rsidR="00495E4B">
        <w:t>l</w:t>
      </w:r>
      <w:r w:rsidR="009D0B1A">
        <w:t xml:space="preserve">y, the promotion of scholarship activity was identified in the interviews as fundamental </w:t>
      </w:r>
      <w:r w:rsidR="00495E4B">
        <w:t>in developing</w:t>
      </w:r>
      <w:r w:rsidR="009D0B1A">
        <w:t xml:space="preserve"> a</w:t>
      </w:r>
      <w:r w:rsidR="009D0B1A" w:rsidRPr="009D0B1A">
        <w:t xml:space="preserve"> research informed approach to critical enquiry</w:t>
      </w:r>
      <w:r w:rsidR="009D0B1A">
        <w:t>.</w:t>
      </w:r>
      <w:r w:rsidR="00495E4B">
        <w:t xml:space="preserve"> The respondents stated that research activities that promoted reading, writing and discussion of teaching and learning had a direct impact on the quality of teacher education practice. </w:t>
      </w:r>
      <w:r w:rsidR="0053246C">
        <w:t xml:space="preserve">The </w:t>
      </w:r>
      <w:r w:rsidR="00C90974">
        <w:t>pursuit of</w:t>
      </w:r>
      <w:r w:rsidR="0053246C">
        <w:t xml:space="preserve"> research </w:t>
      </w:r>
      <w:r w:rsidR="004D6766">
        <w:t>activity forms the third tool identified by the interview data. Not just in the use of the findings, but the involvement of mentors in the research process. As a result, this cultivates stronger relationshi</w:t>
      </w:r>
      <w:r w:rsidR="00AD4B36">
        <w:t>ps with mentors.</w:t>
      </w:r>
      <w:r w:rsidR="00666B28">
        <w:t xml:space="preserve"> </w:t>
      </w:r>
    </w:p>
    <w:p w14:paraId="7AB6FF3B" w14:textId="77777777" w:rsidR="008F1949" w:rsidRDefault="008F1949" w:rsidP="00A87105">
      <w:pPr>
        <w:spacing w:after="0" w:line="360" w:lineRule="auto"/>
      </w:pPr>
    </w:p>
    <w:p w14:paraId="358B6AB0" w14:textId="088A4697" w:rsidR="00C30894" w:rsidRDefault="00C30894" w:rsidP="00A87105">
      <w:pPr>
        <w:spacing w:after="0" w:line="360" w:lineRule="auto"/>
      </w:pPr>
      <w:r>
        <w:t>The implications</w:t>
      </w:r>
      <w:r w:rsidR="00665112">
        <w:t xml:space="preserve"> of the </w:t>
      </w:r>
      <w:r w:rsidR="00817B50">
        <w:t>findings are limited as they provide confirmation of attitudes found with professional</w:t>
      </w:r>
      <w:r w:rsidR="00B624A7">
        <w:t>s</w:t>
      </w:r>
      <w:r w:rsidR="00817B50">
        <w:t xml:space="preserve"> coping with a changing environment. T</w:t>
      </w:r>
      <w:r>
        <w:t>he first interview question</w:t>
      </w:r>
      <w:r w:rsidR="00665112">
        <w:t xml:space="preserve"> </w:t>
      </w:r>
      <w:r w:rsidR="00817B50">
        <w:t>raises</w:t>
      </w:r>
      <w:r w:rsidR="00665112">
        <w:t xml:space="preserve"> concern</w:t>
      </w:r>
      <w:r w:rsidR="00817B50">
        <w:t>s</w:t>
      </w:r>
      <w:r w:rsidR="00665112">
        <w:t xml:space="preserve"> over the morale of teacher educators and the impact of this on their output. The feeling of marginalisation and a perceived sense of being professionally undervalue</w:t>
      </w:r>
      <w:r w:rsidR="00B624A7">
        <w:t>d</w:t>
      </w:r>
      <w:r w:rsidR="00665112">
        <w:t xml:space="preserve"> is likely to create a mindset unable to embrace the changes to teacher education.</w:t>
      </w:r>
      <w:r w:rsidR="00BE43E1">
        <w:t xml:space="preserve"> However</w:t>
      </w:r>
      <w:r w:rsidR="00275441">
        <w:t>,</w:t>
      </w:r>
      <w:r w:rsidR="00BE43E1">
        <w:t xml:space="preserve"> given the nature of the question it is unsurprising that</w:t>
      </w:r>
      <w:r w:rsidR="0069292F">
        <w:t xml:space="preserve"> responses were negative in tone and content.</w:t>
      </w:r>
      <w:r w:rsidR="00BE43E1">
        <w:t xml:space="preserve"> </w:t>
      </w:r>
    </w:p>
    <w:p w14:paraId="3BC2C721" w14:textId="77777777" w:rsidR="00BE5420" w:rsidRDefault="00BE5420" w:rsidP="00A87105">
      <w:pPr>
        <w:spacing w:after="0" w:line="360" w:lineRule="auto"/>
      </w:pPr>
    </w:p>
    <w:p w14:paraId="6424182D" w14:textId="3E0F97EF" w:rsidR="00665112" w:rsidRDefault="00665112" w:rsidP="00A87105">
      <w:pPr>
        <w:spacing w:after="0" w:line="360" w:lineRule="auto"/>
      </w:pPr>
      <w:r>
        <w:t>However, the findings of the</w:t>
      </w:r>
      <w:r w:rsidR="00BA6E0F">
        <w:t xml:space="preserve"> of the second research question imply that there is a </w:t>
      </w:r>
      <w:r w:rsidR="008C3802">
        <w:t xml:space="preserve">basis of enhancing teacher education and making progress with mentors and the quality of mentoring. The research and supporting literature imply that there are simple tools that facilitate the </w:t>
      </w:r>
      <w:r w:rsidR="00C34C5A">
        <w:t xml:space="preserve">move towards research informed </w:t>
      </w:r>
      <w:r w:rsidR="00EE0A77">
        <w:t>practice</w:t>
      </w:r>
      <w:r w:rsidR="00817B50">
        <w:t xml:space="preserve">. Again, the implications are limited as </w:t>
      </w:r>
      <w:r w:rsidR="007E4F26">
        <w:t>it is commonly accepted that collaboration, research and scholarly activity are useful tools in mentoring and teacher education.</w:t>
      </w:r>
      <w:r w:rsidR="0057583D">
        <w:t xml:space="preserve"> There are similar points made by Hobson et al (2015) in their research on mentoring for teachers</w:t>
      </w:r>
      <w:r w:rsidR="001A3CB4">
        <w:t>.</w:t>
      </w:r>
    </w:p>
    <w:p w14:paraId="774492B3" w14:textId="77777777" w:rsidR="00A87105" w:rsidRDefault="00A87105" w:rsidP="00A87105">
      <w:pPr>
        <w:spacing w:after="0" w:line="360" w:lineRule="auto"/>
      </w:pPr>
    </w:p>
    <w:p w14:paraId="0E17A57C" w14:textId="3DB975F0" w:rsidR="00120E48" w:rsidRDefault="00817B50" w:rsidP="00A87105">
      <w:pPr>
        <w:spacing w:after="0" w:line="360" w:lineRule="auto"/>
      </w:pPr>
      <w:r w:rsidRPr="003F038D">
        <w:t>The main points of view presented in this article are t</w:t>
      </w:r>
      <w:r w:rsidR="00EE0A77" w:rsidRPr="003F038D">
        <w:t xml:space="preserve">hat teacher education would benefit from a set </w:t>
      </w:r>
      <w:r w:rsidR="00B774A4" w:rsidRPr="003F038D">
        <w:t>of standards</w:t>
      </w:r>
      <w:r w:rsidR="00EE0A77" w:rsidRPr="003F038D">
        <w:t xml:space="preserve"> that would provide the basis of professional development for teacher educators. This is a system that is used in USA, Belgium and the Netherlands. A set of standards would define the teacher education role at a time where there has been ambiguity </w:t>
      </w:r>
      <w:r w:rsidR="00120E48" w:rsidRPr="003F038D">
        <w:t>with the role following the proliferation of routes in to teaching and the different methods</w:t>
      </w:r>
      <w:r w:rsidR="00B624A7" w:rsidRPr="003F038D">
        <w:t xml:space="preserve"> </w:t>
      </w:r>
      <w:r w:rsidR="00120E48" w:rsidRPr="003F038D">
        <w:t xml:space="preserve">and professionals involved in the process beyond the traditional academic university-based focus. Although this is based in an English context, the idea of common standards for teacher educators would be applied </w:t>
      </w:r>
      <w:r w:rsidR="00B624A7" w:rsidRPr="003F038D">
        <w:t xml:space="preserve">to </w:t>
      </w:r>
      <w:r w:rsidR="00120E48" w:rsidRPr="003F038D">
        <w:t>parts of the UK.</w:t>
      </w:r>
      <w:r w:rsidR="00B624A7" w:rsidRPr="003F038D">
        <w:t xml:space="preserve"> </w:t>
      </w:r>
      <w:r w:rsidR="00120E48">
        <w:t xml:space="preserve">The English system has increased the role of schools in the delivery of teacher education with the objective of allowing schools to have greater control over how education is delivered. The </w:t>
      </w:r>
      <w:r w:rsidR="00120E48">
        <w:lastRenderedPageBreak/>
        <w:t>government also wishes to see teachers being more research informed</w:t>
      </w:r>
      <w:r w:rsidR="00881DF5">
        <w:t xml:space="preserve">. This presents an opportunity </w:t>
      </w:r>
      <w:r w:rsidR="00540AF1">
        <w:t>for collaboration between schools and universities, developing partnerships in this new context.</w:t>
      </w:r>
    </w:p>
    <w:p w14:paraId="4EABC9EE" w14:textId="3A2D4D94" w:rsidR="00122FF1" w:rsidRDefault="00540AF1" w:rsidP="00A87105">
      <w:pPr>
        <w:spacing w:after="0" w:line="360" w:lineRule="auto"/>
      </w:pPr>
      <w:r>
        <w:t xml:space="preserve">This research highlighted the importance of research activity both for teacher educators and </w:t>
      </w:r>
      <w:r w:rsidR="006A6636">
        <w:t>school-based</w:t>
      </w:r>
      <w:r>
        <w:t xml:space="preserve"> mentors. Th</w:t>
      </w:r>
      <w:r w:rsidR="006A6636">
        <w:t>is paper</w:t>
      </w:r>
      <w:r>
        <w:t xml:space="preserve"> </w:t>
      </w:r>
      <w:r w:rsidR="00D86C99">
        <w:t>suggests</w:t>
      </w:r>
      <w:r>
        <w:t xml:space="preserve"> that research and </w:t>
      </w:r>
      <w:r w:rsidR="00D86C99">
        <w:t>scholarly</w:t>
      </w:r>
      <w:r>
        <w:t xml:space="preserve"> activity</w:t>
      </w:r>
      <w:r w:rsidR="007E4F26">
        <w:t xml:space="preserve"> are</w:t>
      </w:r>
      <w:r>
        <w:t xml:space="preserve"> integral to the work of teacher educators. This would lead to research informed</w:t>
      </w:r>
      <w:r w:rsidR="00D86C99">
        <w:t xml:space="preserve"> teaching and </w:t>
      </w:r>
      <w:r w:rsidR="007E4F26">
        <w:t>would assist</w:t>
      </w:r>
      <w:r w:rsidR="00D86C99">
        <w:t xml:space="preserve"> teachers and mentors </w:t>
      </w:r>
      <w:r w:rsidR="00B624A7">
        <w:t>on</w:t>
      </w:r>
      <w:r w:rsidR="00D86C99">
        <w:t xml:space="preserve"> how to effectively use research-based teaching</w:t>
      </w:r>
      <w:r w:rsidR="007E4F26">
        <w:t>.</w:t>
      </w:r>
      <w:r w:rsidR="00D86C99">
        <w:t xml:space="preserve"> Best practice would see teacher education delivered from </w:t>
      </w:r>
      <w:r w:rsidR="006A6636">
        <w:t>school-based</w:t>
      </w:r>
      <w:r w:rsidR="00D86C99">
        <w:t xml:space="preserve"> mentors mirror the methods used by university based professionals. This would see teachers engaging as learners</w:t>
      </w:r>
      <w:r w:rsidR="007E4F26">
        <w:t xml:space="preserve"> and provoke</w:t>
      </w:r>
      <w:r w:rsidR="00D86C99">
        <w:t xml:space="preserve"> the use of systemic inquiry, problem solving and research. </w:t>
      </w:r>
      <w:r w:rsidR="00736602">
        <w:t>The involvement in action research would have profound benefits for trainee teachers.</w:t>
      </w:r>
      <w:r w:rsidR="00C45BAD">
        <w:t xml:space="preserve"> </w:t>
      </w:r>
      <w:r w:rsidR="007E4F26">
        <w:t>An important next step is u</w:t>
      </w:r>
      <w:r w:rsidR="00122FF1">
        <w:t>nderstanding the best strategy for teacher educators and mentors in providing the right context and support for this transformative element of teacher learning</w:t>
      </w:r>
      <w:r w:rsidR="007E4F26">
        <w:t>.</w:t>
      </w:r>
    </w:p>
    <w:p w14:paraId="77060C37" w14:textId="77777777" w:rsidR="00A87105" w:rsidRDefault="00A87105" w:rsidP="00A87105">
      <w:pPr>
        <w:spacing w:after="0" w:line="360" w:lineRule="auto"/>
      </w:pPr>
    </w:p>
    <w:p w14:paraId="09E2BA84" w14:textId="37A85956" w:rsidR="0029505D" w:rsidRDefault="007E4F26" w:rsidP="00A87105">
      <w:pPr>
        <w:spacing w:after="0" w:line="360" w:lineRule="auto"/>
      </w:pPr>
      <w:r>
        <w:t>T</w:t>
      </w:r>
      <w:r w:rsidR="00736602">
        <w:t xml:space="preserve">his research </w:t>
      </w:r>
      <w:r>
        <w:t>highlights</w:t>
      </w:r>
      <w:r w:rsidR="00736602">
        <w:t xml:space="preserve"> the importance of collaboration. </w:t>
      </w:r>
      <w:r>
        <w:t>It makes the</w:t>
      </w:r>
      <w:r w:rsidR="00736602">
        <w:t xml:space="preserve"> suggestion that professional development for teacher educators should occur in the context of learning communities</w:t>
      </w:r>
      <w:r>
        <w:t>. These should</w:t>
      </w:r>
      <w:r w:rsidR="00736602">
        <w:t xml:space="preserve"> </w:t>
      </w:r>
      <w:r w:rsidR="007E06A8">
        <w:t>combine university and schools</w:t>
      </w:r>
      <w:r w:rsidR="00C90E29">
        <w:t>,</w:t>
      </w:r>
      <w:r w:rsidR="007E06A8">
        <w:t xml:space="preserve"> leading to change and progress in both. </w:t>
      </w:r>
      <w:r w:rsidR="006F5049">
        <w:t xml:space="preserve"> Regular collaboration will </w:t>
      </w:r>
      <w:r w:rsidR="006764F9">
        <w:t xml:space="preserve">increase the frequency of learning opportunities for mentors. It will enable them to have more involvement in the development and delivery of teacher education. The development of mentoring in schools is possible through CPD opportunities </w:t>
      </w:r>
      <w:r w:rsidR="00697A38">
        <w:t>delivered</w:t>
      </w:r>
      <w:r w:rsidR="006764F9">
        <w:t xml:space="preserve"> by the university. Interview data highlighted that the use of mentor meetings as a</w:t>
      </w:r>
      <w:r w:rsidR="00C90E29">
        <w:t xml:space="preserve"> useful</w:t>
      </w:r>
      <w:r w:rsidR="006764F9">
        <w:t xml:space="preserve"> </w:t>
      </w:r>
      <w:r w:rsidR="00697A38">
        <w:t>vehicle for CPD</w:t>
      </w:r>
      <w:r w:rsidR="0029505D">
        <w:t>.</w:t>
      </w:r>
    </w:p>
    <w:p w14:paraId="507807E4" w14:textId="77777777" w:rsidR="008F1949" w:rsidRDefault="008F1949" w:rsidP="00A87105">
      <w:pPr>
        <w:spacing w:after="0" w:line="360" w:lineRule="auto"/>
      </w:pPr>
    </w:p>
    <w:p w14:paraId="2432E2B8" w14:textId="004DD2E0" w:rsidR="00736602" w:rsidRDefault="0029505D" w:rsidP="00A87105">
      <w:pPr>
        <w:spacing w:after="0" w:line="360" w:lineRule="auto"/>
      </w:pPr>
      <w:r>
        <w:t xml:space="preserve">The research consistently focuses on the increase in the routes </w:t>
      </w:r>
      <w:r w:rsidR="00A44951">
        <w:t>to</w:t>
      </w:r>
      <w:r>
        <w:t xml:space="preserve"> teaching. This has created new participants in the teaching education community. Although this can create tensions and a sense of vulnerability it also creates opportunities to for </w:t>
      </w:r>
      <w:r w:rsidR="00C45BAD">
        <w:t>collaboration</w:t>
      </w:r>
      <w:r>
        <w:t>, interaction and learning from</w:t>
      </w:r>
      <w:r w:rsidR="006764F9">
        <w:t xml:space="preserve"> </w:t>
      </w:r>
      <w:r w:rsidR="00C45BAD">
        <w:t>a community of expertise.</w:t>
      </w:r>
      <w:r w:rsidR="00C90E29">
        <w:t xml:space="preserve"> This positive outlook on the changes is an important message to take from the paper.</w:t>
      </w:r>
      <w:r w:rsidR="00C45BAD">
        <w:t xml:space="preserve"> The role of teacher educators is</w:t>
      </w:r>
      <w:r w:rsidR="00C90E29">
        <w:t xml:space="preserve"> now</w:t>
      </w:r>
      <w:r w:rsidR="00C45BAD">
        <w:t xml:space="preserve"> found in universities, schools and other contexts and as a result will offer something slightly different in expertise and skills. Teacher educati</w:t>
      </w:r>
      <w:r w:rsidR="00122FF1">
        <w:t>on</w:t>
      </w:r>
      <w:r w:rsidR="00C45BAD">
        <w:t xml:space="preserve"> stands to benefit from this</w:t>
      </w:r>
      <w:r w:rsidR="00122FF1">
        <w:t xml:space="preserve"> in the long term</w:t>
      </w:r>
      <w:r w:rsidR="00C45BAD">
        <w:t xml:space="preserve">. </w:t>
      </w:r>
    </w:p>
    <w:p w14:paraId="449F8B1B" w14:textId="77777777" w:rsidR="008F1949" w:rsidRDefault="008F1949" w:rsidP="00A87105">
      <w:pPr>
        <w:spacing w:after="0" w:line="360" w:lineRule="auto"/>
      </w:pPr>
    </w:p>
    <w:p w14:paraId="19918CD9" w14:textId="525246F4" w:rsidR="00122FF1" w:rsidRDefault="00122FF1" w:rsidP="00A87105">
      <w:pPr>
        <w:spacing w:after="0" w:line="360" w:lineRule="auto"/>
      </w:pPr>
      <w:r>
        <w:t>Overall, teacher educators collaborating with their mentors in a stable system that allows the growth of collaboration</w:t>
      </w:r>
      <w:r w:rsidR="00C90E29">
        <w:t>,</w:t>
      </w:r>
      <w:r>
        <w:t xml:space="preserve"> using the tools identified fr</w:t>
      </w:r>
      <w:r w:rsidR="00C90E29">
        <w:t>o</w:t>
      </w:r>
      <w:r>
        <w:t>m the interview data</w:t>
      </w:r>
      <w:r w:rsidR="00C90E29">
        <w:t>,</w:t>
      </w:r>
      <w:r>
        <w:t xml:space="preserve"> will provide a framework for future progression in the education and mentoring of trainee teachers. </w:t>
      </w:r>
      <w:r w:rsidR="00C90E29">
        <w:t>This is a justified and convincing argument that is supported by previous research identified in the article. It can be argued that this article provides reinforcement and support for ideas that already exist in teacher education.</w:t>
      </w:r>
    </w:p>
    <w:p w14:paraId="3978CEBD" w14:textId="6AA0092A" w:rsidR="00D17129" w:rsidRDefault="00D17129" w:rsidP="00A87105">
      <w:pPr>
        <w:spacing w:after="0" w:line="360" w:lineRule="auto"/>
      </w:pPr>
    </w:p>
    <w:p w14:paraId="188C8EAA" w14:textId="6DB2D2CC" w:rsidR="00D17129" w:rsidRDefault="008F1949" w:rsidP="00A87105">
      <w:pPr>
        <w:spacing w:after="0" w:line="360" w:lineRule="auto"/>
      </w:pPr>
      <w:proofErr w:type="gramStart"/>
      <w:r>
        <w:t>Words :</w:t>
      </w:r>
      <w:proofErr w:type="gramEnd"/>
      <w:r>
        <w:t xml:space="preserve"> </w:t>
      </w:r>
      <w:r w:rsidR="00D17129">
        <w:t>25</w:t>
      </w:r>
      <w:r>
        <w:t>97</w:t>
      </w:r>
    </w:p>
    <w:p w14:paraId="62C5932E" w14:textId="7ADA339C" w:rsidR="00C90E29" w:rsidRPr="001A3CB4" w:rsidRDefault="00C90E29" w:rsidP="00F05BDA">
      <w:pPr>
        <w:jc w:val="center"/>
        <w:rPr>
          <w:b/>
        </w:rPr>
      </w:pPr>
      <w:r w:rsidRPr="001A3CB4">
        <w:rPr>
          <w:b/>
        </w:rPr>
        <w:t>References.</w:t>
      </w:r>
    </w:p>
    <w:p w14:paraId="3FF847E8" w14:textId="77777777" w:rsidR="00C239AC" w:rsidRDefault="00C239AC" w:rsidP="00C239AC">
      <w:r>
        <w:t xml:space="preserve">Bell, J. (2010) </w:t>
      </w:r>
      <w:r w:rsidRPr="00C239AC">
        <w:rPr>
          <w:b/>
        </w:rPr>
        <w:t>Doing Your Research Project</w:t>
      </w:r>
      <w:r>
        <w:t xml:space="preserve">. 5th Edition. OU Press: Maidenhead </w:t>
      </w:r>
    </w:p>
    <w:p w14:paraId="2979BD43" w14:textId="66B386BB" w:rsidR="00B774A4" w:rsidRDefault="00B774A4" w:rsidP="00EE0A77">
      <w:r w:rsidRPr="00B774A4">
        <w:t xml:space="preserve">Bell, J. and Opie, C. (2002) </w:t>
      </w:r>
      <w:r w:rsidRPr="00B774A4">
        <w:rPr>
          <w:b/>
        </w:rPr>
        <w:t>Learning from research: getting more from your data</w:t>
      </w:r>
      <w:r w:rsidRPr="00B774A4">
        <w:t>. OU Press: Maidenhead</w:t>
      </w:r>
    </w:p>
    <w:p w14:paraId="1044A6CD" w14:textId="34D868A6" w:rsidR="00B774A4" w:rsidRDefault="00B774A4" w:rsidP="00EE0A77">
      <w:r w:rsidRPr="00B774A4">
        <w:t xml:space="preserve">Cohen, L. et al (2009) </w:t>
      </w:r>
      <w:r w:rsidRPr="00C239AC">
        <w:rPr>
          <w:b/>
        </w:rPr>
        <w:t>Research Methods in Education</w:t>
      </w:r>
      <w:r w:rsidRPr="00B774A4">
        <w:t>. 6th edition. Routledge: Oxford</w:t>
      </w:r>
    </w:p>
    <w:p w14:paraId="6D3368E4" w14:textId="51F56788" w:rsidR="00C239AC" w:rsidRDefault="00C239AC" w:rsidP="00C239AC">
      <w:r>
        <w:t xml:space="preserve">Denzin, N. (2017) </w:t>
      </w:r>
      <w:r w:rsidRPr="00C239AC">
        <w:rPr>
          <w:b/>
        </w:rPr>
        <w:t>Sociological Methods: A sourcebook</w:t>
      </w:r>
      <w:r>
        <w:t>. Routledge: New York</w:t>
      </w:r>
    </w:p>
    <w:p w14:paraId="4E91A040" w14:textId="25CDF21A" w:rsidR="0057583D" w:rsidRDefault="0057583D" w:rsidP="00C239AC">
      <w:pPr>
        <w:rPr>
          <w:b/>
        </w:rPr>
      </w:pPr>
      <w:r>
        <w:t xml:space="preserve">Hobson et al (2015) </w:t>
      </w:r>
      <w:r w:rsidRPr="001A3CB4">
        <w:rPr>
          <w:b/>
        </w:rPr>
        <w:t>Mentoring for teachers in the further education and skills sector in England</w:t>
      </w:r>
      <w:r w:rsidR="001A3CB4" w:rsidRPr="001A3CB4">
        <w:rPr>
          <w:b/>
        </w:rPr>
        <w:t>.</w:t>
      </w:r>
      <w:r w:rsidR="001A3CB4">
        <w:rPr>
          <w:b/>
        </w:rPr>
        <w:t xml:space="preserve"> </w:t>
      </w:r>
      <w:r w:rsidR="001A3CB4" w:rsidRPr="001A3CB4">
        <w:t>Education Research Centre University of Brighton.</w:t>
      </w:r>
    </w:p>
    <w:p w14:paraId="2C140F6B" w14:textId="7BB703B4" w:rsidR="00C239AC" w:rsidRDefault="00C239AC" w:rsidP="00C239AC">
      <w:proofErr w:type="spellStart"/>
      <w:r w:rsidRPr="00C239AC">
        <w:t>Toomela</w:t>
      </w:r>
      <w:proofErr w:type="spellEnd"/>
      <w:r w:rsidR="0057583D">
        <w:t>, A</w:t>
      </w:r>
      <w:r w:rsidRPr="00C239AC">
        <w:t xml:space="preserve"> </w:t>
      </w:r>
      <w:r w:rsidR="0057583D">
        <w:t xml:space="preserve">(2000) </w:t>
      </w:r>
      <w:r w:rsidR="0057583D" w:rsidRPr="00A44951">
        <w:t>Activity Theory Is a Dead End for Cultural-Historical Psychology</w:t>
      </w:r>
      <w:r w:rsidR="00A44951">
        <w:t>.</w:t>
      </w:r>
      <w:r w:rsidRPr="00C239AC">
        <w:t> </w:t>
      </w:r>
      <w:r w:rsidRPr="00A44951">
        <w:rPr>
          <w:b/>
        </w:rPr>
        <w:t>Culture &amp; Psychology</w:t>
      </w:r>
      <w:r w:rsidRPr="00C239AC">
        <w:t xml:space="preserve"> 6(3):353-364 ·  </w:t>
      </w:r>
    </w:p>
    <w:p w14:paraId="37161C6F" w14:textId="664D9488" w:rsidR="00F05BDA" w:rsidRDefault="00F05BDA" w:rsidP="00C239AC"/>
    <w:p w14:paraId="494806D0" w14:textId="77777777" w:rsidR="00F05BDA" w:rsidRDefault="00F05BDA" w:rsidP="00C239AC"/>
    <w:p w14:paraId="7279ED65" w14:textId="77777777" w:rsidR="00B774A4" w:rsidRDefault="00B774A4" w:rsidP="00EE0A77"/>
    <w:p w14:paraId="372E072C" w14:textId="78A8C223" w:rsidR="00D17129" w:rsidRDefault="00D17129" w:rsidP="00D17129">
      <w:pPr>
        <w:spacing w:line="360" w:lineRule="auto"/>
        <w:rPr>
          <w:b/>
        </w:rPr>
      </w:pPr>
      <w:r w:rsidRPr="00F05BDA">
        <w:rPr>
          <w:b/>
        </w:rPr>
        <w:t xml:space="preserve">Part </w:t>
      </w:r>
      <w:proofErr w:type="gramStart"/>
      <w:r w:rsidRPr="00F05BDA">
        <w:rPr>
          <w:b/>
        </w:rPr>
        <w:t>2</w:t>
      </w:r>
      <w:r w:rsidR="00F05BDA" w:rsidRPr="00F05BDA">
        <w:rPr>
          <w:b/>
        </w:rPr>
        <w:t xml:space="preserve"> :</w:t>
      </w:r>
      <w:proofErr w:type="gramEnd"/>
      <w:r w:rsidR="00F05BDA">
        <w:t xml:space="preserve"> </w:t>
      </w:r>
      <w:r w:rsidRPr="00D17129">
        <w:rPr>
          <w:b/>
        </w:rPr>
        <w:t>Critically review the policy and practice of mentoring and coaching in your setting to demonstrate understandings of the qualities of the effective mentor and or coach is expected to demonstrate. Reflect on your experience of mentoring and or coaching systems in professional contexts.</w:t>
      </w:r>
    </w:p>
    <w:p w14:paraId="0828725E" w14:textId="77777777" w:rsidR="00D17129" w:rsidRPr="00D17129" w:rsidRDefault="00D17129" w:rsidP="00D17129">
      <w:pPr>
        <w:spacing w:line="360" w:lineRule="auto"/>
        <w:rPr>
          <w:b/>
        </w:rPr>
      </w:pPr>
    </w:p>
    <w:p w14:paraId="5B0EDF4C" w14:textId="12B83400" w:rsidR="00D17129" w:rsidRDefault="00D17129" w:rsidP="00D17129">
      <w:pPr>
        <w:spacing w:line="360" w:lineRule="auto"/>
        <w:rPr>
          <w:b/>
          <w:i/>
        </w:rPr>
      </w:pPr>
      <w:r w:rsidRPr="00D17129">
        <w:rPr>
          <w:b/>
          <w:i/>
        </w:rPr>
        <w:t>Show understanding of the conceptual issues and practical applications of the theories of mentoring and coaching.</w:t>
      </w:r>
    </w:p>
    <w:p w14:paraId="68F0AEED" w14:textId="7D2CBFA8" w:rsidR="00D17129" w:rsidRDefault="00D17129" w:rsidP="00D17129">
      <w:pPr>
        <w:spacing w:line="360" w:lineRule="auto"/>
      </w:pPr>
      <w:r>
        <w:t xml:space="preserve">The varied definitions linked to coaching and mentoring highlight the difficulties in forming a common understanding of key concepts. (Harrison, </w:t>
      </w:r>
      <w:proofErr w:type="spellStart"/>
      <w:r>
        <w:t>Dymoke</w:t>
      </w:r>
      <w:proofErr w:type="spellEnd"/>
      <w:r>
        <w:t>, Pell. 2004) Terms and definitions continue to evolve as the debate and discussion around effective coach and mentoring grows. (</w:t>
      </w:r>
      <w:proofErr w:type="spellStart"/>
      <w:r>
        <w:t>Parsloe</w:t>
      </w:r>
      <w:proofErr w:type="spellEnd"/>
      <w:r>
        <w:t xml:space="preserve"> &amp; Wray, 2008). Brockbank and McGill (2009) see coaching as targeting improvement only, whereas mentoring leads to a transformational learning outcome. Clutterbuck (2005) develops this by identifying the role of a mentor as a fulfilled and more experienced individual, willing to share his/her knowledge with someone less experienced in a relationship of mutual trust. However, it can be argued that this broad definition embraces the concept of coaching. This is particularly relevant in this assignment as coaching is often considered to be a certain form of mentoring in teacher education. It has a specific focus on specific skills that are generally related to performance. (Green, Holmes &amp; Shaw, 1991)</w:t>
      </w:r>
    </w:p>
    <w:p w14:paraId="38C1957B" w14:textId="77777777" w:rsidR="00F05BDA" w:rsidRDefault="00F05BDA" w:rsidP="00D17129">
      <w:pPr>
        <w:spacing w:line="360" w:lineRule="auto"/>
      </w:pPr>
    </w:p>
    <w:p w14:paraId="14A845B4" w14:textId="7590567D" w:rsidR="00D17129" w:rsidRDefault="00D17129" w:rsidP="00D17129">
      <w:pPr>
        <w:spacing w:line="360" w:lineRule="auto"/>
      </w:pPr>
      <w:r>
        <w:t>The debate over the definition of coaching or mentoring can become a distraction. It is important to note that the term is not important, purpose, process and outcome are important and the learning outcomes of both will always be focused on improvement. Rather than attempting to impose rigid definitions on these processes it is perhaps better to view mentoring, coaching and counselling as flexible areas of developmental space. (Brockbank and McGill 2009) It is also important to acknowledge that the skills of mentors and coaches will overlap. (Megginson &amp; Clutterbuck, 2005)</w:t>
      </w:r>
    </w:p>
    <w:p w14:paraId="3D52EC33" w14:textId="77777777" w:rsidR="00F05BDA" w:rsidRDefault="00F05BDA" w:rsidP="00D17129">
      <w:pPr>
        <w:spacing w:line="360" w:lineRule="auto"/>
      </w:pPr>
    </w:p>
    <w:p w14:paraId="1686BCAC" w14:textId="77777777" w:rsidR="00D17129" w:rsidRDefault="00D17129" w:rsidP="00D17129">
      <w:pPr>
        <w:spacing w:line="360" w:lineRule="auto"/>
      </w:pPr>
      <w:r>
        <w:t xml:space="preserve">Brockbank and McGill (2009) note that mentoring can be centred on different approaches. In functionalist mentoring the purpose will be described and the goals prescribed. This functionalist approach can be Socratic in style with problem solving at the core. The Socratic nature will lead to a focus on questioning from the mentoring. Clutterbuck (2005) sees that it is questioning process that differentiates mentoring from counselling. In contrast, evolutionary mentoring allows the teacher ownership of his/her goals, which have been produced from the mentoring relationship. It is possible to see how both functionalist and evolutionary are appropriate in the context an </w:t>
      </w:r>
      <w:proofErr w:type="spellStart"/>
      <w:r>
        <w:t>an</w:t>
      </w:r>
      <w:proofErr w:type="spellEnd"/>
      <w:r>
        <w:t xml:space="preserve"> NQT year. An NQT will benefit from a functionalist approach at the start of the process and once skills and expertise are established, will prosper from a more evolutionary approach. Whether it is functionalist or evolutionary, mentoring has several roles to play which go beyond the coach’s remit.  These can be found to assist in building networks, acting as a sounding board, counsellor, adviser, role model and emotional support. (Megginson &amp; Clutterbuck, 2005) These attributes are all needed for successful mentoring of teachers, particularly NQTs.</w:t>
      </w:r>
    </w:p>
    <w:p w14:paraId="4A00C164" w14:textId="77777777" w:rsidR="00D17129" w:rsidRDefault="00D17129" w:rsidP="00D17129">
      <w:pPr>
        <w:spacing w:line="360" w:lineRule="auto"/>
      </w:pPr>
    </w:p>
    <w:p w14:paraId="1A07E7EE" w14:textId="77777777" w:rsidR="00D17129" w:rsidRDefault="00D17129" w:rsidP="00D17129">
      <w:pPr>
        <w:spacing w:line="360" w:lineRule="auto"/>
      </w:pPr>
      <w:r>
        <w:t xml:space="preserve">The range of definitions for the coaching and mentoring processes can be attributed to the growth in different models that have evolved. The confusion over definition has been added to by the number of models for mentoring. There are a variety of traditional stage </w:t>
      </w:r>
      <w:proofErr w:type="gramStart"/>
      <w:r>
        <w:t>models :</w:t>
      </w:r>
      <w:proofErr w:type="gramEnd"/>
      <w:r>
        <w:t xml:space="preserve"> Kathy </w:t>
      </w:r>
      <w:proofErr w:type="spellStart"/>
      <w:r>
        <w:t>Kram</w:t>
      </w:r>
      <w:proofErr w:type="spellEnd"/>
      <w:r>
        <w:t xml:space="preserve"> identified 4 stages of mentoring, initiation, cultivation, separation and redefinition. This was further developed by Clutterbuck (2005) who identified rapport building, direction setting, progress making </w:t>
      </w:r>
      <w:proofErr w:type="gramStart"/>
      <w:r>
        <w:t>and  maturation</w:t>
      </w:r>
      <w:proofErr w:type="gramEnd"/>
      <w:r>
        <w:t>. Carruthers’ stage model offered a more cautious approach, starting with – dependence to sharing to recognition the expertise of each other ultimately leading to equal friendship.</w:t>
      </w:r>
    </w:p>
    <w:p w14:paraId="3C595DB1" w14:textId="25D9AF60" w:rsidR="00D17129" w:rsidRDefault="00D17129" w:rsidP="00D17129">
      <w:pPr>
        <w:spacing w:line="360" w:lineRule="auto"/>
      </w:pPr>
      <w:r>
        <w:t xml:space="preserve">An alternative approach can be found in the cyclical mentoring models. Rather than focusing on developmental methods over time, this model will address what is happening during the mentoring session. This will centre on establishing a contract and focus then reviewing the outcome of the </w:t>
      </w:r>
      <w:r>
        <w:lastRenderedPageBreak/>
        <w:t>process. In the mentoring of teachers, both stage and cyclical models will be useful in facilitating progress. The selection of a model will depend on the individual, the timeframe and the objective. The NQT induction process benefits from using both stage and cyclical models.</w:t>
      </w:r>
    </w:p>
    <w:p w14:paraId="2B29ABE6" w14:textId="77777777" w:rsidR="00F05BDA" w:rsidRDefault="00F05BDA" w:rsidP="00D17129">
      <w:pPr>
        <w:spacing w:line="360" w:lineRule="auto"/>
      </w:pPr>
    </w:p>
    <w:p w14:paraId="10089507" w14:textId="78B46EF8" w:rsidR="00D17129" w:rsidRDefault="00D17129" w:rsidP="00D17129">
      <w:pPr>
        <w:spacing w:line="360" w:lineRule="auto"/>
      </w:pPr>
      <w:r>
        <w:t xml:space="preserve">Coaching models have become popular in working with NQTs, particularly after the basics have been established. The basis of these models is helping the mentee to learn. The most frequently referred model in my role as an External Mentor is the GROW model. GROW is used in the ERW professional development programme and its principles are cascaded into the training given to school-based mentors. With this functionalist approach based on goal setting, reality checking, exploring options and willingness to act it provides a simple framework. Also, it is useful with teachers who are cooperative and willing to fully engage in the process. </w:t>
      </w:r>
      <w:proofErr w:type="spellStart"/>
      <w:r>
        <w:t>Parsloe</w:t>
      </w:r>
      <w:proofErr w:type="spellEnd"/>
      <w:r>
        <w:t xml:space="preserve"> &amp; Wray (2008) state that GROW is very effective when you are coaching learners who have a basic knowledge, expertise and enthusiasm. Most NQTs possess these attributes. Other similar models exist, the FLOW model is used in education.  This is based on establishing relationship, recognising openings, observation and subsequent coaching conversations. Both models are underpinned by relationships based on shared commitment, mutual trust, mutual respect and freedom of expression. (Brockbank &amp;McGill, 2009)</w:t>
      </w:r>
    </w:p>
    <w:p w14:paraId="3D1206D2" w14:textId="77777777" w:rsidR="00F05BDA" w:rsidRDefault="00F05BDA" w:rsidP="00D17129">
      <w:pPr>
        <w:spacing w:line="360" w:lineRule="auto"/>
      </w:pPr>
    </w:p>
    <w:p w14:paraId="3449F074" w14:textId="779C8153" w:rsidR="00D17129" w:rsidRDefault="00D17129" w:rsidP="00D17129">
      <w:pPr>
        <w:spacing w:line="360" w:lineRule="auto"/>
      </w:pPr>
      <w:r>
        <w:t xml:space="preserve">Interestingly, there is no specific model or concept offered in the guidance for coaching and mentoring in Wales. In the guidance published in 2012 there is an opening statement that recognises that the way mentoring is used depends on the context. Therefore, ten principles derived from research and consultation, are offered as guidance. These focus on useful tools such as learning conversations, learning agreements, growing self-direction and experimenting and observing. Given the confusion surrounding definitions of coaching and mentoring and the contrasting models that have been developed, the ability to identify and use the principles applicable to an individual context might help with clarity in engaging successfully with a mentee or </w:t>
      </w:r>
      <w:proofErr w:type="spellStart"/>
      <w:r>
        <w:t>coachee</w:t>
      </w:r>
      <w:proofErr w:type="spellEnd"/>
      <w:r>
        <w:t>.</w:t>
      </w:r>
    </w:p>
    <w:p w14:paraId="4A1A4197" w14:textId="77777777" w:rsidR="00F05BDA" w:rsidRDefault="00F05BDA" w:rsidP="00D17129">
      <w:pPr>
        <w:spacing w:line="360" w:lineRule="auto"/>
      </w:pPr>
    </w:p>
    <w:p w14:paraId="275B2047" w14:textId="77777777" w:rsidR="00D17129" w:rsidRDefault="00D17129" w:rsidP="00D17129">
      <w:pPr>
        <w:spacing w:line="360" w:lineRule="auto"/>
      </w:pPr>
      <w:r>
        <w:t xml:space="preserve">In the current context of teacher recruitment and retention the practical application of appropriate mentoring and coaching is of high importance. Research in several countries has demonstrated that a large proportion of newly qualified teachers decide to leave the profession within their first 5 years of teaching (Lovett 2007; Rots &amp; </w:t>
      </w:r>
      <w:proofErr w:type="spellStart"/>
      <w:r>
        <w:t>Aelterman</w:t>
      </w:r>
      <w:proofErr w:type="spellEnd"/>
      <w:r>
        <w:t xml:space="preserve">, 2009). This early and high teacher turnover is problematic as high teacher turnover rates and teacher shortages are hindering their students' learning progress (White &amp; Smith, 2005).  One of the answers to this problem will be practical </w:t>
      </w:r>
      <w:r>
        <w:lastRenderedPageBreak/>
        <w:t>support for teachers in the early stages of their career, particularly during the NQT phase. Effective coaching and mentoring will provide teacher with the tools to cope with the challenges that the profession can offer.</w:t>
      </w:r>
    </w:p>
    <w:p w14:paraId="6DF21277" w14:textId="77777777" w:rsidR="00D17129" w:rsidRDefault="00D17129" w:rsidP="00D17129">
      <w:pPr>
        <w:spacing w:line="360" w:lineRule="auto"/>
      </w:pPr>
    </w:p>
    <w:p w14:paraId="7ABB54CA" w14:textId="77777777" w:rsidR="00D17129" w:rsidRDefault="00D17129" w:rsidP="00D17129">
      <w:pPr>
        <w:spacing w:line="360" w:lineRule="auto"/>
      </w:pPr>
      <w:r w:rsidRPr="00F05BDA">
        <w:rPr>
          <w:b/>
          <w:i/>
        </w:rPr>
        <w:t xml:space="preserve">Demonstrate the ability to reflect on the performance of both mentor and mentee and </w:t>
      </w:r>
      <w:proofErr w:type="spellStart"/>
      <w:r w:rsidRPr="00F05BDA">
        <w:rPr>
          <w:b/>
          <w:i/>
        </w:rPr>
        <w:t>coachees</w:t>
      </w:r>
      <w:proofErr w:type="spellEnd"/>
      <w:r>
        <w:t>.</w:t>
      </w:r>
    </w:p>
    <w:p w14:paraId="3C2C9180" w14:textId="6C53222F" w:rsidR="00D17129" w:rsidRDefault="00D17129" w:rsidP="00D17129">
      <w:pPr>
        <w:spacing w:line="360" w:lineRule="auto"/>
      </w:pPr>
      <w:r>
        <w:t>One of my roles in Education is an ERW External Mentor. This is based around working with newly qualified teachers and school-based mentors. In my roles with ERW and UWTSD I visit many schools and, as a result I see a range of approaches to mentoring.</w:t>
      </w:r>
    </w:p>
    <w:p w14:paraId="4C53473B" w14:textId="77777777" w:rsidR="00F05BDA" w:rsidRDefault="00F05BDA" w:rsidP="00D17129">
      <w:pPr>
        <w:spacing w:line="360" w:lineRule="auto"/>
      </w:pPr>
    </w:p>
    <w:p w14:paraId="14D69DD1" w14:textId="31E07A7A" w:rsidR="00D17129" w:rsidRDefault="00D17129" w:rsidP="00D17129">
      <w:pPr>
        <w:spacing w:line="360" w:lineRule="auto"/>
      </w:pPr>
      <w:r>
        <w:t>Although this assignment has been based on the mentoring of NQT although there are occasional references to the mentoring and coaching of PGCE students. This is a logical step as one process feeds into another and there are clear structural links between the two stages, even more prevalent from 2017 with recent changes in welsh Education policy as part of the National Mission. Furthermore, the school-based mentor for the trainee teachers tends to lead the newly qualified teacher induction programme.</w:t>
      </w:r>
    </w:p>
    <w:p w14:paraId="0BC75E35" w14:textId="77777777" w:rsidR="00F05BDA" w:rsidRDefault="00F05BDA" w:rsidP="00D17129">
      <w:pPr>
        <w:spacing w:line="360" w:lineRule="auto"/>
      </w:pPr>
    </w:p>
    <w:p w14:paraId="087104E4" w14:textId="77777777" w:rsidR="00D17129" w:rsidRDefault="00D17129" w:rsidP="00D17129">
      <w:pPr>
        <w:spacing w:line="360" w:lineRule="auto"/>
      </w:pPr>
      <w:r>
        <w:t>In terms of reflecting on the performance of all involved in is important to assess the policy and guidance offered to school based mentors. In the guidance document produced for mentors there are short bullet points offered, with many of them being structural and administrative. For example, ‘meet with all NQTs on their arrival in school to discuss their induction and notify EWC of their presence in the school using the Notification form’ Although guidance like this is crucial in the successful completion of the process there is little focus on the concepts of mentoring and coaching. There is one point of the guidance designed to address this is;</w:t>
      </w:r>
    </w:p>
    <w:p w14:paraId="7B255EA1" w14:textId="77777777" w:rsidR="00D17129" w:rsidRDefault="00D17129" w:rsidP="00D17129">
      <w:pPr>
        <w:spacing w:line="360" w:lineRule="auto"/>
      </w:pPr>
      <w:r>
        <w:t>‘To work closely with the NQT, through regular professional dialogue, to review and explore professional experiences, support and challenge the NQT in relation to the professional standards and ensure the PLP is being used to best effect.  In ERW the expectation is that a professional meeting is held at least once every half term.  Minutes should be recorded and saved on the profile’</w:t>
      </w:r>
    </w:p>
    <w:p w14:paraId="63AC3202" w14:textId="77777777" w:rsidR="00D17129" w:rsidRDefault="00D17129" w:rsidP="00D17129">
      <w:pPr>
        <w:spacing w:line="360" w:lineRule="auto"/>
      </w:pPr>
    </w:p>
    <w:p w14:paraId="600769BD" w14:textId="77777777" w:rsidR="00D17129" w:rsidRDefault="00D17129" w:rsidP="00D17129">
      <w:pPr>
        <w:spacing w:line="360" w:lineRule="auto"/>
      </w:pPr>
      <w:r>
        <w:t xml:space="preserve">Given the challenge and intensity of the NQT year, both for mentor and NQT this might appear to be rather short and basic in offering guidance. However, the flexibility that is offered by a statement of this nature is mirrored by guidance offered in general for mentoring and coaching by Welsh </w:t>
      </w:r>
      <w:r>
        <w:lastRenderedPageBreak/>
        <w:t>Government. The document is based on the recognition that the way mentoring is used depends on the context. As a result, there is no intention to impose a uniform model although ten principles are offered from research and consultation. (Learning Wales – Coaching and Mentoring 2012) Without a uniform model being offered, the performance of the mentor will be intrinsically linked to the experience and skills gained in their career. This inevitably leads to variance as each school-based mentor will have different experiences, with different levels of professional development and different levels of support for themselves and the mentoring process within the school.</w:t>
      </w:r>
    </w:p>
    <w:p w14:paraId="177070E6" w14:textId="77777777" w:rsidR="00D17129" w:rsidRDefault="00D17129" w:rsidP="00D17129">
      <w:pPr>
        <w:spacing w:line="360" w:lineRule="auto"/>
      </w:pPr>
    </w:p>
    <w:p w14:paraId="4FA7D6FC" w14:textId="7A75E075" w:rsidR="00D17129" w:rsidRDefault="00D17129" w:rsidP="00D17129">
      <w:pPr>
        <w:spacing w:line="360" w:lineRule="auto"/>
      </w:pPr>
      <w:r>
        <w:t>An important factor to consider when reflecting on the performance of mentors and mentees is the specific goal at the start of the mentoring process. The aim is to meet 30 professional standards through providing supporting evidence. These professional standards need to be met for the NQT to progress onto the next stage of their career. Unsurprisingly, they become the focus of the mentoring programme offered. This does not preclude other elements of professional support and development for the NQT and it does not mean that supporting the holistic development of the NQT is neglected. However, with a large degree of flexibility given to the process by Welsh Government there is a level of inconsistency in the balance of the short term needs and meeting the standards and the long term needs of developing skilled and effective teachers that will stay in the profession.</w:t>
      </w:r>
    </w:p>
    <w:p w14:paraId="1730D41B" w14:textId="77777777" w:rsidR="00F05BDA" w:rsidRDefault="00F05BDA" w:rsidP="00D17129">
      <w:pPr>
        <w:spacing w:line="360" w:lineRule="auto"/>
      </w:pPr>
    </w:p>
    <w:p w14:paraId="74EF5A8F" w14:textId="4745BCFE" w:rsidR="00D17129" w:rsidRDefault="00D17129" w:rsidP="00D17129">
      <w:pPr>
        <w:spacing w:line="360" w:lineRule="auto"/>
      </w:pPr>
      <w:r>
        <w:t xml:space="preserve">With meeting of the national professional standards being a fundamental element of the mentoring process certain techniques have been developed to facilitate mentees towards fulfilling this process. This can arguably lead to a formulaic approach. It can also lead to using a framework that opposes the humanistic tradition that </w:t>
      </w:r>
      <w:proofErr w:type="gramStart"/>
      <w:r>
        <w:t>coaching</w:t>
      </w:r>
      <w:proofErr w:type="gramEnd"/>
      <w:r>
        <w:t xml:space="preserve"> and mentoring represent, limiting empathy (Megginson and Clutterbuck, 2005). However, this point can be countered by the fact that frameworks/guides can be useful and don’t act as constraints. (Garvey, Stokes &amp; Megginson, 2009) My experience is that mentees feel more secure with the tangible goal the professional standards offer. </w:t>
      </w:r>
    </w:p>
    <w:p w14:paraId="5970240E" w14:textId="77777777" w:rsidR="00F05BDA" w:rsidRDefault="00F05BDA" w:rsidP="00D17129">
      <w:pPr>
        <w:spacing w:line="360" w:lineRule="auto"/>
      </w:pPr>
    </w:p>
    <w:p w14:paraId="3D11D7E2" w14:textId="77777777" w:rsidR="00D17129" w:rsidRDefault="00D17129" w:rsidP="00D17129">
      <w:pPr>
        <w:spacing w:line="360" w:lineRule="auto"/>
      </w:pPr>
      <w:r>
        <w:t xml:space="preserve">With a set of standards that need to be addressed, it can be argued the school-based mentors’ role and my own role become more coaching based. Coaching is often considered to be a certain form of mentoring in teacher education. It has a specific focus on specific skills that are generally related to performance. (Green, Holmes &amp; Shaw, 1991) The national standards focus on specific skills and understanding, and coaching can lead to improvement in the specific use of assessment or greater competence in the use of ICT.  Mentees prioritise and focus on achieving the professional standards. </w:t>
      </w:r>
      <w:r>
        <w:lastRenderedPageBreak/>
        <w:t xml:space="preserve">This is understandable, but it does raise a question over the long-term impact of the mentoring scheme that a teacher receives in their first year. It is not available in the same way thereafter. This does not mean an absence of mentoring after the first year, but it is more likely to be informal and not have the structure and intensity of the induction process. </w:t>
      </w:r>
    </w:p>
    <w:p w14:paraId="7093CA2C" w14:textId="77777777" w:rsidR="00D17129" w:rsidRDefault="00D17129" w:rsidP="00D17129">
      <w:pPr>
        <w:spacing w:line="360" w:lineRule="auto"/>
      </w:pPr>
    </w:p>
    <w:p w14:paraId="70BFE85A" w14:textId="77777777" w:rsidR="00D17129" w:rsidRDefault="00D17129" w:rsidP="00D17129">
      <w:pPr>
        <w:spacing w:line="360" w:lineRule="auto"/>
      </w:pPr>
      <w:proofErr w:type="gramStart"/>
      <w:r>
        <w:t>It is clear that the</w:t>
      </w:r>
      <w:proofErr w:type="gramEnd"/>
      <w:r>
        <w:t xml:space="preserve"> performance of the mentors and mentees can be strongly linked to the environment they work in. Supportive school environments that have a clear system of induction will produce an environment where risk taking, and challenge become integral in the approach of developing effective teachers. Schools that value the process and understand that a quality mentoring programme is a valuable investment in the future of the school make huge progress. However, in my role an external mentor it is possible to identify a current challenge. With current fiscal pressure in all school there is a huge amount of pressure on the time of mentors. It is common that   school-based mentors have </w:t>
      </w:r>
      <w:proofErr w:type="gramStart"/>
      <w:r>
        <w:t>a number of</w:t>
      </w:r>
      <w:proofErr w:type="gramEnd"/>
      <w:r>
        <w:t xml:space="preserve"> leadership and strategic roles in a school and can struggle in giving the mentoring programme the time and attention that it needs. </w:t>
      </w:r>
    </w:p>
    <w:p w14:paraId="0D41B3F8" w14:textId="77777777" w:rsidR="00D17129" w:rsidRDefault="00D17129" w:rsidP="00D17129">
      <w:pPr>
        <w:spacing w:line="360" w:lineRule="auto"/>
      </w:pPr>
    </w:p>
    <w:p w14:paraId="2CA1DA88" w14:textId="77777777" w:rsidR="00D17129" w:rsidRPr="00F05BDA" w:rsidRDefault="00D17129" w:rsidP="00D17129">
      <w:pPr>
        <w:spacing w:line="360" w:lineRule="auto"/>
        <w:rPr>
          <w:b/>
          <w:i/>
        </w:rPr>
      </w:pPr>
      <w:r w:rsidRPr="00F05BDA">
        <w:rPr>
          <w:b/>
          <w:i/>
        </w:rPr>
        <w:t>Draw on a historical critical incident that has influenced your perspective</w:t>
      </w:r>
    </w:p>
    <w:p w14:paraId="10C36029" w14:textId="77777777" w:rsidR="00D17129" w:rsidRDefault="00D17129" w:rsidP="00D17129">
      <w:pPr>
        <w:spacing w:line="360" w:lineRule="auto"/>
      </w:pPr>
      <w:r>
        <w:t xml:space="preserve">Flanagan (1954) established the critical incident technique </w:t>
      </w:r>
      <w:proofErr w:type="gramStart"/>
      <w:r>
        <w:t>for the purpose of</w:t>
      </w:r>
      <w:proofErr w:type="gramEnd"/>
      <w:r>
        <w:t xml:space="preserve"> job analysis. It aimed to highlight the critical requirements for professional success. The concept of ‘critical incident’ can be interpreted differently amongst practitioners. (Helen Spencer-</w:t>
      </w:r>
      <w:proofErr w:type="spellStart"/>
      <w:r>
        <w:t>Oatey</w:t>
      </w:r>
      <w:proofErr w:type="spellEnd"/>
      <w:r>
        <w:t xml:space="preserve">, 2013) This was apparent in my own discussions with peers. Many comments focused on negative incidents that provoked a change in practice or behaviour. Cope and Watts (2000) stated in that a critical incident could be the ‘personal representation of salient moments’ which supports my decision to base a critical incident on experiences with one particular school and the high standard of mentoring used in the NQT induction process. The excellence that I have observed and supported in my role of External Mentor with this school has impacted on me professionally, providing examples of outstanding practice that is effective for the mentee and the mentor, and the school in general. This critical incident has provided a benchmark, allowing me to be more effective in my analysis and support of inconsistent or ineffective mentoring in other schools. This point is relevant when examining Flanagan’s initial work on critical incident. </w:t>
      </w:r>
    </w:p>
    <w:p w14:paraId="324CC748" w14:textId="77777777" w:rsidR="00D17129" w:rsidRDefault="00D17129" w:rsidP="00D17129">
      <w:pPr>
        <w:spacing w:line="360" w:lineRule="auto"/>
      </w:pPr>
    </w:p>
    <w:p w14:paraId="4685EC73" w14:textId="77777777" w:rsidR="00D17129" w:rsidRDefault="00D17129" w:rsidP="00D17129">
      <w:pPr>
        <w:spacing w:line="360" w:lineRule="auto"/>
      </w:pPr>
      <w:r>
        <w:lastRenderedPageBreak/>
        <w:t>“The critical incident technique consists of a set of procedures for collecting direct observations of human behaviour in such a way as to facilitate their potential usefulness in solving practical problems and developing broad psychological principles.” (Flanagan 1954, p. 327)</w:t>
      </w:r>
    </w:p>
    <w:p w14:paraId="1ACCC2B5" w14:textId="77777777" w:rsidR="00D17129" w:rsidRDefault="00D17129" w:rsidP="00D17129">
      <w:pPr>
        <w:spacing w:line="360" w:lineRule="auto"/>
      </w:pPr>
    </w:p>
    <w:p w14:paraId="3C5665CF" w14:textId="77777777" w:rsidR="00D17129" w:rsidRDefault="00D17129" w:rsidP="00D17129">
      <w:pPr>
        <w:spacing w:line="360" w:lineRule="auto"/>
      </w:pPr>
      <w:r>
        <w:t>My observations of excellent practice enabled me to engage and assist with problems in other school environments. Trip (1993) identified that critical incidents may not appear dramatic but are ordinary events that happen in everyday professional practice. They are critical in a different way, in that they reveal underlying motives and structures. My use and analysis of a critical incident supports this perspective.</w:t>
      </w:r>
    </w:p>
    <w:p w14:paraId="598C77AF" w14:textId="77777777" w:rsidR="00D17129" w:rsidRDefault="00D17129" w:rsidP="00D17129">
      <w:pPr>
        <w:spacing w:line="360" w:lineRule="auto"/>
      </w:pPr>
    </w:p>
    <w:p w14:paraId="7CD86B55" w14:textId="77777777" w:rsidR="00D17129" w:rsidRDefault="00D17129" w:rsidP="00D17129">
      <w:pPr>
        <w:spacing w:line="360" w:lineRule="auto"/>
      </w:pPr>
      <w:r>
        <w:t xml:space="preserve">Harrison, </w:t>
      </w:r>
      <w:proofErr w:type="spellStart"/>
      <w:r>
        <w:t>Dymoke</w:t>
      </w:r>
      <w:proofErr w:type="spellEnd"/>
      <w:r>
        <w:t xml:space="preserve"> &amp; Pell (2004) described best practice for developmental mentoring involves risk taking, challenge, supportive school environment and clear systems of induction combined with a strong school ethos with regards to professional development. I was able to observe all these features in the school identified in my critical incident. The clear system of induction was paramount for the level of success. This involved bi-weekly meetings/professional development sessions that were established from the first day of the academic year. They are strategically planned to deal with important knowledge and skills at strategic moments in the school calendar. The mentoring programme also operates in a school that values professional development and is effective at sharing good practice.</w:t>
      </w:r>
    </w:p>
    <w:p w14:paraId="159A9843" w14:textId="77777777" w:rsidR="00D17129" w:rsidRDefault="00D17129" w:rsidP="00D17129">
      <w:pPr>
        <w:spacing w:line="360" w:lineRule="auto"/>
      </w:pPr>
    </w:p>
    <w:p w14:paraId="66D009E5" w14:textId="77777777" w:rsidR="00D17129" w:rsidRDefault="00D17129" w:rsidP="00D17129">
      <w:pPr>
        <w:spacing w:line="360" w:lineRule="auto"/>
      </w:pPr>
      <w:r>
        <w:t xml:space="preserve">My observation and collaboration with the lead mentor for NQTs also forms part of the critical incident. The mentor displayed the range of required skills needed in effective teacher education.  Harrison, </w:t>
      </w:r>
      <w:proofErr w:type="spellStart"/>
      <w:r>
        <w:t>Dymoke</w:t>
      </w:r>
      <w:proofErr w:type="spellEnd"/>
      <w:r>
        <w:t xml:space="preserve"> &amp; Pell (2004) outlines these skills as guiding, leading, advising, supporting, coaching, educating, enabling, organising, managing and counselling. Availability and professionality were identified as important characteristics. Availability in the context of informal discussion outside of structured meetings and professionality in terms of not being controlling and working at a distance, particularly in the second half of the academic year. These skills were also evident with other members of staff involved in the mentoring process, usually in a more subject specific sense. This displays a pragmatic approach and an appreciation that the mentoring function of the induction process could involve </w:t>
      </w:r>
      <w:proofErr w:type="gramStart"/>
      <w:r>
        <w:t>a number of</w:t>
      </w:r>
      <w:proofErr w:type="gramEnd"/>
      <w:r>
        <w:t xml:space="preserve"> people, since it may be unrealistic that one person would be able to fulfil all aspects. Gibb and Hill (2005) stated that a good mentor is a reflective one and it can be beneficial to have disagreement over what is appropriate support. Reflection was an important </w:t>
      </w:r>
      <w:r>
        <w:lastRenderedPageBreak/>
        <w:t>feature of the role I played as an external mentor where part of my role was to question and challenge the mentoring process. This dialogue was always accepted as part of the evolution of the mentoring process in the school rather than personal criticism.</w:t>
      </w:r>
    </w:p>
    <w:p w14:paraId="561881F0" w14:textId="77777777" w:rsidR="00D17129" w:rsidRDefault="00D17129" w:rsidP="00D17129">
      <w:pPr>
        <w:spacing w:line="360" w:lineRule="auto"/>
      </w:pPr>
    </w:p>
    <w:p w14:paraId="053DB5AC" w14:textId="77777777" w:rsidR="00D17129" w:rsidRDefault="00D17129" w:rsidP="00D17129">
      <w:pPr>
        <w:spacing w:line="360" w:lineRule="auto"/>
      </w:pPr>
      <w:r>
        <w:t xml:space="preserve">The final element of this critical process is the mentee. The </w:t>
      </w:r>
      <w:proofErr w:type="gramStart"/>
      <w:r>
        <w:t>end product</w:t>
      </w:r>
      <w:proofErr w:type="gramEnd"/>
      <w:r>
        <w:t xml:space="preserve"> of the mentoring process can be measured in the successful completion of the induction year through meeting all of the professional standards. </w:t>
      </w:r>
      <w:proofErr w:type="gramStart"/>
      <w:r>
        <w:t>All of</w:t>
      </w:r>
      <w:proofErr w:type="gramEnd"/>
      <w:r>
        <w:t xml:space="preserve"> the NQTs working in the school in question have achieved this. Perhaps the most impressive feature of this is the measured and strategic way in which the induction process has been completed. This has been of great help for me in the capacity as an external mentor working with </w:t>
      </w:r>
      <w:proofErr w:type="gramStart"/>
      <w:r>
        <w:t>a number of</w:t>
      </w:r>
      <w:proofErr w:type="gramEnd"/>
      <w:r>
        <w:t xml:space="preserve"> schools as I am acutely aware of when NQTs are not on target to successfully complete the first year. As an external mentor, I always have this example of excellence to compare to. It can be argued that the mentoring process should look beyond simply addressing a set of professional standards to mentoring and coaching designed to assist in the long term. My experience with the school in question would suggest that mentoring can perform this dual role. I still work with former NQTs who have progressed quickly in their careers and have been given responsibility in their second or third year. One of the key factors behind this was the strong foundations that mentoring provided in the NQT year.  </w:t>
      </w:r>
    </w:p>
    <w:p w14:paraId="2B6F4706" w14:textId="77777777" w:rsidR="00D17129" w:rsidRDefault="00D17129" w:rsidP="00D17129">
      <w:pPr>
        <w:spacing w:line="360" w:lineRule="auto"/>
      </w:pPr>
    </w:p>
    <w:p w14:paraId="67048C37" w14:textId="3E240760" w:rsidR="00D17129" w:rsidRDefault="00D17129" w:rsidP="00D17129">
      <w:pPr>
        <w:spacing w:line="360" w:lineRule="auto"/>
      </w:pPr>
      <w:r>
        <w:t xml:space="preserve">Close examination of this critical incident has provided examples that support my own role as an External Mentor. Despite the positive features there is room for growth. The school would benefit from engaging in its own action research regarding mentoring </w:t>
      </w:r>
      <w:proofErr w:type="gramStart"/>
      <w:r>
        <w:t>and also</w:t>
      </w:r>
      <w:proofErr w:type="gramEnd"/>
      <w:r>
        <w:t xml:space="preserve"> in being active in disseminating good practice with other schools. This would be a factor in the improvement of mentoring across the region. Maxwell, Stevens, Doyle &amp; </w:t>
      </w:r>
      <w:proofErr w:type="spellStart"/>
      <w:r>
        <w:t>Malderez</w:t>
      </w:r>
      <w:proofErr w:type="spellEnd"/>
      <w:r>
        <w:t xml:space="preserve">  (2015) identify this idea of dissemination as one factor that can improve knowledge and skills in mentoring/coaching.</w:t>
      </w:r>
    </w:p>
    <w:p w14:paraId="073BC2FF" w14:textId="77777777" w:rsidR="00F05BDA" w:rsidRDefault="00F05BDA" w:rsidP="00D17129">
      <w:pPr>
        <w:spacing w:line="360" w:lineRule="auto"/>
      </w:pPr>
    </w:p>
    <w:p w14:paraId="34840E6C" w14:textId="72FEFA3C" w:rsidR="00D17129" w:rsidRDefault="00D17129" w:rsidP="00D17129">
      <w:pPr>
        <w:spacing w:line="360" w:lineRule="auto"/>
      </w:pPr>
      <w:r>
        <w:t xml:space="preserve">This critical incident allows me to be more effective in my role as external mentor. It has influenced me by making me more aware of issues with the mentoring process in other schools. These range from poorly organised programmes without focus and direction, such as mentors that approach the process in an ad -hoc manner, leaving the mentee feeling undervalued and unsupported. I have been able to identify inexperienced mentors in schools who don’t have the training or the support to be effective. In addition, the basic frameworks and guidance provided for NQT mentoring can be a hindrance, leaving processes open to interpretation. In working with excellence, I </w:t>
      </w:r>
      <w:proofErr w:type="gramStart"/>
      <w:r>
        <w:t>am able to</w:t>
      </w:r>
      <w:proofErr w:type="gramEnd"/>
      <w:r>
        <w:t xml:space="preserve"> identify </w:t>
      </w:r>
      <w:r>
        <w:lastRenderedPageBreak/>
        <w:t xml:space="preserve">inadequate practice more quickly. In addressing ineffective mentoring, I can support my advice and guidance through this example of best practice. </w:t>
      </w:r>
    </w:p>
    <w:p w14:paraId="492A030D" w14:textId="77777777" w:rsidR="00D17129" w:rsidRDefault="00D17129" w:rsidP="00D17129">
      <w:pPr>
        <w:spacing w:line="360" w:lineRule="auto"/>
      </w:pPr>
    </w:p>
    <w:p w14:paraId="6BC3DDF1" w14:textId="77777777" w:rsidR="00D17129" w:rsidRPr="00D17129" w:rsidRDefault="00D17129" w:rsidP="00D17129">
      <w:pPr>
        <w:spacing w:line="360" w:lineRule="auto"/>
        <w:rPr>
          <w:b/>
          <w:i/>
        </w:rPr>
      </w:pPr>
      <w:r w:rsidRPr="00D17129">
        <w:rPr>
          <w:b/>
          <w:i/>
        </w:rPr>
        <w:t>Critically consider clear and coherent feedback in mentoring and or coaching systems policies in mentoring and or coaching systems/ in your setting.</w:t>
      </w:r>
    </w:p>
    <w:p w14:paraId="5B728336" w14:textId="77777777" w:rsidR="00D17129" w:rsidRDefault="00D17129" w:rsidP="00D17129">
      <w:pPr>
        <w:spacing w:line="360" w:lineRule="auto"/>
      </w:pPr>
      <w:r>
        <w:t>The brief guidance offered in the policy document regarding clear and coherent feedback is -</w:t>
      </w:r>
    </w:p>
    <w:p w14:paraId="53208E13" w14:textId="77777777" w:rsidR="00D17129" w:rsidRDefault="00D17129" w:rsidP="00D17129">
      <w:pPr>
        <w:spacing w:line="360" w:lineRule="auto"/>
      </w:pPr>
      <w:r>
        <w:t>•</w:t>
      </w:r>
      <w:r>
        <w:tab/>
        <w:t xml:space="preserve">Work closely with the NQT, through regular professional dialogue, to review and explore professional experiences, support and challenge the NQT in relation to the professional standards and ensure the PLP is being used to best effect.  In ERW the expectation is that a professional meeting is held at least once every half term.    </w:t>
      </w:r>
    </w:p>
    <w:p w14:paraId="22F7587A" w14:textId="77777777" w:rsidR="00D17129" w:rsidRDefault="00D17129" w:rsidP="00D17129">
      <w:pPr>
        <w:spacing w:line="360" w:lineRule="auto"/>
      </w:pPr>
      <w:r>
        <w:t>•</w:t>
      </w:r>
      <w:r>
        <w:tab/>
        <w:t>Observe the NQT teaching. In ERW there is an expectation that a formal lesson observation should take place termly (as a minimum) and feedback given during a professional meeting</w:t>
      </w:r>
    </w:p>
    <w:p w14:paraId="060A178A" w14:textId="77777777" w:rsidR="00D17129" w:rsidRDefault="00D17129" w:rsidP="00D17129">
      <w:pPr>
        <w:spacing w:line="360" w:lineRule="auto"/>
      </w:pPr>
      <w:r>
        <w:t>•</w:t>
      </w:r>
      <w:r>
        <w:tab/>
        <w:t>Provide evidence to the External Verifier of NQT’s progress.</w:t>
      </w:r>
    </w:p>
    <w:p w14:paraId="4709E1E4" w14:textId="1DEE6DF5" w:rsidR="00D17129" w:rsidRDefault="00D17129" w:rsidP="00D17129">
      <w:pPr>
        <w:spacing w:line="360" w:lineRule="auto"/>
      </w:pPr>
      <w:r>
        <w:t xml:space="preserve">These points highlight the framework for clear and coherent feedback should review, explore, support and challenge. It also identifies lesson observation as one of the key feedback opportunities. Clear feedback is also integral to the External </w:t>
      </w:r>
      <w:r w:rsidR="00B864C8">
        <w:t>Mentor</w:t>
      </w:r>
      <w:r>
        <w:t>, not only for quality assurance, but for an additional level of mentoring and support for the school-based mentor and the mentee.</w:t>
      </w:r>
    </w:p>
    <w:p w14:paraId="176B6773" w14:textId="77777777" w:rsidR="00F05BDA" w:rsidRDefault="00F05BDA" w:rsidP="00D17129">
      <w:pPr>
        <w:spacing w:line="360" w:lineRule="auto"/>
      </w:pPr>
    </w:p>
    <w:p w14:paraId="612BCF4D" w14:textId="77777777" w:rsidR="00D17129" w:rsidRDefault="00D17129" w:rsidP="00D17129">
      <w:pPr>
        <w:spacing w:line="360" w:lineRule="auto"/>
      </w:pPr>
      <w:r>
        <w:t xml:space="preserve">This process reflects what the NQT would have experienced as a PGCE student, with a close working relationship with a subject mentor based around frequent professional dialogue and feedback from lesson observations, both formal and informal. The link between these two stages of teacher development is the career entry profile. This acts as an exit plan and a basis for planning in the early stages of the induction process. The focus on strengths and weaknesses and the link to ITT standards provide a framework for professional review meetings and subsequent feedback. It also helps facilitate the mentoring process by providing opportunities for action planning (Harrison, </w:t>
      </w:r>
      <w:proofErr w:type="spellStart"/>
      <w:r>
        <w:t>Dymoke</w:t>
      </w:r>
      <w:proofErr w:type="spellEnd"/>
      <w:r>
        <w:t xml:space="preserve">, &amp; Pell, 2004) Although the CEP provides a good starting point on which to start professional dialogue, it can be flawed by the CEP being left incomplete and the mentor not addressing this. </w:t>
      </w:r>
    </w:p>
    <w:p w14:paraId="68BCB741" w14:textId="77777777" w:rsidR="00D17129" w:rsidRDefault="00D17129" w:rsidP="00D17129">
      <w:pPr>
        <w:spacing w:line="360" w:lineRule="auto"/>
      </w:pPr>
    </w:p>
    <w:p w14:paraId="2ACF233D" w14:textId="77777777" w:rsidR="00D17129" w:rsidRDefault="00D17129" w:rsidP="00D17129">
      <w:pPr>
        <w:spacing w:line="360" w:lineRule="auto"/>
      </w:pPr>
      <w:r>
        <w:t xml:space="preserve">In my observation, involvement and quality assurance of the feedback given in this context, </w:t>
      </w:r>
      <w:proofErr w:type="gramStart"/>
      <w:r>
        <w:t>it is clear that it</w:t>
      </w:r>
      <w:proofErr w:type="gramEnd"/>
      <w:r>
        <w:t xml:space="preserve"> changes across the induction process. In the early stages it may take on the ‘master of trade </w:t>
      </w:r>
      <w:r>
        <w:lastRenderedPageBreak/>
        <w:t xml:space="preserve">and role model’ function. This apprentice ship model where the skills are passed on to the novice with the mentor acting as a role model, might act as good starting point but in the long term is regarded as being too simple in teacher education. (Harrison, </w:t>
      </w:r>
      <w:proofErr w:type="spellStart"/>
      <w:r>
        <w:t>Dymoke</w:t>
      </w:r>
      <w:proofErr w:type="spellEnd"/>
      <w:r>
        <w:t>, &amp; Pell, 2004) With the intellectual, emotional and physical challenge of the NQT year, mentoring functions at the start of the feedback need to focus on nurture. This is supported by Martin (1996) who identified nurture as the trigger for growth with NQTs.</w:t>
      </w:r>
    </w:p>
    <w:p w14:paraId="6787A0D7" w14:textId="77777777" w:rsidR="00D17129" w:rsidRDefault="00D17129" w:rsidP="00D17129">
      <w:pPr>
        <w:spacing w:line="360" w:lineRule="auto"/>
      </w:pPr>
    </w:p>
    <w:p w14:paraId="59325576" w14:textId="77777777" w:rsidR="00D17129" w:rsidRDefault="00D17129" w:rsidP="00D17129">
      <w:pPr>
        <w:spacing w:line="360" w:lineRule="auto"/>
      </w:pPr>
      <w:r>
        <w:t xml:space="preserve">Across the NQT year the methods in which feedback can be given should change. Harrison, </w:t>
      </w:r>
      <w:proofErr w:type="spellStart"/>
      <w:r>
        <w:t>Dymoke</w:t>
      </w:r>
      <w:proofErr w:type="spellEnd"/>
      <w:r>
        <w:t xml:space="preserve"> &amp; Pell (2004) identified the mentoring of beginning teachers is likely to represent the biggest gap between expert and novice in the mentor/mentee context. In the early stages more frequent and direct feedback will be necessary to support the mentee. Across the year the quantity and nature of feedback will adapt in relation to the growing competence and independence of the NQT. It might also be connected to a specific element of teaching such as assessment for learning.  </w:t>
      </w:r>
    </w:p>
    <w:p w14:paraId="7B056548" w14:textId="77777777" w:rsidR="00D17129" w:rsidRDefault="00D17129" w:rsidP="00D17129">
      <w:pPr>
        <w:spacing w:line="360" w:lineRule="auto"/>
      </w:pPr>
    </w:p>
    <w:p w14:paraId="190B7E0F" w14:textId="77777777" w:rsidR="00D17129" w:rsidRDefault="00D17129" w:rsidP="00D17129">
      <w:pPr>
        <w:spacing w:line="360" w:lineRule="auto"/>
      </w:pPr>
      <w:r>
        <w:t xml:space="preserve">The lesson observation context offered the most frequent and in-depth opportunities for feedback. These happen on two levels. A joint observation involving the external mentor from ERW and the school-based mentor. The joint observation uses the ERW ‘toolkit’ used in all observations across the region, with the same observation sheet being used in all joint observation of NQTs. This is designed to promote consistency, as is the quality assurance element of the joint observation. Three internal observations are conducted, one in each term. Lesson observation provides detailed oral and written feedback that will be crucial in the development of the NQT and feed into mentor meetings over the year. Consistency and clarity should always be evident in lesson observation feedback given that there are nationally prescribed teaching standards. </w:t>
      </w:r>
    </w:p>
    <w:p w14:paraId="68EFC583" w14:textId="77777777" w:rsidR="00D17129" w:rsidRDefault="00D17129" w:rsidP="00D17129">
      <w:pPr>
        <w:spacing w:line="360" w:lineRule="auto"/>
      </w:pPr>
    </w:p>
    <w:p w14:paraId="5179180B" w14:textId="36D97A11" w:rsidR="00D17129" w:rsidRDefault="00D17129" w:rsidP="00D17129">
      <w:pPr>
        <w:spacing w:line="360" w:lineRule="auto"/>
      </w:pPr>
      <w:r>
        <w:t xml:space="preserve">However, it would be incorrect to suggest that all lesson feedback is clear and consistent. Inconsistency does exist, from school to school and from department to department in school. There can be several explanations for this. It can result from a lack of experience in lesson observation or a lack of understanding of the criteria on which the lesson is being based. </w:t>
      </w:r>
      <w:proofErr w:type="spellStart"/>
      <w:r>
        <w:t>Parsloe</w:t>
      </w:r>
      <w:proofErr w:type="spellEnd"/>
      <w:r>
        <w:t xml:space="preserve"> &amp; Wray (2009) identified the fear of upsetting the mentee can affect the quality of feedback. Also, there have been examples of personality issues influencing outcomes. In response to the issues around lesson observation and feedback, Hobson, Maxwell, Stevens, Doyle &amp; </w:t>
      </w:r>
      <w:proofErr w:type="spellStart"/>
      <w:r>
        <w:t>Malderez</w:t>
      </w:r>
      <w:proofErr w:type="spellEnd"/>
      <w:r>
        <w:t xml:space="preserve">  (2015) recommend that the importance of the observation was reduced in the induction year. They suggest that more focus </w:t>
      </w:r>
      <w:r>
        <w:lastRenderedPageBreak/>
        <w:t>should be placed on feedback that promotes developmental support that accepts mistakes as part of the process and encourages risk taking. In my experience the fear of negative feedback in the induction process does reduce risk taking, leading to lessons that are ‘safe’. It is challenging for a mentor to move an NQT towards this approach. Gay and Stephenson (199</w:t>
      </w:r>
      <w:r w:rsidR="008A7DDF">
        <w:t>8</w:t>
      </w:r>
      <w:bookmarkStart w:id="2" w:name="_GoBack"/>
      <w:bookmarkEnd w:id="2"/>
      <w:r>
        <w:t xml:space="preserve">) identified this dynamic between dependency and independency, move from taking controlled measures to adopting a more risk taking approach. There can be a challenge in the mentor getting this right, which highlights another observation made by Hobson, Maxwell, Stevens, Doyle &amp; </w:t>
      </w:r>
      <w:proofErr w:type="spellStart"/>
      <w:r>
        <w:t>Malderez</w:t>
      </w:r>
      <w:proofErr w:type="spellEnd"/>
      <w:r>
        <w:t xml:space="preserve">  (2015) that mentors and coaches have taken appropriate training that enables risk taking and independence. This point is developed further by Harrison, </w:t>
      </w:r>
      <w:proofErr w:type="spellStart"/>
      <w:r>
        <w:t>Dymoke</w:t>
      </w:r>
      <w:proofErr w:type="spellEnd"/>
      <w:r>
        <w:t>, &amp; Pell (2004) they suggest that the teacher education to be a dynamic process teacher must never stop learning. Therefore, feedback should promote a cycle of reflection, learning and experimentation. It can be argued that effective mentoring should be based on a learner centred approach with beginning teachers.</w:t>
      </w:r>
    </w:p>
    <w:p w14:paraId="2D9C3597" w14:textId="77777777" w:rsidR="00D17129" w:rsidRDefault="00D17129" w:rsidP="00D17129">
      <w:pPr>
        <w:spacing w:line="360" w:lineRule="auto"/>
      </w:pPr>
    </w:p>
    <w:p w14:paraId="5CC0A24B" w14:textId="77777777" w:rsidR="00D17129" w:rsidRDefault="00D17129" w:rsidP="00D17129">
      <w:pPr>
        <w:spacing w:line="360" w:lineRule="auto"/>
      </w:pPr>
      <w:r>
        <w:t>Overall, the policy guidance offers a basic framework for the mentor to work with and many would appreciate the lack of prescription. This allows professionals to address their own context. However. more detailed guidance and the cascading of research on feedback and mentoring would provide more support for mentors and schools. It would also create greater consistency between schools.</w:t>
      </w:r>
    </w:p>
    <w:p w14:paraId="651EF92D" w14:textId="77777777" w:rsidR="00D17129" w:rsidRDefault="00D17129" w:rsidP="00D17129">
      <w:pPr>
        <w:spacing w:line="360" w:lineRule="auto"/>
      </w:pPr>
    </w:p>
    <w:p w14:paraId="704A1CB2" w14:textId="77777777" w:rsidR="00D17129" w:rsidRPr="00F05BDA" w:rsidRDefault="00D17129" w:rsidP="00D17129">
      <w:pPr>
        <w:spacing w:line="360" w:lineRule="auto"/>
        <w:rPr>
          <w:b/>
          <w:i/>
        </w:rPr>
      </w:pPr>
      <w:r w:rsidRPr="00F05BDA">
        <w:rPr>
          <w:b/>
          <w:i/>
        </w:rPr>
        <w:t>Discuss ethical issues associated with mentoring and or coaching relationships.</w:t>
      </w:r>
    </w:p>
    <w:p w14:paraId="663BC156" w14:textId="77777777" w:rsidR="00D17129" w:rsidRDefault="00D17129" w:rsidP="00D17129">
      <w:pPr>
        <w:spacing w:line="360" w:lineRule="auto"/>
      </w:pPr>
      <w:r>
        <w:t xml:space="preserve">Ethical issues can arise from debate over conceptual issues relating to coaching and mentoring. With the confusion and differences of opinion over the definitions, ethical concerns can arise. Participants must be fully aware of what is being offered so they can make informed choices. (Brockbank and McGill, 2009). The global code for ethics for coaches and mentors identifies that members should be aware of the precise definitions of keys words such as coach, coaching, client, member, mentor, mentoring, sponsor, supervisor and supervision. There needs to be common understanding of these ideas. This can be made clear in the initial contact and conversations. A ‘learning agreement’ (Learning Wales – Coaching and Mentoring, 2012) could help in establishing a common understanding in the terminology and the process ahead. </w:t>
      </w:r>
    </w:p>
    <w:p w14:paraId="1D74F702" w14:textId="77777777" w:rsidR="00D17129" w:rsidRDefault="00D17129" w:rsidP="00D17129">
      <w:pPr>
        <w:spacing w:line="360" w:lineRule="auto"/>
      </w:pPr>
    </w:p>
    <w:p w14:paraId="2B34B762" w14:textId="77777777" w:rsidR="00D17129" w:rsidRDefault="00D17129" w:rsidP="00D17129">
      <w:pPr>
        <w:spacing w:line="360" w:lineRule="auto"/>
      </w:pPr>
      <w:r>
        <w:t xml:space="preserve">New teachers, as learners, will view and interpret new information and experiences through their existing network of knowledge, experience and beliefs (Huberman, 1993; </w:t>
      </w:r>
      <w:proofErr w:type="spellStart"/>
      <w:r>
        <w:t>Desforges</w:t>
      </w:r>
      <w:proofErr w:type="spellEnd"/>
      <w:r>
        <w:t xml:space="preserve">, 1995; </w:t>
      </w:r>
      <w:proofErr w:type="spellStart"/>
      <w:r>
        <w:t>Fosnot</w:t>
      </w:r>
      <w:proofErr w:type="spellEnd"/>
      <w:r>
        <w:t xml:space="preserve">, 1996; Richardson, 1997). It would be unethical for a mentor/coach to ignore this and therefore the </w:t>
      </w:r>
      <w:r>
        <w:lastRenderedPageBreak/>
        <w:t xml:space="preserve">mentor/coach must have an understanding and an appreciation of the individual nature of the person they are working with. This will include </w:t>
      </w:r>
      <w:proofErr w:type="gramStart"/>
      <w:r>
        <w:t>taking into account</w:t>
      </w:r>
      <w:proofErr w:type="gramEnd"/>
      <w:r>
        <w:t xml:space="preserve"> diversity as well as culture. (</w:t>
      </w:r>
      <w:proofErr w:type="spellStart"/>
      <w:r>
        <w:t>Parsloe</w:t>
      </w:r>
      <w:proofErr w:type="spellEnd"/>
      <w:r>
        <w:t xml:space="preserve"> &amp; </w:t>
      </w:r>
      <w:proofErr w:type="spellStart"/>
      <w:r>
        <w:t>Leedham</w:t>
      </w:r>
      <w:proofErr w:type="spellEnd"/>
      <w:r>
        <w:t>, 2009)</w:t>
      </w:r>
    </w:p>
    <w:p w14:paraId="206BF229" w14:textId="77777777" w:rsidR="00D17129" w:rsidRDefault="00D17129" w:rsidP="00D17129">
      <w:pPr>
        <w:spacing w:line="360" w:lineRule="auto"/>
      </w:pPr>
    </w:p>
    <w:p w14:paraId="6835D447" w14:textId="77777777" w:rsidR="00D17129" w:rsidRDefault="00D17129" w:rsidP="00D17129">
      <w:pPr>
        <w:spacing w:line="360" w:lineRule="auto"/>
      </w:pPr>
      <w:r>
        <w:t xml:space="preserve">Ethical relationships are a fundamental element of successful mentoring and coaching. The humanistic nature of the mentoring and coaching process will pose ethical challenges to the process. A key ethical consideration is how to prevent coaches or mentors not slipping into a therapeutic scenario. It is important to avoid sessions turning into counselling or psychotherapy as it is unlikely that the mentor/coach will have the training to deal with the situation. (Brockbank &amp; McGill, 2006) However, Clutterbuck (2005) adopts a different stance stating that counselling is an essential part of a mentor’s skill set. Mentoring will lead to expression of emotions, it is an obvious outcome for the process. However, these emotions must reflect normal life – frustration, satisfaction, annoyance and disappointment. In addition, there needs to be an awareness of your own limitations and where to find support and guidance. This point links to the importance of confidentiality, which is crucial to an ethical relationship. The EMCC guidelines refer to the strictest level of confidentiality. This requires the mentor/coach to consider very carefully how information is stored and communicated. </w:t>
      </w:r>
    </w:p>
    <w:p w14:paraId="741D8946" w14:textId="77777777" w:rsidR="00D17129" w:rsidRDefault="00D17129" w:rsidP="00D17129">
      <w:pPr>
        <w:spacing w:line="360" w:lineRule="auto"/>
      </w:pPr>
    </w:p>
    <w:p w14:paraId="2C282855" w14:textId="77777777" w:rsidR="00D17129" w:rsidRDefault="00D17129" w:rsidP="00D17129">
      <w:pPr>
        <w:spacing w:line="360" w:lineRule="auto"/>
      </w:pPr>
      <w:r>
        <w:t>It could be argued that a consideration of ethics is more important with mentors rather than coaches as in schools they have several roles to play which go beyond the coach’s remit. Mentors will assist in building networks, can act as a sounding board and counsellor, adviser, role model and emotional support. (Megginson &amp; Clutterbuck, 2005) With this level to the complexity in mentoring relationships it is important that training is provided to help mentors. However, training is often aimed at supporting the mentee and rarely addresses the mentor’s own emotional context and how to deal with reactions which can arise out of the intensity of the mentoring process.</w:t>
      </w:r>
    </w:p>
    <w:p w14:paraId="722EA324" w14:textId="77777777" w:rsidR="00953EE5" w:rsidRDefault="00953EE5" w:rsidP="00D17129">
      <w:pPr>
        <w:spacing w:line="360" w:lineRule="auto"/>
      </w:pPr>
    </w:p>
    <w:p w14:paraId="68F54872" w14:textId="77777777" w:rsidR="00D17129" w:rsidRDefault="00D17129" w:rsidP="00D17129">
      <w:r>
        <w:t>Words - 4694</w:t>
      </w:r>
    </w:p>
    <w:p w14:paraId="24E92198" w14:textId="764C6189" w:rsidR="00D17129" w:rsidRDefault="00953EE5" w:rsidP="00953EE5">
      <w:pPr>
        <w:jc w:val="center"/>
        <w:rPr>
          <w:b/>
        </w:rPr>
      </w:pPr>
      <w:r>
        <w:rPr>
          <w:b/>
        </w:rPr>
        <w:t>R</w:t>
      </w:r>
      <w:r w:rsidR="00D17129" w:rsidRPr="00953EE5">
        <w:rPr>
          <w:b/>
        </w:rPr>
        <w:t>eferences</w:t>
      </w:r>
    </w:p>
    <w:p w14:paraId="7776E0D1" w14:textId="77777777" w:rsidR="00D17129" w:rsidRDefault="00D17129" w:rsidP="00D17129">
      <w:r>
        <w:t xml:space="preserve">Brockbank, A &amp; McGill, I (2006) </w:t>
      </w:r>
      <w:r w:rsidRPr="00953EE5">
        <w:rPr>
          <w:b/>
        </w:rPr>
        <w:t>Facilitating Reflective Learning through Mentoring and Coaching</w:t>
      </w:r>
      <w:r>
        <w:t>. Kogan Page, London.</w:t>
      </w:r>
    </w:p>
    <w:p w14:paraId="269BB3DA" w14:textId="6B46C1F9" w:rsidR="00D17129" w:rsidRDefault="00D17129" w:rsidP="00D17129">
      <w:r>
        <w:t xml:space="preserve">Cope, J. &amp; Watts, G. (2000). Learning by doing. An exploration of experience, critical incidents and reflection in entrepreneurial learning. </w:t>
      </w:r>
      <w:r w:rsidRPr="00953EE5">
        <w:rPr>
          <w:b/>
        </w:rPr>
        <w:t>International Journal of Entrepreneurial Behaviour and Research, 6</w:t>
      </w:r>
      <w:r w:rsidR="00953EE5">
        <w:rPr>
          <w:b/>
        </w:rPr>
        <w:t xml:space="preserve"> </w:t>
      </w:r>
      <w:r>
        <w:t>(3), 104–124.</w:t>
      </w:r>
    </w:p>
    <w:p w14:paraId="3E4F8AD6" w14:textId="77777777" w:rsidR="00D17129" w:rsidRDefault="00D17129" w:rsidP="00D17129">
      <w:proofErr w:type="spellStart"/>
      <w:r>
        <w:lastRenderedPageBreak/>
        <w:t>Desforges</w:t>
      </w:r>
      <w:proofErr w:type="spellEnd"/>
      <w:r>
        <w:t xml:space="preserve">, C. (1995) </w:t>
      </w:r>
      <w:r w:rsidRPr="00953EE5">
        <w:rPr>
          <w:b/>
        </w:rPr>
        <w:t xml:space="preserve">An introduction to teaching: Psychological perspectives. </w:t>
      </w:r>
      <w:r>
        <w:t>Blackwell: Oxford</w:t>
      </w:r>
    </w:p>
    <w:p w14:paraId="0C8E0904" w14:textId="77777777" w:rsidR="00D17129" w:rsidRDefault="00D17129" w:rsidP="00D17129">
      <w:proofErr w:type="spellStart"/>
      <w:r>
        <w:t>Fosnot</w:t>
      </w:r>
      <w:proofErr w:type="spellEnd"/>
      <w:r>
        <w:t xml:space="preserve">, C. (1996) </w:t>
      </w:r>
      <w:r w:rsidRPr="00953EE5">
        <w:rPr>
          <w:b/>
        </w:rPr>
        <w:t>Constructivism: Theory, perspectives and practice.</w:t>
      </w:r>
      <w:r>
        <w:t xml:space="preserve"> Teachers college press: New York.</w:t>
      </w:r>
    </w:p>
    <w:p w14:paraId="679A5DB2" w14:textId="77777777" w:rsidR="00953EE5" w:rsidRDefault="00D17129" w:rsidP="00D17129">
      <w:r>
        <w:t xml:space="preserve">Flanagan, J.C. (1954). The critical incident technique. </w:t>
      </w:r>
      <w:r w:rsidRPr="00953EE5">
        <w:rPr>
          <w:b/>
        </w:rPr>
        <w:t>Psychological Bulletin,</w:t>
      </w:r>
      <w:r>
        <w:t xml:space="preserve"> 51(4): 327–358. </w:t>
      </w:r>
    </w:p>
    <w:p w14:paraId="3FFC86B1" w14:textId="6FBDE9A6" w:rsidR="00D17129" w:rsidRDefault="00D17129" w:rsidP="00D17129">
      <w:pPr>
        <w:rPr>
          <w:b/>
        </w:rPr>
      </w:pPr>
      <w:r>
        <w:t xml:space="preserve">Garvey, R Stokes, P and Megginson, D (2009) </w:t>
      </w:r>
      <w:r w:rsidRPr="00953EE5">
        <w:rPr>
          <w:b/>
        </w:rPr>
        <w:t>Coaching and Mentoring Theory and Practice. Sage, London.</w:t>
      </w:r>
    </w:p>
    <w:p w14:paraId="63B96B0E" w14:textId="40DA017B" w:rsidR="008A7DDF" w:rsidRDefault="008A7DDF" w:rsidP="00D17129">
      <w:r w:rsidRPr="008A7DDF">
        <w:t xml:space="preserve">Gay, B &amp; Stephenson, J (1998) The Mentoring Dilemma. Guidance or/and direction. </w:t>
      </w:r>
      <w:r w:rsidRPr="008A7DDF">
        <w:rPr>
          <w:b/>
        </w:rPr>
        <w:t>Mentoring and Tutoring 6</w:t>
      </w:r>
      <w:r w:rsidRPr="008A7DDF">
        <w:t xml:space="preserve"> (1/2) 43-54.</w:t>
      </w:r>
    </w:p>
    <w:p w14:paraId="55C7FC88" w14:textId="77777777" w:rsidR="00D17129" w:rsidRDefault="00D17129" w:rsidP="00D17129">
      <w:r>
        <w:t xml:space="preserve">Gibb, S &amp; Hill, P (2006) From Trail-Blazing Individualism to a Social Construction Community; Modelling Knowledge Construction in Coaching. </w:t>
      </w:r>
      <w:r w:rsidRPr="00953EE5">
        <w:rPr>
          <w:b/>
        </w:rPr>
        <w:t>International Journal of Mentoring and Coaching,</w:t>
      </w:r>
      <w:r>
        <w:t xml:space="preserve"> Volume IV, Issue number2, 58-77.</w:t>
      </w:r>
    </w:p>
    <w:p w14:paraId="742FCB24" w14:textId="77777777" w:rsidR="00D17129" w:rsidRDefault="00D17129" w:rsidP="00D17129">
      <w:r>
        <w:t xml:space="preserve">Green, H Holmes, G &amp; Shaw, M (1991) </w:t>
      </w:r>
      <w:r w:rsidRPr="00953EE5">
        <w:rPr>
          <w:b/>
        </w:rPr>
        <w:t>Assessment and mentoring for leadership. New approaches o senior management development in schools</w:t>
      </w:r>
      <w:r>
        <w:t>. Oxford, Oxford Polytechnic.</w:t>
      </w:r>
    </w:p>
    <w:p w14:paraId="689106D5" w14:textId="77777777" w:rsidR="00D17129" w:rsidRDefault="00D17129" w:rsidP="00D17129">
      <w:r>
        <w:t xml:space="preserve">Harrison, J  </w:t>
      </w:r>
      <w:proofErr w:type="spellStart"/>
      <w:r>
        <w:t>Dymoke</w:t>
      </w:r>
      <w:proofErr w:type="spellEnd"/>
      <w:r>
        <w:t xml:space="preserve">, S Pell, T (2004) Mentoring beginning teachers in secondary schools. An analysis of practice. </w:t>
      </w:r>
      <w:r w:rsidRPr="00953EE5">
        <w:rPr>
          <w:b/>
        </w:rPr>
        <w:t>Teacher and Teacher Education 22</w:t>
      </w:r>
      <w:r>
        <w:t xml:space="preserve"> (2006) 1055-1067.</w:t>
      </w:r>
    </w:p>
    <w:p w14:paraId="1EC002CE" w14:textId="77777777" w:rsidR="00D17129" w:rsidRDefault="00D17129" w:rsidP="00D17129">
      <w:r>
        <w:t xml:space="preserve">Hobson et al (2015) </w:t>
      </w:r>
      <w:r w:rsidRPr="00953EE5">
        <w:rPr>
          <w:b/>
        </w:rPr>
        <w:t>Mentoring for teachers in the further education and skills sector in England.</w:t>
      </w:r>
      <w:r>
        <w:t xml:space="preserve"> Education Research Centre University of Brighton.</w:t>
      </w:r>
    </w:p>
    <w:p w14:paraId="5918E519" w14:textId="77777777" w:rsidR="00D17129" w:rsidRDefault="00D17129" w:rsidP="00D17129">
      <w:r>
        <w:t xml:space="preserve">Rots, I. and </w:t>
      </w:r>
      <w:proofErr w:type="spellStart"/>
      <w:r>
        <w:t>Aelterman</w:t>
      </w:r>
      <w:proofErr w:type="spellEnd"/>
      <w:r>
        <w:t xml:space="preserve">, A. (2009) Teacher education </w:t>
      </w:r>
      <w:proofErr w:type="gramStart"/>
      <w:r>
        <w:t>graduates</w:t>
      </w:r>
      <w:proofErr w:type="gramEnd"/>
      <w:r>
        <w:t xml:space="preserve"> entrance into the teaching profession: development and test of a model. </w:t>
      </w:r>
      <w:r w:rsidRPr="00953EE5">
        <w:rPr>
          <w:b/>
        </w:rPr>
        <w:t>European journal of psychology of education</w:t>
      </w:r>
      <w:r>
        <w:t>. Vol 24 (4) pp. 453-471.</w:t>
      </w:r>
    </w:p>
    <w:p w14:paraId="2B19E5DF" w14:textId="77777777" w:rsidR="00D17129" w:rsidRDefault="00D17129" w:rsidP="00D17129">
      <w:proofErr w:type="spellStart"/>
      <w:r>
        <w:t>Parsloe</w:t>
      </w:r>
      <w:proofErr w:type="spellEnd"/>
      <w:r>
        <w:t xml:space="preserve">, E and Wray, M (2000) </w:t>
      </w:r>
      <w:r w:rsidRPr="00953EE5">
        <w:rPr>
          <w:b/>
        </w:rPr>
        <w:t>Coaching and Mentoring – practical methods to improving learning.</w:t>
      </w:r>
      <w:r>
        <w:t xml:space="preserve"> Kogan Page, London.</w:t>
      </w:r>
    </w:p>
    <w:p w14:paraId="1B94642C" w14:textId="77777777" w:rsidR="00D17129" w:rsidRDefault="00D17129" w:rsidP="00D17129">
      <w:proofErr w:type="spellStart"/>
      <w:r>
        <w:t>Parsloe</w:t>
      </w:r>
      <w:proofErr w:type="spellEnd"/>
      <w:r>
        <w:t xml:space="preserve">, E and </w:t>
      </w:r>
      <w:proofErr w:type="spellStart"/>
      <w:r>
        <w:t>Leedham</w:t>
      </w:r>
      <w:proofErr w:type="spellEnd"/>
      <w:r>
        <w:t xml:space="preserve">, M (2009) Coaching and Mentoring – </w:t>
      </w:r>
      <w:r w:rsidRPr="00953EE5">
        <w:rPr>
          <w:b/>
        </w:rPr>
        <w:t>Practical conversations to improve learning.</w:t>
      </w:r>
      <w:r>
        <w:t xml:space="preserve"> Second edition. Kogan Page. London.</w:t>
      </w:r>
    </w:p>
    <w:p w14:paraId="26D39C64" w14:textId="28095E1E" w:rsidR="00D17129" w:rsidRDefault="00D17129" w:rsidP="00D17129">
      <w:r>
        <w:t xml:space="preserve">Martin, S (1996) Support and Challenge. Conflicting or complimentary aspects of mentoring novice teachers. </w:t>
      </w:r>
      <w:r w:rsidRPr="00953EE5">
        <w:rPr>
          <w:b/>
        </w:rPr>
        <w:t>Teachers and Teaching, Theory and Practice 2</w:t>
      </w:r>
      <w:r w:rsidR="00953EE5">
        <w:t xml:space="preserve"> </w:t>
      </w:r>
      <w:r>
        <w:t>(1), 41-56.</w:t>
      </w:r>
    </w:p>
    <w:p w14:paraId="1F2368D8" w14:textId="77777777" w:rsidR="00D17129" w:rsidRDefault="00D17129" w:rsidP="00D17129">
      <w:r>
        <w:t xml:space="preserve">Megginson, D &amp; Clutterbuck, D (2005) </w:t>
      </w:r>
      <w:r w:rsidRPr="00953EE5">
        <w:rPr>
          <w:b/>
        </w:rPr>
        <w:t>Techniques for coaching and mentoring.</w:t>
      </w:r>
      <w:r>
        <w:t xml:space="preserve"> Butterworth Heinemann. London.</w:t>
      </w:r>
    </w:p>
    <w:p w14:paraId="2C79E902" w14:textId="77777777" w:rsidR="00D17129" w:rsidRDefault="00D17129" w:rsidP="00D17129">
      <w:r>
        <w:t xml:space="preserve">Richardson, V. (1997) </w:t>
      </w:r>
      <w:r w:rsidRPr="00953EE5">
        <w:rPr>
          <w:b/>
        </w:rPr>
        <w:t>Constructivist teacher education</w:t>
      </w:r>
      <w:r>
        <w:t>. Routledge: London</w:t>
      </w:r>
    </w:p>
    <w:p w14:paraId="5BECB097" w14:textId="77777777" w:rsidR="00D17129" w:rsidRDefault="00D17129" w:rsidP="00D17129">
      <w:r>
        <w:t>Spencer-</w:t>
      </w:r>
      <w:proofErr w:type="spellStart"/>
      <w:r>
        <w:t>Oatey</w:t>
      </w:r>
      <w:proofErr w:type="spellEnd"/>
      <w:r>
        <w:t xml:space="preserve">, H. (2013) </w:t>
      </w:r>
      <w:r w:rsidRPr="00953EE5">
        <w:rPr>
          <w:b/>
        </w:rPr>
        <w:t>Critical incidents. A compilation of quotations for the intercultural field.</w:t>
      </w:r>
      <w:r>
        <w:t xml:space="preserve"> </w:t>
      </w:r>
      <w:proofErr w:type="spellStart"/>
      <w:r>
        <w:t>GlobalPAD</w:t>
      </w:r>
      <w:proofErr w:type="spellEnd"/>
      <w:r>
        <w:t xml:space="preserve"> Core Concepts. </w:t>
      </w:r>
    </w:p>
    <w:p w14:paraId="223F79E8" w14:textId="77777777" w:rsidR="00D17129" w:rsidRDefault="00D17129" w:rsidP="00D17129">
      <w:r>
        <w:t xml:space="preserve">Tripp, D. (1993). Critical Incidents in Teaching. Developing Professional Judgement. London: Routledge. White, P., &amp; Smith, E. (2005). What can PISA tell us about teacher shortages? </w:t>
      </w:r>
      <w:r w:rsidRPr="00953EE5">
        <w:rPr>
          <w:b/>
        </w:rPr>
        <w:t xml:space="preserve">European Journal of Education, </w:t>
      </w:r>
      <w:r>
        <w:t>Vol. 40(1), pp. 93–112.</w:t>
      </w:r>
    </w:p>
    <w:p w14:paraId="78348614" w14:textId="2B930BE1" w:rsidR="00D17129" w:rsidRDefault="00D17129" w:rsidP="00D17129">
      <w:r>
        <w:t>Learning Wales</w:t>
      </w:r>
      <w:r w:rsidR="00953EE5">
        <w:t xml:space="preserve"> (2012)</w:t>
      </w:r>
      <w:r>
        <w:t xml:space="preserve"> – </w:t>
      </w:r>
      <w:r w:rsidRPr="00953EE5">
        <w:rPr>
          <w:b/>
        </w:rPr>
        <w:t>Coaching and Mentoring</w:t>
      </w:r>
      <w:r w:rsidR="00953EE5">
        <w:rPr>
          <w:b/>
        </w:rPr>
        <w:t>.</w:t>
      </w:r>
      <w:r>
        <w:t xml:space="preserve"> </w:t>
      </w:r>
    </w:p>
    <w:p w14:paraId="755A31D2" w14:textId="433B89E9" w:rsidR="00BC395A" w:rsidRPr="00953EE5" w:rsidRDefault="00D17129" w:rsidP="00D17129">
      <w:pPr>
        <w:rPr>
          <w:b/>
        </w:rPr>
      </w:pPr>
      <w:r>
        <w:t xml:space="preserve">Association for Coaching/European Mentoring &amp; Coaching Council (2016) – </w:t>
      </w:r>
      <w:r w:rsidRPr="00953EE5">
        <w:rPr>
          <w:b/>
        </w:rPr>
        <w:t>Global Code of Ethics for Coaches and Mentors</w:t>
      </w:r>
      <w:r w:rsidR="00953EE5">
        <w:rPr>
          <w:b/>
        </w:rPr>
        <w:t>.</w:t>
      </w:r>
    </w:p>
    <w:p w14:paraId="5A29F9BF" w14:textId="77777777" w:rsidR="00C45BAD" w:rsidRDefault="00C45BAD" w:rsidP="00EE0A77"/>
    <w:p w14:paraId="1A73B5F1" w14:textId="77777777" w:rsidR="00736602" w:rsidRDefault="00736602" w:rsidP="00EE0A77"/>
    <w:p w14:paraId="2CFB7608" w14:textId="77777777" w:rsidR="00D86C99" w:rsidRDefault="00D86C99" w:rsidP="00EE0A77"/>
    <w:p w14:paraId="7EB4A42B" w14:textId="77777777" w:rsidR="00120E48" w:rsidRDefault="00120E48" w:rsidP="00EE0A77"/>
    <w:p w14:paraId="50D49F3F" w14:textId="77777777" w:rsidR="00C34C5A" w:rsidRDefault="00C34C5A" w:rsidP="00C34C5A"/>
    <w:p w14:paraId="1AD1A816" w14:textId="77777777" w:rsidR="00BE43E1" w:rsidRDefault="00BE43E1" w:rsidP="00BE43E1"/>
    <w:p w14:paraId="7E33F08D" w14:textId="77777777" w:rsidR="00CB77F3" w:rsidRDefault="00CB77F3"/>
    <w:p w14:paraId="72C50C20" w14:textId="20402577" w:rsidR="00CB7B33" w:rsidRDefault="00CB7B33"/>
    <w:p w14:paraId="6B83142B" w14:textId="1EA9A2DE" w:rsidR="00832569" w:rsidRDefault="00832569"/>
    <w:p w14:paraId="6CD9F231" w14:textId="77777777" w:rsidR="00832569" w:rsidRDefault="00832569"/>
    <w:sectPr w:rsidR="008325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5C1A1A"/>
    <w:multiLevelType w:val="hybridMultilevel"/>
    <w:tmpl w:val="1DCED5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569"/>
    <w:rsid w:val="0001036E"/>
    <w:rsid w:val="00020AB9"/>
    <w:rsid w:val="000760B1"/>
    <w:rsid w:val="00120E48"/>
    <w:rsid w:val="00122FF1"/>
    <w:rsid w:val="0014376B"/>
    <w:rsid w:val="0016535B"/>
    <w:rsid w:val="001A3CB4"/>
    <w:rsid w:val="00220881"/>
    <w:rsid w:val="00245607"/>
    <w:rsid w:val="00275441"/>
    <w:rsid w:val="0029505D"/>
    <w:rsid w:val="002A33EA"/>
    <w:rsid w:val="002B1546"/>
    <w:rsid w:val="002C06E5"/>
    <w:rsid w:val="002D6069"/>
    <w:rsid w:val="00344BB8"/>
    <w:rsid w:val="0035443A"/>
    <w:rsid w:val="0036550C"/>
    <w:rsid w:val="00370614"/>
    <w:rsid w:val="003C2888"/>
    <w:rsid w:val="003C6F44"/>
    <w:rsid w:val="003F038D"/>
    <w:rsid w:val="00400C7B"/>
    <w:rsid w:val="00410EF8"/>
    <w:rsid w:val="004170EE"/>
    <w:rsid w:val="004365D2"/>
    <w:rsid w:val="00461D7D"/>
    <w:rsid w:val="00462320"/>
    <w:rsid w:val="00495E4B"/>
    <w:rsid w:val="004C0D02"/>
    <w:rsid w:val="004D6766"/>
    <w:rsid w:val="0053246C"/>
    <w:rsid w:val="00540AF1"/>
    <w:rsid w:val="0057583D"/>
    <w:rsid w:val="006477EE"/>
    <w:rsid w:val="00655D7C"/>
    <w:rsid w:val="00665112"/>
    <w:rsid w:val="006662DD"/>
    <w:rsid w:val="00666B28"/>
    <w:rsid w:val="006735F8"/>
    <w:rsid w:val="00675F16"/>
    <w:rsid w:val="006764F9"/>
    <w:rsid w:val="00687ADC"/>
    <w:rsid w:val="0069292F"/>
    <w:rsid w:val="006941C8"/>
    <w:rsid w:val="00697A38"/>
    <w:rsid w:val="00697F7B"/>
    <w:rsid w:val="006A6636"/>
    <w:rsid w:val="006F5049"/>
    <w:rsid w:val="007270A3"/>
    <w:rsid w:val="00730F1A"/>
    <w:rsid w:val="00736602"/>
    <w:rsid w:val="00753382"/>
    <w:rsid w:val="007D1AA5"/>
    <w:rsid w:val="007E06A8"/>
    <w:rsid w:val="007E4F26"/>
    <w:rsid w:val="00804D4A"/>
    <w:rsid w:val="008072F1"/>
    <w:rsid w:val="00817B50"/>
    <w:rsid w:val="00832569"/>
    <w:rsid w:val="00876B82"/>
    <w:rsid w:val="00881DF5"/>
    <w:rsid w:val="008A7089"/>
    <w:rsid w:val="008A7DDF"/>
    <w:rsid w:val="008C3802"/>
    <w:rsid w:val="008C6B7F"/>
    <w:rsid w:val="008F1949"/>
    <w:rsid w:val="00905EA0"/>
    <w:rsid w:val="009206C2"/>
    <w:rsid w:val="00931689"/>
    <w:rsid w:val="009423E9"/>
    <w:rsid w:val="00953EE5"/>
    <w:rsid w:val="009A2663"/>
    <w:rsid w:val="009D0B1A"/>
    <w:rsid w:val="00A22F65"/>
    <w:rsid w:val="00A44951"/>
    <w:rsid w:val="00A50B65"/>
    <w:rsid w:val="00A63D93"/>
    <w:rsid w:val="00A87105"/>
    <w:rsid w:val="00AA7D5E"/>
    <w:rsid w:val="00AD1709"/>
    <w:rsid w:val="00AD4B36"/>
    <w:rsid w:val="00AE7308"/>
    <w:rsid w:val="00AF578D"/>
    <w:rsid w:val="00B44C67"/>
    <w:rsid w:val="00B51ADB"/>
    <w:rsid w:val="00B621C1"/>
    <w:rsid w:val="00B624A7"/>
    <w:rsid w:val="00B774A4"/>
    <w:rsid w:val="00B864C8"/>
    <w:rsid w:val="00B938CC"/>
    <w:rsid w:val="00BA6061"/>
    <w:rsid w:val="00BA6E0F"/>
    <w:rsid w:val="00BB4EFC"/>
    <w:rsid w:val="00BC395A"/>
    <w:rsid w:val="00BE43E1"/>
    <w:rsid w:val="00BE5420"/>
    <w:rsid w:val="00BE7633"/>
    <w:rsid w:val="00C22EF6"/>
    <w:rsid w:val="00C239AC"/>
    <w:rsid w:val="00C30894"/>
    <w:rsid w:val="00C34C5A"/>
    <w:rsid w:val="00C42272"/>
    <w:rsid w:val="00C433B7"/>
    <w:rsid w:val="00C45BAD"/>
    <w:rsid w:val="00C52788"/>
    <w:rsid w:val="00C90974"/>
    <w:rsid w:val="00C90E29"/>
    <w:rsid w:val="00CB77F3"/>
    <w:rsid w:val="00CB7B33"/>
    <w:rsid w:val="00CC1BC8"/>
    <w:rsid w:val="00CF0745"/>
    <w:rsid w:val="00D17129"/>
    <w:rsid w:val="00D2334C"/>
    <w:rsid w:val="00D426C7"/>
    <w:rsid w:val="00D620A1"/>
    <w:rsid w:val="00D86C99"/>
    <w:rsid w:val="00DC5146"/>
    <w:rsid w:val="00E27B05"/>
    <w:rsid w:val="00E75BB5"/>
    <w:rsid w:val="00EE0A77"/>
    <w:rsid w:val="00F04A9E"/>
    <w:rsid w:val="00F05BDA"/>
    <w:rsid w:val="00F65D27"/>
    <w:rsid w:val="00F70710"/>
    <w:rsid w:val="00FA1A18"/>
    <w:rsid w:val="00FA6E23"/>
    <w:rsid w:val="00FF0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1C3F0"/>
  <w15:docId w15:val="{EC1EBE66-56DA-4906-8458-7C2062DBE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62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20</Pages>
  <Words>7797</Words>
  <Characters>42733</Characters>
  <Application>Microsoft Office Word</Application>
  <DocSecurity>0</DocSecurity>
  <Lines>585</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Hadley</dc:creator>
  <cp:lastModifiedBy>Stephen Hadley</cp:lastModifiedBy>
  <cp:revision>10</cp:revision>
  <dcterms:created xsi:type="dcterms:W3CDTF">2018-09-07T07:21:00Z</dcterms:created>
  <dcterms:modified xsi:type="dcterms:W3CDTF">2018-09-07T09:14:00Z</dcterms:modified>
</cp:coreProperties>
</file>