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6B82C" w14:textId="77777777" w:rsidR="00E94B47" w:rsidRPr="00BE1E15" w:rsidRDefault="00E94B47" w:rsidP="00E94B47">
      <w:pPr>
        <w:spacing w:line="360" w:lineRule="auto"/>
        <w:jc w:val="both"/>
        <w:rPr>
          <w:rFonts w:ascii="Arial" w:hAnsi="Arial" w:cs="Arial"/>
          <w:sz w:val="24"/>
          <w:szCs w:val="24"/>
        </w:rPr>
      </w:pPr>
      <w:r w:rsidRPr="00BE1E15">
        <w:rPr>
          <w:rFonts w:ascii="Arial" w:hAnsi="Arial" w:cs="Arial"/>
          <w:sz w:val="24"/>
          <w:szCs w:val="24"/>
        </w:rPr>
        <w:t xml:space="preserve">Bethan Morris. </w:t>
      </w:r>
    </w:p>
    <w:p w14:paraId="12B42C88" w14:textId="77777777" w:rsidR="00E94B47" w:rsidRPr="00BE1E15" w:rsidRDefault="00E94B47" w:rsidP="00E94B47">
      <w:pPr>
        <w:spacing w:line="360" w:lineRule="auto"/>
        <w:jc w:val="both"/>
        <w:rPr>
          <w:rFonts w:ascii="Arial" w:hAnsi="Arial" w:cs="Arial"/>
          <w:sz w:val="24"/>
          <w:szCs w:val="24"/>
        </w:rPr>
      </w:pPr>
      <w:r w:rsidRPr="00BE1E15">
        <w:rPr>
          <w:rFonts w:ascii="Arial" w:hAnsi="Arial" w:cs="Arial"/>
          <w:sz w:val="24"/>
          <w:szCs w:val="24"/>
        </w:rPr>
        <w:t>Student number: 1812503</w:t>
      </w:r>
    </w:p>
    <w:p w14:paraId="251D07E4" w14:textId="7EF46AE9" w:rsidR="00E94B47" w:rsidRDefault="00E94B47" w:rsidP="00E94B47">
      <w:pPr>
        <w:spacing w:line="360" w:lineRule="auto"/>
        <w:jc w:val="both"/>
        <w:rPr>
          <w:rFonts w:ascii="Arial" w:hAnsi="Arial" w:cs="Arial"/>
          <w:sz w:val="24"/>
          <w:szCs w:val="24"/>
        </w:rPr>
      </w:pPr>
      <w:r w:rsidRPr="00BE1E15">
        <w:rPr>
          <w:rFonts w:ascii="Arial" w:hAnsi="Arial" w:cs="Arial"/>
          <w:sz w:val="24"/>
          <w:szCs w:val="24"/>
        </w:rPr>
        <w:t>Module of study: BMPF7057</w:t>
      </w:r>
    </w:p>
    <w:p w14:paraId="01B65F10" w14:textId="1A3E8175" w:rsidR="007F5C85" w:rsidRPr="00BE1E15" w:rsidRDefault="007F5C85" w:rsidP="00E94B47">
      <w:pPr>
        <w:spacing w:line="360" w:lineRule="auto"/>
        <w:jc w:val="both"/>
        <w:rPr>
          <w:rFonts w:ascii="Arial" w:hAnsi="Arial" w:cs="Arial"/>
          <w:sz w:val="24"/>
          <w:szCs w:val="24"/>
        </w:rPr>
      </w:pPr>
      <w:r>
        <w:rPr>
          <w:rFonts w:ascii="Arial" w:hAnsi="Arial" w:cs="Arial"/>
          <w:sz w:val="24"/>
          <w:szCs w:val="24"/>
        </w:rPr>
        <w:t>Contents:</w:t>
      </w:r>
    </w:p>
    <w:p w14:paraId="7F6264F3" w14:textId="4FABFC56" w:rsidR="006B7695" w:rsidRPr="00897DEF" w:rsidRDefault="007F5C85" w:rsidP="006B7695">
      <w:pPr>
        <w:spacing w:line="360" w:lineRule="auto"/>
        <w:jc w:val="both"/>
        <w:rPr>
          <w:rFonts w:ascii="Arial" w:hAnsi="Arial" w:cs="Arial"/>
          <w:sz w:val="24"/>
          <w:szCs w:val="24"/>
        </w:rPr>
      </w:pPr>
      <w:r w:rsidRPr="007F5C85">
        <w:rPr>
          <w:rFonts w:ascii="Arial" w:hAnsi="Arial" w:cs="Arial"/>
          <w:sz w:val="24"/>
          <w:szCs w:val="24"/>
        </w:rPr>
        <w:t>Page 2 -</w:t>
      </w:r>
      <w:r>
        <w:rPr>
          <w:rFonts w:ascii="Arial" w:hAnsi="Arial" w:cs="Arial"/>
          <w:b/>
          <w:bCs/>
          <w:sz w:val="24"/>
          <w:szCs w:val="24"/>
          <w:u w:val="single"/>
        </w:rPr>
        <w:t xml:space="preserve"> </w:t>
      </w:r>
      <w:r w:rsidR="006B7695" w:rsidRPr="00897DEF">
        <w:rPr>
          <w:rFonts w:ascii="Arial" w:hAnsi="Arial" w:cs="Arial"/>
          <w:b/>
          <w:bCs/>
          <w:sz w:val="24"/>
          <w:szCs w:val="24"/>
          <w:u w:val="single"/>
        </w:rPr>
        <w:t>Assessment Component 1 – A critical analysis of personal leadership style and a personal leadership development plan based on a Learning Log recording a wide range of learning experiences. (1,500 words or equivalent, 20%)</w:t>
      </w:r>
    </w:p>
    <w:p w14:paraId="2559D469" w14:textId="6244A82B" w:rsidR="006B7695" w:rsidRPr="00AD5F3E" w:rsidRDefault="007F5C85" w:rsidP="006B7695">
      <w:pPr>
        <w:spacing w:line="360" w:lineRule="auto"/>
        <w:jc w:val="both"/>
        <w:rPr>
          <w:rFonts w:ascii="Arial" w:hAnsi="Arial" w:cs="Arial"/>
          <w:b/>
          <w:bCs/>
          <w:sz w:val="24"/>
          <w:szCs w:val="24"/>
          <w:u w:val="single"/>
        </w:rPr>
      </w:pPr>
      <w:r w:rsidRPr="007F5C85">
        <w:rPr>
          <w:rFonts w:ascii="Arial" w:hAnsi="Arial" w:cs="Arial"/>
          <w:sz w:val="24"/>
          <w:szCs w:val="24"/>
        </w:rPr>
        <w:t>Page 8 -</w:t>
      </w:r>
      <w:r>
        <w:rPr>
          <w:rFonts w:ascii="Arial" w:hAnsi="Arial" w:cs="Arial"/>
          <w:b/>
          <w:bCs/>
          <w:sz w:val="24"/>
          <w:szCs w:val="24"/>
          <w:u w:val="single"/>
        </w:rPr>
        <w:t xml:space="preserve"> </w:t>
      </w:r>
      <w:r w:rsidR="006B7695" w:rsidRPr="00AD5F3E">
        <w:rPr>
          <w:rFonts w:ascii="Arial" w:hAnsi="Arial" w:cs="Arial"/>
          <w:b/>
          <w:bCs/>
          <w:sz w:val="24"/>
          <w:szCs w:val="24"/>
          <w:u w:val="single"/>
        </w:rPr>
        <w:t>Assessment Component 2 – Reflection A range of a minimum of five reflective accounts focusing on the application of all scheduled and independent aspects of learning. (6,000 words or equivalent, 80%)</w:t>
      </w:r>
    </w:p>
    <w:p w14:paraId="536F3C51" w14:textId="77777777" w:rsidR="006B7695" w:rsidRDefault="006B7695">
      <w:pPr>
        <w:rPr>
          <w:rFonts w:ascii="Arial" w:hAnsi="Arial" w:cs="Arial"/>
          <w:sz w:val="24"/>
          <w:szCs w:val="24"/>
        </w:rPr>
      </w:pPr>
    </w:p>
    <w:p w14:paraId="4AA41D53" w14:textId="77777777" w:rsidR="006B7695" w:rsidRPr="007F5C85" w:rsidRDefault="006B7695">
      <w:pPr>
        <w:rPr>
          <w:rFonts w:ascii="Arial" w:hAnsi="Arial" w:cs="Arial"/>
          <w:b/>
          <w:bCs/>
          <w:sz w:val="24"/>
          <w:szCs w:val="24"/>
          <w:u w:val="single"/>
        </w:rPr>
      </w:pPr>
      <w:r w:rsidRPr="007F5C85">
        <w:rPr>
          <w:rFonts w:ascii="Arial" w:hAnsi="Arial" w:cs="Arial"/>
          <w:b/>
          <w:bCs/>
          <w:sz w:val="24"/>
          <w:szCs w:val="24"/>
          <w:u w:val="single"/>
        </w:rPr>
        <w:t>Word count:</w:t>
      </w:r>
    </w:p>
    <w:p w14:paraId="61EAE7A5" w14:textId="2253DFC9" w:rsidR="006B7695" w:rsidRDefault="006B7695">
      <w:pPr>
        <w:rPr>
          <w:rFonts w:ascii="Arial" w:hAnsi="Arial" w:cs="Arial"/>
          <w:sz w:val="24"/>
          <w:szCs w:val="24"/>
        </w:rPr>
      </w:pPr>
      <w:r>
        <w:rPr>
          <w:rFonts w:ascii="Arial" w:hAnsi="Arial" w:cs="Arial"/>
          <w:sz w:val="24"/>
          <w:szCs w:val="24"/>
        </w:rPr>
        <w:t>Component 1: 1</w:t>
      </w:r>
      <w:r w:rsidR="000F45B8">
        <w:rPr>
          <w:rFonts w:ascii="Arial" w:hAnsi="Arial" w:cs="Arial"/>
          <w:sz w:val="24"/>
          <w:szCs w:val="24"/>
        </w:rPr>
        <w:t>401 (excluding the PDP table)</w:t>
      </w:r>
    </w:p>
    <w:p w14:paraId="5BB8FB47" w14:textId="77777777" w:rsidR="006B7695" w:rsidRDefault="006B7695">
      <w:pPr>
        <w:rPr>
          <w:rFonts w:ascii="Arial" w:hAnsi="Arial" w:cs="Arial"/>
          <w:sz w:val="24"/>
          <w:szCs w:val="24"/>
        </w:rPr>
      </w:pPr>
      <w:r>
        <w:rPr>
          <w:rFonts w:ascii="Arial" w:hAnsi="Arial" w:cs="Arial"/>
          <w:sz w:val="24"/>
          <w:szCs w:val="24"/>
        </w:rPr>
        <w:t>Component 2: 6142</w:t>
      </w:r>
    </w:p>
    <w:p w14:paraId="0FFF3DEB" w14:textId="5703205D" w:rsidR="00E94B47" w:rsidRDefault="006B7695">
      <w:pPr>
        <w:rPr>
          <w:rFonts w:ascii="Arial" w:hAnsi="Arial" w:cs="Arial"/>
          <w:sz w:val="24"/>
          <w:szCs w:val="24"/>
        </w:rPr>
      </w:pPr>
      <w:r>
        <w:rPr>
          <w:rFonts w:ascii="Arial" w:hAnsi="Arial" w:cs="Arial"/>
          <w:sz w:val="24"/>
          <w:szCs w:val="24"/>
        </w:rPr>
        <w:t>Total: 7308 words</w:t>
      </w:r>
      <w:r w:rsidR="00E94B47">
        <w:rPr>
          <w:rFonts w:ascii="Arial" w:hAnsi="Arial" w:cs="Arial"/>
          <w:sz w:val="24"/>
          <w:szCs w:val="24"/>
        </w:rPr>
        <w:br w:type="page"/>
      </w:r>
    </w:p>
    <w:p w14:paraId="4992A503" w14:textId="2766CB13" w:rsidR="00897DEF" w:rsidRPr="00897DEF" w:rsidRDefault="00897DEF" w:rsidP="00897DEF">
      <w:pPr>
        <w:spacing w:line="360" w:lineRule="auto"/>
        <w:jc w:val="both"/>
        <w:rPr>
          <w:rFonts w:ascii="Arial" w:hAnsi="Arial" w:cs="Arial"/>
          <w:sz w:val="24"/>
          <w:szCs w:val="24"/>
        </w:rPr>
      </w:pPr>
      <w:r w:rsidRPr="00897DEF">
        <w:rPr>
          <w:rFonts w:ascii="Arial" w:hAnsi="Arial" w:cs="Arial"/>
          <w:b/>
          <w:bCs/>
          <w:sz w:val="24"/>
          <w:szCs w:val="24"/>
          <w:u w:val="single"/>
        </w:rPr>
        <w:lastRenderedPageBreak/>
        <w:t>Assessment Component 1 – A critical analysis of personal leadership style and a personal leadership development plan based on a Learning Log recording a wide range of learning experiences. (1,500 words or equivalent, 20%)</w:t>
      </w:r>
    </w:p>
    <w:p w14:paraId="19D13BE9" w14:textId="77777777"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br/>
      </w:r>
    </w:p>
    <w:p w14:paraId="1DF1E5BF" w14:textId="0FD9281D" w:rsidR="007F5C85" w:rsidRDefault="00897DEF" w:rsidP="00897DEF">
      <w:pPr>
        <w:spacing w:line="360" w:lineRule="auto"/>
        <w:jc w:val="both"/>
        <w:rPr>
          <w:rFonts w:ascii="Arial" w:hAnsi="Arial" w:cs="Arial"/>
          <w:sz w:val="24"/>
          <w:szCs w:val="24"/>
        </w:rPr>
      </w:pPr>
      <w:r w:rsidRPr="00897DEF">
        <w:rPr>
          <w:rFonts w:ascii="Arial" w:hAnsi="Arial" w:cs="Arial"/>
          <w:sz w:val="24"/>
          <w:szCs w:val="24"/>
        </w:rPr>
        <w:t xml:space="preserve">If I could summarise the effect that this fellowship experience has had on my personal leadership approach, I would say that I have largely cemented some of the beliefs and behaviours that I already held, and have managed to go further and explain or ratify them and why I continue to practise them with leadership and behavioural theory. </w:t>
      </w:r>
      <w:r w:rsidR="00196CED">
        <w:rPr>
          <w:rFonts w:ascii="Arial" w:hAnsi="Arial" w:cs="Arial"/>
          <w:sz w:val="24"/>
          <w:szCs w:val="24"/>
        </w:rPr>
        <w:t xml:space="preserve">The leadership styles which resonated most strongly with me were compassionate and collaborative leadership. These come more readily to me probably in part due to my personal team-role preferences </w:t>
      </w:r>
      <w:r w:rsidR="00196CED" w:rsidRPr="00196CED">
        <w:rPr>
          <w:rFonts w:ascii="Arial" w:hAnsi="Arial" w:cs="Arial"/>
          <w:sz w:val="24"/>
          <w:szCs w:val="24"/>
        </w:rPr>
        <w:t>(Belbin, 2010)</w:t>
      </w:r>
      <w:r w:rsidR="00196CED">
        <w:rPr>
          <w:rFonts w:ascii="Arial" w:hAnsi="Arial" w:cs="Arial"/>
          <w:sz w:val="24"/>
          <w:szCs w:val="24"/>
        </w:rPr>
        <w:t xml:space="preserve">, which I explore in more detail in the reflective accounts to follow. </w:t>
      </w:r>
      <w:r w:rsidR="0088437E">
        <w:rPr>
          <w:rFonts w:ascii="Arial" w:hAnsi="Arial" w:cs="Arial"/>
          <w:sz w:val="24"/>
          <w:szCs w:val="24"/>
        </w:rPr>
        <w:t>Also,</w:t>
      </w:r>
      <w:r w:rsidR="00196CED">
        <w:rPr>
          <w:rFonts w:ascii="Arial" w:hAnsi="Arial" w:cs="Arial"/>
          <w:sz w:val="24"/>
          <w:szCs w:val="24"/>
        </w:rPr>
        <w:t xml:space="preserve"> they are probably the models most suited to successful leadership in the health system of today </w:t>
      </w:r>
      <w:r w:rsidR="00014C6A">
        <w:rPr>
          <w:rFonts w:ascii="Arial" w:hAnsi="Arial" w:cs="Arial"/>
          <w:sz w:val="24"/>
          <w:szCs w:val="24"/>
        </w:rPr>
        <w:t>(The King’s Fund, 2012), and so this is likely to be both cause and effect of why I find that I have a growing affinity for them</w:t>
      </w:r>
      <w:r w:rsidR="00196CED">
        <w:rPr>
          <w:rFonts w:ascii="Arial" w:hAnsi="Arial" w:cs="Arial"/>
          <w:sz w:val="24"/>
          <w:szCs w:val="24"/>
        </w:rPr>
        <w:t xml:space="preserve">. </w:t>
      </w:r>
    </w:p>
    <w:p w14:paraId="3BB62F17" w14:textId="7E83343B" w:rsidR="007F5C85" w:rsidRDefault="007F5C85" w:rsidP="00897DEF">
      <w:pPr>
        <w:spacing w:line="360" w:lineRule="auto"/>
        <w:jc w:val="both"/>
        <w:rPr>
          <w:rFonts w:ascii="Arial" w:hAnsi="Arial" w:cs="Arial"/>
          <w:sz w:val="24"/>
          <w:szCs w:val="24"/>
        </w:rPr>
      </w:pPr>
      <w:r>
        <w:rPr>
          <w:rFonts w:ascii="Arial" w:hAnsi="Arial" w:cs="Arial"/>
          <w:sz w:val="24"/>
          <w:szCs w:val="24"/>
        </w:rPr>
        <w:t>My MBTI profile was interesting</w:t>
      </w:r>
      <w:r w:rsidR="0088437E">
        <w:rPr>
          <w:rFonts w:ascii="Arial" w:hAnsi="Arial" w:cs="Arial"/>
          <w:sz w:val="24"/>
          <w:szCs w:val="24"/>
        </w:rPr>
        <w:t xml:space="preserve"> (Myers-Briggs, 2019)</w:t>
      </w:r>
      <w:r>
        <w:rPr>
          <w:rFonts w:ascii="Arial" w:hAnsi="Arial" w:cs="Arial"/>
          <w:sz w:val="24"/>
          <w:szCs w:val="24"/>
        </w:rPr>
        <w:t xml:space="preserve">. I came out as an ESTJ, but on reading the report I thought that I did not necessarily agree it was the best fit for me. On reflection, I realised that I answered the </w:t>
      </w:r>
      <w:r w:rsidR="000F45B8">
        <w:rPr>
          <w:rFonts w:ascii="Arial" w:hAnsi="Arial" w:cs="Arial"/>
          <w:sz w:val="24"/>
          <w:szCs w:val="24"/>
        </w:rPr>
        <w:t xml:space="preserve">third area with a focus strongly on my clinical role as an anaesthetist, where most of my decisions are based objectively on protocols, guidelines and facts, whereas in reality I base most, if not all, of my decisions, on person-centred values and place a great deal of importance on creating and maintaining harmony and cultivating a sense of worth in people around me. Therefore my ‘best-fit’ type was established as ESFJ. I noticed some tension between the ideal preferences of my personality type and the reality, for example ESFJs are meant to always complete what they start. This is actually rarely the case for me, however I do always feel disharmony about this feature of my work and life, indicating that the personality type is probably true, however I am somehow not fulfilling my potential in this area, and I could be doing more to live and work more closely to my personality type, i.e. finishing projects which I start every time. This would probably be to my advantage and satisfy me more. This was a revealing aspect of the MBTI </w:t>
      </w:r>
      <w:r w:rsidR="000F45B8">
        <w:rPr>
          <w:rFonts w:ascii="Arial" w:hAnsi="Arial" w:cs="Arial"/>
          <w:sz w:val="24"/>
          <w:szCs w:val="24"/>
        </w:rPr>
        <w:lastRenderedPageBreak/>
        <w:t xml:space="preserve">exercise for me with potential for future exploitation for a happier and more productive life. </w:t>
      </w:r>
    </w:p>
    <w:p w14:paraId="0AF408A1" w14:textId="6A0422C1"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I have also identified some areas that are not my strengths, that are suitable for growth and development, and started working to improve these already, with a view to continuing to do so in my remaining time as a senior registrar and on into consultancy. </w:t>
      </w:r>
    </w:p>
    <w:p w14:paraId="4EFBB7B1" w14:textId="77777777"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br/>
      </w:r>
    </w:p>
    <w:p w14:paraId="29C2EBC7" w14:textId="195727FD"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I would like firstly to refer to the findings of my Healthcare Leadership Model 360-degree assessment report (NHS Leadership Academy, 2014), and then go into more depth in reflecting on the meaning of those results.</w:t>
      </w:r>
    </w:p>
    <w:p w14:paraId="35DBE90A" w14:textId="22FE65A8"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The overview of my 360-report showed interestingly that others rated me very equally between ‘proficient’ and ‘strong’ in all of the domains, showing consistency at a reasonably high level. However, my self-rating only matched this in one domain, and otherwise was slightly higher for certain domains, such as teamwork and engagement, and significantly lower than others</w:t>
      </w:r>
      <w:r>
        <w:rPr>
          <w:rFonts w:ascii="Arial" w:hAnsi="Arial" w:cs="Arial"/>
          <w:sz w:val="24"/>
          <w:szCs w:val="24"/>
        </w:rPr>
        <w:t>’</w:t>
      </w:r>
      <w:r w:rsidRPr="00897DEF">
        <w:rPr>
          <w:rFonts w:ascii="Arial" w:hAnsi="Arial" w:cs="Arial"/>
          <w:sz w:val="24"/>
          <w:szCs w:val="24"/>
        </w:rPr>
        <w:t xml:space="preserve"> perceptions in areas such as ‘holding to account’. It is always intriguing to see how others perceive you and compare it with your self-perceptions</w:t>
      </w:r>
      <w:r w:rsidR="0092503C">
        <w:rPr>
          <w:rFonts w:ascii="Arial" w:hAnsi="Arial" w:cs="Arial"/>
          <w:sz w:val="24"/>
          <w:szCs w:val="24"/>
        </w:rPr>
        <w:t xml:space="preserve"> – identifying ‘blind spots’ in your development and ability (Turner, 2019)</w:t>
      </w:r>
      <w:r w:rsidRPr="00897DEF">
        <w:rPr>
          <w:rFonts w:ascii="Arial" w:hAnsi="Arial" w:cs="Arial"/>
          <w:sz w:val="24"/>
          <w:szCs w:val="24"/>
        </w:rPr>
        <w:t>.</w:t>
      </w:r>
      <w:r w:rsidR="0092503C">
        <w:rPr>
          <w:rFonts w:ascii="Arial" w:hAnsi="Arial" w:cs="Arial"/>
          <w:sz w:val="24"/>
          <w:szCs w:val="24"/>
        </w:rPr>
        <w:t xml:space="preserve"> </w:t>
      </w:r>
      <w:r w:rsidR="0092503C" w:rsidRPr="0092503C">
        <w:rPr>
          <w:rFonts w:ascii="Arial" w:hAnsi="Arial" w:cs="Arial"/>
          <w:sz w:val="24"/>
          <w:szCs w:val="24"/>
        </w:rPr>
        <w:t>It has been shown that negative, or less positive, feedback can be instrumental in shaping leadership behaviours</w:t>
      </w:r>
      <w:r w:rsidR="0092503C">
        <w:rPr>
          <w:rFonts w:ascii="Arial" w:hAnsi="Arial" w:cs="Arial"/>
          <w:sz w:val="24"/>
          <w:szCs w:val="24"/>
        </w:rPr>
        <w:t xml:space="preserve"> – </w:t>
      </w:r>
      <w:r w:rsidR="0092503C" w:rsidRPr="0092503C">
        <w:rPr>
          <w:rFonts w:ascii="Arial" w:hAnsi="Arial" w:cs="Arial"/>
          <w:sz w:val="24"/>
          <w:szCs w:val="24"/>
        </w:rPr>
        <w:t>providing</w:t>
      </w:r>
      <w:r w:rsidR="0092503C">
        <w:rPr>
          <w:rFonts w:ascii="Arial" w:hAnsi="Arial" w:cs="Arial"/>
          <w:sz w:val="24"/>
          <w:szCs w:val="24"/>
        </w:rPr>
        <w:t xml:space="preserve"> that</w:t>
      </w:r>
      <w:r w:rsidR="0092503C" w:rsidRPr="0092503C">
        <w:rPr>
          <w:rFonts w:ascii="Arial" w:hAnsi="Arial" w:cs="Arial"/>
          <w:sz w:val="24"/>
          <w:szCs w:val="24"/>
        </w:rPr>
        <w:t xml:space="preserve"> the raters and person receiving the feedback are adequately familiar and engaged with the process (Barelka, 2019)</w:t>
      </w:r>
      <w:r w:rsidR="0092503C">
        <w:rPr>
          <w:rFonts w:ascii="Arial" w:hAnsi="Arial" w:cs="Arial"/>
          <w:sz w:val="24"/>
          <w:szCs w:val="24"/>
        </w:rPr>
        <w:t>. Lack of awareness of how to best and most constructively use this method of feedback can lead to less usefulness of the 360 model.</w:t>
      </w:r>
    </w:p>
    <w:p w14:paraId="508803DE" w14:textId="77777777"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br/>
      </w:r>
    </w:p>
    <w:p w14:paraId="0D093052" w14:textId="77777777"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 xml:space="preserve">My line manager rated me markedly higher on several areas than I had marked myself, however I do think that this partly reflects the non-clinical and unique role that I was undertaking during the course of this project, and I do suspect that a clinical line manager may have responded slightly differently, which would be an interesting exercise to repeat, as this type of work that I did during the secondment is unlikely to be repeated in this format again in my career. However, upon reflection, it is likely that I will undertake increasing amounts of work with similar gravitas and emphasis on </w:t>
      </w:r>
      <w:r w:rsidRPr="00897DEF">
        <w:rPr>
          <w:rFonts w:ascii="Arial" w:hAnsi="Arial" w:cs="Arial"/>
          <w:sz w:val="24"/>
          <w:szCs w:val="24"/>
        </w:rPr>
        <w:lastRenderedPageBreak/>
        <w:t>quality of patient care across systems etc. and in that regard this is valuable insight into a previously untapped area of my working behaviour.</w:t>
      </w:r>
    </w:p>
    <w:p w14:paraId="275AECFF" w14:textId="77777777" w:rsidR="006F40DE" w:rsidRDefault="006F40DE" w:rsidP="006F40DE">
      <w:pPr>
        <w:keepNext/>
        <w:spacing w:line="360" w:lineRule="auto"/>
        <w:jc w:val="both"/>
      </w:pPr>
      <w:r>
        <w:rPr>
          <w:rFonts w:ascii="Arial" w:hAnsi="Arial" w:cs="Arial"/>
          <w:noProof/>
          <w:sz w:val="24"/>
          <w:szCs w:val="24"/>
        </w:rPr>
        <w:drawing>
          <wp:inline distT="0" distB="0" distL="0" distR="0" wp14:anchorId="26604F79" wp14:editId="1C17FE1E">
            <wp:extent cx="5731510" cy="5536565"/>
            <wp:effectExtent l="0" t="0" r="2540" b="6985"/>
            <wp:docPr id="1" name="Picture 1"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60 feedback self vs others rating image.png"/>
                    <pic:cNvPicPr/>
                  </pic:nvPicPr>
                  <pic:blipFill>
                    <a:blip r:embed="rId7">
                      <a:extLst>
                        <a:ext uri="{28A0092B-C50C-407E-A947-70E740481C1C}">
                          <a14:useLocalDpi xmlns:a14="http://schemas.microsoft.com/office/drawing/2010/main" val="0"/>
                        </a:ext>
                      </a:extLst>
                    </a:blip>
                    <a:stretch>
                      <a:fillRect/>
                    </a:stretch>
                  </pic:blipFill>
                  <pic:spPr>
                    <a:xfrm>
                      <a:off x="0" y="0"/>
                      <a:ext cx="5731510" cy="5536565"/>
                    </a:xfrm>
                    <a:prstGeom prst="rect">
                      <a:avLst/>
                    </a:prstGeom>
                  </pic:spPr>
                </pic:pic>
              </a:graphicData>
            </a:graphic>
          </wp:inline>
        </w:drawing>
      </w:r>
    </w:p>
    <w:p w14:paraId="6642CBE0" w14:textId="6D29AFAC" w:rsidR="006F40DE" w:rsidRDefault="006F40DE" w:rsidP="006F40DE">
      <w:pPr>
        <w:pStyle w:val="Caption"/>
        <w:jc w:val="both"/>
      </w:pPr>
      <w:r>
        <w:t xml:space="preserve">Figure </w:t>
      </w:r>
      <w:fldSimple w:instr=" SEQ Figure \* ARABIC ">
        <w:r>
          <w:rPr>
            <w:noProof/>
          </w:rPr>
          <w:t>1</w:t>
        </w:r>
      </w:fldSimple>
    </w:p>
    <w:p w14:paraId="348F7702" w14:textId="5AF5EB90"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br/>
      </w:r>
    </w:p>
    <w:p w14:paraId="7ED54A8F" w14:textId="2181B170"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As shown in the report</w:t>
      </w:r>
      <w:r w:rsidR="006F40DE">
        <w:rPr>
          <w:rFonts w:ascii="Arial" w:hAnsi="Arial" w:cs="Arial"/>
          <w:sz w:val="24"/>
          <w:szCs w:val="24"/>
        </w:rPr>
        <w:t xml:space="preserve"> (Fig.1) </w:t>
      </w:r>
      <w:r w:rsidRPr="00897DEF">
        <w:rPr>
          <w:rFonts w:ascii="Arial" w:hAnsi="Arial" w:cs="Arial"/>
          <w:sz w:val="24"/>
          <w:szCs w:val="24"/>
        </w:rPr>
        <w:t xml:space="preserve">, some of my ‘hidden strengths’, where raters had marked me higher than I had marked myself, included ‘inspiring shared purpose’, ‘evaluating information’, ‘connecting our service’, ‘sharing the vision’ and ‘holding to account’. I found this insightful as values such as shared purpose and vision were not known concepts to me when I started this programme of study, and this information suggests that I have come to recognise the importance and the usefulness of these </w:t>
      </w:r>
      <w:r w:rsidRPr="00897DEF">
        <w:rPr>
          <w:rFonts w:ascii="Arial" w:hAnsi="Arial" w:cs="Arial"/>
          <w:sz w:val="24"/>
          <w:szCs w:val="24"/>
        </w:rPr>
        <w:lastRenderedPageBreak/>
        <w:t>attributes perhaps to a better degree than I give myself credit for. This may be because I know how fresh and new they still feel to me, whereas perhaps that does not show through when I interact with others in my teams in work etc. Holding to account and connecting our service perhaps stem from the type of role I took in the inspectorate where my project was based, and so perhaps that aspect of my work influenced raters to think more favourably about that aspect of my leadership style - because it was central and key to the type of work my project was attempting to achieve. A ‘blind spot’ for me was in ‘engaging the team’, where I rated myself higher than others rated me. I reflect seriously upon this, as this is one area where the opinion of the raters, who were all within a team that I led at some point, is absolutely reflective of the truth, as their perception is the reality of this measure. The rating was not poor - it was still no lower than ‘proficient’ in any rating that was submitted, but it did make me realise that I may rely too strongly on one aspect of my abilities and competence, i.e. the ability to ‘get along’ with people, and that I must take care not to mistake this for ‘engaging’ peoples’ interest and energy. I have a great interest in engagement at all levels - between different levels of staff, different disciplines, peers and public/service users - the Kings Fund report on engaging leadership (2012) really brought that concept home to me, that there was real evidence to support this leadership style being used to great benefit, especially in the NHS, therefore this is a finding of the report that I will consider carefully and ensure that I close the gap between what I aim to achieve and what the effect actually is. </w:t>
      </w:r>
      <w:r w:rsidR="006F40DE">
        <w:rPr>
          <w:rFonts w:ascii="Arial" w:hAnsi="Arial" w:cs="Arial"/>
          <w:sz w:val="24"/>
          <w:szCs w:val="24"/>
        </w:rPr>
        <w:t xml:space="preserve">. </w:t>
      </w:r>
    </w:p>
    <w:p w14:paraId="579A510D" w14:textId="77777777"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br/>
      </w:r>
    </w:p>
    <w:p w14:paraId="5624385D" w14:textId="77777777"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I found the comments section possibly most revealing. In describing my style of leadership and working within a team there was repeated mention of positive, enthusiastic, open, honest, inclusive, considerate, and features such as acting with integrity, being effective at communicating and being easy to get on with. As I mentioned above, I intend to take this highly desirable praise and build upon it in order to translate it through to effective leadership in situations where I may need to use these skills to engage the energy and efforts of a team in a task or in achieving a goal. </w:t>
      </w:r>
    </w:p>
    <w:p w14:paraId="14CE70B0" w14:textId="02D85DC3"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 xml:space="preserve">Some of the comments on areas for improvement mentioned worrying less about the immediate and smaller detail and focussing energy on the bigger picture, whilst also </w:t>
      </w:r>
      <w:r w:rsidRPr="00897DEF">
        <w:rPr>
          <w:rFonts w:ascii="Arial" w:hAnsi="Arial" w:cs="Arial"/>
          <w:sz w:val="24"/>
          <w:szCs w:val="24"/>
        </w:rPr>
        <w:lastRenderedPageBreak/>
        <w:t>having greater confidence in this approach. I do think this is in part a reflection of the fact that this was the first time I had worked in this way and on a project of this type and magnitude, and I felt even as the project drew to a culmination this year that I would be better placed to take on similar work in the future - as can be seen in my critical evaluation of my patient impact project for the other module of this programme of study. </w:t>
      </w:r>
    </w:p>
    <w:p w14:paraId="4EC5D82B" w14:textId="1E640AC0" w:rsidR="00897DEF" w:rsidRPr="00897DEF" w:rsidRDefault="00897DEF" w:rsidP="00897DEF">
      <w:pPr>
        <w:spacing w:line="360" w:lineRule="auto"/>
        <w:jc w:val="both"/>
        <w:rPr>
          <w:rFonts w:ascii="Arial" w:hAnsi="Arial" w:cs="Arial"/>
          <w:sz w:val="24"/>
          <w:szCs w:val="24"/>
        </w:rPr>
      </w:pPr>
      <w:r w:rsidRPr="00897DEF">
        <w:rPr>
          <w:rFonts w:ascii="Arial" w:hAnsi="Arial" w:cs="Arial"/>
          <w:sz w:val="24"/>
          <w:szCs w:val="24"/>
        </w:rPr>
        <w:t>I reflected on the remaining sections of the 360 and also used my learning log that I kept throughout the year when I was considering a personal development plan for my personal leadership approach. </w:t>
      </w:r>
      <w:r w:rsidR="00E94B47">
        <w:rPr>
          <w:rFonts w:ascii="Arial" w:hAnsi="Arial" w:cs="Arial"/>
          <w:sz w:val="24"/>
          <w:szCs w:val="24"/>
        </w:rPr>
        <w:t>Please find this PDP in the table that follows.</w:t>
      </w:r>
    </w:p>
    <w:p w14:paraId="73FD597C" w14:textId="65C48F4A" w:rsidR="00E94B47" w:rsidRDefault="00E94B47">
      <w:r>
        <w:br w:type="page"/>
      </w:r>
    </w:p>
    <w:p w14:paraId="7A56DF26" w14:textId="77777777" w:rsidR="00AD5F3E" w:rsidRDefault="00AD5F3E"/>
    <w:p w14:paraId="465B9F3C" w14:textId="77777777" w:rsidR="00AD5F3E" w:rsidRDefault="00AD5F3E"/>
    <w:p w14:paraId="316E469D" w14:textId="77777777" w:rsidR="00AD5F3E" w:rsidRDefault="00AD5F3E"/>
    <w:p w14:paraId="511BF6B8" w14:textId="4F0B1924" w:rsidR="00AD5F3E" w:rsidRDefault="00AD5F3E"/>
    <w:p w14:paraId="56C0E9A0" w14:textId="05B309C3" w:rsidR="00AD5F3E" w:rsidRDefault="00AD5F3E">
      <w:r>
        <w:rPr>
          <w:noProof/>
        </w:rPr>
        <w:drawing>
          <wp:anchor distT="0" distB="0" distL="114300" distR="114300" simplePos="0" relativeHeight="251658240" behindDoc="0" locked="1" layoutInCell="1" allowOverlap="1" wp14:anchorId="32380366" wp14:editId="1116FC27">
            <wp:simplePos x="0" y="0"/>
            <wp:positionH relativeFrom="margin">
              <wp:align>left</wp:align>
            </wp:positionH>
            <wp:positionV relativeFrom="margin">
              <wp:align>top</wp:align>
            </wp:positionV>
            <wp:extent cx="8841600" cy="5734800"/>
            <wp:effectExtent l="0" t="8890" r="8255" b="8255"/>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DP table.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841600" cy="5734800"/>
                    </a:xfrm>
                    <a:prstGeom prst="rect">
                      <a:avLst/>
                    </a:prstGeom>
                  </pic:spPr>
                </pic:pic>
              </a:graphicData>
            </a:graphic>
            <wp14:sizeRelH relativeFrom="margin">
              <wp14:pctWidth>0</wp14:pctWidth>
            </wp14:sizeRelH>
            <wp14:sizeRelV relativeFrom="margin">
              <wp14:pctHeight>0</wp14:pctHeight>
            </wp14:sizeRelV>
          </wp:anchor>
        </w:drawing>
      </w:r>
    </w:p>
    <w:p w14:paraId="4F43AEB2" w14:textId="5E972399" w:rsidR="00AD5F3E" w:rsidRDefault="00AD5F3E"/>
    <w:p w14:paraId="5C556E65" w14:textId="1D5F0B76" w:rsidR="00AD5F3E" w:rsidRDefault="00AD5F3E"/>
    <w:p w14:paraId="422D785A" w14:textId="797FBC40" w:rsidR="00AD5F3E" w:rsidRDefault="00AD5F3E"/>
    <w:p w14:paraId="68C531D7" w14:textId="7E2FAAA9" w:rsidR="00AD5F3E" w:rsidRDefault="00AD5F3E"/>
    <w:p w14:paraId="15529658" w14:textId="6C5305DC" w:rsidR="00AD5F3E" w:rsidRDefault="00AD5F3E"/>
    <w:p w14:paraId="6C1DA076" w14:textId="02853262" w:rsidR="00AD5F3E" w:rsidRDefault="00AD5F3E"/>
    <w:p w14:paraId="2574F895" w14:textId="6FCA8E00" w:rsidR="00AD5F3E" w:rsidRDefault="00AD5F3E"/>
    <w:p w14:paraId="773D9ED0" w14:textId="47C36D40" w:rsidR="00AD5F3E" w:rsidRDefault="00AD5F3E"/>
    <w:p w14:paraId="05181B21" w14:textId="0FE1196E" w:rsidR="00AD5F3E" w:rsidRDefault="00AD5F3E"/>
    <w:p w14:paraId="7D218A95" w14:textId="357DA3EB" w:rsidR="00AD5F3E" w:rsidRDefault="00AD5F3E"/>
    <w:p w14:paraId="2F61B83F" w14:textId="3A4AEF29" w:rsidR="00AD5F3E" w:rsidRDefault="00AD5F3E"/>
    <w:p w14:paraId="62842318" w14:textId="77777777" w:rsidR="00AD5F3E" w:rsidRDefault="00AD5F3E"/>
    <w:p w14:paraId="66E2F601" w14:textId="29326DB7" w:rsidR="00AD5F3E" w:rsidRDefault="00AD5F3E"/>
    <w:p w14:paraId="4381414F" w14:textId="60CA12C5" w:rsidR="00AD5F3E" w:rsidRDefault="00AD5F3E"/>
    <w:p w14:paraId="09D4F742" w14:textId="77777777" w:rsidR="00AD5F3E" w:rsidRDefault="00AD5F3E"/>
    <w:p w14:paraId="069351BC" w14:textId="0833FAB2" w:rsidR="00AD5F3E" w:rsidRDefault="00AD5F3E"/>
    <w:p w14:paraId="62E338A3" w14:textId="34EBBF44" w:rsidR="00AD5F3E" w:rsidRDefault="00AD5F3E"/>
    <w:p w14:paraId="314F3ACE" w14:textId="400FAF92" w:rsidR="00AD5F3E" w:rsidRDefault="00AD5F3E"/>
    <w:p w14:paraId="7070B6C3" w14:textId="4DA1C170" w:rsidR="00AD5F3E" w:rsidRDefault="00AD5F3E"/>
    <w:p w14:paraId="03A4762F" w14:textId="0177BC2B" w:rsidR="00AD5F3E" w:rsidRDefault="00AD5F3E"/>
    <w:p w14:paraId="2E791926" w14:textId="66357FFE" w:rsidR="00AD5F3E" w:rsidRDefault="00AD5F3E"/>
    <w:p w14:paraId="3BDFD931" w14:textId="77777777" w:rsidR="00AD5F3E" w:rsidRDefault="00AD5F3E"/>
    <w:p w14:paraId="1F444168" w14:textId="59F89032" w:rsidR="00AD5F3E" w:rsidRDefault="00AD5F3E"/>
    <w:p w14:paraId="17B8B8CA" w14:textId="77777777" w:rsidR="00AD5F3E" w:rsidRDefault="00AD5F3E"/>
    <w:p w14:paraId="22469BEC" w14:textId="77777777" w:rsidR="00AD5F3E" w:rsidRDefault="00AD5F3E"/>
    <w:p w14:paraId="523C8C3F" w14:textId="77777777" w:rsidR="00AD5F3E" w:rsidRDefault="00AD5F3E"/>
    <w:p w14:paraId="39D41971" w14:textId="77777777" w:rsidR="00AD5F3E" w:rsidRPr="00AD5F3E" w:rsidRDefault="00AD5F3E" w:rsidP="00AD5F3E">
      <w:pPr>
        <w:spacing w:line="360" w:lineRule="auto"/>
        <w:jc w:val="both"/>
        <w:rPr>
          <w:rFonts w:ascii="Arial" w:hAnsi="Arial" w:cs="Arial"/>
          <w:b/>
          <w:bCs/>
          <w:sz w:val="24"/>
          <w:szCs w:val="24"/>
          <w:u w:val="single"/>
        </w:rPr>
      </w:pPr>
      <w:r w:rsidRPr="00AD5F3E">
        <w:rPr>
          <w:rFonts w:ascii="Arial" w:hAnsi="Arial" w:cs="Arial"/>
          <w:b/>
          <w:bCs/>
          <w:sz w:val="24"/>
          <w:szCs w:val="24"/>
          <w:u w:val="single"/>
        </w:rPr>
        <w:lastRenderedPageBreak/>
        <w:t>Assessment Component 2 – Reflection A range of a minimum of five reflective accounts focusing on the application of all scheduled and independent aspects of learning. (6,000 words or equivalent, 80%)</w:t>
      </w:r>
    </w:p>
    <w:p w14:paraId="18E0E383"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br/>
      </w:r>
    </w:p>
    <w:p w14:paraId="0684DBCE" w14:textId="77777777" w:rsidR="00AD5F3E" w:rsidRPr="00AD5F3E" w:rsidRDefault="00AD5F3E" w:rsidP="00AD5F3E">
      <w:pPr>
        <w:numPr>
          <w:ilvl w:val="0"/>
          <w:numId w:val="2"/>
        </w:numPr>
        <w:spacing w:line="360" w:lineRule="auto"/>
        <w:jc w:val="both"/>
        <w:rPr>
          <w:rFonts w:ascii="Arial" w:hAnsi="Arial" w:cs="Arial"/>
          <w:sz w:val="24"/>
          <w:szCs w:val="24"/>
        </w:rPr>
      </w:pPr>
      <w:r w:rsidRPr="00AD5F3E">
        <w:rPr>
          <w:rFonts w:ascii="Arial" w:hAnsi="Arial" w:cs="Arial"/>
          <w:sz w:val="24"/>
          <w:szCs w:val="24"/>
        </w:rPr>
        <w:t>Elan Valley</w:t>
      </w:r>
    </w:p>
    <w:p w14:paraId="31F11EB1"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t>I had both a fruitful learning experience and also a thoroughly enjoyable time at the residential leadership experience.</w:t>
      </w:r>
    </w:p>
    <w:p w14:paraId="0A333044"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t xml:space="preserve">The first thing that occurred to me, as I have a keen interest in emotional intelligence (Goleman, 1994) and its application in teamwork situations, was that there may be some participants at the course who would be less comfortable than others, and for a variety of reasons. There was a mixture of clinical and leadership backgrounds, and people who are perceived to have more senior or experienced positions in their usual sphere of work can feel under pressure to ‘perform’ to a high standard when placed in group situations. But the nature of the exercises at Elan Valley were outside of most peoples’ comfort zones and expertise/experience. </w:t>
      </w:r>
    </w:p>
    <w:p w14:paraId="68CF4A83"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t>Personally, I chose to see this as a levelling influence. We were all approaching the different mental and physical challenges from the same position of professional naivety, and so this gave the junior colleague ‘permission’ to excel past the senior one without awkwardness. However - this didn’t adjust for personal background - i.e. fitness level, puzzle-solving, coordination, memory, general knowledge etc. and so we were still required to exercise our skills of harmonisation and sensitive collaboration in order to get the best out of every member of the team whilst simultaneously ensuring everyone enjoyed themselves and had fun and had plenty of involvement. I felt that I was naturally well-placed to facilitate this in our group as my tendencies are strongest towards team worker and coordinator roles when working in a team. </w:t>
      </w:r>
    </w:p>
    <w:p w14:paraId="736A6B10"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br/>
      </w:r>
    </w:p>
    <w:p w14:paraId="549A3F18"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t xml:space="preserve">I was pleasantly surprised by several team members during some of the tasks. There were some tasks which I dreaded, knowing that they were weak areas of mine, and fellow team members swooped in and took the lead, imparting their knowledge and </w:t>
      </w:r>
      <w:r w:rsidRPr="00AD5F3E">
        <w:rPr>
          <w:rFonts w:ascii="Arial" w:hAnsi="Arial" w:cs="Arial"/>
          <w:sz w:val="24"/>
          <w:szCs w:val="24"/>
        </w:rPr>
        <w:lastRenderedPageBreak/>
        <w:t>the benefit of their experience, to the overall success of the team. In this way I think we worked well in a mini example of the Athenian model of organisational culture from the descriptions first coined in 1972 by Harrison (Goddard, 1997). By this, I mean that we did appoint a nominal ‘group leader’, but we quickly ascertained at the beginning of different tasks whether another group member had an aptitude for this sort of work and if so, they were informally given the lead for that session. I think this worked well because we had a high level of trust and also shared the common goal of all wanting to earn points for our team and ascend to the top of the leader board for the day. This is definitely a model I will utilise again in situations where flexibility and innovation are required for successful problem solving. </w:t>
      </w:r>
    </w:p>
    <w:p w14:paraId="3C736658"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t>One topic that was covered that resonated profoundly with me both in the project work that I undertook this year and also in my usual clinical role, was that of the challenge-support matrix, which is widely referenced when referring to leadership behaviour (NHS Leadership Academy blog, 2015). This is the concept that, in order to obtain optimum outcomes both in outcome deliverables and also in personal satisfaction and growth from challenging situations, the level of challenge should match the level of support. What I found most impactful was that you could slightly rearrange this principle to analyse challenges that are set to you in your working life, and test whether it will be a positive growth experience, or whether it may harm your reserves by stretching you too far. You could even acknowledge that in its current form a challenge may be too much for you, but if you are able to put in place better supporting arrangements, then it may be achievable. You can use it in reflection to see why you were or weren’t successful when attempting a task. In Elan Valley this was exemplified by the way that we had to negotiate within the team how many members wanted to do certain tasks and whether they thought that they could complete them. Whether or not we could deliver what we originally agreed had an impact on the points scored by the team and ultimately the ‘success’ of the team. Therefore it was important that team members felt that they were enabled to participate in challenges that they enjoyed and found stretching, but that they didn’t feel too much pressure to complete tasks that they were uncomfortable attempting, even though these tended to be the ‘higher reward’ tasks. I reflected that it is sometimes difficult to forfeit achievable success but completely necessary in the grander scheme of successful team dynamics and interpersonal relationships that are key for future success in subsequent tasks.</w:t>
      </w:r>
    </w:p>
    <w:p w14:paraId="322A03A7" w14:textId="77777777" w:rsidR="00AD5F3E" w:rsidRPr="00AD5F3E" w:rsidRDefault="00AD5F3E" w:rsidP="00AD5F3E">
      <w:pPr>
        <w:spacing w:line="360" w:lineRule="auto"/>
        <w:jc w:val="both"/>
        <w:rPr>
          <w:rFonts w:ascii="Arial" w:hAnsi="Arial" w:cs="Arial"/>
          <w:sz w:val="24"/>
          <w:szCs w:val="24"/>
        </w:rPr>
      </w:pPr>
      <w:r w:rsidRPr="00AD5F3E">
        <w:rPr>
          <w:rFonts w:ascii="Arial" w:hAnsi="Arial" w:cs="Arial"/>
          <w:sz w:val="24"/>
          <w:szCs w:val="24"/>
        </w:rPr>
        <w:lastRenderedPageBreak/>
        <w:t>I mentioned my preferred team role type earlier as ‘team worker’ and ‘coordinator’, described in terms from the Belbin questionnaire (2010). Elan valley was where we discovered this insight into our personalities and teamworking effectiveness. This was a great time to introduce these concepts in the Medical Leadership Programme, because it gave us the opportunity to both exercise our team worker ‘types’ and also how others behaved in the context of their role types, and how successful these interactions were in different ways - i.e. team experience of the activities, points gained, etc. Up until this point I hadn’t formally considered the different role types that were required within a team in order to give it the best chance of ‘success’. This made me realise that I could have improved the project which I was working on in my secondment role by primarily taking a small amount of time to analyse the different roles I had access to in my team and making sure that I had covered any gaps. I realised that there are reasons why there are certain types of action that are required for the success of a task that I am not particularly good at or keen on, such as resource investigation, and therefore by ensuring I had ‘plugged that gap’ with another person in the team that didn’t necessarily mean that the project would suffer. I hadn’t considered before either that more than one role could be performed by one person, and therefore simply acknowledging the team roles that are required doesn’t necessarily dictate the number needed to fill a team. I also reflected that it was a relief to be able to relinquish some responsibility to another team member, as long as the right structures for checking the progress of the task were in place. I realised that in attempting to cover most of the team roles at some point in any given project I was lessening my chances of success as I was getting waylaid and exhausted by struggling with aspects which were not my forte. </w:t>
      </w:r>
    </w:p>
    <w:p w14:paraId="40BA0571" w14:textId="1D82249F" w:rsidR="00014C6A" w:rsidRDefault="00AD5F3E" w:rsidP="00AD5F3E">
      <w:pPr>
        <w:spacing w:line="360" w:lineRule="auto"/>
        <w:jc w:val="both"/>
        <w:rPr>
          <w:rFonts w:ascii="Arial" w:hAnsi="Arial" w:cs="Arial"/>
          <w:sz w:val="24"/>
          <w:szCs w:val="24"/>
        </w:rPr>
      </w:pPr>
      <w:r w:rsidRPr="00AD5F3E">
        <w:rPr>
          <w:rFonts w:ascii="Arial" w:hAnsi="Arial" w:cs="Arial"/>
          <w:sz w:val="24"/>
          <w:szCs w:val="24"/>
        </w:rPr>
        <w:t>To summarise, I found the experience at Elan Valley fun, enjoyable, sociable, insightful, helpful and that it helped to formalise team role behaviour in my mind, which made it much easier to apply it to real life and work situations subsequently.</w:t>
      </w:r>
    </w:p>
    <w:p w14:paraId="24C39A0A" w14:textId="7EF946E6" w:rsidR="008750B5" w:rsidRDefault="008750B5">
      <w:pPr>
        <w:rPr>
          <w:rFonts w:ascii="Arial" w:hAnsi="Arial" w:cs="Arial"/>
          <w:sz w:val="24"/>
          <w:szCs w:val="24"/>
        </w:rPr>
      </w:pPr>
      <w:r>
        <w:rPr>
          <w:rFonts w:ascii="Arial" w:hAnsi="Arial" w:cs="Arial"/>
          <w:sz w:val="24"/>
          <w:szCs w:val="24"/>
        </w:rPr>
        <w:br w:type="page"/>
      </w:r>
    </w:p>
    <w:p w14:paraId="74CBB3DD"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lastRenderedPageBreak/>
        <w:t xml:space="preserve">2: </w:t>
      </w:r>
      <w:r>
        <w:rPr>
          <w:rFonts w:ascii="Arial" w:hAnsi="Arial" w:cs="Arial"/>
          <w:sz w:val="24"/>
          <w:szCs w:val="24"/>
        </w:rPr>
        <w:t xml:space="preserve">Reflecting on a public presentation using </w:t>
      </w:r>
      <w:r w:rsidRPr="00B01482">
        <w:rPr>
          <w:rFonts w:ascii="Arial" w:hAnsi="Arial" w:cs="Arial"/>
          <w:sz w:val="24"/>
          <w:szCs w:val="24"/>
        </w:rPr>
        <w:t>Sch</w:t>
      </w:r>
      <w:r>
        <w:rPr>
          <w:rFonts w:ascii="Arial" w:hAnsi="Arial" w:cs="Arial"/>
          <w:sz w:val="24"/>
          <w:szCs w:val="24"/>
        </w:rPr>
        <w:t>ö</w:t>
      </w:r>
      <w:r w:rsidRPr="00B01482">
        <w:rPr>
          <w:rFonts w:ascii="Arial" w:hAnsi="Arial" w:cs="Arial"/>
          <w:sz w:val="24"/>
          <w:szCs w:val="24"/>
        </w:rPr>
        <w:t>n’s model</w:t>
      </w:r>
      <w:r>
        <w:rPr>
          <w:rFonts w:ascii="Arial" w:hAnsi="Arial" w:cs="Arial"/>
          <w:sz w:val="24"/>
          <w:szCs w:val="24"/>
        </w:rPr>
        <w:t xml:space="preserve"> (1983).</w:t>
      </w:r>
    </w:p>
    <w:p w14:paraId="45C00EEF"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I wanted to explore the use of Schön’s model of reflection ON action (ROA) and reflection IN action (RIA), and so here I have considered how I have applied this approach to some situations during the year.</w:t>
      </w:r>
    </w:p>
    <w:p w14:paraId="7409C528"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I will consider a presentation that I gave to a public group on the work that I undertook last year. To set the scene - I was invited to prepare a 40-minute presentation to this group of members of the public. I contacted the person who had invited me a few days prior to the event to check that all was still ok to go ahead and what the multimedia arrangement was in the presenting facility, however I didn’t get a response. This was because, as I found out when I arrived for the talk, he was no longer associated with the group. They had not had my contact details passed on from him and so had no way of getting in touch and checking if I was still coming etc. and so they had arranged an alternative programme of speaking for the afternoon. Now, I was quite dismayed at this as I had put a reasonable amount of effort into preparation for this talk, and had travelled some distance and taken time out of work in order to attend, however I recognised that this was beyond the control of the new chairperson of the meeting and that if I still wanted to retain any interest and engagement from this group I would not be doing myself any favours by making a fuss about any of this. I could see that the chairperson was under some stress and getting flustered by several other factors happening at the time, and so I stepped back and gave them some time to rearrange and sort themselves out, during which time I was able to chat to some of the audience members and discover their backgrounds and experiences that were relevant to the talk that I was giving. In time, it was arranged that I could give a 20-minute talk and also use their presenting equipment and so all I had to do then was condense the presentation down to half of its size and all would be well. </w:t>
      </w:r>
    </w:p>
    <w:p w14:paraId="35DD83AC"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 xml:space="preserve">As I was listening to the other speakers I was able to gauge the mood and orientation of the audience. This allowed me to decide, shortly before I took the stage, which parts of my talk to concentrate on and which to skim over in my shrunken time slot. I was also able to reference other organisations and types of work that was mentioned by the other speakers, which gave the audience a nice continuum of information and a good ‘themed’ feel to the afternoon - particularly important as my talk was all about ‘integration’ of services.  I also noted the types and topics of questions that came from </w:t>
      </w:r>
      <w:r w:rsidRPr="00B01482">
        <w:rPr>
          <w:rFonts w:ascii="Arial" w:hAnsi="Arial" w:cs="Arial"/>
          <w:sz w:val="24"/>
          <w:szCs w:val="24"/>
        </w:rPr>
        <w:lastRenderedPageBreak/>
        <w:t>the floor towards the speakers and was able to mentally prepare myself for similar type questions around my own talk. </w:t>
      </w:r>
    </w:p>
    <w:p w14:paraId="0E1125F2"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A poor choice that I made on reflection was inviting questions throughout the talk - as I normally would whilst giving an educational lecture for example. I realised this was a mistake as I already had to cut my length of presentation time down and then allowing questions as and when did mean that I was set back further and ended up going over time. I was able to reverse this about halfway through the talk however by referring to the chairpersons’ request for all questions at the end and also by arranging to speak to individuals at the end of the presentation and also to give out my contact details should they prefer to contact me that way. I think the outcome of that was that all audience members felt that their contribution was valued, and their interest satisfied, but I didn’t derail the entire programme. </w:t>
      </w:r>
    </w:p>
    <w:p w14:paraId="42E95AD4"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Reflecting back on the event, the first thing I can comment on is the feedback and questions that I had from the audience. I did have a positive comment that my style of presentation and volume, pitch, speed etc. was very clear, and I was pleased with this as I had purposefully aimed to achieve a level opportunity for members of the audience to all be able to hear me, regardless of their position in the room or potential hearing difficulties etc. However, I did get a comment that the slides that I used were difficult to see for people with fairly run-of-the-mill visual impairment. I hadn’t considered this when designing the slides - I had been thinking as I do when I present to peers and colleagues. I had been trying to find exciting and colourful ways of presenting information but hadn’t considered ease of communication. I realised that when presenting to the public you have to be inclusive in your style and all of your information must be as widely accessible as possible. As a result of this I have arranged through a contact that I made on the day to get some training on preparing accessible public presentations for people with sensory impairment, and also how I can improve my personal presenting style to be effective and reach as wide an audience as effectively as possible in future. </w:t>
      </w:r>
    </w:p>
    <w:p w14:paraId="0D4E4D69"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 xml:space="preserve">Another thing I realised was that, although my presentation included hyperlinks to all of the relevant resources and websites that I was encouraging people to go to afterwards, it may have been useful to have had some literature to give out with these links and resources written down on them, so that the group had them to refer to </w:t>
      </w:r>
      <w:r w:rsidRPr="00B01482">
        <w:rPr>
          <w:rFonts w:ascii="Arial" w:hAnsi="Arial" w:cs="Arial"/>
          <w:sz w:val="24"/>
          <w:szCs w:val="24"/>
        </w:rPr>
        <w:lastRenderedPageBreak/>
        <w:t>afterwards. In public meetings such as this, people are not always taking notes or pictures of the slides etc. and so if you want to reinforce a take-home message, a flyer or card or booklet is very impactful. It also depends on the demographic of your public audience. Only the very interested noted down my contact details and the link addresses, whereas most curious bystanders let the talk come and go I suspect, and it washed over them leaving a good impression but perhaps not a lasting engagement with the message. I did use some feedback from my project presentation for the other module of this piece of work that I undertook, and continued to use appropriate gentle humour throughout the presentation in order to engage the audience and drive the messages home, and I believe this worked in this setting also. I was able to successfully network with some relevant members of other organisations and societies and I hope that some follow-on dissemination of my work will be the fruit of that process. I also fed back to my host organisation that I conducted this public engagement and profile-raising activity, as I know it will feed into their strategic objectives as well. </w:t>
      </w:r>
    </w:p>
    <w:p w14:paraId="0FFC792F" w14:textId="77777777" w:rsidR="008750B5" w:rsidRPr="00B01482" w:rsidRDefault="008750B5" w:rsidP="008750B5">
      <w:pPr>
        <w:spacing w:line="360" w:lineRule="auto"/>
        <w:jc w:val="both"/>
        <w:rPr>
          <w:rFonts w:ascii="Arial" w:hAnsi="Arial" w:cs="Arial"/>
          <w:sz w:val="24"/>
          <w:szCs w:val="24"/>
        </w:rPr>
      </w:pPr>
      <w:r w:rsidRPr="00B01482">
        <w:rPr>
          <w:rFonts w:ascii="Arial" w:hAnsi="Arial" w:cs="Arial"/>
          <w:sz w:val="24"/>
          <w:szCs w:val="24"/>
        </w:rPr>
        <w:t>In summary, this was an enjoyable and worthwhile event that has furthered public engagement with the findings of my project work and also provided an invaluable opportunity for me to improve my personal presentation, networking and engagement attributes.</w:t>
      </w:r>
    </w:p>
    <w:p w14:paraId="3C21DA85" w14:textId="20F61B76" w:rsidR="008750B5" w:rsidRDefault="008750B5">
      <w:pPr>
        <w:rPr>
          <w:rFonts w:ascii="Arial" w:hAnsi="Arial" w:cs="Arial"/>
          <w:sz w:val="24"/>
          <w:szCs w:val="24"/>
        </w:rPr>
      </w:pPr>
      <w:r>
        <w:rPr>
          <w:rFonts w:ascii="Arial" w:hAnsi="Arial" w:cs="Arial"/>
          <w:sz w:val="24"/>
          <w:szCs w:val="24"/>
        </w:rPr>
        <w:br w:type="page"/>
      </w:r>
    </w:p>
    <w:p w14:paraId="7F32C47A" w14:textId="7A107881"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lastRenderedPageBreak/>
        <w:t>3: Reflecting on the conduct of public focus groups using Kolb’s cycle</w:t>
      </w:r>
      <w:r w:rsidR="00BB5236" w:rsidRPr="00BB5236">
        <w:rPr>
          <w:rFonts w:ascii="Arial" w:hAnsi="Arial" w:cs="Arial"/>
          <w:sz w:val="24"/>
          <w:szCs w:val="24"/>
        </w:rPr>
        <w:t xml:space="preserve"> (1976)</w:t>
      </w:r>
      <w:r w:rsidRPr="00BB5236">
        <w:rPr>
          <w:rFonts w:ascii="Arial" w:hAnsi="Arial" w:cs="Arial"/>
          <w:sz w:val="24"/>
          <w:szCs w:val="24"/>
        </w:rPr>
        <w:t>.</w:t>
      </w:r>
    </w:p>
    <w:p w14:paraId="59A86658"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 xml:space="preserve">Despite the lack of empirical evidence for this reflective learning style (Smith, 2001, 2010), I decided to use it as it was an early attempt at reflecting more deeply on leadership events for me, and I wanted to use the structured, staged thinking to my advantage in order to be able to organise my thoughts and test what insights I could glean from the events when looking at them in this way. </w:t>
      </w:r>
    </w:p>
    <w:p w14:paraId="2C6B18B5"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Concrete experience:</w:t>
      </w:r>
    </w:p>
    <w:p w14:paraId="239FB052"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In order to gather opinion, experience and feedback from the public and service users that was of paramount importance to my project, I decided to hold several focus group sessions. The first session that I ran was held in conjunction with a well-known charity group, who allowed us to merge with their consultative forum in order to collect our information. A group of four of us went along from my host organisation - this was agreed with the executive team and these people were reimbursed travel and subsistence for the session. After a brief introduction from me about the project purpose, facilitators consisting of team members from my organisation and the charity split between tables of participants and conducted the information-collecting conversations. </w:t>
      </w:r>
    </w:p>
    <w:p w14:paraId="403C0817"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I had constructed an information sheet for the facilitators that was agreed by the internal project board team and also my expert stakeholder advisory group for the project. As it happened, due to the merging of forces we had enough facilitators for one to conduct the conversation and one to record the responses qualitatively on each table. After this session we thanked the group and I collated the responses for inclusion in the final report. </w:t>
      </w:r>
    </w:p>
    <w:p w14:paraId="5A0F2D13"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Reflective observation:</w:t>
      </w:r>
    </w:p>
    <w:p w14:paraId="13412020"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 xml:space="preserve">Joining forces with the charity and piggy backing on their existing event was a good idea. We had a captive audience of comfortable, prepared, motivated people, and they had an interest in furthering public services and peoples’ experiences of them due to the nature of their prior voluntary declaration of intent to take part in the charity’s consultative forum in the first place. However, I would add that this probably bias the results somewhat, as the group were almost exclusively of certain subsections of society, and others were markedly underrepresented. I did not discover an answer to </w:t>
      </w:r>
      <w:r w:rsidRPr="00BB5236">
        <w:rPr>
          <w:rFonts w:ascii="Arial" w:hAnsi="Arial" w:cs="Arial"/>
          <w:sz w:val="24"/>
          <w:szCs w:val="24"/>
        </w:rPr>
        <w:lastRenderedPageBreak/>
        <w:t>the conundrum of how to engage the reluctant or elusive members of our society in participation in data collection sadly. </w:t>
      </w:r>
    </w:p>
    <w:p w14:paraId="447A2685"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Getting the executive team to agree to remuneration for the trouble taken by facilitators to attend from our organisation was also important in the success of this venture. More than this however, we were able to encourage people to take part and help me collect data by advertising it as being good for the professional portfolio and fulfilling requirements that employees had to demonstrate personal and professional development and public/inter-professional communication, and so I felt glad that I was able to help others achieve their requirements at the same time as my own. </w:t>
      </w:r>
    </w:p>
    <w:p w14:paraId="1D248D51"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The use of two facilitators per table was accidental but incredibly fortuitous. I hadn’t considered how difficult it would be to direct and facilitate conversations, ensuring everyone got the opportunity to contribute, and also record qualitative responses in adequate detail for the study purposes. </w:t>
      </w:r>
    </w:p>
    <w:p w14:paraId="1E4E1D77"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The use of the cue sheet to guide the questions and conversations was useful, but only in conjunction with a briefing beforehand I think. The briefing was necessary to remind facilitators that the question topics were only ‘cues’ and not meant to be an exhaustive list of check boxes to cover during each session. An amount of flexibility and the ability to recognise when useful information that was not on the sheet was being imparted and ensuring that was recorded and followed up on in full and not disregarded to the detriment of the data recorded. </w:t>
      </w:r>
    </w:p>
    <w:p w14:paraId="35CD2B2F"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Abstract conceptualisation:</w:t>
      </w:r>
    </w:p>
    <w:p w14:paraId="1AFE7275"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 xml:space="preserve">I concluded that merging my focus group with an existing meeting or group that was already ongoing was a good way of ensuring good numbers of engaged people to feed into my information. It was also good for inter-organisational networking and collaborative working, as this sort of close dependent working fostered good relationship links between agencies in different sectors and opened up another stream of interest and audience to the findings of the report when it was published at the end of the process. However, it did leave me with the issue of not being able to ensure that I accessed a representable section of the population in doing so. In order to address this I thought that I might approach different organisations that represent these sections of the population that I required in order to be inclusive, thus shrinking the pool of ‘untapped’ voices in society, even though I was still not able to say that I had </w:t>
      </w:r>
      <w:r w:rsidRPr="00BB5236">
        <w:rPr>
          <w:rFonts w:ascii="Arial" w:hAnsi="Arial" w:cs="Arial"/>
          <w:sz w:val="24"/>
          <w:szCs w:val="24"/>
        </w:rPr>
        <w:lastRenderedPageBreak/>
        <w:t>accessed all of the ‘hard to reach’ people. Following on from this reflection I concluded that I needed to contact different ethnic background and faith groups, non-English speaking groups, rural and economically deprived groups in order to do this. </w:t>
      </w:r>
    </w:p>
    <w:p w14:paraId="2E79B7D0"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I used the observation that people were keen to facilitate from my organisation if they felt a sense of personal fulfilment and also professional recognition, and I recruited some senior members of the executive board to come along to subsequent focus group meetings, thereby raising the profile of the exercise and also increasing the likelihood of other staff members following the good example and feeling confident that helping out was the right thing to do. </w:t>
      </w:r>
    </w:p>
    <w:p w14:paraId="0E8D8114"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A drawback to ‘gate-crashing’ another organisation’s meeting/session is that you are constrained by time, as they are usually allowing you a slot in their programme or the time allotted to the meeting is short as people are there voluntarily from their daily lives and therefore attention span is finite. Building upon this I decided to attempt to find an answer which resulted in a session which was affiliated with a group in order to ensure attendance but that was without time constraints in order to allow adequate time to collect all of that valuable qualitative data. </w:t>
      </w:r>
    </w:p>
    <w:p w14:paraId="659D9FED"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Active experimentation:</w:t>
      </w:r>
    </w:p>
    <w:p w14:paraId="6B0D21C2"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t>I put the above reflections and analysis into effect with a subsequent focus group held at a coffee morning in a community centre in a rural town. This addressed some of the shortcomings/areas for potential improvement identified above, such as:</w:t>
      </w:r>
      <w:r w:rsidRPr="00BB5236">
        <w:rPr>
          <w:rFonts w:ascii="Arial" w:hAnsi="Arial" w:cs="Arial"/>
          <w:sz w:val="24"/>
          <w:szCs w:val="24"/>
        </w:rPr>
        <w:br/>
        <w:t>i) The time constraint - The event was well attended as an established community social gathering, and as such it reached a wide range of people, of multiple social backgrounds and also here it was possible to access all of the different ethnic backgrounds in the area (caveat - there was not a high proportion of other ethnic backgrounds in that area to begin with) and there was a good representation of people with accessibility issues such as mobility and sensory impairment, etc. But as well as this, it was not a time-defined session - it was a drop-in style day where people came and went freely, and this suited relaxed timely collection well. It also meant that I could decrease the number of facilitators needed whilst still ensuring at least two per data collection point, as we were able to conduct more interviews in series rather than in parallel.</w:t>
      </w:r>
    </w:p>
    <w:p w14:paraId="71D5076F" w14:textId="77777777" w:rsidR="008750B5" w:rsidRPr="00BB5236" w:rsidRDefault="008750B5" w:rsidP="00BB5236">
      <w:pPr>
        <w:spacing w:line="360" w:lineRule="auto"/>
        <w:jc w:val="both"/>
        <w:rPr>
          <w:rFonts w:ascii="Arial" w:hAnsi="Arial" w:cs="Arial"/>
          <w:sz w:val="24"/>
          <w:szCs w:val="24"/>
        </w:rPr>
      </w:pPr>
      <w:r w:rsidRPr="00BB5236">
        <w:rPr>
          <w:rFonts w:ascii="Arial" w:hAnsi="Arial" w:cs="Arial"/>
          <w:sz w:val="24"/>
          <w:szCs w:val="24"/>
        </w:rPr>
        <w:lastRenderedPageBreak/>
        <w:t>The inclusion of executive board members in the facilitation volunteer group was successful. I learned through this particular effort that ‘leading from the front’ or by example, is a powerful style, particularly in bureaucratically structured organisations with clearly defined hierarchy(King’s Fund, 2011 and Provis, 2004), and I was impressed by the return on investment of time and effort by the executive team in this way. </w:t>
      </w:r>
    </w:p>
    <w:p w14:paraId="1C8830BF" w14:textId="7AA9B62B" w:rsidR="008750B5" w:rsidRDefault="008750B5" w:rsidP="00BB5236">
      <w:pPr>
        <w:spacing w:line="360" w:lineRule="auto"/>
        <w:jc w:val="both"/>
        <w:rPr>
          <w:rFonts w:ascii="Arial" w:hAnsi="Arial" w:cs="Arial"/>
          <w:sz w:val="24"/>
          <w:szCs w:val="24"/>
        </w:rPr>
      </w:pPr>
      <w:r w:rsidRPr="00BB5236">
        <w:rPr>
          <w:rFonts w:ascii="Arial" w:hAnsi="Arial" w:cs="Arial"/>
          <w:sz w:val="24"/>
          <w:szCs w:val="24"/>
        </w:rPr>
        <w:t>In summary I am pleased to report that overall this model of reflection worked well to improve the outcomes achieved by my public focus groups, and I repeated it several times with the net result of high quality, useful information which furnished the publicly produced report ultimately, and was very insightful. It also provided the organisation with a workable model for public engagement that they can take forward in future projects.</w:t>
      </w:r>
    </w:p>
    <w:p w14:paraId="5BBE8AE0" w14:textId="37E2ABEF" w:rsidR="00BB5236" w:rsidRDefault="00BB5236">
      <w:pPr>
        <w:rPr>
          <w:rFonts w:ascii="Arial" w:hAnsi="Arial" w:cs="Arial"/>
          <w:sz w:val="24"/>
          <w:szCs w:val="24"/>
        </w:rPr>
      </w:pPr>
      <w:r>
        <w:rPr>
          <w:rFonts w:ascii="Arial" w:hAnsi="Arial" w:cs="Arial"/>
          <w:sz w:val="24"/>
          <w:szCs w:val="24"/>
        </w:rPr>
        <w:br w:type="page"/>
      </w:r>
    </w:p>
    <w:p w14:paraId="22160E2B"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lastRenderedPageBreak/>
        <w:t>4. This is a reflective learning entry for an activity using Gibbs’ reflective cycle (1988).</w:t>
      </w:r>
    </w:p>
    <w:p w14:paraId="432A5B51"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Various different reflective models exist, and whilst little evidence exists for superiority of any particular one, it is recognised that different structures will suit individuals and situations better (Jayatilleke, 2013), and I felt that the staged approach in Gibbs’ cycle was sufficiently detailed and would lend itself to this particular setting, and I wanted to have experience of using it, hence my decision to explore the framework more in the account below.</w:t>
      </w:r>
    </w:p>
    <w:p w14:paraId="4AFE0825"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Description:</w:t>
      </w:r>
    </w:p>
    <w:p w14:paraId="0E8B457E"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I volunteered to take part in an inspection of an independent mental health care facility as a lay reviewer during my time with Healthcare Inspectorate Wales. I was able to do this as I have no experience at all of working within the field of community mental health, and I undertook some in-house training to prepare me for the role of lay reviewer, i.e. I understood that I was there to be the patient’s advocate. </w:t>
      </w:r>
    </w:p>
    <w:p w14:paraId="0FF5A248"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Pre-inspection briefing included this training, and also familiarisation with the lay reviewer booklet. On the evening of the inspection I met with the peer reviewers and lead inspector at a place near the facility, in order to be briefed on the specifics of this inspection. We covered previous inspections both here and in similar nearby facilities. We also covered the basic information about the facility such as numbers of beds, staffing levels, any concerns that have been raised recently, etc. We then approached the facility at about 21:00.</w:t>
      </w:r>
    </w:p>
    <w:p w14:paraId="5D5F5DC6"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We were greeted by the night staff on duty and shown into a committee room in order to set up our base inspection materials. We then had a tour of the facility and met some of the staff and patients. We toured the communal areas, kitchens, garden and one of the private rooms that was empty. We then walked around the outside of the building to see the public view of the facility.</w:t>
      </w:r>
    </w:p>
    <w:p w14:paraId="2E9D68EC"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 xml:space="preserve">The following day we returned to conduct the in-depth part of the inspection. The other reviewers split off and I interviewed staff and patients in the communal areas of the facility. I Used a conversational style of interviewing, only referring to specific questions at the end if I had not been able to cover everything in the required list by the natural end of the conversation. Following the completion of this work we individually wrote up our inspection booklets and submitted them to the lead inspector. </w:t>
      </w:r>
      <w:r w:rsidRPr="00BB5236">
        <w:rPr>
          <w:rFonts w:ascii="Arial" w:hAnsi="Arial" w:cs="Arial"/>
          <w:sz w:val="24"/>
          <w:szCs w:val="24"/>
        </w:rPr>
        <w:lastRenderedPageBreak/>
        <w:t>The final version was sent to us for review and then published publicly on HIW’s website.</w:t>
      </w:r>
    </w:p>
    <w:p w14:paraId="67CEE01A"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Feelings:</w:t>
      </w:r>
    </w:p>
    <w:p w14:paraId="06783265"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I felt a certain amount of pride to be asked to do such important work and also keen to do the best I possibly could for the patients at the facility and ensure that their views and opinions were fairly represented. I was also very impressed that HIW conducted unannounced inspections with such rigour - arriving at night and having instant access to the facility, there was little risk that unsafe or undesirable treatment or conditions would be missed. I thought that the booklet that I had to fill in was very helpful as a prompt to make sure I didn’t miss any important aspects of patient experience. However, I did feel that having the booklet on a clipboard between the patient and I was a slight barrier to the conversational atmosphere in certain cases. Seeing the general positive outlook of the majority of the patients there, and the caring attitude of staff, made me feel good about the service which we were inspecting, and made me feel positive about the facility receiving a complimentary report at the end of the inspection. </w:t>
      </w:r>
    </w:p>
    <w:p w14:paraId="4C320436"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Evaluation:</w:t>
      </w:r>
    </w:p>
    <w:p w14:paraId="35D87C4F"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What went well: The inspection visit went well; it ran smoothly, and relationships between the inspection team and the staff at the facility were warm and friendly. The inspection process was executed professionally and comprehensively. It was an ethically and legally sound inspection. The outcome of the inspection was favourable, and so this was a good outcome. Although some minor points with potential for improvement were identified and raised appropriately, and in this sense this was also a good outcome. As an inspection team who had never worked together or met before, we worked well and efficiently with no disagreements or problems. </w:t>
      </w:r>
    </w:p>
    <w:p w14:paraId="4D25C3BB"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 xml:space="preserve">What did not go so well: I was unable to attend the third day of the inspection and so my activities were condensed into two visits/days. As I mentioned earlier I think that were I experienced enough to conduct the conversational interviews with patients and staff without a clipboard then this may have aided disclosure and flow of conversation. The paper inspection booklets were slightly cumbersome and restrictive in some respects. Also, having to write them up and submit them to the lead inspector was </w:t>
      </w:r>
      <w:r w:rsidRPr="00BB5236">
        <w:rPr>
          <w:rFonts w:ascii="Arial" w:hAnsi="Arial" w:cs="Arial"/>
          <w:sz w:val="24"/>
          <w:szCs w:val="24"/>
        </w:rPr>
        <w:lastRenderedPageBreak/>
        <w:t>slightly more difficult than sending them electronically, for example. We had to complete and send them on the site of the inspection or mail them afterwards. </w:t>
      </w:r>
    </w:p>
    <w:p w14:paraId="3CD2BF64"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Analysis:</w:t>
      </w:r>
    </w:p>
    <w:p w14:paraId="7C052CBA"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I think that the reason I found the experience rewarding and positive was partly due to my aptitude for communication with people of various backgrounds and in different professional and social settings. This could be construed from and aligns well with my personality type of ESFJ (Briggs, 1976). I think that I was able to put this skill to good use as a lay reviewer in this task because I have a passion for patient-centred care and advocacy for others and I believe strongly in the value of listening to people, even if - or especially if - they have communication difficulty or another condition or circumstance which may mean that they traditionally find it difficult to be fairly represented a lot of the time. I also feel that I worked well within this new team of people because I can adapt my working style to fit and even benefit different forms of teamworking situations. This could be supported by my team-role preferences of ‘team worker’ and ‘coordinator’ (Belbin, 2010).</w:t>
      </w:r>
    </w:p>
    <w:p w14:paraId="6D91CDC2"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Although I felt that the clipboard/question paper style set-up of the interviews/conversations that I had with the patients was slightly restrictive, I do recognise that for me in my clinical role, this is normal practice for me; I am used to having paper to record patients’ responses and vital information, and it may be futile to assume that this would be a trait easily left behind. It may be a good trait to work on and improve, however. </w:t>
      </w:r>
    </w:p>
    <w:p w14:paraId="0D8F84CA"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Conclusion:</w:t>
      </w:r>
    </w:p>
    <w:p w14:paraId="55E5EFDB"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 xml:space="preserve">To address the issue of not being available for the entire inspection time period, I could have not volunteered at all, although this would have resulted in me missing an excellent development opportunity for myself and also in the inspection not being able to go ahead. I could have explored the possibility of the inspection date being moved, although this may present difficulties with the work calendars of others in the inspection team. As far as my style of interviewing and conversing with patients goes, I could try and practise more with the inspection questions and topics so that I did not require the paper in front of me, then refer back to the paper at a later point and return with any extra questions if any sections were missed. More time may help make this more achievable. Most of how the inspection visit ran, how we interacted with the </w:t>
      </w:r>
      <w:r w:rsidRPr="00BB5236">
        <w:rPr>
          <w:rFonts w:ascii="Arial" w:hAnsi="Arial" w:cs="Arial"/>
          <w:sz w:val="24"/>
          <w:szCs w:val="24"/>
        </w:rPr>
        <w:lastRenderedPageBreak/>
        <w:t>facility staff and patients, how we worked together as a team and how we worked to produce the report however I would not change, and would only seek to repeat to a similar standard next time.</w:t>
      </w:r>
    </w:p>
    <w:p w14:paraId="712F806B"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Action Plan:</w:t>
      </w:r>
    </w:p>
    <w:p w14:paraId="465E7D3C" w14:textId="77777777" w:rsidR="00BB5236" w:rsidRPr="00BB5236" w:rsidRDefault="00BB5236" w:rsidP="00BB5236">
      <w:pPr>
        <w:spacing w:line="360" w:lineRule="auto"/>
        <w:jc w:val="both"/>
        <w:rPr>
          <w:rFonts w:ascii="Arial" w:hAnsi="Arial" w:cs="Arial"/>
          <w:sz w:val="24"/>
          <w:szCs w:val="24"/>
        </w:rPr>
      </w:pPr>
      <w:r w:rsidRPr="00BB5236">
        <w:rPr>
          <w:rFonts w:ascii="Arial" w:hAnsi="Arial" w:cs="Arial"/>
          <w:sz w:val="24"/>
          <w:szCs w:val="24"/>
        </w:rPr>
        <w:t>Were I to attend another mental health inspection as a lay reviewer I would:</w:t>
      </w:r>
    </w:p>
    <w:p w14:paraId="31F74415" w14:textId="77777777" w:rsidR="00BB5236" w:rsidRPr="00BB5236" w:rsidRDefault="00BB5236" w:rsidP="00BB5236">
      <w:pPr>
        <w:numPr>
          <w:ilvl w:val="0"/>
          <w:numId w:val="3"/>
        </w:numPr>
        <w:spacing w:line="360" w:lineRule="auto"/>
        <w:jc w:val="both"/>
        <w:rPr>
          <w:rFonts w:ascii="Arial" w:hAnsi="Arial" w:cs="Arial"/>
          <w:sz w:val="24"/>
          <w:szCs w:val="24"/>
        </w:rPr>
      </w:pPr>
      <w:r w:rsidRPr="00BB5236">
        <w:rPr>
          <w:rFonts w:ascii="Arial" w:hAnsi="Arial" w:cs="Arial"/>
          <w:sz w:val="24"/>
          <w:szCs w:val="24"/>
        </w:rPr>
        <w:t>Familiarise myself with the question/topic material and not carry the booklet with me on my visit. </w:t>
      </w:r>
    </w:p>
    <w:p w14:paraId="75FBB8EF" w14:textId="77777777" w:rsidR="00BB5236" w:rsidRPr="00BB5236" w:rsidRDefault="00BB5236" w:rsidP="00BB5236">
      <w:pPr>
        <w:numPr>
          <w:ilvl w:val="0"/>
          <w:numId w:val="3"/>
        </w:numPr>
        <w:spacing w:line="360" w:lineRule="auto"/>
        <w:jc w:val="both"/>
        <w:rPr>
          <w:rFonts w:ascii="Arial" w:hAnsi="Arial" w:cs="Arial"/>
          <w:sz w:val="24"/>
          <w:szCs w:val="24"/>
        </w:rPr>
      </w:pPr>
      <w:r w:rsidRPr="00BB5236">
        <w:rPr>
          <w:rFonts w:ascii="Arial" w:hAnsi="Arial" w:cs="Arial"/>
          <w:sz w:val="24"/>
          <w:szCs w:val="24"/>
        </w:rPr>
        <w:t>Attempt to attend an inspection where I could stay for the whole time that is allotted.</w:t>
      </w:r>
    </w:p>
    <w:p w14:paraId="54F2AAD3" w14:textId="77777777" w:rsidR="00BB5236" w:rsidRPr="00BB5236" w:rsidRDefault="00BB5236" w:rsidP="00BB5236">
      <w:pPr>
        <w:numPr>
          <w:ilvl w:val="0"/>
          <w:numId w:val="3"/>
        </w:numPr>
        <w:spacing w:line="360" w:lineRule="auto"/>
        <w:jc w:val="both"/>
        <w:rPr>
          <w:rFonts w:ascii="Arial" w:hAnsi="Arial" w:cs="Arial"/>
          <w:sz w:val="24"/>
          <w:szCs w:val="24"/>
        </w:rPr>
      </w:pPr>
      <w:r w:rsidRPr="00BB5236">
        <w:rPr>
          <w:rFonts w:ascii="Arial" w:hAnsi="Arial" w:cs="Arial"/>
          <w:sz w:val="24"/>
          <w:szCs w:val="24"/>
        </w:rPr>
        <w:t>Attempt to record responses and communicate them with the team electronically (these facilities have recently been introduced - I would require training to use them, which I could arrange).</w:t>
      </w:r>
    </w:p>
    <w:p w14:paraId="0DEAD3A2" w14:textId="077E883E" w:rsidR="00BB5236" w:rsidRDefault="00BB5236" w:rsidP="00BB5236">
      <w:pPr>
        <w:spacing w:line="360" w:lineRule="auto"/>
        <w:jc w:val="both"/>
        <w:rPr>
          <w:rFonts w:ascii="Arial" w:hAnsi="Arial" w:cs="Arial"/>
          <w:sz w:val="24"/>
          <w:szCs w:val="24"/>
        </w:rPr>
      </w:pPr>
      <w:r w:rsidRPr="00BB5236">
        <w:rPr>
          <w:rFonts w:ascii="Arial" w:hAnsi="Arial" w:cs="Arial"/>
          <w:sz w:val="24"/>
          <w:szCs w:val="24"/>
        </w:rPr>
        <w:t>Continue to work closely and seamlessly with the inspection team to aid positive working relationships and a productive working environment. </w:t>
      </w:r>
    </w:p>
    <w:p w14:paraId="1C3D5BD0" w14:textId="78F7F142" w:rsidR="00BB5236" w:rsidRDefault="00BB5236">
      <w:pPr>
        <w:rPr>
          <w:rFonts w:ascii="Arial" w:hAnsi="Arial" w:cs="Arial"/>
          <w:sz w:val="24"/>
          <w:szCs w:val="24"/>
        </w:rPr>
      </w:pPr>
      <w:r>
        <w:rPr>
          <w:rFonts w:ascii="Arial" w:hAnsi="Arial" w:cs="Arial"/>
          <w:sz w:val="24"/>
          <w:szCs w:val="24"/>
        </w:rPr>
        <w:br w:type="page"/>
      </w:r>
    </w:p>
    <w:p w14:paraId="4B1443AC" w14:textId="77777777"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lastRenderedPageBreak/>
        <w:t>5. My role as an ALS (Advanced Life Support) instructor.</w:t>
      </w:r>
    </w:p>
    <w:p w14:paraId="63750B2D" w14:textId="77777777"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r w:rsidRPr="00BB5236">
        <w:rPr>
          <w:rFonts w:ascii="Times New Roman" w:eastAsia="Times New Roman" w:hAnsi="Times New Roman" w:cs="Times New Roman"/>
          <w:color w:val="000000"/>
          <w:sz w:val="24"/>
          <w:szCs w:val="24"/>
          <w:lang w:eastAsia="en-GB"/>
        </w:rPr>
        <w:br/>
      </w:r>
    </w:p>
    <w:p w14:paraId="1C3ABA8E" w14:textId="77777777"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I have chosen to reflect on this experience using Brookfield’s lenses model (2005), utilising four different perspectives on the situation in order to gain a more rounded understanding of my potential for improvement. This model certainly lends itself to the practice of education, training and teaching and so I thought that it would be a good option with which to explore this topic more deeply. I am motivated to develop my personal abilities as a teacher and intend to become a medical director on an ALS course in the near future, and so this model was good for assessing my current position and how it may appear to others immediately around me, and should help discover alternative avenues of possibility within this skill for myself. The four angles are suitable in this case as the role of the ALS instructor is quite wide and therefore I want to consider each of the facets of the role and not any one in great depth or detail, hence making this model a good fit (OT MSC Student, 2016).</w:t>
      </w:r>
    </w:p>
    <w:p w14:paraId="1413A112" w14:textId="43FDF0F3"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p>
    <w:p w14:paraId="5016EDF4" w14:textId="77777777"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Background: An ALS course is a nationally standardised resuscitation skills course which all doctors are obliged, and many other healthcare practitioners working in secondary care are encouraged, to undertake. </w:t>
      </w:r>
    </w:p>
    <w:p w14:paraId="1AB38F3F" w14:textId="00117BD7"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p>
    <w:p w14:paraId="69AA42B5" w14:textId="77777777" w:rsid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Lens 1: Self.</w:t>
      </w:r>
    </w:p>
    <w:p w14:paraId="75CC8847" w14:textId="43CDFCA9"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p>
    <w:p w14:paraId="429514FD" w14:textId="6085320C"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 xml:space="preserve">On a recent ALS </w:t>
      </w:r>
      <w:r w:rsidR="0088437E" w:rsidRPr="00BB5236">
        <w:rPr>
          <w:rFonts w:ascii="Arial" w:eastAsia="Times New Roman" w:hAnsi="Arial" w:cs="Arial"/>
          <w:color w:val="000000"/>
          <w:sz w:val="24"/>
          <w:szCs w:val="24"/>
          <w:lang w:eastAsia="en-GB"/>
        </w:rPr>
        <w:t>course,</w:t>
      </w:r>
      <w:r w:rsidRPr="00BB5236">
        <w:rPr>
          <w:rFonts w:ascii="Arial" w:eastAsia="Times New Roman" w:hAnsi="Arial" w:cs="Arial"/>
          <w:color w:val="000000"/>
          <w:sz w:val="24"/>
          <w:szCs w:val="24"/>
          <w:lang w:eastAsia="en-GB"/>
        </w:rPr>
        <w:t xml:space="preserve"> I was notified of some negative feedback that the course faculty had received, and I wanted to reflect on how this made me feel. I firstly felt very negatively about the complaint - i felt shock and disappointment that the candidates on the course felt that they had not had a good experience, and I felt guilty that I had been party to that event. I then read through the comments carefully, and discovered that the comments were very general, and in fact none of the negative remarks applied to me or my sessions specifically. On reading more thoroughly through, it became apparent that there were problems that were introduced by the system rather than individuals working within the course framework. I was extremely gratified to find that they actually mentioned a session which I taught as a lecture by name as being a highlight of the course! I took time and delivered a considered response on behalf of myself as a general member of the faculty, only addressing the parts of the complaint </w:t>
      </w:r>
      <w:r w:rsidRPr="00BB5236">
        <w:rPr>
          <w:rFonts w:ascii="Arial" w:eastAsia="Times New Roman" w:hAnsi="Arial" w:cs="Arial"/>
          <w:color w:val="000000"/>
          <w:sz w:val="24"/>
          <w:szCs w:val="24"/>
          <w:lang w:eastAsia="en-GB"/>
        </w:rPr>
        <w:lastRenderedPageBreak/>
        <w:t>that I felt I had authority to, and eventually I felt satisfied t</w:t>
      </w:r>
      <w:r>
        <w:rPr>
          <w:rFonts w:ascii="Arial" w:eastAsia="Times New Roman" w:hAnsi="Arial" w:cs="Arial"/>
          <w:color w:val="000000"/>
          <w:sz w:val="24"/>
          <w:szCs w:val="24"/>
          <w:lang w:eastAsia="en-GB"/>
        </w:rPr>
        <w:t>ha</w:t>
      </w:r>
      <w:r w:rsidRPr="00BB5236">
        <w:rPr>
          <w:rFonts w:ascii="Arial" w:eastAsia="Times New Roman" w:hAnsi="Arial" w:cs="Arial"/>
          <w:color w:val="000000"/>
          <w:sz w:val="24"/>
          <w:szCs w:val="24"/>
          <w:lang w:eastAsia="en-GB"/>
        </w:rPr>
        <w:t>t I had answered the concerns whilst appropriately explaining and mitigating some of the unjustified points. I would have appreciated knowing what the response to my reply was - I felt that this method of communication does not allow for sufficient two-way interaction between parties, however I understand that it may have been the course director’s role to undertake this in this instance. </w:t>
      </w:r>
    </w:p>
    <w:p w14:paraId="6C52F7DD" w14:textId="5062B03E"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p>
    <w:p w14:paraId="45FBBDD7" w14:textId="77777777"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Lens 2: Students.</w:t>
      </w:r>
    </w:p>
    <w:p w14:paraId="65AEB1F3" w14:textId="751013FC"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p>
    <w:p w14:paraId="2F965C01" w14:textId="339A1A34" w:rsidR="00BB5236" w:rsidRPr="00BB5236" w:rsidRDefault="00BB5236" w:rsidP="0088437E">
      <w:pPr>
        <w:spacing w:after="0" w:line="360" w:lineRule="auto"/>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 xml:space="preserve">The perspective I have from the students in this case is the complaint letter. From their point of view, they felt that the standardised nature of the course was compromised due to timing and location issues. I recognise this comment and accepted in my response that we strive to deliver consistently </w:t>
      </w:r>
      <w:r w:rsidR="0088437E" w:rsidRPr="00BB5236">
        <w:rPr>
          <w:rFonts w:ascii="Arial" w:eastAsia="Times New Roman" w:hAnsi="Arial" w:cs="Arial"/>
          <w:color w:val="000000"/>
          <w:sz w:val="24"/>
          <w:szCs w:val="24"/>
          <w:lang w:eastAsia="en-GB"/>
        </w:rPr>
        <w:t>high-quality</w:t>
      </w:r>
      <w:r w:rsidRPr="00BB5236">
        <w:rPr>
          <w:rFonts w:ascii="Arial" w:eastAsia="Times New Roman" w:hAnsi="Arial" w:cs="Arial"/>
          <w:color w:val="000000"/>
          <w:sz w:val="24"/>
          <w:szCs w:val="24"/>
          <w:lang w:eastAsia="en-GB"/>
        </w:rPr>
        <w:t xml:space="preserve"> sessions, and their feedback would strengthen the resolve to get this aspect right in future. A large point that was made was about instructors on their phones throughout the teaching sessions. I can understand that the candidates on this course could have felt neglected or irritated by this seemingly rude or inattentive behaviour, however in fact very often instructors are checking course material and points of debate whilst sessions are running, and so the reason for this time spent on phones is for the benefit of the candidates. We do mention this at the start of each </w:t>
      </w:r>
      <w:r w:rsidR="0088437E" w:rsidRPr="00BB5236">
        <w:rPr>
          <w:rFonts w:ascii="Arial" w:eastAsia="Times New Roman" w:hAnsi="Arial" w:cs="Arial"/>
          <w:color w:val="000000"/>
          <w:sz w:val="24"/>
          <w:szCs w:val="24"/>
          <w:lang w:eastAsia="en-GB"/>
        </w:rPr>
        <w:t>course;</w:t>
      </w:r>
      <w:r w:rsidRPr="00BB5236">
        <w:rPr>
          <w:rFonts w:ascii="Arial" w:eastAsia="Times New Roman" w:hAnsi="Arial" w:cs="Arial"/>
          <w:color w:val="000000"/>
          <w:sz w:val="24"/>
          <w:szCs w:val="24"/>
          <w:lang w:eastAsia="en-GB"/>
        </w:rPr>
        <w:t xml:space="preserve"> </w:t>
      </w:r>
      <w:r w:rsidR="0088437E" w:rsidRPr="00BB5236">
        <w:rPr>
          <w:rFonts w:ascii="Arial" w:eastAsia="Times New Roman" w:hAnsi="Arial" w:cs="Arial"/>
          <w:color w:val="000000"/>
          <w:sz w:val="24"/>
          <w:szCs w:val="24"/>
          <w:lang w:eastAsia="en-GB"/>
        </w:rPr>
        <w:t>however,</w:t>
      </w:r>
      <w:r w:rsidRPr="00BB5236">
        <w:rPr>
          <w:rFonts w:ascii="Arial" w:eastAsia="Times New Roman" w:hAnsi="Arial" w:cs="Arial"/>
          <w:color w:val="000000"/>
          <w:sz w:val="24"/>
          <w:szCs w:val="24"/>
          <w:lang w:eastAsia="en-GB"/>
        </w:rPr>
        <w:t xml:space="preserve"> we may need to reiterate and ensure that the candidates feel the full benefit of this practice to avoid this bad feeling in future. </w:t>
      </w:r>
      <w:bookmarkStart w:id="0" w:name="_GoBack"/>
      <w:bookmarkEnd w:id="0"/>
      <w:r w:rsidRPr="00BB5236">
        <w:rPr>
          <w:rFonts w:ascii="Times New Roman" w:eastAsia="Times New Roman" w:hAnsi="Times New Roman" w:cs="Times New Roman"/>
          <w:color w:val="000000"/>
          <w:sz w:val="24"/>
          <w:szCs w:val="24"/>
          <w:lang w:eastAsia="en-GB"/>
        </w:rPr>
        <w:br/>
      </w:r>
    </w:p>
    <w:p w14:paraId="36545A12" w14:textId="77777777"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Lens 3: My peers.</w:t>
      </w:r>
    </w:p>
    <w:p w14:paraId="5D1037DC" w14:textId="79802183"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p>
    <w:p w14:paraId="523BCC29" w14:textId="5DC04C55"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 xml:space="preserve">I do not know what the responses of the other instructors were to these comments. I do know that the course director was very professional in disseminating the complaints, and I appreciated the demonstration of leadership that displayed. She was objective in requesting our </w:t>
      </w:r>
      <w:r w:rsidR="0088437E" w:rsidRPr="00BB5236">
        <w:rPr>
          <w:rFonts w:ascii="Arial" w:eastAsia="Times New Roman" w:hAnsi="Arial" w:cs="Arial"/>
          <w:color w:val="000000"/>
          <w:sz w:val="24"/>
          <w:szCs w:val="24"/>
          <w:lang w:eastAsia="en-GB"/>
        </w:rPr>
        <w:t>responses and</w:t>
      </w:r>
      <w:r w:rsidRPr="00BB5236">
        <w:rPr>
          <w:rFonts w:ascii="Arial" w:eastAsia="Times New Roman" w:hAnsi="Arial" w:cs="Arial"/>
          <w:color w:val="000000"/>
          <w:sz w:val="24"/>
          <w:szCs w:val="24"/>
          <w:lang w:eastAsia="en-GB"/>
        </w:rPr>
        <w:t xml:space="preserve"> did not try to influence us in any way. She responded promptly to my queries, which I think was in part due to the fact that she could tell that I was perturbed by the potential of receiving criticism and having to answer it. She was reassuring in checking my response and confirming its acceptability, and she thanked me for my </w:t>
      </w:r>
      <w:r w:rsidR="0088437E" w:rsidRPr="00BB5236">
        <w:rPr>
          <w:rFonts w:ascii="Arial" w:eastAsia="Times New Roman" w:hAnsi="Arial" w:cs="Arial"/>
          <w:color w:val="000000"/>
          <w:sz w:val="24"/>
          <w:szCs w:val="24"/>
          <w:lang w:eastAsia="en-GB"/>
        </w:rPr>
        <w:t>speedy</w:t>
      </w:r>
      <w:r w:rsidRPr="00BB5236">
        <w:rPr>
          <w:rFonts w:ascii="Arial" w:eastAsia="Times New Roman" w:hAnsi="Arial" w:cs="Arial"/>
          <w:color w:val="000000"/>
          <w:sz w:val="24"/>
          <w:szCs w:val="24"/>
          <w:lang w:eastAsia="en-GB"/>
        </w:rPr>
        <w:t xml:space="preserve"> reply and also for my continuing support of the teaching programme. This made me feel valued and prevented me from </w:t>
      </w:r>
      <w:r w:rsidRPr="00BB5236">
        <w:rPr>
          <w:rFonts w:ascii="Arial" w:eastAsia="Times New Roman" w:hAnsi="Arial" w:cs="Arial"/>
          <w:color w:val="000000"/>
          <w:sz w:val="24"/>
          <w:szCs w:val="24"/>
          <w:lang w:eastAsia="en-GB"/>
        </w:rPr>
        <w:lastRenderedPageBreak/>
        <w:t>feeling ashamed or victimised. I thought this was a very good way of handling a person who has had a complaint made against them. She has not been in touch since the event to follow up on how I am, however given the non-clinical and non-serious nature of the complaint (i.e. there was no ‘harm’ as a result, and there was no ‘error’ made by me), I think that this is an appropriate level of care. She has agreed to support my application to become a medical director on ALS courses, which cements my feeling of pride in my role in the team. </w:t>
      </w:r>
    </w:p>
    <w:p w14:paraId="5B14278C" w14:textId="43929846" w:rsidR="00BB5236" w:rsidRPr="00BB5236" w:rsidRDefault="00BB5236" w:rsidP="00BB5236">
      <w:pPr>
        <w:spacing w:after="0" w:line="360" w:lineRule="auto"/>
        <w:jc w:val="both"/>
        <w:rPr>
          <w:rFonts w:ascii="Times New Roman" w:eastAsia="Times New Roman" w:hAnsi="Times New Roman" w:cs="Times New Roman"/>
          <w:sz w:val="24"/>
          <w:szCs w:val="24"/>
          <w:lang w:eastAsia="en-GB"/>
        </w:rPr>
      </w:pPr>
    </w:p>
    <w:p w14:paraId="7A7AABEC" w14:textId="77777777" w:rsid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Lens 4: Theoretical literature. </w:t>
      </w:r>
    </w:p>
    <w:p w14:paraId="77A711C9" w14:textId="4F226E53"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p>
    <w:p w14:paraId="5F6233F2" w14:textId="77777777" w:rsidR="00BB5236" w:rsidRPr="00BB5236" w:rsidRDefault="00BB5236" w:rsidP="00BB5236">
      <w:pPr>
        <w:spacing w:after="0" w:line="360" w:lineRule="auto"/>
        <w:jc w:val="both"/>
        <w:rPr>
          <w:rFonts w:ascii="Times New Roman" w:eastAsia="Times New Roman" w:hAnsi="Times New Roman" w:cs="Times New Roman"/>
          <w:color w:val="000000"/>
          <w:sz w:val="24"/>
          <w:szCs w:val="24"/>
          <w:lang w:eastAsia="en-GB"/>
        </w:rPr>
      </w:pPr>
      <w:r w:rsidRPr="00BB5236">
        <w:rPr>
          <w:rFonts w:ascii="Arial" w:eastAsia="Times New Roman" w:hAnsi="Arial" w:cs="Arial"/>
          <w:color w:val="000000"/>
          <w:sz w:val="24"/>
          <w:szCs w:val="24"/>
          <w:lang w:eastAsia="en-GB"/>
        </w:rPr>
        <w:t>I consulted a paper on clinical complaints, as I was interested in extrapolating the meaning of the literature on the subject into my day to day work (Liu, 2019). I found that some common pitfalls in addressing complaints were i) well known, complex, system-wide problems which were hard to address, ii) weak solutions to complaints, such as single education sessions, iii) failure of the complaint handlers to pass the message on to the person the complaint was about, and ultimately iv) having the aim of placating the complainant as quickly and quietly as possible at the heart of the work done in responding to it, rather than addressing the issue. The article recommends a robust root cause analysis approach to addressing complaints, in order to try and tackle some of these pitfalls. I feel in this situation we have done well in getting the right people to hear and respond to the complaint, however I also accept now, after reading this perspective, that were I to be course director in this centre I would be looking at a long-term strategy to rectify some of the accurate problems of timing and consistency of sessions taught on these courses, in order to improve the quality of teaching for all in the future.</w:t>
      </w:r>
    </w:p>
    <w:p w14:paraId="5AEF61BE" w14:textId="76EF4E13" w:rsidR="00BB5236" w:rsidRDefault="00BB5236" w:rsidP="00BB5236">
      <w:pPr>
        <w:spacing w:line="360" w:lineRule="auto"/>
        <w:jc w:val="both"/>
        <w:rPr>
          <w:rFonts w:ascii="Arial" w:hAnsi="Arial" w:cs="Arial"/>
          <w:sz w:val="24"/>
          <w:szCs w:val="24"/>
        </w:rPr>
      </w:pPr>
    </w:p>
    <w:p w14:paraId="55932CA2" w14:textId="0A2414E7" w:rsidR="00BB5236" w:rsidRDefault="00BB5236">
      <w:pPr>
        <w:rPr>
          <w:rFonts w:ascii="Arial" w:hAnsi="Arial" w:cs="Arial"/>
          <w:sz w:val="24"/>
          <w:szCs w:val="24"/>
        </w:rPr>
      </w:pPr>
      <w:r>
        <w:rPr>
          <w:rFonts w:ascii="Arial" w:hAnsi="Arial" w:cs="Arial"/>
          <w:sz w:val="24"/>
          <w:szCs w:val="24"/>
        </w:rPr>
        <w:br w:type="page"/>
      </w:r>
    </w:p>
    <w:p w14:paraId="4C78A6C1" w14:textId="0B82B658" w:rsidR="006B7695" w:rsidRDefault="006B7695" w:rsidP="006B7695">
      <w:pPr>
        <w:rPr>
          <w:rFonts w:ascii="Arial" w:hAnsi="Arial" w:cs="Arial"/>
          <w:sz w:val="24"/>
          <w:szCs w:val="24"/>
        </w:rPr>
      </w:pPr>
      <w:r w:rsidRPr="00A204E6">
        <w:rPr>
          <w:rFonts w:ascii="Arial" w:hAnsi="Arial" w:cs="Arial"/>
          <w:sz w:val="24"/>
          <w:szCs w:val="24"/>
        </w:rPr>
        <w:lastRenderedPageBreak/>
        <w:t>References</w:t>
      </w:r>
    </w:p>
    <w:p w14:paraId="309A14ED" w14:textId="77777777" w:rsidR="006B7695" w:rsidRDefault="006B7695" w:rsidP="006B7695">
      <w:pPr>
        <w:rPr>
          <w:rFonts w:ascii="Arial" w:hAnsi="Arial" w:cs="Arial"/>
          <w:sz w:val="24"/>
          <w:szCs w:val="24"/>
        </w:rPr>
      </w:pPr>
    </w:p>
    <w:p w14:paraId="4BA2269C" w14:textId="1AC4B2A3" w:rsidR="006B7695" w:rsidRPr="00A204E6" w:rsidRDefault="006B7695" w:rsidP="006B7695">
      <w:pPr>
        <w:spacing w:line="360" w:lineRule="auto"/>
        <w:jc w:val="both"/>
        <w:rPr>
          <w:rFonts w:ascii="Arial" w:hAnsi="Arial" w:cs="Arial"/>
          <w:sz w:val="24"/>
          <w:szCs w:val="24"/>
        </w:rPr>
      </w:pPr>
      <w:r w:rsidRPr="00964117">
        <w:rPr>
          <w:rFonts w:ascii="Arial" w:hAnsi="Arial" w:cs="Arial"/>
          <w:sz w:val="24"/>
          <w:szCs w:val="24"/>
        </w:rPr>
        <w:t>Barelka, A.</w:t>
      </w:r>
      <w:r>
        <w:rPr>
          <w:rFonts w:ascii="Arial" w:hAnsi="Arial" w:cs="Arial"/>
          <w:sz w:val="24"/>
          <w:szCs w:val="24"/>
        </w:rPr>
        <w:t xml:space="preserve"> (</w:t>
      </w:r>
      <w:r w:rsidRPr="00964117">
        <w:rPr>
          <w:rFonts w:ascii="Arial" w:hAnsi="Arial" w:cs="Arial"/>
          <w:sz w:val="24"/>
          <w:szCs w:val="24"/>
        </w:rPr>
        <w:t>2019</w:t>
      </w:r>
      <w:r>
        <w:rPr>
          <w:rFonts w:ascii="Arial" w:hAnsi="Arial" w:cs="Arial"/>
          <w:sz w:val="24"/>
          <w:szCs w:val="24"/>
        </w:rPr>
        <w:t>)</w:t>
      </w:r>
      <w:r w:rsidRPr="00964117">
        <w:rPr>
          <w:rFonts w:ascii="Arial" w:hAnsi="Arial" w:cs="Arial"/>
          <w:sz w:val="24"/>
          <w:szCs w:val="24"/>
        </w:rPr>
        <w:t>, Turning a Negative into a Positive: Developing Transformational Leaders Using Negative Feedback.</w:t>
      </w:r>
      <w:r>
        <w:rPr>
          <w:rFonts w:ascii="Arial" w:hAnsi="Arial" w:cs="Arial"/>
          <w:sz w:val="24"/>
          <w:szCs w:val="24"/>
        </w:rPr>
        <w:t xml:space="preserve"> </w:t>
      </w:r>
      <w:r w:rsidRPr="00964117">
        <w:rPr>
          <w:rFonts w:ascii="Arial" w:hAnsi="Arial" w:cs="Arial"/>
          <w:i/>
          <w:iCs/>
          <w:sz w:val="24"/>
          <w:szCs w:val="24"/>
        </w:rPr>
        <w:t xml:space="preserve">Academy of Management </w:t>
      </w:r>
      <w:r w:rsidR="0088437E" w:rsidRPr="00964117">
        <w:rPr>
          <w:rFonts w:ascii="Arial" w:hAnsi="Arial" w:cs="Arial"/>
          <w:i/>
          <w:iCs/>
          <w:sz w:val="24"/>
          <w:szCs w:val="24"/>
        </w:rPr>
        <w:t>Proceedings</w:t>
      </w:r>
      <w:r w:rsidR="0088437E" w:rsidRPr="00964117">
        <w:rPr>
          <w:rFonts w:ascii="Arial" w:hAnsi="Arial" w:cs="Arial"/>
          <w:sz w:val="24"/>
          <w:szCs w:val="24"/>
        </w:rPr>
        <w:t>,</w:t>
      </w:r>
      <w:r>
        <w:rPr>
          <w:rFonts w:ascii="Arial" w:hAnsi="Arial" w:cs="Arial"/>
          <w:sz w:val="24"/>
          <w:szCs w:val="24"/>
        </w:rPr>
        <w:t xml:space="preserve"> 1, p</w:t>
      </w:r>
      <w:r w:rsidRPr="00964117">
        <w:rPr>
          <w:rFonts w:ascii="Arial" w:hAnsi="Arial" w:cs="Arial"/>
          <w:sz w:val="24"/>
          <w:szCs w:val="24"/>
        </w:rPr>
        <w:t>p. 18317.</w:t>
      </w:r>
    </w:p>
    <w:p w14:paraId="26B01780"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Belbin, R.M. (2010) </w:t>
      </w:r>
      <w:r w:rsidRPr="00B10E84">
        <w:rPr>
          <w:rFonts w:ascii="Arial" w:hAnsi="Arial" w:cs="Arial"/>
          <w:i/>
          <w:iCs/>
          <w:sz w:val="24"/>
          <w:szCs w:val="24"/>
        </w:rPr>
        <w:t>Team Roles at Work</w:t>
      </w:r>
      <w:r w:rsidRPr="00A204E6">
        <w:rPr>
          <w:rFonts w:ascii="Arial" w:hAnsi="Arial" w:cs="Arial"/>
          <w:sz w:val="24"/>
          <w:szCs w:val="24"/>
        </w:rPr>
        <w:t>. Oxford: Butterworth-Heinemann.</w:t>
      </w:r>
    </w:p>
    <w:p w14:paraId="4C824165"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Briggs, K.C. </w:t>
      </w:r>
      <w:r>
        <w:rPr>
          <w:rFonts w:ascii="Arial" w:hAnsi="Arial" w:cs="Arial"/>
          <w:sz w:val="24"/>
          <w:szCs w:val="24"/>
        </w:rPr>
        <w:t>(</w:t>
      </w:r>
      <w:r w:rsidRPr="00A204E6">
        <w:rPr>
          <w:rFonts w:ascii="Arial" w:hAnsi="Arial" w:cs="Arial"/>
          <w:sz w:val="24"/>
          <w:szCs w:val="24"/>
        </w:rPr>
        <w:t>1976</w:t>
      </w:r>
      <w:r>
        <w:rPr>
          <w:rFonts w:ascii="Arial" w:hAnsi="Arial" w:cs="Arial"/>
          <w:sz w:val="24"/>
          <w:szCs w:val="24"/>
        </w:rPr>
        <w:t>)</w:t>
      </w:r>
      <w:r w:rsidRPr="00A204E6">
        <w:rPr>
          <w:rFonts w:ascii="Arial" w:hAnsi="Arial" w:cs="Arial"/>
          <w:sz w:val="24"/>
          <w:szCs w:val="24"/>
        </w:rPr>
        <w:t xml:space="preserve">. </w:t>
      </w:r>
      <w:r w:rsidRPr="00B10E84">
        <w:rPr>
          <w:rFonts w:ascii="Arial" w:hAnsi="Arial" w:cs="Arial"/>
          <w:i/>
          <w:iCs/>
          <w:sz w:val="24"/>
          <w:szCs w:val="24"/>
        </w:rPr>
        <w:t>Myers-Briggs type indicator</w:t>
      </w:r>
      <w:r w:rsidRPr="00A204E6">
        <w:rPr>
          <w:rFonts w:ascii="Arial" w:hAnsi="Arial" w:cs="Arial"/>
          <w:sz w:val="24"/>
          <w:szCs w:val="24"/>
        </w:rPr>
        <w:t>. Palo Alto, CA: Consulting Psychologists Press.</w:t>
      </w:r>
    </w:p>
    <w:p w14:paraId="3C13ACDD" w14:textId="77777777" w:rsidR="006B7695" w:rsidRPr="00183C33" w:rsidRDefault="006B7695" w:rsidP="006B7695">
      <w:pPr>
        <w:pStyle w:val="NormalWeb"/>
        <w:spacing w:before="0" w:beforeAutospacing="0" w:after="0" w:afterAutospacing="0" w:line="360" w:lineRule="auto"/>
      </w:pPr>
      <w:r w:rsidRPr="00183C33">
        <w:rPr>
          <w:rFonts w:ascii="Arial" w:hAnsi="Arial" w:cs="Arial"/>
          <w:shd w:val="clear" w:color="auto" w:fill="FFFFFF"/>
        </w:rPr>
        <w:t xml:space="preserve">Brookfield, S. (2005) </w:t>
      </w:r>
      <w:r w:rsidRPr="00183C33">
        <w:rPr>
          <w:rFonts w:ascii="Arial" w:hAnsi="Arial" w:cs="Arial"/>
          <w:i/>
          <w:iCs/>
          <w:shd w:val="clear" w:color="auto" w:fill="FFFFFF"/>
        </w:rPr>
        <w:t>Becoming a Critically Reflective Teacher</w:t>
      </w:r>
      <w:r w:rsidRPr="00183C33">
        <w:rPr>
          <w:rFonts w:ascii="Arial" w:hAnsi="Arial" w:cs="Arial"/>
          <w:shd w:val="clear" w:color="auto" w:fill="FFFFFF"/>
        </w:rPr>
        <w:t>. San Francisco: Jossey Bass.</w:t>
      </w:r>
    </w:p>
    <w:p w14:paraId="59DB66B6"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Gibbs, G. </w:t>
      </w:r>
      <w:r>
        <w:rPr>
          <w:rFonts w:ascii="Arial" w:hAnsi="Arial" w:cs="Arial"/>
          <w:sz w:val="24"/>
          <w:szCs w:val="24"/>
        </w:rPr>
        <w:t>(</w:t>
      </w:r>
      <w:r w:rsidRPr="00A204E6">
        <w:rPr>
          <w:rFonts w:ascii="Arial" w:hAnsi="Arial" w:cs="Arial"/>
          <w:sz w:val="24"/>
          <w:szCs w:val="24"/>
        </w:rPr>
        <w:t>1988</w:t>
      </w:r>
      <w:r>
        <w:rPr>
          <w:rFonts w:ascii="Arial" w:hAnsi="Arial" w:cs="Arial"/>
          <w:sz w:val="24"/>
          <w:szCs w:val="24"/>
        </w:rPr>
        <w:t>)</w:t>
      </w:r>
      <w:r w:rsidRPr="00A204E6">
        <w:rPr>
          <w:rFonts w:ascii="Arial" w:hAnsi="Arial" w:cs="Arial"/>
          <w:sz w:val="24"/>
          <w:szCs w:val="24"/>
        </w:rPr>
        <w:t xml:space="preserve">. </w:t>
      </w:r>
      <w:r w:rsidRPr="00B10E84">
        <w:rPr>
          <w:rFonts w:ascii="Arial" w:hAnsi="Arial" w:cs="Arial"/>
          <w:i/>
          <w:iCs/>
          <w:sz w:val="24"/>
          <w:szCs w:val="24"/>
        </w:rPr>
        <w:t>Learning by doing: a guide to teaching and learning methods</w:t>
      </w:r>
      <w:r>
        <w:rPr>
          <w:rFonts w:ascii="Arial" w:hAnsi="Arial" w:cs="Arial"/>
          <w:i/>
          <w:iCs/>
          <w:sz w:val="24"/>
          <w:szCs w:val="24"/>
        </w:rPr>
        <w:t>.</w:t>
      </w:r>
      <w:r w:rsidRPr="00A204E6">
        <w:rPr>
          <w:rFonts w:ascii="Arial" w:hAnsi="Arial" w:cs="Arial"/>
          <w:sz w:val="24"/>
          <w:szCs w:val="24"/>
        </w:rPr>
        <w:t xml:space="preserve"> London: FEU.</w:t>
      </w:r>
    </w:p>
    <w:p w14:paraId="51003872"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Goddard, A., 1997. </w:t>
      </w:r>
      <w:r>
        <w:rPr>
          <w:rFonts w:ascii="Arial" w:hAnsi="Arial" w:cs="Arial"/>
          <w:sz w:val="24"/>
          <w:szCs w:val="24"/>
        </w:rPr>
        <w:t>‘</w:t>
      </w:r>
      <w:r w:rsidRPr="00A204E6">
        <w:rPr>
          <w:rFonts w:ascii="Arial" w:hAnsi="Arial" w:cs="Arial"/>
          <w:sz w:val="24"/>
          <w:szCs w:val="24"/>
        </w:rPr>
        <w:t>Organisational culture and budgetary control in a UK local government organisation.</w:t>
      </w:r>
      <w:r>
        <w:rPr>
          <w:rFonts w:ascii="Arial" w:hAnsi="Arial" w:cs="Arial"/>
          <w:sz w:val="24"/>
          <w:szCs w:val="24"/>
        </w:rPr>
        <w:t>’</w:t>
      </w:r>
      <w:r w:rsidRPr="00A204E6">
        <w:rPr>
          <w:rFonts w:ascii="Arial" w:hAnsi="Arial" w:cs="Arial"/>
          <w:sz w:val="24"/>
          <w:szCs w:val="24"/>
        </w:rPr>
        <w:t xml:space="preserve"> </w:t>
      </w:r>
      <w:r w:rsidRPr="00B10E84">
        <w:rPr>
          <w:rFonts w:ascii="Arial" w:hAnsi="Arial" w:cs="Arial"/>
          <w:i/>
          <w:iCs/>
          <w:sz w:val="24"/>
          <w:szCs w:val="24"/>
        </w:rPr>
        <w:t>Accounting and Business Research</w:t>
      </w:r>
      <w:r w:rsidRPr="00A204E6">
        <w:rPr>
          <w:rFonts w:ascii="Arial" w:hAnsi="Arial" w:cs="Arial"/>
          <w:sz w:val="24"/>
          <w:szCs w:val="24"/>
        </w:rPr>
        <w:t>, 27(2), pp.111-123</w:t>
      </w:r>
    </w:p>
    <w:p w14:paraId="10824F93" w14:textId="77777777" w:rsidR="006B7695"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Goleman, D., (1994) </w:t>
      </w:r>
      <w:r w:rsidRPr="00B10E84">
        <w:rPr>
          <w:rFonts w:ascii="Arial" w:hAnsi="Arial" w:cs="Arial"/>
          <w:i/>
          <w:iCs/>
          <w:sz w:val="24"/>
          <w:szCs w:val="24"/>
        </w:rPr>
        <w:t>Emotional Intelligence.</w:t>
      </w:r>
      <w:r w:rsidRPr="00A204E6">
        <w:rPr>
          <w:rFonts w:ascii="Arial" w:hAnsi="Arial" w:cs="Arial"/>
          <w:sz w:val="24"/>
          <w:szCs w:val="24"/>
        </w:rPr>
        <w:t xml:space="preserve"> New York: Bantam</w:t>
      </w:r>
    </w:p>
    <w:p w14:paraId="72336BED" w14:textId="77777777" w:rsidR="006B7695" w:rsidRPr="00A204E6" w:rsidRDefault="006B7695" w:rsidP="006B7695">
      <w:pPr>
        <w:spacing w:line="360" w:lineRule="auto"/>
        <w:jc w:val="both"/>
        <w:rPr>
          <w:rFonts w:ascii="Arial" w:hAnsi="Arial" w:cs="Arial"/>
          <w:sz w:val="24"/>
          <w:szCs w:val="24"/>
        </w:rPr>
      </w:pPr>
      <w:r w:rsidRPr="00C05DE8">
        <w:rPr>
          <w:rFonts w:ascii="Arial" w:hAnsi="Arial" w:cs="Arial"/>
          <w:sz w:val="24"/>
          <w:szCs w:val="24"/>
        </w:rPr>
        <w:t xml:space="preserve">Jayatilleke, N. (2013) ‘Reflection as part of continuous professional development for public health professionals: a literature review’, </w:t>
      </w:r>
      <w:r w:rsidRPr="00C05DE8">
        <w:rPr>
          <w:rFonts w:ascii="Arial" w:hAnsi="Arial" w:cs="Arial"/>
          <w:i/>
          <w:iCs/>
          <w:sz w:val="24"/>
          <w:szCs w:val="24"/>
        </w:rPr>
        <w:t>Journal of Public Health</w:t>
      </w:r>
      <w:r w:rsidRPr="00C05DE8">
        <w:rPr>
          <w:rFonts w:ascii="Arial" w:hAnsi="Arial" w:cs="Arial"/>
          <w:sz w:val="24"/>
          <w:szCs w:val="24"/>
        </w:rPr>
        <w:t>, 35(2), pp 308–312.</w:t>
      </w:r>
    </w:p>
    <w:p w14:paraId="39C065C6"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King’s Fund Report (2012) </w:t>
      </w:r>
      <w:r w:rsidRPr="00B10E84">
        <w:rPr>
          <w:rFonts w:ascii="Arial" w:hAnsi="Arial" w:cs="Arial"/>
          <w:i/>
          <w:iCs/>
          <w:sz w:val="24"/>
          <w:szCs w:val="24"/>
        </w:rPr>
        <w:t>Together we can: Leadership and engagement for improvement in the NHS</w:t>
      </w:r>
      <w:r>
        <w:rPr>
          <w:rFonts w:ascii="Arial" w:hAnsi="Arial" w:cs="Arial"/>
          <w:sz w:val="24"/>
          <w:szCs w:val="24"/>
        </w:rPr>
        <w:t>.</w:t>
      </w:r>
      <w:r w:rsidRPr="00A204E6">
        <w:rPr>
          <w:rFonts w:ascii="Arial" w:hAnsi="Arial" w:cs="Arial"/>
          <w:sz w:val="24"/>
          <w:szCs w:val="24"/>
        </w:rPr>
        <w:t xml:space="preserve"> London: The Kings Fund.</w:t>
      </w:r>
    </w:p>
    <w:p w14:paraId="250D2E61"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King’s Fund Report (2011) </w:t>
      </w:r>
      <w:r w:rsidRPr="00B10E84">
        <w:rPr>
          <w:rFonts w:ascii="Arial" w:hAnsi="Arial" w:cs="Arial"/>
          <w:i/>
          <w:iCs/>
          <w:sz w:val="24"/>
          <w:szCs w:val="24"/>
        </w:rPr>
        <w:t>The Future of Leadership and Management in the NHS. No more heroes.</w:t>
      </w:r>
      <w:r w:rsidRPr="00A204E6">
        <w:rPr>
          <w:rFonts w:ascii="Arial" w:hAnsi="Arial" w:cs="Arial"/>
          <w:sz w:val="24"/>
          <w:szCs w:val="24"/>
        </w:rPr>
        <w:t xml:space="preserve"> London: The King’s Fund.</w:t>
      </w:r>
    </w:p>
    <w:p w14:paraId="05B903BA" w14:textId="77777777" w:rsidR="006B7695"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Kolb, D. A. (1976) ‘Management and the Learning Process’, </w:t>
      </w:r>
      <w:r w:rsidRPr="00B10E84">
        <w:rPr>
          <w:rFonts w:ascii="Arial" w:hAnsi="Arial" w:cs="Arial"/>
          <w:i/>
          <w:iCs/>
          <w:sz w:val="24"/>
          <w:szCs w:val="24"/>
        </w:rPr>
        <w:t>California Management Review</w:t>
      </w:r>
      <w:r w:rsidRPr="00A204E6">
        <w:rPr>
          <w:rFonts w:ascii="Arial" w:hAnsi="Arial" w:cs="Arial"/>
          <w:sz w:val="24"/>
          <w:szCs w:val="24"/>
        </w:rPr>
        <w:t>, 18(3), pp. 21–31. doi: 10.2307/41164649.</w:t>
      </w:r>
    </w:p>
    <w:p w14:paraId="25D0AACC" w14:textId="77777777" w:rsidR="006B7695" w:rsidRPr="00A204E6" w:rsidRDefault="006B7695" w:rsidP="006B7695">
      <w:pPr>
        <w:spacing w:line="360" w:lineRule="auto"/>
        <w:jc w:val="both"/>
        <w:rPr>
          <w:rFonts w:ascii="Arial" w:hAnsi="Arial" w:cs="Arial"/>
          <w:sz w:val="24"/>
          <w:szCs w:val="24"/>
        </w:rPr>
      </w:pPr>
      <w:r>
        <w:rPr>
          <w:rFonts w:ascii="Arial" w:hAnsi="Arial" w:cs="Arial"/>
          <w:sz w:val="24"/>
          <w:szCs w:val="24"/>
        </w:rPr>
        <w:t xml:space="preserve">Lake, C. (2015) ‘Good or Liked’ </w:t>
      </w:r>
      <w:r w:rsidRPr="00606B4B">
        <w:rPr>
          <w:rFonts w:ascii="Arial" w:hAnsi="Arial" w:cs="Arial"/>
          <w:i/>
          <w:iCs/>
          <w:sz w:val="24"/>
          <w:szCs w:val="24"/>
        </w:rPr>
        <w:t>NHS Leadership Academy</w:t>
      </w:r>
      <w:r>
        <w:rPr>
          <w:rFonts w:ascii="Arial" w:hAnsi="Arial" w:cs="Arial"/>
          <w:sz w:val="24"/>
          <w:szCs w:val="24"/>
        </w:rPr>
        <w:t xml:space="preserve"> [blog]. 21 October. Available at: </w:t>
      </w:r>
      <w:hyperlink r:id="rId9" w:anchor="more-9504" w:history="1">
        <w:r w:rsidRPr="002B0D36">
          <w:rPr>
            <w:rStyle w:val="Hyperlink"/>
            <w:rFonts w:ascii="Arial" w:hAnsi="Arial" w:cs="Arial"/>
            <w:sz w:val="24"/>
            <w:szCs w:val="24"/>
          </w:rPr>
          <w:t>https://www.leadershipacademy.nhs.uk/blog/good-or-liked/#more-9504</w:t>
        </w:r>
      </w:hyperlink>
      <w:r>
        <w:rPr>
          <w:rFonts w:ascii="Arial" w:hAnsi="Arial" w:cs="Arial"/>
          <w:sz w:val="24"/>
          <w:szCs w:val="24"/>
        </w:rPr>
        <w:t xml:space="preserve"> (Accessed: 12 September 2019)</w:t>
      </w:r>
    </w:p>
    <w:p w14:paraId="51351EBD" w14:textId="77777777" w:rsidR="006B7695" w:rsidRPr="00183C33" w:rsidRDefault="006B7695" w:rsidP="006B7695">
      <w:pPr>
        <w:spacing w:after="0" w:line="360" w:lineRule="auto"/>
        <w:jc w:val="both"/>
        <w:rPr>
          <w:rFonts w:ascii="Arial" w:eastAsia="Times New Roman" w:hAnsi="Arial" w:cs="Arial"/>
          <w:sz w:val="24"/>
          <w:szCs w:val="24"/>
          <w:lang w:eastAsia="en-GB"/>
        </w:rPr>
      </w:pPr>
      <w:r w:rsidRPr="00183C33">
        <w:rPr>
          <w:rFonts w:ascii="Arial" w:eastAsia="Times New Roman" w:hAnsi="Arial" w:cs="Arial"/>
          <w:sz w:val="24"/>
          <w:szCs w:val="24"/>
          <w:lang w:eastAsia="en-GB"/>
        </w:rPr>
        <w:lastRenderedPageBreak/>
        <w:t>Liu</w:t>
      </w:r>
      <w:r w:rsidRPr="001443D5">
        <w:rPr>
          <w:rFonts w:ascii="Arial" w:eastAsia="Times New Roman" w:hAnsi="Arial" w:cs="Arial"/>
          <w:sz w:val="24"/>
          <w:szCs w:val="24"/>
          <w:lang w:eastAsia="en-GB"/>
        </w:rPr>
        <w:t>,</w:t>
      </w:r>
      <w:r w:rsidRPr="00183C33">
        <w:rPr>
          <w:rFonts w:ascii="Arial" w:eastAsia="Times New Roman" w:hAnsi="Arial" w:cs="Arial"/>
          <w:sz w:val="24"/>
          <w:szCs w:val="24"/>
          <w:lang w:eastAsia="en-GB"/>
        </w:rPr>
        <w:t xml:space="preserve"> J</w:t>
      </w:r>
      <w:r w:rsidRPr="001443D5">
        <w:rPr>
          <w:rFonts w:ascii="Arial" w:eastAsia="Times New Roman" w:hAnsi="Arial" w:cs="Arial"/>
          <w:sz w:val="24"/>
          <w:szCs w:val="24"/>
          <w:lang w:eastAsia="en-GB"/>
        </w:rPr>
        <w:t>.</w:t>
      </w:r>
      <w:r w:rsidRPr="00183C33">
        <w:rPr>
          <w:rFonts w:ascii="Arial" w:eastAsia="Times New Roman" w:hAnsi="Arial" w:cs="Arial"/>
          <w:sz w:val="24"/>
          <w:szCs w:val="24"/>
          <w:lang w:eastAsia="en-GB"/>
        </w:rPr>
        <w:t>J</w:t>
      </w:r>
      <w:r w:rsidRPr="001443D5">
        <w:rPr>
          <w:rFonts w:ascii="Arial" w:eastAsia="Times New Roman" w:hAnsi="Arial" w:cs="Arial"/>
          <w:sz w:val="24"/>
          <w:szCs w:val="24"/>
          <w:lang w:eastAsia="en-GB"/>
        </w:rPr>
        <w:t>. (2019) ‘</w:t>
      </w:r>
      <w:r w:rsidRPr="00183C33">
        <w:rPr>
          <w:rFonts w:ascii="Arial" w:eastAsia="Times New Roman" w:hAnsi="Arial" w:cs="Arial"/>
          <w:sz w:val="24"/>
          <w:szCs w:val="24"/>
          <w:lang w:eastAsia="en-GB"/>
        </w:rPr>
        <w:t>Putting out fires: a qualitative study exploring the use of patient complaints to drive improvement at three academic hospitals</w:t>
      </w:r>
      <w:r>
        <w:rPr>
          <w:rFonts w:ascii="Arial" w:eastAsia="Times New Roman" w:hAnsi="Arial" w:cs="Arial"/>
          <w:sz w:val="24"/>
          <w:szCs w:val="24"/>
          <w:lang w:eastAsia="en-GB"/>
        </w:rPr>
        <w:t>.</w:t>
      </w:r>
      <w:r w:rsidRPr="001443D5">
        <w:rPr>
          <w:rFonts w:ascii="Arial" w:eastAsia="Times New Roman" w:hAnsi="Arial" w:cs="Arial"/>
          <w:sz w:val="24"/>
          <w:szCs w:val="24"/>
          <w:lang w:eastAsia="en-GB"/>
        </w:rPr>
        <w:t xml:space="preserve">’ </w:t>
      </w:r>
      <w:r w:rsidRPr="00183C33">
        <w:rPr>
          <w:rFonts w:ascii="Arial" w:eastAsia="Times New Roman" w:hAnsi="Arial" w:cs="Arial"/>
          <w:i/>
          <w:iCs/>
          <w:sz w:val="24"/>
          <w:szCs w:val="24"/>
          <w:lang w:eastAsia="en-GB"/>
        </w:rPr>
        <w:t>BMJ Quality &amp; Safety</w:t>
      </w:r>
      <w:r w:rsidRPr="001443D5">
        <w:rPr>
          <w:rFonts w:ascii="Arial" w:eastAsia="Times New Roman" w:hAnsi="Arial" w:cs="Arial"/>
          <w:i/>
          <w:iCs/>
          <w:sz w:val="24"/>
          <w:szCs w:val="24"/>
          <w:lang w:eastAsia="en-GB"/>
        </w:rPr>
        <w:t xml:space="preserve">, </w:t>
      </w:r>
      <w:r w:rsidRPr="00183C33">
        <w:rPr>
          <w:rFonts w:ascii="Arial" w:eastAsia="Times New Roman" w:hAnsi="Arial" w:cs="Arial"/>
          <w:sz w:val="24"/>
          <w:szCs w:val="24"/>
          <w:lang w:eastAsia="en-GB"/>
        </w:rPr>
        <w:t>28</w:t>
      </w:r>
      <w:r w:rsidRPr="001443D5">
        <w:rPr>
          <w:rFonts w:ascii="Arial" w:eastAsia="Times New Roman" w:hAnsi="Arial" w:cs="Arial"/>
          <w:sz w:val="24"/>
          <w:szCs w:val="24"/>
          <w:lang w:eastAsia="en-GB"/>
        </w:rPr>
        <w:t xml:space="preserve">, pp. </w:t>
      </w:r>
      <w:r w:rsidRPr="00183C33">
        <w:rPr>
          <w:rFonts w:ascii="Arial" w:eastAsia="Times New Roman" w:hAnsi="Arial" w:cs="Arial"/>
          <w:sz w:val="24"/>
          <w:szCs w:val="24"/>
          <w:lang w:eastAsia="en-GB"/>
        </w:rPr>
        <w:t xml:space="preserve">894-900. </w:t>
      </w:r>
    </w:p>
    <w:p w14:paraId="7DE90F33" w14:textId="0A77A4C9" w:rsidR="006B7695"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Moon, J.A. </w:t>
      </w:r>
      <w:r>
        <w:rPr>
          <w:rFonts w:ascii="Arial" w:hAnsi="Arial" w:cs="Arial"/>
          <w:sz w:val="24"/>
          <w:szCs w:val="24"/>
        </w:rPr>
        <w:t>(</w:t>
      </w:r>
      <w:r w:rsidRPr="00A204E6">
        <w:rPr>
          <w:rFonts w:ascii="Arial" w:hAnsi="Arial" w:cs="Arial"/>
          <w:sz w:val="24"/>
          <w:szCs w:val="24"/>
        </w:rPr>
        <w:t>2004</w:t>
      </w:r>
      <w:r>
        <w:rPr>
          <w:rFonts w:ascii="Arial" w:hAnsi="Arial" w:cs="Arial"/>
          <w:sz w:val="24"/>
          <w:szCs w:val="24"/>
        </w:rPr>
        <w:t>)</w:t>
      </w:r>
      <w:r w:rsidRPr="00A204E6">
        <w:rPr>
          <w:rFonts w:ascii="Arial" w:hAnsi="Arial" w:cs="Arial"/>
          <w:sz w:val="24"/>
          <w:szCs w:val="24"/>
        </w:rPr>
        <w:t xml:space="preserve">. </w:t>
      </w:r>
      <w:r w:rsidRPr="00CC0699">
        <w:rPr>
          <w:rFonts w:ascii="Arial" w:hAnsi="Arial" w:cs="Arial"/>
          <w:i/>
          <w:iCs/>
          <w:sz w:val="24"/>
          <w:szCs w:val="24"/>
        </w:rPr>
        <w:t>A handbook of reflective and experiential learning theory and practice</w:t>
      </w:r>
      <w:r>
        <w:rPr>
          <w:rFonts w:ascii="Arial" w:hAnsi="Arial" w:cs="Arial"/>
          <w:i/>
          <w:iCs/>
          <w:sz w:val="24"/>
          <w:szCs w:val="24"/>
        </w:rPr>
        <w:t>.</w:t>
      </w:r>
      <w:r w:rsidRPr="00A204E6">
        <w:rPr>
          <w:rFonts w:ascii="Arial" w:hAnsi="Arial" w:cs="Arial"/>
          <w:sz w:val="24"/>
          <w:szCs w:val="24"/>
        </w:rPr>
        <w:t xml:space="preserve"> London; New York: Routledge Falmer.</w:t>
      </w:r>
    </w:p>
    <w:p w14:paraId="2AF9757C" w14:textId="26F42921" w:rsidR="0088437E" w:rsidRPr="0088437E" w:rsidRDefault="0088437E" w:rsidP="0088437E">
      <w:pPr>
        <w:spacing w:line="360" w:lineRule="auto"/>
        <w:jc w:val="both"/>
        <w:rPr>
          <w:rFonts w:ascii="Arial" w:hAnsi="Arial" w:cs="Arial"/>
          <w:sz w:val="24"/>
          <w:szCs w:val="24"/>
        </w:rPr>
      </w:pPr>
      <w:r>
        <w:rPr>
          <w:rFonts w:ascii="Arial" w:hAnsi="Arial" w:cs="Arial"/>
          <w:sz w:val="24"/>
          <w:szCs w:val="24"/>
        </w:rPr>
        <w:t xml:space="preserve">(The) Myers and Briggs Foundation (2019) </w:t>
      </w:r>
      <w:r>
        <w:rPr>
          <w:rFonts w:ascii="Arial" w:hAnsi="Arial" w:cs="Arial"/>
          <w:i/>
          <w:iCs/>
          <w:sz w:val="24"/>
          <w:szCs w:val="24"/>
        </w:rPr>
        <w:t xml:space="preserve">MBTI Step II Instrument. </w:t>
      </w:r>
      <w:r>
        <w:rPr>
          <w:rFonts w:ascii="Arial" w:hAnsi="Arial" w:cs="Arial"/>
          <w:sz w:val="24"/>
          <w:szCs w:val="24"/>
        </w:rPr>
        <w:t xml:space="preserve">Available at: </w:t>
      </w:r>
      <w:hyperlink r:id="rId10" w:history="1">
        <w:r w:rsidRPr="001943A0">
          <w:rPr>
            <w:rStyle w:val="Hyperlink"/>
            <w:rFonts w:ascii="Arial" w:hAnsi="Arial" w:cs="Arial"/>
            <w:sz w:val="24"/>
            <w:szCs w:val="24"/>
          </w:rPr>
          <w:t>https://www.myersbriggs.org/using-type-as-a-professional/mbti-step-ii-instrument/home.htm?bhcp=1</w:t>
        </w:r>
      </w:hyperlink>
      <w:r>
        <w:rPr>
          <w:rFonts w:ascii="Arial" w:hAnsi="Arial" w:cs="Arial"/>
          <w:sz w:val="24"/>
          <w:szCs w:val="24"/>
        </w:rPr>
        <w:t xml:space="preserve">. Accessed: 18 March 2019. </w:t>
      </w:r>
    </w:p>
    <w:p w14:paraId="70F90FDC"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NHS Leadership Academy (2014) </w:t>
      </w:r>
      <w:r w:rsidRPr="00B10E84">
        <w:rPr>
          <w:rFonts w:ascii="Arial" w:hAnsi="Arial" w:cs="Arial"/>
          <w:i/>
          <w:iCs/>
          <w:sz w:val="24"/>
          <w:szCs w:val="24"/>
        </w:rPr>
        <w:t>Healthcare Leadership Model</w:t>
      </w:r>
      <w:r>
        <w:rPr>
          <w:rFonts w:ascii="Arial" w:hAnsi="Arial" w:cs="Arial"/>
          <w:sz w:val="24"/>
          <w:szCs w:val="24"/>
        </w:rPr>
        <w:t>.</w:t>
      </w:r>
      <w:r w:rsidRPr="00A204E6">
        <w:rPr>
          <w:rFonts w:ascii="Arial" w:hAnsi="Arial" w:cs="Arial"/>
          <w:sz w:val="24"/>
          <w:szCs w:val="24"/>
        </w:rPr>
        <w:t xml:space="preserve"> London: NHS Leadership Academy.</w:t>
      </w:r>
    </w:p>
    <w:p w14:paraId="1DE26056" w14:textId="77777777" w:rsidR="006B7695" w:rsidRPr="00183C33" w:rsidRDefault="006B7695" w:rsidP="006B7695">
      <w:pPr>
        <w:spacing w:after="0" w:line="360" w:lineRule="auto"/>
        <w:jc w:val="both"/>
        <w:rPr>
          <w:rFonts w:ascii="Arial" w:eastAsia="Times New Roman" w:hAnsi="Arial" w:cs="Arial"/>
          <w:color w:val="000000"/>
          <w:sz w:val="24"/>
          <w:szCs w:val="24"/>
          <w:lang w:eastAsia="en-GB"/>
        </w:rPr>
      </w:pPr>
      <w:r w:rsidRPr="00183C33">
        <w:rPr>
          <w:rFonts w:ascii="Arial" w:hAnsi="Arial" w:cs="Arial"/>
          <w:sz w:val="24"/>
          <w:szCs w:val="24"/>
        </w:rPr>
        <w:t xml:space="preserve">OT MSC Student (2016) ‘Different models of reflection – using them to help me reflect.’ </w:t>
      </w:r>
      <w:r w:rsidRPr="00183C33">
        <w:rPr>
          <w:rFonts w:ascii="Arial" w:hAnsi="Arial" w:cs="Arial"/>
          <w:i/>
          <w:iCs/>
          <w:sz w:val="24"/>
          <w:szCs w:val="24"/>
        </w:rPr>
        <w:t>Lifelong learning with OT</w:t>
      </w:r>
      <w:r w:rsidRPr="00183C33">
        <w:rPr>
          <w:rFonts w:ascii="Arial" w:hAnsi="Arial" w:cs="Arial"/>
          <w:sz w:val="24"/>
          <w:szCs w:val="24"/>
        </w:rPr>
        <w:t xml:space="preserve"> [blog]. 2 May. Available at: </w:t>
      </w:r>
      <w:hyperlink r:id="rId11" w:history="1">
        <w:r w:rsidRPr="004970EE">
          <w:rPr>
            <w:rFonts w:ascii="Arial" w:eastAsia="Times New Roman" w:hAnsi="Arial" w:cs="Arial"/>
            <w:color w:val="1155CC"/>
            <w:sz w:val="24"/>
            <w:szCs w:val="24"/>
            <w:u w:val="single"/>
            <w:lang w:eastAsia="en-GB"/>
          </w:rPr>
          <w:t>https://lifelonglearningwithot.wordpress.com/2016/05/02/different-models-of-reflection-using-them-to-help-me-reflect/</w:t>
        </w:r>
      </w:hyperlink>
      <w:r>
        <w:rPr>
          <w:rFonts w:ascii="Arial" w:eastAsia="Times New Roman" w:hAnsi="Arial" w:cs="Arial"/>
          <w:color w:val="000000"/>
          <w:sz w:val="24"/>
          <w:szCs w:val="24"/>
          <w:lang w:eastAsia="en-GB"/>
        </w:rPr>
        <w:t xml:space="preserve"> </w:t>
      </w:r>
      <w:r w:rsidRPr="00183C33">
        <w:rPr>
          <w:rFonts w:ascii="Arial" w:hAnsi="Arial" w:cs="Arial"/>
          <w:sz w:val="24"/>
          <w:szCs w:val="24"/>
        </w:rPr>
        <w:t xml:space="preserve">(Accessed: 12 August 2019). </w:t>
      </w:r>
    </w:p>
    <w:p w14:paraId="10968EFF" w14:textId="77777777" w:rsidR="006B7695" w:rsidRPr="00A204E6"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Provis, C. (2004) </w:t>
      </w:r>
      <w:r w:rsidRPr="00CC0699">
        <w:rPr>
          <w:rFonts w:ascii="Arial" w:hAnsi="Arial" w:cs="Arial"/>
          <w:i/>
          <w:iCs/>
          <w:sz w:val="24"/>
          <w:szCs w:val="24"/>
        </w:rPr>
        <w:t>Ethics and Organisational Politics.</w:t>
      </w:r>
      <w:r w:rsidRPr="00A204E6">
        <w:rPr>
          <w:rFonts w:ascii="Arial" w:hAnsi="Arial" w:cs="Arial"/>
          <w:sz w:val="24"/>
          <w:szCs w:val="24"/>
        </w:rPr>
        <w:t xml:space="preserve"> Cheltenham: Edward Elgar.</w:t>
      </w:r>
    </w:p>
    <w:p w14:paraId="7AF8989C" w14:textId="77777777" w:rsidR="006B7695" w:rsidRDefault="006B7695" w:rsidP="006B7695">
      <w:pPr>
        <w:spacing w:line="360" w:lineRule="auto"/>
        <w:jc w:val="both"/>
        <w:rPr>
          <w:rFonts w:ascii="Arial" w:hAnsi="Arial" w:cs="Arial"/>
          <w:sz w:val="24"/>
          <w:szCs w:val="24"/>
        </w:rPr>
      </w:pPr>
      <w:r w:rsidRPr="00A204E6">
        <w:rPr>
          <w:rFonts w:ascii="Arial" w:hAnsi="Arial" w:cs="Arial"/>
          <w:sz w:val="24"/>
          <w:szCs w:val="24"/>
        </w:rPr>
        <w:t xml:space="preserve">Schön, D.A. </w:t>
      </w:r>
      <w:r>
        <w:rPr>
          <w:rFonts w:ascii="Arial" w:hAnsi="Arial" w:cs="Arial"/>
          <w:sz w:val="24"/>
          <w:szCs w:val="24"/>
        </w:rPr>
        <w:t>(</w:t>
      </w:r>
      <w:r w:rsidRPr="00A204E6">
        <w:rPr>
          <w:rFonts w:ascii="Arial" w:hAnsi="Arial" w:cs="Arial"/>
          <w:sz w:val="24"/>
          <w:szCs w:val="24"/>
        </w:rPr>
        <w:t>1983</w:t>
      </w:r>
      <w:r>
        <w:rPr>
          <w:rFonts w:ascii="Arial" w:hAnsi="Arial" w:cs="Arial"/>
          <w:sz w:val="24"/>
          <w:szCs w:val="24"/>
        </w:rPr>
        <w:t>)</w:t>
      </w:r>
      <w:r w:rsidRPr="00A204E6">
        <w:rPr>
          <w:rFonts w:ascii="Arial" w:hAnsi="Arial" w:cs="Arial"/>
          <w:sz w:val="24"/>
          <w:szCs w:val="24"/>
        </w:rPr>
        <w:t xml:space="preserve">. </w:t>
      </w:r>
      <w:r w:rsidRPr="00CC0699">
        <w:rPr>
          <w:rFonts w:ascii="Arial" w:hAnsi="Arial" w:cs="Arial"/>
          <w:i/>
          <w:iCs/>
          <w:sz w:val="24"/>
          <w:szCs w:val="24"/>
        </w:rPr>
        <w:t>The reflective practitioner: how professionals think in action.</w:t>
      </w:r>
      <w:r w:rsidRPr="00A204E6">
        <w:rPr>
          <w:rFonts w:ascii="Arial" w:hAnsi="Arial" w:cs="Arial"/>
          <w:sz w:val="24"/>
          <w:szCs w:val="24"/>
        </w:rPr>
        <w:t xml:space="preserve"> New York: Basic Books.</w:t>
      </w:r>
    </w:p>
    <w:p w14:paraId="2E039FEB" w14:textId="77777777" w:rsidR="006B7695" w:rsidRDefault="006B7695" w:rsidP="006B7695">
      <w:pPr>
        <w:spacing w:line="360" w:lineRule="auto"/>
        <w:jc w:val="both"/>
        <w:rPr>
          <w:rFonts w:ascii="Arial" w:hAnsi="Arial" w:cs="Arial"/>
          <w:sz w:val="24"/>
          <w:szCs w:val="24"/>
        </w:rPr>
      </w:pPr>
      <w:r w:rsidRPr="001A7064">
        <w:rPr>
          <w:rFonts w:ascii="Arial" w:hAnsi="Arial" w:cs="Arial"/>
          <w:sz w:val="24"/>
          <w:szCs w:val="24"/>
        </w:rPr>
        <w:t xml:space="preserve">Smith, M. K. (2001, 2010). ‘David A. Kolb on experiential learning’, </w:t>
      </w:r>
      <w:r>
        <w:rPr>
          <w:rFonts w:ascii="Arial" w:hAnsi="Arial" w:cs="Arial"/>
          <w:i/>
          <w:iCs/>
          <w:sz w:val="24"/>
          <w:szCs w:val="24"/>
        </w:rPr>
        <w:t>T</w:t>
      </w:r>
      <w:r w:rsidRPr="001A7064">
        <w:rPr>
          <w:rFonts w:ascii="Arial" w:hAnsi="Arial" w:cs="Arial"/>
          <w:i/>
          <w:iCs/>
          <w:sz w:val="24"/>
          <w:szCs w:val="24"/>
        </w:rPr>
        <w:t>he encyclopedia of informal education. </w:t>
      </w:r>
      <w:r>
        <w:rPr>
          <w:rFonts w:ascii="Arial" w:hAnsi="Arial" w:cs="Arial"/>
          <w:sz w:val="24"/>
          <w:szCs w:val="24"/>
        </w:rPr>
        <w:t xml:space="preserve">Available at: </w:t>
      </w:r>
      <w:hyperlink r:id="rId12" w:history="1">
        <w:r w:rsidRPr="001943A0">
          <w:rPr>
            <w:rStyle w:val="Hyperlink"/>
            <w:rFonts w:ascii="Arial" w:hAnsi="Arial" w:cs="Arial"/>
            <w:sz w:val="24"/>
            <w:szCs w:val="24"/>
          </w:rPr>
          <w:t>http://infed.org/mobi/david-a-kolb-on-experiential-learning/</w:t>
        </w:r>
      </w:hyperlink>
      <w:r w:rsidRPr="001A7064">
        <w:rPr>
          <w:rFonts w:ascii="Arial" w:hAnsi="Arial" w:cs="Arial"/>
          <w:sz w:val="24"/>
          <w:szCs w:val="24"/>
        </w:rPr>
        <w:t xml:space="preserve">. </w:t>
      </w:r>
      <w:r>
        <w:rPr>
          <w:rFonts w:ascii="Arial" w:hAnsi="Arial" w:cs="Arial"/>
          <w:sz w:val="24"/>
          <w:szCs w:val="24"/>
        </w:rPr>
        <w:t>(Accessed 4 October 2019).</w:t>
      </w:r>
    </w:p>
    <w:p w14:paraId="5C1ACEF7" w14:textId="77777777" w:rsidR="006B7695" w:rsidRDefault="006B7695" w:rsidP="006B7695">
      <w:pPr>
        <w:spacing w:line="360" w:lineRule="auto"/>
        <w:jc w:val="both"/>
        <w:rPr>
          <w:rFonts w:ascii="Arial" w:hAnsi="Arial" w:cs="Arial"/>
          <w:sz w:val="24"/>
          <w:szCs w:val="24"/>
        </w:rPr>
      </w:pPr>
      <w:r w:rsidRPr="00B30B67">
        <w:rPr>
          <w:rFonts w:ascii="Arial" w:hAnsi="Arial" w:cs="Arial"/>
          <w:sz w:val="24"/>
          <w:szCs w:val="24"/>
        </w:rPr>
        <w:t xml:space="preserve">Turner, T.W. and Conroy, R.J. </w:t>
      </w:r>
      <w:r>
        <w:rPr>
          <w:rFonts w:ascii="Arial" w:hAnsi="Arial" w:cs="Arial"/>
          <w:sz w:val="24"/>
          <w:szCs w:val="24"/>
        </w:rPr>
        <w:t>(</w:t>
      </w:r>
      <w:r w:rsidRPr="00B30B67">
        <w:rPr>
          <w:rFonts w:ascii="Arial" w:hAnsi="Arial" w:cs="Arial"/>
          <w:sz w:val="24"/>
          <w:szCs w:val="24"/>
        </w:rPr>
        <w:t>2019</w:t>
      </w:r>
      <w:r>
        <w:rPr>
          <w:rFonts w:ascii="Arial" w:hAnsi="Arial" w:cs="Arial"/>
          <w:sz w:val="24"/>
          <w:szCs w:val="24"/>
        </w:rPr>
        <w:t>)</w:t>
      </w:r>
      <w:r w:rsidRPr="00B30B67">
        <w:rPr>
          <w:rFonts w:ascii="Arial" w:hAnsi="Arial" w:cs="Arial"/>
          <w:sz w:val="24"/>
          <w:szCs w:val="24"/>
        </w:rPr>
        <w:t xml:space="preserve">. </w:t>
      </w:r>
      <w:r>
        <w:rPr>
          <w:rFonts w:ascii="Arial" w:hAnsi="Arial" w:cs="Arial"/>
          <w:sz w:val="24"/>
          <w:szCs w:val="24"/>
        </w:rPr>
        <w:t>‘</w:t>
      </w:r>
      <w:r w:rsidRPr="00B30B67">
        <w:rPr>
          <w:rFonts w:ascii="Arial" w:hAnsi="Arial" w:cs="Arial"/>
          <w:sz w:val="24"/>
          <w:szCs w:val="24"/>
        </w:rPr>
        <w:t>Identifying Blind Spots in Leadership Development.</w:t>
      </w:r>
      <w:r>
        <w:rPr>
          <w:rFonts w:ascii="Arial" w:hAnsi="Arial" w:cs="Arial"/>
          <w:sz w:val="24"/>
          <w:szCs w:val="24"/>
        </w:rPr>
        <w:t>’</w:t>
      </w:r>
      <w:r w:rsidRPr="00B30B67">
        <w:rPr>
          <w:rFonts w:ascii="Arial" w:hAnsi="Arial" w:cs="Arial"/>
          <w:sz w:val="24"/>
          <w:szCs w:val="24"/>
        </w:rPr>
        <w:t xml:space="preserve"> </w:t>
      </w:r>
      <w:r>
        <w:rPr>
          <w:rFonts w:ascii="Arial" w:hAnsi="Arial" w:cs="Arial"/>
          <w:sz w:val="24"/>
          <w:szCs w:val="24"/>
        </w:rPr>
        <w:t>i</w:t>
      </w:r>
      <w:r w:rsidRPr="00B30B67">
        <w:rPr>
          <w:rFonts w:ascii="Arial" w:hAnsi="Arial" w:cs="Arial"/>
          <w:sz w:val="24"/>
          <w:szCs w:val="24"/>
        </w:rPr>
        <w:t xml:space="preserve">n </w:t>
      </w:r>
      <w:r w:rsidRPr="00B30B67">
        <w:rPr>
          <w:rFonts w:ascii="Arial" w:hAnsi="Arial" w:cs="Arial"/>
          <w:i/>
          <w:iCs/>
          <w:sz w:val="24"/>
          <w:szCs w:val="24"/>
        </w:rPr>
        <w:t>Handbook of Research on Strategic Communication, Leadership, and Conflict Management in Modern Organizations</w:t>
      </w:r>
      <w:r w:rsidRPr="00B30B67">
        <w:rPr>
          <w:rFonts w:ascii="Arial" w:hAnsi="Arial" w:cs="Arial"/>
          <w:sz w:val="24"/>
          <w:szCs w:val="24"/>
        </w:rPr>
        <w:t xml:space="preserve"> (pp. 199-220). IGI Global.</w:t>
      </w:r>
    </w:p>
    <w:p w14:paraId="2542916D" w14:textId="77777777" w:rsidR="00BB5236" w:rsidRPr="00BB5236" w:rsidRDefault="00BB5236" w:rsidP="00BB5236">
      <w:pPr>
        <w:spacing w:line="360" w:lineRule="auto"/>
        <w:jc w:val="both"/>
        <w:rPr>
          <w:rFonts w:ascii="Arial" w:hAnsi="Arial" w:cs="Arial"/>
          <w:sz w:val="24"/>
          <w:szCs w:val="24"/>
        </w:rPr>
      </w:pPr>
    </w:p>
    <w:sectPr w:rsidR="00BB5236" w:rsidRPr="00BB523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44F35" w14:textId="77777777" w:rsidR="00D71A74" w:rsidRDefault="00D71A74" w:rsidP="006B7695">
      <w:pPr>
        <w:spacing w:after="0" w:line="240" w:lineRule="auto"/>
      </w:pPr>
      <w:r>
        <w:separator/>
      </w:r>
    </w:p>
  </w:endnote>
  <w:endnote w:type="continuationSeparator" w:id="0">
    <w:p w14:paraId="25796A72" w14:textId="77777777" w:rsidR="00D71A74" w:rsidRDefault="00D71A74" w:rsidP="006B7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491356"/>
      <w:docPartObj>
        <w:docPartGallery w:val="Page Numbers (Bottom of Page)"/>
        <w:docPartUnique/>
      </w:docPartObj>
    </w:sdtPr>
    <w:sdtEndPr>
      <w:rPr>
        <w:noProof/>
      </w:rPr>
    </w:sdtEndPr>
    <w:sdtContent>
      <w:p w14:paraId="30E3652E" w14:textId="77777777" w:rsidR="006B7695" w:rsidRDefault="006B76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2EF64E" w14:textId="77777777" w:rsidR="006B7695" w:rsidRDefault="006B7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43A04" w14:textId="77777777" w:rsidR="00D71A74" w:rsidRDefault="00D71A74" w:rsidP="006B7695">
      <w:pPr>
        <w:spacing w:after="0" w:line="240" w:lineRule="auto"/>
      </w:pPr>
      <w:r>
        <w:separator/>
      </w:r>
    </w:p>
  </w:footnote>
  <w:footnote w:type="continuationSeparator" w:id="0">
    <w:p w14:paraId="60054802" w14:textId="77777777" w:rsidR="00D71A74" w:rsidRDefault="00D71A74" w:rsidP="006B7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5763F3"/>
    <w:multiLevelType w:val="multilevel"/>
    <w:tmpl w:val="36D85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CC0469"/>
    <w:multiLevelType w:val="multilevel"/>
    <w:tmpl w:val="9B8AA30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B3A0298"/>
    <w:multiLevelType w:val="multilevel"/>
    <w:tmpl w:val="7A0A7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DEF"/>
    <w:rsid w:val="00014C6A"/>
    <w:rsid w:val="000A5A14"/>
    <w:rsid w:val="000F45B8"/>
    <w:rsid w:val="00196CED"/>
    <w:rsid w:val="00411231"/>
    <w:rsid w:val="0050122A"/>
    <w:rsid w:val="00644FA3"/>
    <w:rsid w:val="006B7695"/>
    <w:rsid w:val="006F40DE"/>
    <w:rsid w:val="007F5C85"/>
    <w:rsid w:val="008750B5"/>
    <w:rsid w:val="0088437E"/>
    <w:rsid w:val="00897DEF"/>
    <w:rsid w:val="0092503C"/>
    <w:rsid w:val="0098446C"/>
    <w:rsid w:val="00AD5F3E"/>
    <w:rsid w:val="00B5369F"/>
    <w:rsid w:val="00BB5236"/>
    <w:rsid w:val="00BC3631"/>
    <w:rsid w:val="00BE1E15"/>
    <w:rsid w:val="00BF227E"/>
    <w:rsid w:val="00D060BC"/>
    <w:rsid w:val="00D71A74"/>
    <w:rsid w:val="00E94B47"/>
    <w:rsid w:val="00EE4208"/>
    <w:rsid w:val="00F80FD1"/>
    <w:rsid w:val="00FE2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34EDA"/>
  <w15:chartTrackingRefBased/>
  <w15:docId w15:val="{B7A3C70F-7D92-40B5-A6FF-6FA5C3A1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0122A"/>
    <w:rPr>
      <w:sz w:val="16"/>
      <w:szCs w:val="16"/>
    </w:rPr>
  </w:style>
  <w:style w:type="paragraph" w:styleId="CommentText">
    <w:name w:val="annotation text"/>
    <w:basedOn w:val="Normal"/>
    <w:link w:val="CommentTextChar"/>
    <w:uiPriority w:val="99"/>
    <w:semiHidden/>
    <w:unhideWhenUsed/>
    <w:rsid w:val="0050122A"/>
    <w:pPr>
      <w:spacing w:line="240" w:lineRule="auto"/>
    </w:pPr>
    <w:rPr>
      <w:sz w:val="20"/>
      <w:szCs w:val="20"/>
    </w:rPr>
  </w:style>
  <w:style w:type="character" w:customStyle="1" w:styleId="CommentTextChar">
    <w:name w:val="Comment Text Char"/>
    <w:basedOn w:val="DefaultParagraphFont"/>
    <w:link w:val="CommentText"/>
    <w:uiPriority w:val="99"/>
    <w:semiHidden/>
    <w:rsid w:val="0050122A"/>
    <w:rPr>
      <w:sz w:val="20"/>
      <w:szCs w:val="20"/>
    </w:rPr>
  </w:style>
  <w:style w:type="paragraph" w:styleId="CommentSubject">
    <w:name w:val="annotation subject"/>
    <w:basedOn w:val="CommentText"/>
    <w:next w:val="CommentText"/>
    <w:link w:val="CommentSubjectChar"/>
    <w:uiPriority w:val="99"/>
    <w:semiHidden/>
    <w:unhideWhenUsed/>
    <w:rsid w:val="0050122A"/>
    <w:rPr>
      <w:b/>
      <w:bCs/>
    </w:rPr>
  </w:style>
  <w:style w:type="character" w:customStyle="1" w:styleId="CommentSubjectChar">
    <w:name w:val="Comment Subject Char"/>
    <w:basedOn w:val="CommentTextChar"/>
    <w:link w:val="CommentSubject"/>
    <w:uiPriority w:val="99"/>
    <w:semiHidden/>
    <w:rsid w:val="0050122A"/>
    <w:rPr>
      <w:b/>
      <w:bCs/>
      <w:sz w:val="20"/>
      <w:szCs w:val="20"/>
    </w:rPr>
  </w:style>
  <w:style w:type="paragraph" w:styleId="BalloonText">
    <w:name w:val="Balloon Text"/>
    <w:basedOn w:val="Normal"/>
    <w:link w:val="BalloonTextChar"/>
    <w:uiPriority w:val="99"/>
    <w:semiHidden/>
    <w:unhideWhenUsed/>
    <w:rsid w:val="005012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22A"/>
    <w:rPr>
      <w:rFonts w:ascii="Segoe UI" w:hAnsi="Segoe UI" w:cs="Segoe UI"/>
      <w:sz w:val="18"/>
      <w:szCs w:val="18"/>
    </w:rPr>
  </w:style>
  <w:style w:type="paragraph" w:styleId="Caption">
    <w:name w:val="caption"/>
    <w:basedOn w:val="Normal"/>
    <w:next w:val="Normal"/>
    <w:uiPriority w:val="35"/>
    <w:semiHidden/>
    <w:unhideWhenUsed/>
    <w:qFormat/>
    <w:rsid w:val="006F40DE"/>
    <w:pPr>
      <w:spacing w:after="200" w:line="240" w:lineRule="auto"/>
    </w:pPr>
    <w:rPr>
      <w:i/>
      <w:iCs/>
      <w:color w:val="44546A" w:themeColor="text2"/>
      <w:sz w:val="18"/>
      <w:szCs w:val="18"/>
    </w:rPr>
  </w:style>
  <w:style w:type="character" w:styleId="Hyperlink">
    <w:name w:val="Hyperlink"/>
    <w:basedOn w:val="DefaultParagraphFont"/>
    <w:uiPriority w:val="99"/>
    <w:unhideWhenUsed/>
    <w:rsid w:val="00014C6A"/>
    <w:rPr>
      <w:color w:val="0563C1" w:themeColor="hyperlink"/>
      <w:u w:val="single"/>
    </w:rPr>
  </w:style>
  <w:style w:type="character" w:styleId="UnresolvedMention">
    <w:name w:val="Unresolved Mention"/>
    <w:basedOn w:val="DefaultParagraphFont"/>
    <w:uiPriority w:val="99"/>
    <w:semiHidden/>
    <w:unhideWhenUsed/>
    <w:rsid w:val="00014C6A"/>
    <w:rPr>
      <w:color w:val="605E5C"/>
      <w:shd w:val="clear" w:color="auto" w:fill="E1DFDD"/>
    </w:rPr>
  </w:style>
  <w:style w:type="paragraph" w:styleId="NormalWeb">
    <w:name w:val="Normal (Web)"/>
    <w:basedOn w:val="Normal"/>
    <w:uiPriority w:val="99"/>
    <w:semiHidden/>
    <w:unhideWhenUsed/>
    <w:rsid w:val="006B76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B7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695"/>
  </w:style>
  <w:style w:type="paragraph" w:styleId="Footer">
    <w:name w:val="footer"/>
    <w:basedOn w:val="Normal"/>
    <w:link w:val="FooterChar"/>
    <w:uiPriority w:val="99"/>
    <w:unhideWhenUsed/>
    <w:rsid w:val="006B7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318246">
      <w:bodyDiv w:val="1"/>
      <w:marLeft w:val="0"/>
      <w:marRight w:val="0"/>
      <w:marTop w:val="0"/>
      <w:marBottom w:val="0"/>
      <w:divBdr>
        <w:top w:val="none" w:sz="0" w:space="0" w:color="auto"/>
        <w:left w:val="none" w:sz="0" w:space="0" w:color="auto"/>
        <w:bottom w:val="none" w:sz="0" w:space="0" w:color="auto"/>
        <w:right w:val="none" w:sz="0" w:space="0" w:color="auto"/>
      </w:divBdr>
    </w:div>
    <w:div w:id="46061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infed.org/mobi/david-a-kolb-on-experiential-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felonglearningwithot.wordpress.com/2016/05/02/different-models-of-reflection-using-them-to-help-me-reflec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yersbriggs.org/using-type-as-a-professional/mbti-step-ii-instrument/home.htm?bhcp=1" TargetMode="External"/><Relationship Id="rId4" Type="http://schemas.openxmlformats.org/officeDocument/2006/relationships/webSettings" Target="webSettings.xml"/><Relationship Id="rId9" Type="http://schemas.openxmlformats.org/officeDocument/2006/relationships/hyperlink" Target="https://www.leadershipacademy.nhs.uk/blog/good-or-lik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7274</Words>
  <Characters>41464</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Morris</dc:creator>
  <cp:keywords/>
  <dc:description/>
  <cp:lastModifiedBy>Bethan Morris</cp:lastModifiedBy>
  <cp:revision>2</cp:revision>
  <dcterms:created xsi:type="dcterms:W3CDTF">2019-11-15T21:29:00Z</dcterms:created>
  <dcterms:modified xsi:type="dcterms:W3CDTF">2019-11-15T21:29:00Z</dcterms:modified>
</cp:coreProperties>
</file>