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72FDC" w14:textId="6F26E23E" w:rsidR="00A32941" w:rsidRPr="00A32941" w:rsidRDefault="00A32941" w:rsidP="00A32941">
      <w:pPr>
        <w:spacing w:after="0" w:line="240" w:lineRule="auto"/>
        <w:ind w:left="-180" w:right="-334"/>
        <w:rPr>
          <w:rFonts w:ascii="Georgia" w:eastAsia="SimSun" w:hAnsi="Georgia" w:cs="Times New Roman"/>
          <w:color w:val="000000"/>
          <w:sz w:val="21"/>
          <w:szCs w:val="21"/>
          <w:lang w:eastAsia="zh-CN"/>
        </w:rPr>
      </w:pPr>
      <w:r w:rsidRPr="00A32941">
        <w:rPr>
          <w:rFonts w:ascii="Georgia" w:eastAsia="SimSun" w:hAnsi="Georgia" w:cs="Times New Roman"/>
          <w:noProof/>
          <w:color w:val="000000"/>
          <w:sz w:val="21"/>
          <w:szCs w:val="21"/>
          <w:lang w:eastAsia="zh-CN"/>
        </w:rPr>
        <w:drawing>
          <wp:inline distT="0" distB="0" distL="0" distR="0" wp14:anchorId="674AA2DF" wp14:editId="25775C91">
            <wp:extent cx="1910080" cy="636905"/>
            <wp:effectExtent l="19050" t="19050" r="13970" b="1079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080" cy="636905"/>
                    </a:xfrm>
                    <a:prstGeom prst="rect">
                      <a:avLst/>
                    </a:prstGeom>
                    <a:noFill/>
                    <a:ln w="19050" cmpd="sng">
                      <a:solidFill>
                        <a:srgbClr val="000000"/>
                      </a:solidFill>
                      <a:miter lim="800000"/>
                      <a:headEnd/>
                      <a:tailEnd/>
                    </a:ln>
                    <a:effectLst/>
                  </pic:spPr>
                </pic:pic>
              </a:graphicData>
            </a:graphic>
          </wp:inline>
        </w:drawing>
      </w:r>
    </w:p>
    <w:p w14:paraId="6CD3E582" w14:textId="77777777" w:rsidR="00A32941" w:rsidRPr="00A32941" w:rsidRDefault="00A32941" w:rsidP="00A32941">
      <w:pPr>
        <w:spacing w:after="0" w:line="240" w:lineRule="auto"/>
        <w:ind w:left="-180" w:right="-334"/>
        <w:rPr>
          <w:rFonts w:ascii="Georgia" w:eastAsia="SimSun" w:hAnsi="Georgia" w:cs="Times New Roman"/>
          <w:color w:val="000000"/>
          <w:sz w:val="21"/>
          <w:szCs w:val="21"/>
          <w:lang w:eastAsia="zh-CN"/>
        </w:rPr>
      </w:pPr>
    </w:p>
    <w:p w14:paraId="18189D39" w14:textId="77777777" w:rsidR="00A32941" w:rsidRPr="00A32941" w:rsidRDefault="00A32941" w:rsidP="00A32941">
      <w:pPr>
        <w:spacing w:after="0" w:line="240" w:lineRule="auto"/>
        <w:ind w:left="-180" w:right="-334"/>
        <w:rPr>
          <w:rFonts w:ascii="Georgia" w:eastAsia="SimSun" w:hAnsi="Georgia" w:cs="Times New Roman"/>
          <w:color w:val="000000"/>
          <w:sz w:val="21"/>
          <w:szCs w:val="21"/>
          <w:lang w:eastAsia="zh-CN"/>
        </w:rPr>
      </w:pPr>
    </w:p>
    <w:p w14:paraId="035443E4" w14:textId="77777777" w:rsidR="00A32941" w:rsidRPr="00A32941" w:rsidRDefault="00A32941" w:rsidP="00A32941">
      <w:pPr>
        <w:spacing w:after="0" w:line="240" w:lineRule="auto"/>
        <w:ind w:left="-180" w:right="-334"/>
        <w:jc w:val="center"/>
        <w:rPr>
          <w:rFonts w:ascii="Arial" w:eastAsia="SimSun" w:hAnsi="Arial" w:cs="Arial"/>
          <w:b/>
          <w:color w:val="000000"/>
          <w:sz w:val="28"/>
          <w:szCs w:val="28"/>
          <w:lang w:val="cy-GB" w:eastAsia="zh-CN"/>
        </w:rPr>
      </w:pPr>
      <w:r w:rsidRPr="00A32941">
        <w:rPr>
          <w:rFonts w:ascii="Arial" w:eastAsia="SimSun" w:hAnsi="Arial" w:cs="Arial"/>
          <w:b/>
          <w:color w:val="000000"/>
          <w:sz w:val="28"/>
          <w:szCs w:val="28"/>
          <w:lang w:val="cy-GB" w:eastAsia="zh-CN"/>
        </w:rPr>
        <w:t xml:space="preserve">Postgraduate/Distance Learning </w:t>
      </w:r>
    </w:p>
    <w:p w14:paraId="52BD2D70" w14:textId="77777777" w:rsidR="00A32941" w:rsidRPr="00A32941" w:rsidRDefault="00A32941" w:rsidP="00A32941">
      <w:pPr>
        <w:spacing w:after="0" w:line="240" w:lineRule="auto"/>
        <w:ind w:left="-180" w:right="-334"/>
        <w:jc w:val="center"/>
        <w:rPr>
          <w:rFonts w:ascii="Arial" w:eastAsia="SimSun" w:hAnsi="Arial" w:cs="Arial"/>
          <w:b/>
          <w:color w:val="000000"/>
          <w:sz w:val="28"/>
          <w:szCs w:val="28"/>
          <w:lang w:eastAsia="zh-CN"/>
        </w:rPr>
      </w:pPr>
      <w:r w:rsidRPr="00A32941">
        <w:rPr>
          <w:rFonts w:ascii="Arial" w:eastAsia="SimSun" w:hAnsi="Arial" w:cs="Arial"/>
          <w:b/>
          <w:color w:val="000000"/>
          <w:sz w:val="28"/>
          <w:szCs w:val="28"/>
          <w:lang w:val="cy-GB" w:eastAsia="zh-CN"/>
        </w:rPr>
        <w:t>Assignment coversheet &amp; feedback form</w:t>
      </w:r>
    </w:p>
    <w:p w14:paraId="3E84F097" w14:textId="77777777" w:rsidR="00A32941" w:rsidRPr="00A32941" w:rsidRDefault="00A32941" w:rsidP="00A32941">
      <w:pPr>
        <w:spacing w:after="0" w:line="240" w:lineRule="auto"/>
        <w:rPr>
          <w:rFonts w:ascii="Arial" w:eastAsia="SimSun" w:hAnsi="Arial" w:cs="Arial"/>
          <w:sz w:val="28"/>
          <w:szCs w:val="28"/>
          <w:lang w:val="cy-GB" w:eastAsia="zh-CN"/>
        </w:rPr>
      </w:pPr>
    </w:p>
    <w:p w14:paraId="0D0EA59A" w14:textId="77777777" w:rsidR="00A32941" w:rsidRPr="00A32941" w:rsidRDefault="00A32941" w:rsidP="00A32941">
      <w:pPr>
        <w:keepNext/>
        <w:spacing w:after="0" w:line="240" w:lineRule="auto"/>
        <w:ind w:left="720"/>
        <w:jc w:val="center"/>
        <w:outlineLvl w:val="2"/>
        <w:rPr>
          <w:rFonts w:ascii="Tahoma" w:eastAsia="SimSun" w:hAnsi="Tahoma" w:cs="Tahoma"/>
          <w:b/>
          <w:bCs/>
          <w:sz w:val="20"/>
          <w:szCs w:val="20"/>
          <w:lang w:val="cy-GB" w:eastAsia="zh-CN"/>
        </w:rPr>
      </w:pPr>
      <w:r w:rsidRPr="00A32941">
        <w:rPr>
          <w:rFonts w:ascii="Tahoma" w:eastAsia="SimSun" w:hAnsi="Tahoma" w:cs="Tahoma"/>
          <w:b/>
          <w:bCs/>
          <w:sz w:val="20"/>
          <w:szCs w:val="20"/>
          <w:lang w:val="cy-GB" w:eastAsia="zh-CN"/>
        </w:rPr>
        <w:t>THIS SHEET MUST BE THE FIRST PAGE OF THE ASSIGNMENT YOU ARE SUBMITTING  (DO NOT SEND AS A SEPARATE FILE)</w:t>
      </w:r>
    </w:p>
    <w:p w14:paraId="05F3C922" w14:textId="77777777" w:rsidR="00A32941" w:rsidRPr="00A32941" w:rsidRDefault="00A32941" w:rsidP="00A32941">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32941" w:rsidRPr="00A32941" w14:paraId="3542534A" w14:textId="77777777" w:rsidTr="0049250E">
        <w:trPr>
          <w:trHeight w:val="614"/>
        </w:trPr>
        <w:tc>
          <w:tcPr>
            <w:tcW w:w="8856" w:type="dxa"/>
            <w:gridSpan w:val="5"/>
          </w:tcPr>
          <w:p w14:paraId="7477DC10"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b/>
                <w:color w:val="000000"/>
                <w:lang w:eastAsia="zh-CN"/>
              </w:rPr>
              <w:t>For completion by the student</w:t>
            </w:r>
            <w:r w:rsidRPr="00A32941">
              <w:rPr>
                <w:rFonts w:ascii="Arial" w:eastAsia="SimSun" w:hAnsi="Arial" w:cs="Arial"/>
                <w:color w:val="000000"/>
                <w:lang w:eastAsia="zh-CN"/>
              </w:rPr>
              <w:t>:</w:t>
            </w:r>
          </w:p>
        </w:tc>
      </w:tr>
      <w:tr w:rsidR="00A32941" w:rsidRPr="00A32941" w14:paraId="5DA72D3C" w14:textId="77777777" w:rsidTr="0049250E">
        <w:trPr>
          <w:trHeight w:val="718"/>
        </w:trPr>
        <w:tc>
          <w:tcPr>
            <w:tcW w:w="8856" w:type="dxa"/>
            <w:gridSpan w:val="5"/>
          </w:tcPr>
          <w:p w14:paraId="4C8212ED"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Student Name: Karen Hanson</w:t>
            </w:r>
          </w:p>
          <w:p w14:paraId="351CEE28" w14:textId="77777777" w:rsidR="00A32941" w:rsidRPr="00A32941" w:rsidRDefault="00A32941" w:rsidP="00A32941">
            <w:pPr>
              <w:spacing w:after="0" w:line="240" w:lineRule="auto"/>
              <w:ind w:right="34"/>
              <w:rPr>
                <w:rFonts w:ascii="Arial" w:eastAsia="SimSun" w:hAnsi="Arial" w:cs="Arial"/>
                <w:color w:val="000000"/>
                <w:lang w:eastAsia="zh-CN"/>
              </w:rPr>
            </w:pPr>
          </w:p>
          <w:p w14:paraId="31E94920"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 xml:space="preserve">Student </w:t>
            </w:r>
            <w:r w:rsidRPr="00A32941">
              <w:rPr>
                <w:rFonts w:ascii="Arial" w:eastAsia="SimSun" w:hAnsi="Arial" w:cs="Arial"/>
                <w:b/>
                <w:bCs/>
                <w:color w:val="000000"/>
                <w:u w:val="single"/>
                <w:lang w:eastAsia="zh-CN"/>
              </w:rPr>
              <w:t>University</w:t>
            </w:r>
            <w:r w:rsidRPr="00A32941">
              <w:rPr>
                <w:rFonts w:ascii="Arial" w:eastAsia="SimSun" w:hAnsi="Arial" w:cs="Arial"/>
                <w:color w:val="000000"/>
                <w:u w:val="single"/>
                <w:lang w:eastAsia="zh-CN"/>
              </w:rPr>
              <w:t xml:space="preserve"> </w:t>
            </w:r>
            <w:r w:rsidRPr="00A32941">
              <w:rPr>
                <w:rFonts w:ascii="Arial" w:eastAsia="SimSun" w:hAnsi="Arial" w:cs="Arial"/>
                <w:color w:val="000000"/>
                <w:lang w:eastAsia="zh-CN"/>
              </w:rPr>
              <w:t>Email: 2113844@student.uwtsd.ac.uk</w:t>
            </w:r>
          </w:p>
        </w:tc>
      </w:tr>
      <w:tr w:rsidR="00A32941" w:rsidRPr="00A32941" w14:paraId="0256B917" w14:textId="77777777" w:rsidTr="0049250E">
        <w:trPr>
          <w:trHeight w:val="849"/>
        </w:trPr>
        <w:tc>
          <w:tcPr>
            <w:tcW w:w="4788" w:type="dxa"/>
          </w:tcPr>
          <w:p w14:paraId="717F441D"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Module code: HPCA7016</w:t>
            </w:r>
          </w:p>
          <w:p w14:paraId="3A650D43" w14:textId="77777777" w:rsidR="00A32941" w:rsidRPr="00A32941" w:rsidRDefault="00A32941" w:rsidP="00A32941">
            <w:pPr>
              <w:spacing w:after="0" w:line="240" w:lineRule="auto"/>
              <w:ind w:right="34"/>
              <w:rPr>
                <w:rFonts w:ascii="Arial" w:eastAsia="SimSun" w:hAnsi="Arial" w:cs="Arial"/>
                <w:color w:val="000000"/>
                <w:lang w:eastAsia="zh-CN"/>
              </w:rPr>
            </w:pPr>
          </w:p>
          <w:p w14:paraId="51BA9F93"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Module title: Researching Contemporary Cosmologies</w:t>
            </w:r>
          </w:p>
          <w:p w14:paraId="7F88BB3E" w14:textId="77777777" w:rsidR="00A32941" w:rsidRPr="00A32941" w:rsidRDefault="00A32941" w:rsidP="00A32941">
            <w:pPr>
              <w:spacing w:after="0" w:line="240" w:lineRule="auto"/>
              <w:ind w:right="34"/>
              <w:rPr>
                <w:rFonts w:ascii="Arial" w:eastAsia="SimSun" w:hAnsi="Arial" w:cs="Arial"/>
                <w:color w:val="000000"/>
                <w:lang w:eastAsia="zh-CN"/>
              </w:rPr>
            </w:pPr>
          </w:p>
          <w:p w14:paraId="3B84287E" w14:textId="77777777" w:rsidR="00A32941" w:rsidRPr="00A32941" w:rsidRDefault="00A32941" w:rsidP="00A32941">
            <w:pPr>
              <w:spacing w:after="0" w:line="240" w:lineRule="auto"/>
              <w:ind w:right="34"/>
              <w:rPr>
                <w:rFonts w:ascii="Arial" w:eastAsia="SimSun" w:hAnsi="Arial" w:cs="Arial"/>
                <w:color w:val="000000"/>
                <w:lang w:eastAsia="zh-CN"/>
              </w:rPr>
            </w:pPr>
          </w:p>
        </w:tc>
        <w:tc>
          <w:tcPr>
            <w:tcW w:w="2266" w:type="dxa"/>
            <w:gridSpan w:val="3"/>
          </w:tcPr>
          <w:p w14:paraId="58124410"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Student ID number:</w:t>
            </w:r>
          </w:p>
          <w:p w14:paraId="4FC9EEEE"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2113844</w:t>
            </w:r>
          </w:p>
        </w:tc>
        <w:tc>
          <w:tcPr>
            <w:tcW w:w="1802" w:type="dxa"/>
          </w:tcPr>
          <w:p w14:paraId="10E0077E"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Educational support needs:</w:t>
            </w:r>
          </w:p>
          <w:p w14:paraId="7D8C16E1"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No</w:t>
            </w:r>
          </w:p>
        </w:tc>
      </w:tr>
      <w:tr w:rsidR="00A32941" w:rsidRPr="00A32941" w14:paraId="35E62EFE" w14:textId="77777777" w:rsidTr="0049250E">
        <w:trPr>
          <w:trHeight w:val="1139"/>
        </w:trPr>
        <w:tc>
          <w:tcPr>
            <w:tcW w:w="8856" w:type="dxa"/>
            <w:gridSpan w:val="5"/>
          </w:tcPr>
          <w:p w14:paraId="54076ADD"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Assignment title: A Critical Comparison of Two Secondary Sources</w:t>
            </w:r>
          </w:p>
          <w:p w14:paraId="3B9B9361" w14:textId="77777777" w:rsidR="00A32941" w:rsidRPr="00A32941" w:rsidRDefault="00A32941" w:rsidP="00A32941">
            <w:pPr>
              <w:spacing w:after="0" w:line="240" w:lineRule="auto"/>
              <w:ind w:right="34"/>
              <w:rPr>
                <w:rFonts w:ascii="Arial" w:eastAsia="SimSun" w:hAnsi="Arial" w:cs="Arial"/>
                <w:color w:val="000000"/>
                <w:lang w:eastAsia="zh-CN"/>
              </w:rPr>
            </w:pPr>
          </w:p>
          <w:p w14:paraId="5A71BAB7" w14:textId="77777777" w:rsidR="00A32941" w:rsidRPr="00A32941" w:rsidRDefault="00A32941" w:rsidP="00A32941">
            <w:pPr>
              <w:spacing w:after="0" w:line="240" w:lineRule="auto"/>
              <w:ind w:right="34"/>
              <w:rPr>
                <w:rFonts w:ascii="Arial" w:eastAsia="SimSun" w:hAnsi="Arial" w:cs="Arial"/>
                <w:color w:val="000000"/>
                <w:lang w:eastAsia="zh-CN"/>
              </w:rPr>
            </w:pPr>
          </w:p>
          <w:p w14:paraId="5814ED73"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Assignment due date: 21</w:t>
            </w:r>
            <w:r w:rsidRPr="00A32941">
              <w:rPr>
                <w:rFonts w:ascii="Arial" w:eastAsia="SimSun" w:hAnsi="Arial" w:cs="Arial"/>
                <w:color w:val="000000"/>
                <w:vertAlign w:val="superscript"/>
                <w:lang w:eastAsia="zh-CN"/>
              </w:rPr>
              <w:t>st</w:t>
            </w:r>
            <w:r w:rsidRPr="00A32941">
              <w:rPr>
                <w:rFonts w:ascii="Arial" w:eastAsia="SimSun" w:hAnsi="Arial" w:cs="Arial"/>
                <w:color w:val="000000"/>
                <w:lang w:eastAsia="zh-CN"/>
              </w:rPr>
              <w:t xml:space="preserve"> March 2022</w:t>
            </w:r>
          </w:p>
        </w:tc>
      </w:tr>
      <w:tr w:rsidR="00A32941" w:rsidRPr="00A32941" w14:paraId="1D3BDE62" w14:textId="77777777" w:rsidTr="0049250E">
        <w:trPr>
          <w:trHeight w:val="978"/>
        </w:trPr>
        <w:tc>
          <w:tcPr>
            <w:tcW w:w="8856" w:type="dxa"/>
            <w:gridSpan w:val="5"/>
            <w:tcBorders>
              <w:bottom w:val="single" w:sz="4" w:space="0" w:color="000000"/>
            </w:tcBorders>
          </w:tcPr>
          <w:p w14:paraId="5AA5946C" w14:textId="664D4B40" w:rsidR="00A32941" w:rsidRPr="00A32941" w:rsidRDefault="00A32941" w:rsidP="00A32941">
            <w:pPr>
              <w:spacing w:after="0" w:line="240" w:lineRule="auto"/>
              <w:rPr>
                <w:rFonts w:ascii="Arial" w:eastAsia="SimSun" w:hAnsi="Arial" w:cs="Arial"/>
                <w:lang w:eastAsia="zh-CN"/>
              </w:rPr>
            </w:pPr>
            <w:r w:rsidRPr="00A32941">
              <w:rPr>
                <w:rFonts w:ascii="Arial" w:eastAsia="SimSun" w:hAnsi="Arial" w:cs="Arial"/>
                <w:lang w:eastAsia="zh-CN"/>
              </w:rPr>
              <w:t>This assignment is for the       1</w:t>
            </w:r>
            <w:r w:rsidRPr="00A32941">
              <w:rPr>
                <w:rFonts w:ascii="Arial" w:eastAsia="SimSun" w:hAnsi="Arial" w:cs="Arial"/>
                <w:vertAlign w:val="superscript"/>
                <w:lang w:eastAsia="zh-CN"/>
              </w:rPr>
              <w:t>st</w:t>
            </w:r>
            <w:r>
              <w:rPr>
                <w:rFonts w:ascii="Arial" w:eastAsia="SimSun" w:hAnsi="Arial" w:cs="Arial"/>
                <w:vertAlign w:val="superscript"/>
                <w:lang w:eastAsia="zh-CN"/>
              </w:rPr>
              <w:t xml:space="preserve"> </w:t>
            </w:r>
            <w:r w:rsidRPr="00A32941">
              <w:rPr>
                <w:rFonts w:ascii="Arial" w:eastAsia="SimSun" w:hAnsi="Arial" w:cs="Arial"/>
                <w:lang w:eastAsia="zh-CN"/>
              </w:rPr>
              <w:t>module of the degree</w:t>
            </w:r>
          </w:p>
        </w:tc>
      </w:tr>
      <w:tr w:rsidR="00A32941" w:rsidRPr="00A32941" w14:paraId="628322FB" w14:textId="77777777" w:rsidTr="0049250E">
        <w:trPr>
          <w:trHeight w:val="978"/>
        </w:trPr>
        <w:tc>
          <w:tcPr>
            <w:tcW w:w="8856" w:type="dxa"/>
            <w:gridSpan w:val="5"/>
            <w:shd w:val="clear" w:color="auto" w:fill="D9D9D9"/>
          </w:tcPr>
          <w:p w14:paraId="1CCF25B4"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I confirm that this is my original work and that I have adhered to the University policy on plagiarism.</w:t>
            </w:r>
          </w:p>
          <w:p w14:paraId="51E62489"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Arial" w:eastAsia="SimSun" w:hAnsi="Arial" w:cs="Arial"/>
                <w:color w:val="000000"/>
                <w:lang w:eastAsia="zh-CN"/>
              </w:rPr>
              <w:t>Signed ……Karen Hanson………………………………………………………</w:t>
            </w:r>
          </w:p>
          <w:p w14:paraId="051473D0" w14:textId="77777777" w:rsidR="00A32941" w:rsidRPr="00A32941" w:rsidRDefault="00A32941" w:rsidP="00A32941">
            <w:pPr>
              <w:spacing w:after="0" w:line="240" w:lineRule="auto"/>
              <w:ind w:right="34"/>
              <w:rPr>
                <w:rFonts w:ascii="Calibri" w:eastAsia="SimSun" w:hAnsi="Calibri" w:cs="Calibri"/>
                <w:b/>
                <w:color w:val="000000"/>
                <w:sz w:val="44"/>
                <w:szCs w:val="44"/>
                <w:lang w:eastAsia="zh-CN"/>
              </w:rPr>
            </w:pPr>
            <w:r w:rsidRPr="00A32941">
              <w:rPr>
                <w:rFonts w:ascii="Calibri" w:eastAsia="SimSun" w:hAnsi="Calibri" w:cs="Tahoma"/>
                <w:b/>
                <w:color w:val="000000"/>
                <w:sz w:val="24"/>
                <w:szCs w:val="24"/>
                <w:lang w:eastAsia="zh-CN"/>
              </w:rPr>
              <w:t xml:space="preserve">Email submission:if you are submitting this form via email, please tick this box </w:t>
            </w:r>
            <w:r w:rsidRPr="00A32941">
              <w:rPr>
                <w:rFonts w:ascii="Calibri" w:eastAsia="SimSun" w:hAnsi="Calibri" w:cs="Calibri"/>
                <w:b/>
                <w:color w:val="000000"/>
                <w:sz w:val="44"/>
                <w:szCs w:val="44"/>
                <w:lang w:eastAsia="zh-CN"/>
              </w:rPr>
              <w:t>□</w:t>
            </w:r>
          </w:p>
          <w:p w14:paraId="7CABB672" w14:textId="77777777" w:rsidR="00A32941" w:rsidRPr="00A32941" w:rsidRDefault="00A32941" w:rsidP="00A32941">
            <w:pPr>
              <w:spacing w:after="0" w:line="240" w:lineRule="auto"/>
              <w:ind w:right="34"/>
              <w:rPr>
                <w:rFonts w:ascii="Arial" w:eastAsia="SimSun" w:hAnsi="Arial" w:cs="Arial"/>
                <w:color w:val="000000"/>
                <w:lang w:eastAsia="zh-CN"/>
              </w:rPr>
            </w:pPr>
            <w:r w:rsidRPr="00A32941">
              <w:rPr>
                <w:rFonts w:ascii="Calibri" w:eastAsia="SimSun" w:hAnsi="Calibri" w:cs="Tahoma"/>
                <w:b/>
                <w:color w:val="000000"/>
                <w:sz w:val="24"/>
                <w:szCs w:val="24"/>
                <w:lang w:eastAsia="zh-CN"/>
              </w:rPr>
              <w:t>(as a substitute for your signature) to confirm that you agree to the above declaration.</w:t>
            </w:r>
          </w:p>
        </w:tc>
      </w:tr>
      <w:tr w:rsidR="00A32941" w:rsidRPr="00A32941" w14:paraId="5575668F" w14:textId="77777777" w:rsidTr="0049250E">
        <w:trPr>
          <w:trHeight w:val="3972"/>
        </w:trPr>
        <w:tc>
          <w:tcPr>
            <w:tcW w:w="8856" w:type="dxa"/>
            <w:gridSpan w:val="5"/>
          </w:tcPr>
          <w:p w14:paraId="5BE1E2DB" w14:textId="77777777" w:rsidR="00A32941" w:rsidRPr="00A32941" w:rsidRDefault="00A32941" w:rsidP="00A32941">
            <w:pPr>
              <w:spacing w:after="0" w:line="240" w:lineRule="auto"/>
              <w:rPr>
                <w:rFonts w:ascii="Arial" w:eastAsia="SimSun" w:hAnsi="Arial" w:cs="Times New Roman"/>
                <w:b/>
                <w:sz w:val="24"/>
                <w:szCs w:val="24"/>
                <w:lang w:eastAsia="zh-CN"/>
              </w:rPr>
            </w:pPr>
          </w:p>
          <w:p w14:paraId="03C8C613" w14:textId="77777777" w:rsidR="00A32941" w:rsidRPr="00A32941" w:rsidRDefault="00A32941" w:rsidP="00A32941">
            <w:pPr>
              <w:spacing w:after="0" w:line="240" w:lineRule="auto"/>
              <w:rPr>
                <w:rFonts w:ascii="Arial" w:eastAsia="SimSun" w:hAnsi="Arial" w:cs="Times New Roman"/>
                <w:sz w:val="24"/>
                <w:szCs w:val="24"/>
                <w:lang w:eastAsia="zh-CN"/>
              </w:rPr>
            </w:pPr>
            <w:r w:rsidRPr="00A32941">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32941" w:rsidRPr="00A32941" w14:paraId="2A11134B" w14:textId="77777777" w:rsidTr="0049250E">
              <w:tc>
                <w:tcPr>
                  <w:tcW w:w="6970" w:type="dxa"/>
                </w:tcPr>
                <w:p w14:paraId="48638A90" w14:textId="77777777" w:rsidR="00A32941" w:rsidRPr="00A32941" w:rsidRDefault="00A32941" w:rsidP="00A32941">
                  <w:pPr>
                    <w:spacing w:after="0" w:line="240" w:lineRule="auto"/>
                    <w:rPr>
                      <w:rFonts w:ascii="Arial" w:eastAsia="SimSun" w:hAnsi="Arial" w:cs="Times New Roman"/>
                      <w:sz w:val="20"/>
                      <w:szCs w:val="20"/>
                      <w:lang w:eastAsia="zh-CN"/>
                    </w:rPr>
                  </w:pPr>
                </w:p>
                <w:p w14:paraId="2DC790FA" w14:textId="77777777" w:rsidR="00A32941" w:rsidRPr="00A32941" w:rsidRDefault="00A32941" w:rsidP="00A32941">
                  <w:pPr>
                    <w:spacing w:after="0" w:line="240" w:lineRule="auto"/>
                    <w:rPr>
                      <w:rFonts w:ascii="Arial" w:eastAsia="SimSun" w:hAnsi="Arial" w:cs="Times New Roman"/>
                      <w:sz w:val="20"/>
                      <w:szCs w:val="20"/>
                      <w:lang w:eastAsia="zh-CN"/>
                    </w:rPr>
                  </w:pPr>
                  <w:r w:rsidRPr="00A32941">
                    <w:rPr>
                      <w:rFonts w:ascii="Arial" w:eastAsia="SimSun" w:hAnsi="Arial" w:cs="Times New Roman"/>
                      <w:sz w:val="20"/>
                      <w:szCs w:val="20"/>
                      <w:lang w:eastAsia="zh-CN"/>
                    </w:rPr>
                    <w:t>1</w:t>
                  </w:r>
                  <w:r w:rsidRPr="00A32941">
                    <w:rPr>
                      <w:rFonts w:ascii="Arial" w:eastAsia="SimSun" w:hAnsi="Arial" w:cs="Times New Roman"/>
                      <w:sz w:val="20"/>
                      <w:szCs w:val="20"/>
                      <w:vertAlign w:val="superscript"/>
                      <w:lang w:eastAsia="zh-CN"/>
                    </w:rPr>
                    <w:t>st</w:t>
                  </w:r>
                  <w:r w:rsidRPr="00A32941">
                    <w:rPr>
                      <w:rFonts w:ascii="Arial" w:eastAsia="SimSun" w:hAnsi="Arial" w:cs="Times New Roman"/>
                      <w:sz w:val="20"/>
                      <w:szCs w:val="20"/>
                      <w:lang w:eastAsia="zh-CN"/>
                    </w:rPr>
                    <w:t xml:space="preserve"> Marker’s Provisional mark</w:t>
                  </w:r>
                </w:p>
              </w:tc>
              <w:tc>
                <w:tcPr>
                  <w:tcW w:w="1660" w:type="dxa"/>
                </w:tcPr>
                <w:p w14:paraId="5C11986A" w14:textId="77777777" w:rsidR="00A32941" w:rsidRPr="00A32941" w:rsidRDefault="00A32941" w:rsidP="00A32941">
                  <w:pPr>
                    <w:spacing w:after="0" w:line="240" w:lineRule="auto"/>
                    <w:rPr>
                      <w:rFonts w:ascii="Arial" w:eastAsia="SimSun" w:hAnsi="Arial" w:cs="Times New Roman"/>
                      <w:sz w:val="20"/>
                      <w:szCs w:val="20"/>
                      <w:lang w:eastAsia="zh-CN"/>
                    </w:rPr>
                  </w:pPr>
                </w:p>
              </w:tc>
            </w:tr>
            <w:tr w:rsidR="00A32941" w:rsidRPr="00A32941" w14:paraId="0B9CCD80" w14:textId="77777777" w:rsidTr="0049250E">
              <w:tc>
                <w:tcPr>
                  <w:tcW w:w="6970" w:type="dxa"/>
                </w:tcPr>
                <w:p w14:paraId="6C1DF697" w14:textId="77777777" w:rsidR="00A32941" w:rsidRPr="00A32941" w:rsidRDefault="00A32941" w:rsidP="00A32941">
                  <w:pPr>
                    <w:spacing w:after="0" w:line="240" w:lineRule="auto"/>
                    <w:rPr>
                      <w:rFonts w:ascii="Arial" w:eastAsia="SimSun" w:hAnsi="Arial" w:cs="Times New Roman"/>
                      <w:sz w:val="20"/>
                      <w:szCs w:val="20"/>
                      <w:lang w:eastAsia="zh-CN"/>
                    </w:rPr>
                  </w:pPr>
                </w:p>
                <w:p w14:paraId="5489F098" w14:textId="77777777" w:rsidR="00A32941" w:rsidRPr="00A32941" w:rsidRDefault="00A32941" w:rsidP="00A32941">
                  <w:pPr>
                    <w:spacing w:after="0" w:line="240" w:lineRule="auto"/>
                    <w:rPr>
                      <w:rFonts w:ascii="Arial" w:eastAsia="SimSun" w:hAnsi="Arial" w:cs="Times New Roman"/>
                      <w:sz w:val="20"/>
                      <w:szCs w:val="20"/>
                      <w:lang w:eastAsia="zh-CN"/>
                    </w:rPr>
                  </w:pPr>
                  <w:r w:rsidRPr="00A32941">
                    <w:rPr>
                      <w:rFonts w:ascii="Arial" w:eastAsia="SimSun" w:hAnsi="Arial" w:cs="Times New Roman"/>
                      <w:sz w:val="20"/>
                      <w:szCs w:val="20"/>
                      <w:lang w:eastAsia="zh-CN"/>
                    </w:rPr>
                    <w:t>2</w:t>
                  </w:r>
                  <w:r w:rsidRPr="00A32941">
                    <w:rPr>
                      <w:rFonts w:ascii="Arial" w:eastAsia="SimSun" w:hAnsi="Arial" w:cs="Times New Roman"/>
                      <w:sz w:val="20"/>
                      <w:szCs w:val="20"/>
                      <w:vertAlign w:val="superscript"/>
                      <w:lang w:eastAsia="zh-CN"/>
                    </w:rPr>
                    <w:t>nd</w:t>
                  </w:r>
                  <w:r w:rsidRPr="00A32941">
                    <w:rPr>
                      <w:rFonts w:ascii="Arial" w:eastAsia="SimSun" w:hAnsi="Arial" w:cs="Times New Roman"/>
                      <w:sz w:val="20"/>
                      <w:szCs w:val="20"/>
                      <w:lang w:eastAsia="zh-CN"/>
                    </w:rPr>
                    <w:t xml:space="preserve"> Marker’s/Moderator’s provisional mark</w:t>
                  </w:r>
                </w:p>
              </w:tc>
              <w:tc>
                <w:tcPr>
                  <w:tcW w:w="1660" w:type="dxa"/>
                </w:tcPr>
                <w:p w14:paraId="4ADFED3B" w14:textId="77777777" w:rsidR="00A32941" w:rsidRPr="00A32941" w:rsidRDefault="00A32941" w:rsidP="00A32941">
                  <w:pPr>
                    <w:spacing w:after="0" w:line="240" w:lineRule="auto"/>
                    <w:rPr>
                      <w:rFonts w:ascii="Arial" w:eastAsia="SimSun" w:hAnsi="Arial" w:cs="Times New Roman"/>
                      <w:sz w:val="20"/>
                      <w:szCs w:val="20"/>
                      <w:lang w:eastAsia="zh-CN"/>
                    </w:rPr>
                  </w:pPr>
                </w:p>
              </w:tc>
            </w:tr>
            <w:tr w:rsidR="00A32941" w:rsidRPr="00A32941" w14:paraId="497BC8B7" w14:textId="77777777" w:rsidTr="0049250E">
              <w:tc>
                <w:tcPr>
                  <w:tcW w:w="6970" w:type="dxa"/>
                </w:tcPr>
                <w:p w14:paraId="19844B8B" w14:textId="77777777" w:rsidR="00A32941" w:rsidRPr="00A32941" w:rsidRDefault="00A32941" w:rsidP="00A32941">
                  <w:pPr>
                    <w:spacing w:after="0" w:line="240" w:lineRule="auto"/>
                    <w:rPr>
                      <w:rFonts w:ascii="Arial" w:eastAsia="SimSun" w:hAnsi="Arial" w:cs="Times New Roman"/>
                      <w:sz w:val="20"/>
                      <w:szCs w:val="20"/>
                      <w:lang w:eastAsia="zh-CN"/>
                    </w:rPr>
                  </w:pPr>
                </w:p>
                <w:p w14:paraId="0352D523" w14:textId="77777777" w:rsidR="00A32941" w:rsidRPr="00A32941" w:rsidRDefault="00A32941" w:rsidP="00A32941">
                  <w:pPr>
                    <w:spacing w:after="0" w:line="240" w:lineRule="auto"/>
                    <w:rPr>
                      <w:rFonts w:ascii="Arial" w:eastAsia="SimSun" w:hAnsi="Arial" w:cs="Times New Roman"/>
                      <w:sz w:val="20"/>
                      <w:szCs w:val="20"/>
                      <w:lang w:eastAsia="zh-CN"/>
                    </w:rPr>
                  </w:pPr>
                  <w:r w:rsidRPr="00A32941">
                    <w:rPr>
                      <w:rFonts w:ascii="Arial" w:eastAsia="SimSun" w:hAnsi="Arial" w:cs="Times New Roman"/>
                      <w:sz w:val="20"/>
                      <w:szCs w:val="20"/>
                      <w:lang w:eastAsia="zh-CN"/>
                    </w:rPr>
                    <w:t>External Examiner’s mark (if relevant)</w:t>
                  </w:r>
                </w:p>
              </w:tc>
              <w:tc>
                <w:tcPr>
                  <w:tcW w:w="1660" w:type="dxa"/>
                </w:tcPr>
                <w:p w14:paraId="1BC757B0" w14:textId="77777777" w:rsidR="00A32941" w:rsidRPr="00A32941" w:rsidRDefault="00A32941" w:rsidP="00A32941">
                  <w:pPr>
                    <w:spacing w:after="0" w:line="240" w:lineRule="auto"/>
                    <w:rPr>
                      <w:rFonts w:ascii="Arial" w:eastAsia="SimSun" w:hAnsi="Arial" w:cs="Times New Roman"/>
                      <w:sz w:val="20"/>
                      <w:szCs w:val="20"/>
                      <w:lang w:eastAsia="zh-CN"/>
                    </w:rPr>
                  </w:pPr>
                </w:p>
              </w:tc>
            </w:tr>
            <w:tr w:rsidR="00A32941" w:rsidRPr="00A32941" w14:paraId="66164794" w14:textId="77777777" w:rsidTr="0049250E">
              <w:tc>
                <w:tcPr>
                  <w:tcW w:w="6970" w:type="dxa"/>
                </w:tcPr>
                <w:p w14:paraId="2CCFF3CA" w14:textId="77777777" w:rsidR="00A32941" w:rsidRPr="00A32941" w:rsidRDefault="00A32941" w:rsidP="00A32941">
                  <w:pPr>
                    <w:spacing w:after="0" w:line="240" w:lineRule="auto"/>
                    <w:rPr>
                      <w:rFonts w:ascii="Arial" w:eastAsia="SimSun" w:hAnsi="Arial" w:cs="Times New Roman"/>
                      <w:sz w:val="20"/>
                      <w:szCs w:val="20"/>
                      <w:lang w:eastAsia="zh-CN"/>
                    </w:rPr>
                  </w:pPr>
                </w:p>
                <w:p w14:paraId="40C86805" w14:textId="77777777" w:rsidR="00A32941" w:rsidRPr="00A32941" w:rsidRDefault="00A32941" w:rsidP="00A32941">
                  <w:pPr>
                    <w:spacing w:after="0" w:line="240" w:lineRule="auto"/>
                    <w:rPr>
                      <w:rFonts w:ascii="Arial" w:eastAsia="SimSun" w:hAnsi="Arial" w:cs="Times New Roman"/>
                      <w:b/>
                      <w:sz w:val="20"/>
                      <w:szCs w:val="20"/>
                      <w:lang w:eastAsia="zh-CN"/>
                    </w:rPr>
                  </w:pPr>
                  <w:r w:rsidRPr="00A32941">
                    <w:rPr>
                      <w:rFonts w:ascii="Arial" w:eastAsia="SimSun" w:hAnsi="Arial" w:cs="Times New Roman"/>
                      <w:b/>
                      <w:sz w:val="20"/>
                      <w:szCs w:val="20"/>
                      <w:lang w:eastAsia="zh-CN"/>
                    </w:rPr>
                    <w:t>Final Mark</w:t>
                  </w:r>
                </w:p>
                <w:p w14:paraId="634B6746" w14:textId="77777777" w:rsidR="00A32941" w:rsidRPr="00A32941" w:rsidRDefault="00A32941" w:rsidP="00A32941">
                  <w:pPr>
                    <w:spacing w:after="0" w:line="240" w:lineRule="auto"/>
                    <w:rPr>
                      <w:rFonts w:ascii="Arial" w:eastAsia="SimSun" w:hAnsi="Arial" w:cs="Times New Roman"/>
                      <w:sz w:val="20"/>
                      <w:szCs w:val="20"/>
                      <w:lang w:eastAsia="zh-CN"/>
                    </w:rPr>
                  </w:pPr>
                </w:p>
              </w:tc>
              <w:tc>
                <w:tcPr>
                  <w:tcW w:w="1660" w:type="dxa"/>
                </w:tcPr>
                <w:p w14:paraId="5EC5D201" w14:textId="77777777" w:rsidR="00A32941" w:rsidRPr="00A32941" w:rsidRDefault="00A32941" w:rsidP="00A32941">
                  <w:pPr>
                    <w:spacing w:after="0" w:line="240" w:lineRule="auto"/>
                    <w:rPr>
                      <w:rFonts w:ascii="Arial" w:eastAsia="SimSun" w:hAnsi="Arial" w:cs="Times New Roman"/>
                      <w:sz w:val="20"/>
                      <w:szCs w:val="20"/>
                      <w:lang w:eastAsia="zh-CN"/>
                    </w:rPr>
                  </w:pPr>
                </w:p>
              </w:tc>
            </w:tr>
          </w:tbl>
          <w:p w14:paraId="7FC4E316" w14:textId="77777777" w:rsidR="00A32941" w:rsidRPr="00A32941" w:rsidRDefault="00A32941" w:rsidP="00A32941">
            <w:pPr>
              <w:spacing w:after="0" w:line="240" w:lineRule="auto"/>
              <w:ind w:left="142" w:right="34"/>
              <w:rPr>
                <w:rFonts w:ascii="Arial" w:eastAsia="SimSun" w:hAnsi="Arial" w:cs="Arial"/>
                <w:b/>
                <w:color w:val="000000"/>
                <w:lang w:eastAsia="zh-CN"/>
              </w:rPr>
            </w:pPr>
          </w:p>
          <w:p w14:paraId="3F48B987" w14:textId="77777777" w:rsidR="00A32941" w:rsidRPr="00A32941" w:rsidRDefault="00A32941" w:rsidP="00A32941">
            <w:pPr>
              <w:spacing w:after="0" w:line="240" w:lineRule="auto"/>
              <w:ind w:left="142" w:right="34"/>
              <w:rPr>
                <w:rFonts w:ascii="Arial" w:eastAsia="SimSun" w:hAnsi="Arial" w:cs="Arial"/>
                <w:color w:val="000000"/>
                <w:lang w:eastAsia="zh-CN"/>
              </w:rPr>
            </w:pPr>
            <w:r w:rsidRPr="00A32941">
              <w:rPr>
                <w:rFonts w:ascii="Arial" w:eastAsia="SimSun" w:hAnsi="Arial" w:cs="Arial"/>
                <w:b/>
                <w:color w:val="000000"/>
                <w:lang w:eastAsia="zh-CN"/>
              </w:rPr>
              <w:t>NB.</w:t>
            </w:r>
            <w:r w:rsidRPr="00A32941">
              <w:rPr>
                <w:rFonts w:ascii="Arial" w:eastAsia="SimSun" w:hAnsi="Arial" w:cs="Arial"/>
                <w:color w:val="000000"/>
                <w:lang w:eastAsia="zh-CN"/>
              </w:rPr>
              <w:t xml:space="preserve">  All marks are provisional until confirmed by the Final Examination Board.</w:t>
            </w:r>
          </w:p>
          <w:p w14:paraId="640257AB" w14:textId="77777777" w:rsidR="00A32941" w:rsidRPr="00A32941" w:rsidRDefault="00A32941" w:rsidP="00A32941">
            <w:pPr>
              <w:spacing w:after="0" w:line="240" w:lineRule="auto"/>
              <w:rPr>
                <w:rFonts w:ascii="Arial" w:eastAsia="SimSun" w:hAnsi="Arial" w:cs="Arial"/>
                <w:b/>
                <w:color w:val="000000"/>
                <w:lang w:eastAsia="zh-CN"/>
              </w:rPr>
            </w:pPr>
          </w:p>
          <w:p w14:paraId="48EA1CFA" w14:textId="77777777" w:rsidR="00A32941" w:rsidRPr="00A32941" w:rsidRDefault="00A32941" w:rsidP="00A32941">
            <w:pPr>
              <w:spacing w:after="0" w:line="240" w:lineRule="auto"/>
              <w:rPr>
                <w:rFonts w:ascii="Arial" w:eastAsia="SimSun" w:hAnsi="Arial" w:cs="Arial"/>
                <w:b/>
                <w:color w:val="000000"/>
                <w:lang w:eastAsia="zh-CN"/>
              </w:rPr>
            </w:pPr>
          </w:p>
          <w:p w14:paraId="58668533" w14:textId="77777777" w:rsidR="00A32941" w:rsidRPr="00A32941" w:rsidRDefault="00A32941" w:rsidP="00A32941">
            <w:pPr>
              <w:spacing w:after="0" w:line="240" w:lineRule="auto"/>
              <w:rPr>
                <w:rFonts w:ascii="Arial" w:eastAsia="SimSun" w:hAnsi="Arial" w:cs="Arial"/>
                <w:b/>
                <w:color w:val="000000"/>
                <w:lang w:eastAsia="zh-CN"/>
              </w:rPr>
            </w:pPr>
          </w:p>
          <w:p w14:paraId="7010E252" w14:textId="77777777" w:rsidR="00A32941" w:rsidRPr="00A32941" w:rsidRDefault="00A32941" w:rsidP="00A32941">
            <w:pPr>
              <w:spacing w:after="0" w:line="240" w:lineRule="auto"/>
              <w:rPr>
                <w:rFonts w:ascii="Arial" w:eastAsia="SimSun" w:hAnsi="Arial" w:cs="Arial"/>
                <w:b/>
                <w:color w:val="000000"/>
                <w:lang w:eastAsia="zh-CN"/>
              </w:rPr>
            </w:pPr>
          </w:p>
          <w:p w14:paraId="52C75A1A" w14:textId="77777777" w:rsidR="00A32941" w:rsidRPr="00A32941" w:rsidRDefault="00A32941" w:rsidP="00A32941">
            <w:pPr>
              <w:spacing w:after="0" w:line="240" w:lineRule="auto"/>
              <w:rPr>
                <w:rFonts w:ascii="Arial" w:eastAsia="SimSun" w:hAnsi="Arial" w:cs="Arial"/>
                <w:b/>
                <w:color w:val="000000"/>
                <w:lang w:eastAsia="zh-CN"/>
              </w:rPr>
            </w:pPr>
          </w:p>
          <w:p w14:paraId="44D86A17" w14:textId="77777777" w:rsidR="00A32941" w:rsidRPr="00A32941" w:rsidRDefault="00A32941" w:rsidP="00A32941">
            <w:pPr>
              <w:spacing w:after="0" w:line="240" w:lineRule="auto"/>
              <w:rPr>
                <w:rFonts w:ascii="Arial" w:eastAsia="SimSun" w:hAnsi="Arial" w:cs="Arial"/>
                <w:b/>
                <w:color w:val="000000"/>
                <w:lang w:eastAsia="zh-CN"/>
              </w:rPr>
            </w:pPr>
            <w:r w:rsidRPr="00A32941">
              <w:rPr>
                <w:rFonts w:ascii="Arial" w:eastAsia="SimSun" w:hAnsi="Arial" w:cs="Arial"/>
                <w:b/>
                <w:color w:val="000000"/>
                <w:lang w:eastAsia="zh-CN"/>
              </w:rPr>
              <w:t>For completion by Marker 1 :</w:t>
            </w:r>
          </w:p>
          <w:p w14:paraId="3D6ADB9B" w14:textId="77777777" w:rsidR="00A32941" w:rsidRPr="00A32941" w:rsidRDefault="00A32941" w:rsidP="00A32941">
            <w:pPr>
              <w:spacing w:before="100" w:beforeAutospacing="1" w:after="100" w:afterAutospacing="1" w:line="240" w:lineRule="auto"/>
              <w:rPr>
                <w:rFonts w:ascii="Arial" w:eastAsia="SimSun" w:hAnsi="Arial" w:cs="Arial"/>
                <w:color w:val="000000"/>
                <w:lang w:eastAsia="zh-CN"/>
              </w:rPr>
            </w:pPr>
            <w:r w:rsidRPr="00A32941">
              <w:rPr>
                <w:rFonts w:ascii="Arial" w:eastAsia="SimSun" w:hAnsi="Arial" w:cs="Arial"/>
                <w:color w:val="000000"/>
                <w:lang w:eastAsia="zh-CN"/>
              </w:rPr>
              <w:t>Comments:</w:t>
            </w:r>
          </w:p>
          <w:p w14:paraId="4777AEB0" w14:textId="77777777" w:rsidR="00A32941" w:rsidRPr="00A32941" w:rsidRDefault="00A32941" w:rsidP="00A32941">
            <w:pPr>
              <w:spacing w:before="100" w:beforeAutospacing="1" w:after="100" w:afterAutospacing="1" w:line="240" w:lineRule="auto"/>
              <w:rPr>
                <w:rFonts w:ascii="Arial" w:eastAsia="SimSun" w:hAnsi="Arial" w:cs="Arial"/>
                <w:color w:val="000000"/>
                <w:lang w:eastAsia="zh-CN"/>
              </w:rPr>
            </w:pPr>
          </w:p>
        </w:tc>
      </w:tr>
      <w:tr w:rsidR="00A32941" w:rsidRPr="00A32941" w14:paraId="2026598D" w14:textId="77777777" w:rsidTr="0049250E">
        <w:trPr>
          <w:trHeight w:val="492"/>
        </w:trPr>
        <w:tc>
          <w:tcPr>
            <w:tcW w:w="6768" w:type="dxa"/>
            <w:gridSpan w:val="3"/>
          </w:tcPr>
          <w:p w14:paraId="13EC66E0" w14:textId="77777777" w:rsidR="00A32941" w:rsidRPr="00A32941" w:rsidRDefault="00A32941" w:rsidP="00A32941">
            <w:pPr>
              <w:spacing w:before="100" w:beforeAutospacing="1" w:after="100" w:afterAutospacing="1" w:line="240" w:lineRule="auto"/>
              <w:ind w:left="142" w:right="34"/>
              <w:rPr>
                <w:rFonts w:ascii="Arial" w:eastAsia="SimSun" w:hAnsi="Arial" w:cs="Arial"/>
                <w:color w:val="000000"/>
                <w:lang w:eastAsia="zh-CN"/>
              </w:rPr>
            </w:pPr>
            <w:r w:rsidRPr="00A32941">
              <w:rPr>
                <w:rFonts w:ascii="Arial" w:eastAsia="SimSun" w:hAnsi="Arial" w:cs="Arial"/>
                <w:color w:val="000000"/>
                <w:lang w:eastAsia="zh-CN"/>
              </w:rPr>
              <w:t>Marker’s signature:</w:t>
            </w:r>
          </w:p>
        </w:tc>
        <w:tc>
          <w:tcPr>
            <w:tcW w:w="2088" w:type="dxa"/>
            <w:gridSpan w:val="2"/>
          </w:tcPr>
          <w:p w14:paraId="6F335A91" w14:textId="77777777" w:rsidR="00A32941" w:rsidRPr="00A32941" w:rsidRDefault="00A32941" w:rsidP="00A32941">
            <w:pPr>
              <w:spacing w:before="100" w:beforeAutospacing="1" w:after="0" w:afterAutospacing="1" w:line="240" w:lineRule="auto"/>
              <w:ind w:left="142" w:right="34"/>
              <w:rPr>
                <w:rFonts w:ascii="Arial" w:eastAsia="SimSun" w:hAnsi="Arial" w:cs="Arial"/>
                <w:color w:val="000000"/>
                <w:lang w:eastAsia="zh-CN"/>
              </w:rPr>
            </w:pPr>
            <w:r w:rsidRPr="00A32941">
              <w:rPr>
                <w:rFonts w:ascii="Arial" w:eastAsia="SimSun" w:hAnsi="Arial" w:cs="Arial"/>
                <w:color w:val="000000"/>
                <w:lang w:eastAsia="zh-CN"/>
              </w:rPr>
              <w:t>Date:</w:t>
            </w:r>
          </w:p>
        </w:tc>
      </w:tr>
      <w:tr w:rsidR="00A32941" w:rsidRPr="00A32941" w14:paraId="6CA817FF" w14:textId="77777777" w:rsidTr="0049250E">
        <w:tc>
          <w:tcPr>
            <w:tcW w:w="8856" w:type="dxa"/>
            <w:gridSpan w:val="5"/>
          </w:tcPr>
          <w:p w14:paraId="7A4626D9" w14:textId="77777777" w:rsidR="00A32941" w:rsidRPr="00A32941" w:rsidRDefault="00A32941" w:rsidP="00A32941">
            <w:pPr>
              <w:spacing w:after="0" w:line="240" w:lineRule="auto"/>
              <w:ind w:right="-334"/>
              <w:rPr>
                <w:rFonts w:ascii="Arial" w:eastAsia="SimSun" w:hAnsi="Arial" w:cs="Arial"/>
                <w:bCs/>
                <w:i/>
                <w:color w:val="000000"/>
                <w:lang w:eastAsia="zh-CN"/>
              </w:rPr>
            </w:pPr>
          </w:p>
          <w:p w14:paraId="704D4E9C" w14:textId="77777777" w:rsidR="00A32941" w:rsidRPr="00A32941" w:rsidRDefault="00A32941" w:rsidP="00A32941">
            <w:pPr>
              <w:spacing w:after="0" w:line="240" w:lineRule="auto"/>
              <w:ind w:right="-334"/>
              <w:rPr>
                <w:rFonts w:ascii="Arial" w:eastAsia="SimSun" w:hAnsi="Arial" w:cs="Arial"/>
                <w:b/>
                <w:bCs/>
                <w:color w:val="000000"/>
                <w:lang w:eastAsia="zh-CN"/>
              </w:rPr>
            </w:pPr>
            <w:r w:rsidRPr="00A32941">
              <w:rPr>
                <w:rFonts w:ascii="Arial" w:eastAsia="SimSun" w:hAnsi="Arial" w:cs="Arial"/>
                <w:b/>
                <w:bCs/>
                <w:color w:val="000000"/>
                <w:lang w:eastAsia="zh-CN"/>
              </w:rPr>
              <w:t>For completion by Marker 2/Moderator:</w:t>
            </w:r>
          </w:p>
          <w:p w14:paraId="60CDB992" w14:textId="77777777" w:rsidR="00A32941" w:rsidRPr="00A32941" w:rsidRDefault="00A32941" w:rsidP="00A32941">
            <w:pPr>
              <w:spacing w:after="0" w:line="240" w:lineRule="auto"/>
              <w:ind w:right="-334"/>
              <w:rPr>
                <w:rFonts w:ascii="Arial" w:eastAsia="SimSun" w:hAnsi="Arial" w:cs="Arial"/>
                <w:b/>
                <w:bCs/>
                <w:color w:val="000000"/>
                <w:lang w:eastAsia="zh-CN"/>
              </w:rPr>
            </w:pPr>
          </w:p>
          <w:p w14:paraId="4F54FC77" w14:textId="77777777" w:rsidR="00A32941" w:rsidRPr="00A32941" w:rsidRDefault="00A32941" w:rsidP="00A32941">
            <w:pPr>
              <w:spacing w:after="0" w:line="240" w:lineRule="auto"/>
              <w:ind w:right="-334"/>
              <w:rPr>
                <w:rFonts w:ascii="Arial" w:eastAsia="SimSun" w:hAnsi="Arial" w:cs="Arial"/>
                <w:bCs/>
                <w:color w:val="000000"/>
                <w:lang w:eastAsia="zh-CN"/>
              </w:rPr>
            </w:pPr>
            <w:r w:rsidRPr="00A32941">
              <w:rPr>
                <w:rFonts w:ascii="Arial" w:eastAsia="SimSun" w:hAnsi="Arial" w:cs="Arial"/>
                <w:bCs/>
                <w:color w:val="000000"/>
                <w:lang w:eastAsia="zh-CN"/>
              </w:rPr>
              <w:t>Comments:</w:t>
            </w:r>
          </w:p>
          <w:p w14:paraId="0A6646B0" w14:textId="77777777" w:rsidR="00A32941" w:rsidRPr="00A32941" w:rsidRDefault="00A32941" w:rsidP="00A32941">
            <w:pPr>
              <w:spacing w:after="0" w:line="240" w:lineRule="auto"/>
              <w:ind w:right="-334"/>
              <w:rPr>
                <w:rFonts w:ascii="Arial" w:eastAsia="SimSun" w:hAnsi="Arial" w:cs="Arial"/>
                <w:bCs/>
                <w:color w:val="000000"/>
                <w:lang w:eastAsia="zh-CN"/>
              </w:rPr>
            </w:pPr>
          </w:p>
          <w:p w14:paraId="10B27F2B" w14:textId="77777777" w:rsidR="00A32941" w:rsidRPr="00A32941" w:rsidRDefault="00A32941" w:rsidP="00A32941">
            <w:pPr>
              <w:spacing w:after="0" w:line="240" w:lineRule="auto"/>
              <w:ind w:right="-334"/>
              <w:rPr>
                <w:rFonts w:ascii="Arial" w:eastAsia="SimSun" w:hAnsi="Arial" w:cs="Arial"/>
                <w:bCs/>
                <w:color w:val="000000"/>
                <w:lang w:eastAsia="zh-CN"/>
              </w:rPr>
            </w:pPr>
          </w:p>
          <w:p w14:paraId="2AC55510" w14:textId="77777777" w:rsidR="00A32941" w:rsidRPr="00A32941" w:rsidRDefault="00A32941" w:rsidP="00A32941">
            <w:pPr>
              <w:spacing w:after="0" w:line="240" w:lineRule="auto"/>
              <w:ind w:right="-334"/>
              <w:rPr>
                <w:rFonts w:ascii="Arial" w:eastAsia="SimSun" w:hAnsi="Arial" w:cs="Arial"/>
                <w:bCs/>
                <w:color w:val="000000"/>
                <w:lang w:eastAsia="zh-CN"/>
              </w:rPr>
            </w:pPr>
          </w:p>
          <w:p w14:paraId="6F5D0261" w14:textId="77777777" w:rsidR="00A32941" w:rsidRPr="00A32941" w:rsidRDefault="00A32941" w:rsidP="00A32941">
            <w:pPr>
              <w:spacing w:after="0" w:line="240" w:lineRule="auto"/>
              <w:ind w:right="-334"/>
              <w:rPr>
                <w:rFonts w:ascii="Arial" w:eastAsia="SimSun" w:hAnsi="Arial" w:cs="Arial"/>
                <w:bCs/>
                <w:color w:val="000000"/>
                <w:lang w:eastAsia="zh-CN"/>
              </w:rPr>
            </w:pPr>
          </w:p>
          <w:p w14:paraId="5E312C96" w14:textId="77777777" w:rsidR="00A32941" w:rsidRPr="00A32941" w:rsidRDefault="00A32941" w:rsidP="00A32941">
            <w:pPr>
              <w:spacing w:after="0" w:line="240" w:lineRule="auto"/>
              <w:ind w:right="-334"/>
              <w:rPr>
                <w:rFonts w:ascii="Arial" w:eastAsia="SimSun" w:hAnsi="Arial" w:cs="Arial"/>
                <w:bCs/>
                <w:color w:val="000000"/>
                <w:lang w:eastAsia="zh-CN"/>
              </w:rPr>
            </w:pPr>
          </w:p>
          <w:p w14:paraId="1F885F52" w14:textId="77777777" w:rsidR="00A32941" w:rsidRPr="00A32941" w:rsidRDefault="00A32941" w:rsidP="00A32941">
            <w:pPr>
              <w:spacing w:after="0" w:line="240" w:lineRule="auto"/>
              <w:ind w:right="-334"/>
              <w:rPr>
                <w:rFonts w:ascii="Arial" w:eastAsia="SimSun" w:hAnsi="Arial" w:cs="Arial"/>
                <w:bCs/>
                <w:color w:val="000000"/>
                <w:lang w:eastAsia="zh-CN"/>
              </w:rPr>
            </w:pPr>
          </w:p>
          <w:p w14:paraId="4DBD84AF" w14:textId="77777777" w:rsidR="00A32941" w:rsidRPr="00A32941" w:rsidRDefault="00A32941" w:rsidP="00A32941">
            <w:pPr>
              <w:spacing w:after="0" w:line="240" w:lineRule="auto"/>
              <w:ind w:right="-334"/>
              <w:rPr>
                <w:rFonts w:ascii="Arial" w:eastAsia="SimSun" w:hAnsi="Arial" w:cs="Arial"/>
                <w:bCs/>
                <w:color w:val="000000"/>
                <w:lang w:eastAsia="zh-CN"/>
              </w:rPr>
            </w:pPr>
          </w:p>
          <w:p w14:paraId="7A981ABE" w14:textId="77777777" w:rsidR="00A32941" w:rsidRPr="00A32941" w:rsidRDefault="00A32941" w:rsidP="00A32941">
            <w:pPr>
              <w:spacing w:after="0" w:line="240" w:lineRule="auto"/>
              <w:ind w:right="-334"/>
              <w:rPr>
                <w:rFonts w:ascii="Arial" w:eastAsia="SimSun" w:hAnsi="Arial" w:cs="Arial"/>
                <w:bCs/>
                <w:color w:val="000000"/>
                <w:lang w:eastAsia="zh-CN"/>
              </w:rPr>
            </w:pPr>
          </w:p>
          <w:p w14:paraId="3846DDD0" w14:textId="77777777" w:rsidR="00A32941" w:rsidRPr="00A32941" w:rsidRDefault="00A32941" w:rsidP="00A32941">
            <w:pPr>
              <w:spacing w:after="0" w:line="240" w:lineRule="auto"/>
              <w:ind w:right="-334"/>
              <w:rPr>
                <w:rFonts w:ascii="Arial" w:eastAsia="SimSun" w:hAnsi="Arial" w:cs="Arial"/>
                <w:bCs/>
                <w:color w:val="000000"/>
                <w:lang w:eastAsia="zh-CN"/>
              </w:rPr>
            </w:pPr>
          </w:p>
          <w:p w14:paraId="11B858E5" w14:textId="77777777" w:rsidR="00A32941" w:rsidRPr="00A32941" w:rsidRDefault="00A32941" w:rsidP="00A32941">
            <w:pPr>
              <w:spacing w:after="0" w:line="240" w:lineRule="auto"/>
              <w:ind w:right="-334"/>
              <w:rPr>
                <w:rFonts w:ascii="Arial" w:eastAsia="SimSun" w:hAnsi="Arial" w:cs="Arial"/>
                <w:bCs/>
                <w:color w:val="000000"/>
                <w:lang w:eastAsia="zh-CN"/>
              </w:rPr>
            </w:pPr>
          </w:p>
          <w:p w14:paraId="683704FB" w14:textId="77777777" w:rsidR="00A32941" w:rsidRPr="00A32941" w:rsidRDefault="00A32941" w:rsidP="00A32941">
            <w:pPr>
              <w:spacing w:after="0" w:line="240" w:lineRule="auto"/>
              <w:ind w:right="-334"/>
              <w:rPr>
                <w:rFonts w:ascii="Arial" w:eastAsia="SimSun" w:hAnsi="Arial" w:cs="Arial"/>
                <w:bCs/>
                <w:color w:val="000000"/>
                <w:lang w:eastAsia="zh-CN"/>
              </w:rPr>
            </w:pPr>
          </w:p>
          <w:p w14:paraId="21C70F71" w14:textId="77777777" w:rsidR="00A32941" w:rsidRPr="00A32941" w:rsidRDefault="00A32941" w:rsidP="00A32941">
            <w:pPr>
              <w:spacing w:after="0" w:line="240" w:lineRule="auto"/>
              <w:ind w:right="-334"/>
              <w:rPr>
                <w:rFonts w:ascii="Arial" w:eastAsia="SimSun" w:hAnsi="Arial" w:cs="Arial"/>
                <w:bCs/>
                <w:color w:val="000000"/>
                <w:lang w:eastAsia="zh-CN"/>
              </w:rPr>
            </w:pPr>
          </w:p>
        </w:tc>
      </w:tr>
      <w:tr w:rsidR="00A32941" w:rsidRPr="00A32941" w14:paraId="456555CC" w14:textId="77777777" w:rsidTr="0049250E">
        <w:trPr>
          <w:trHeight w:val="720"/>
        </w:trPr>
        <w:tc>
          <w:tcPr>
            <w:tcW w:w="5211" w:type="dxa"/>
            <w:gridSpan w:val="2"/>
          </w:tcPr>
          <w:p w14:paraId="07AD8973" w14:textId="77777777" w:rsidR="00A32941" w:rsidRPr="00A32941" w:rsidRDefault="00A32941" w:rsidP="00A32941">
            <w:pPr>
              <w:spacing w:after="0" w:line="240" w:lineRule="auto"/>
              <w:ind w:right="-334"/>
              <w:rPr>
                <w:rFonts w:ascii="Arial" w:eastAsia="SimSun" w:hAnsi="Arial" w:cs="Arial"/>
                <w:bCs/>
                <w:color w:val="000000"/>
                <w:lang w:eastAsia="zh-CN"/>
              </w:rPr>
            </w:pPr>
            <w:r w:rsidRPr="00A32941">
              <w:rPr>
                <w:rFonts w:ascii="Arial" w:eastAsia="SimSun" w:hAnsi="Arial" w:cs="Arial"/>
                <w:bCs/>
                <w:color w:val="000000"/>
                <w:lang w:eastAsia="zh-CN"/>
              </w:rPr>
              <w:t>Marker’s Signature:</w:t>
            </w:r>
          </w:p>
        </w:tc>
        <w:tc>
          <w:tcPr>
            <w:tcW w:w="3645" w:type="dxa"/>
            <w:gridSpan w:val="3"/>
          </w:tcPr>
          <w:p w14:paraId="277EC557" w14:textId="77777777" w:rsidR="00A32941" w:rsidRPr="00A32941" w:rsidRDefault="00A32941" w:rsidP="00A32941">
            <w:pPr>
              <w:spacing w:after="0" w:line="240" w:lineRule="auto"/>
              <w:ind w:right="-334"/>
              <w:rPr>
                <w:rFonts w:ascii="Arial" w:eastAsia="SimSun" w:hAnsi="Arial" w:cs="Arial"/>
                <w:bCs/>
                <w:color w:val="000000"/>
                <w:lang w:eastAsia="zh-CN"/>
              </w:rPr>
            </w:pPr>
            <w:r w:rsidRPr="00A32941">
              <w:rPr>
                <w:rFonts w:ascii="Arial" w:eastAsia="SimSun" w:hAnsi="Arial" w:cs="Arial"/>
                <w:bCs/>
                <w:color w:val="000000"/>
                <w:lang w:eastAsia="zh-CN"/>
              </w:rPr>
              <w:t>Date:</w:t>
            </w:r>
          </w:p>
        </w:tc>
      </w:tr>
      <w:tr w:rsidR="00A32941" w:rsidRPr="00A32941" w14:paraId="19856F4C" w14:textId="77777777" w:rsidTr="0049250E">
        <w:trPr>
          <w:trHeight w:val="720"/>
        </w:trPr>
        <w:tc>
          <w:tcPr>
            <w:tcW w:w="8856" w:type="dxa"/>
            <w:gridSpan w:val="5"/>
          </w:tcPr>
          <w:p w14:paraId="5B995FFB" w14:textId="77777777" w:rsidR="00A32941" w:rsidRPr="00A32941" w:rsidRDefault="00A32941" w:rsidP="00A32941">
            <w:pPr>
              <w:spacing w:after="0" w:line="240" w:lineRule="auto"/>
              <w:rPr>
                <w:rFonts w:ascii="Arial" w:eastAsia="SimSun" w:hAnsi="Arial" w:cs="Arial"/>
                <w:b/>
                <w:lang w:eastAsia="zh-CN"/>
              </w:rPr>
            </w:pPr>
            <w:r w:rsidRPr="00A32941">
              <w:rPr>
                <w:rFonts w:ascii="Arial" w:eastAsia="SimSun" w:hAnsi="Arial" w:cs="Arial"/>
                <w:b/>
                <w:lang w:eastAsia="zh-CN"/>
              </w:rPr>
              <w:t>External Examiner’s comments (if relevant)</w:t>
            </w:r>
          </w:p>
          <w:p w14:paraId="2603F71A" w14:textId="77777777" w:rsidR="00A32941" w:rsidRPr="00A32941" w:rsidRDefault="00A32941" w:rsidP="00A32941">
            <w:pPr>
              <w:spacing w:after="0" w:line="240" w:lineRule="auto"/>
              <w:ind w:right="-334"/>
              <w:rPr>
                <w:rFonts w:ascii="Arial" w:eastAsia="SimSun" w:hAnsi="Arial" w:cs="Arial"/>
                <w:bCs/>
                <w:color w:val="000000"/>
                <w:lang w:eastAsia="zh-CN"/>
              </w:rPr>
            </w:pPr>
          </w:p>
          <w:p w14:paraId="012B6EE6" w14:textId="77777777" w:rsidR="00A32941" w:rsidRPr="00A32941" w:rsidRDefault="00A32941" w:rsidP="00A32941">
            <w:pPr>
              <w:spacing w:after="0" w:line="240" w:lineRule="auto"/>
              <w:ind w:right="-334"/>
              <w:rPr>
                <w:rFonts w:ascii="Arial" w:eastAsia="SimSun" w:hAnsi="Arial" w:cs="Arial"/>
                <w:bCs/>
                <w:color w:val="000000"/>
                <w:lang w:eastAsia="zh-CN"/>
              </w:rPr>
            </w:pPr>
          </w:p>
          <w:p w14:paraId="7A4A27D8" w14:textId="77777777" w:rsidR="00A32941" w:rsidRPr="00A32941" w:rsidRDefault="00A32941" w:rsidP="00A32941">
            <w:pPr>
              <w:spacing w:after="0" w:line="240" w:lineRule="auto"/>
              <w:ind w:right="-334"/>
              <w:rPr>
                <w:rFonts w:ascii="Arial" w:eastAsia="SimSun" w:hAnsi="Arial" w:cs="Arial"/>
                <w:bCs/>
                <w:color w:val="000000"/>
                <w:lang w:eastAsia="zh-CN"/>
              </w:rPr>
            </w:pPr>
          </w:p>
          <w:p w14:paraId="09E795D0" w14:textId="77777777" w:rsidR="00A32941" w:rsidRPr="00A32941" w:rsidRDefault="00A32941" w:rsidP="00A32941">
            <w:pPr>
              <w:spacing w:after="0" w:line="240" w:lineRule="auto"/>
              <w:ind w:right="-334"/>
              <w:rPr>
                <w:rFonts w:ascii="Arial" w:eastAsia="SimSun" w:hAnsi="Arial" w:cs="Arial"/>
                <w:bCs/>
                <w:color w:val="000000"/>
                <w:lang w:eastAsia="zh-CN"/>
              </w:rPr>
            </w:pPr>
          </w:p>
          <w:p w14:paraId="146B13D3" w14:textId="77777777" w:rsidR="00A32941" w:rsidRPr="00A32941" w:rsidRDefault="00A32941" w:rsidP="00A32941">
            <w:pPr>
              <w:spacing w:after="0" w:line="240" w:lineRule="auto"/>
              <w:ind w:right="-334"/>
              <w:rPr>
                <w:rFonts w:ascii="Arial" w:eastAsia="SimSun" w:hAnsi="Arial" w:cs="Arial"/>
                <w:bCs/>
                <w:color w:val="000000"/>
                <w:lang w:eastAsia="zh-CN"/>
              </w:rPr>
            </w:pPr>
          </w:p>
          <w:p w14:paraId="6AE42F29" w14:textId="77777777" w:rsidR="00A32941" w:rsidRPr="00A32941" w:rsidRDefault="00A32941" w:rsidP="00A32941">
            <w:pPr>
              <w:spacing w:after="0" w:line="240" w:lineRule="auto"/>
              <w:ind w:right="-334"/>
              <w:rPr>
                <w:rFonts w:ascii="Arial" w:eastAsia="SimSun" w:hAnsi="Arial" w:cs="Arial"/>
                <w:bCs/>
                <w:color w:val="000000"/>
                <w:lang w:eastAsia="zh-CN"/>
              </w:rPr>
            </w:pPr>
          </w:p>
          <w:p w14:paraId="4EF229DC" w14:textId="77777777" w:rsidR="00A32941" w:rsidRPr="00A32941" w:rsidRDefault="00A32941" w:rsidP="00A32941">
            <w:pPr>
              <w:spacing w:after="0" w:line="240" w:lineRule="auto"/>
              <w:ind w:right="-334"/>
              <w:rPr>
                <w:rFonts w:ascii="Arial" w:eastAsia="SimSun" w:hAnsi="Arial" w:cs="Arial"/>
                <w:bCs/>
                <w:color w:val="000000"/>
                <w:lang w:eastAsia="zh-CN"/>
              </w:rPr>
            </w:pPr>
          </w:p>
          <w:p w14:paraId="3B3CC167" w14:textId="77777777" w:rsidR="00A32941" w:rsidRPr="00A32941" w:rsidRDefault="00A32941" w:rsidP="00A32941">
            <w:pPr>
              <w:spacing w:after="0" w:line="240" w:lineRule="auto"/>
              <w:ind w:right="-334"/>
              <w:rPr>
                <w:rFonts w:ascii="Arial" w:eastAsia="SimSun" w:hAnsi="Arial" w:cs="Arial"/>
                <w:bCs/>
                <w:color w:val="000000"/>
                <w:lang w:eastAsia="zh-CN"/>
              </w:rPr>
            </w:pPr>
          </w:p>
          <w:p w14:paraId="24D45626" w14:textId="77777777" w:rsidR="00A32941" w:rsidRPr="00A32941" w:rsidRDefault="00A32941" w:rsidP="00A32941">
            <w:pPr>
              <w:spacing w:after="0" w:line="240" w:lineRule="auto"/>
              <w:ind w:right="-334"/>
              <w:rPr>
                <w:rFonts w:ascii="Arial" w:eastAsia="SimSun" w:hAnsi="Arial" w:cs="Arial"/>
                <w:bCs/>
                <w:color w:val="000000"/>
                <w:lang w:eastAsia="zh-CN"/>
              </w:rPr>
            </w:pPr>
          </w:p>
          <w:p w14:paraId="00F9BF75" w14:textId="77777777" w:rsidR="00A32941" w:rsidRPr="00A32941" w:rsidRDefault="00A32941" w:rsidP="00A32941">
            <w:pPr>
              <w:spacing w:after="0" w:line="240" w:lineRule="auto"/>
              <w:ind w:right="-334"/>
              <w:rPr>
                <w:rFonts w:ascii="Arial" w:eastAsia="SimSun" w:hAnsi="Arial" w:cs="Arial"/>
                <w:bCs/>
                <w:color w:val="000000"/>
                <w:lang w:eastAsia="zh-CN"/>
              </w:rPr>
            </w:pPr>
          </w:p>
          <w:p w14:paraId="0832A235" w14:textId="77777777" w:rsidR="00A32941" w:rsidRPr="00A32941" w:rsidRDefault="00A32941" w:rsidP="00A32941">
            <w:pPr>
              <w:spacing w:after="0" w:line="240" w:lineRule="auto"/>
              <w:ind w:right="-334"/>
              <w:rPr>
                <w:rFonts w:ascii="Arial" w:eastAsia="SimSun" w:hAnsi="Arial" w:cs="Arial"/>
                <w:bCs/>
                <w:color w:val="000000"/>
                <w:lang w:eastAsia="zh-CN"/>
              </w:rPr>
            </w:pPr>
          </w:p>
        </w:tc>
      </w:tr>
      <w:tr w:rsidR="00A32941" w:rsidRPr="00A32941" w14:paraId="50BBC1B3" w14:textId="77777777" w:rsidTr="0049250E">
        <w:trPr>
          <w:trHeight w:val="720"/>
        </w:trPr>
        <w:tc>
          <w:tcPr>
            <w:tcW w:w="5211" w:type="dxa"/>
            <w:gridSpan w:val="2"/>
          </w:tcPr>
          <w:p w14:paraId="2F0B83C0" w14:textId="77777777" w:rsidR="00A32941" w:rsidRPr="00A32941" w:rsidRDefault="00A32941" w:rsidP="00A32941">
            <w:pPr>
              <w:spacing w:after="0" w:line="240" w:lineRule="auto"/>
              <w:rPr>
                <w:rFonts w:ascii="Arial" w:eastAsia="SimSun" w:hAnsi="Arial" w:cs="Arial"/>
                <w:lang w:eastAsia="zh-CN"/>
              </w:rPr>
            </w:pPr>
            <w:r w:rsidRPr="00A32941">
              <w:rPr>
                <w:rFonts w:ascii="Arial" w:eastAsia="SimSun" w:hAnsi="Arial" w:cs="Arial"/>
                <w:lang w:eastAsia="zh-CN"/>
              </w:rPr>
              <w:lastRenderedPageBreak/>
              <w:t>External Examiner’s Signature:</w:t>
            </w:r>
          </w:p>
        </w:tc>
        <w:tc>
          <w:tcPr>
            <w:tcW w:w="3645" w:type="dxa"/>
            <w:gridSpan w:val="3"/>
          </w:tcPr>
          <w:p w14:paraId="67CA235E" w14:textId="77777777" w:rsidR="00A32941" w:rsidRPr="00A32941" w:rsidRDefault="00A32941" w:rsidP="00A32941">
            <w:pPr>
              <w:spacing w:after="0" w:line="240" w:lineRule="auto"/>
              <w:rPr>
                <w:rFonts w:ascii="Arial" w:eastAsia="SimSun" w:hAnsi="Arial" w:cs="Arial"/>
                <w:lang w:eastAsia="zh-CN"/>
              </w:rPr>
            </w:pPr>
            <w:r w:rsidRPr="00A32941">
              <w:rPr>
                <w:rFonts w:ascii="Arial" w:eastAsia="SimSun" w:hAnsi="Arial" w:cs="Arial"/>
                <w:lang w:eastAsia="zh-CN"/>
              </w:rPr>
              <w:t>Date:</w:t>
            </w:r>
          </w:p>
        </w:tc>
      </w:tr>
    </w:tbl>
    <w:p w14:paraId="7469F8E9" w14:textId="77777777" w:rsidR="00A32941" w:rsidRDefault="00A32941" w:rsidP="00A32941">
      <w:pPr>
        <w:jc w:val="both"/>
        <w:rPr>
          <w:u w:val="single"/>
        </w:rPr>
      </w:pPr>
    </w:p>
    <w:p w14:paraId="44384998" w14:textId="77777777" w:rsidR="00A32941" w:rsidRDefault="00A32941" w:rsidP="004D4ED1">
      <w:pPr>
        <w:jc w:val="center"/>
        <w:rPr>
          <w:u w:val="single"/>
        </w:rPr>
      </w:pPr>
    </w:p>
    <w:p w14:paraId="581C26AD" w14:textId="77777777" w:rsidR="00A32941" w:rsidRDefault="00A32941" w:rsidP="004D4ED1">
      <w:pPr>
        <w:jc w:val="center"/>
        <w:rPr>
          <w:u w:val="single"/>
        </w:rPr>
      </w:pPr>
    </w:p>
    <w:p w14:paraId="0DB9E838" w14:textId="77777777" w:rsidR="00A32941" w:rsidRDefault="00A32941" w:rsidP="004D4ED1">
      <w:pPr>
        <w:jc w:val="center"/>
        <w:rPr>
          <w:u w:val="single"/>
        </w:rPr>
      </w:pPr>
    </w:p>
    <w:p w14:paraId="341F9A36" w14:textId="77777777" w:rsidR="00A32941" w:rsidRDefault="00A32941" w:rsidP="004D4ED1">
      <w:pPr>
        <w:jc w:val="center"/>
        <w:rPr>
          <w:u w:val="single"/>
        </w:rPr>
      </w:pPr>
    </w:p>
    <w:p w14:paraId="31A0981B" w14:textId="77777777" w:rsidR="00A32941" w:rsidRDefault="00A32941" w:rsidP="004D4ED1">
      <w:pPr>
        <w:jc w:val="center"/>
        <w:rPr>
          <w:u w:val="single"/>
        </w:rPr>
      </w:pPr>
    </w:p>
    <w:p w14:paraId="5DB0C7DA" w14:textId="77777777" w:rsidR="00A32941" w:rsidRDefault="00A32941" w:rsidP="004D4ED1">
      <w:pPr>
        <w:jc w:val="center"/>
        <w:rPr>
          <w:u w:val="single"/>
        </w:rPr>
      </w:pPr>
    </w:p>
    <w:p w14:paraId="4993A95A" w14:textId="77777777" w:rsidR="00A32941" w:rsidRDefault="00A32941" w:rsidP="004D4ED1">
      <w:pPr>
        <w:jc w:val="center"/>
        <w:rPr>
          <w:u w:val="single"/>
        </w:rPr>
      </w:pPr>
    </w:p>
    <w:p w14:paraId="3E58EF5A" w14:textId="77777777" w:rsidR="00A32941" w:rsidRDefault="00A32941" w:rsidP="004D4ED1">
      <w:pPr>
        <w:jc w:val="center"/>
        <w:rPr>
          <w:u w:val="single"/>
        </w:rPr>
      </w:pPr>
    </w:p>
    <w:p w14:paraId="4A97B49D" w14:textId="77777777" w:rsidR="00A32941" w:rsidRDefault="00A32941" w:rsidP="004D4ED1">
      <w:pPr>
        <w:jc w:val="center"/>
        <w:rPr>
          <w:u w:val="single"/>
        </w:rPr>
      </w:pPr>
    </w:p>
    <w:p w14:paraId="39A8A26E" w14:textId="77777777" w:rsidR="00A32941" w:rsidRDefault="00A32941" w:rsidP="004D4ED1">
      <w:pPr>
        <w:jc w:val="center"/>
        <w:rPr>
          <w:u w:val="single"/>
        </w:rPr>
      </w:pPr>
    </w:p>
    <w:p w14:paraId="6F3C8221" w14:textId="77777777" w:rsidR="00A32941" w:rsidRDefault="00A32941" w:rsidP="004D4ED1">
      <w:pPr>
        <w:jc w:val="center"/>
        <w:rPr>
          <w:u w:val="single"/>
        </w:rPr>
      </w:pPr>
    </w:p>
    <w:p w14:paraId="1957B8B1" w14:textId="77777777" w:rsidR="00A32941" w:rsidRDefault="00A32941" w:rsidP="004D4ED1">
      <w:pPr>
        <w:jc w:val="center"/>
        <w:rPr>
          <w:u w:val="single"/>
        </w:rPr>
      </w:pPr>
    </w:p>
    <w:p w14:paraId="3BFF4C4F" w14:textId="77777777" w:rsidR="00A32941" w:rsidRDefault="00A32941" w:rsidP="004D4ED1">
      <w:pPr>
        <w:jc w:val="center"/>
        <w:rPr>
          <w:u w:val="single"/>
        </w:rPr>
      </w:pPr>
    </w:p>
    <w:p w14:paraId="687A53C9" w14:textId="77777777" w:rsidR="00A32941" w:rsidRDefault="00A32941" w:rsidP="004D4ED1">
      <w:pPr>
        <w:jc w:val="center"/>
        <w:rPr>
          <w:u w:val="single"/>
        </w:rPr>
      </w:pPr>
    </w:p>
    <w:p w14:paraId="20CEF6DF" w14:textId="77777777" w:rsidR="00A32941" w:rsidRDefault="00A32941" w:rsidP="004D4ED1">
      <w:pPr>
        <w:jc w:val="center"/>
        <w:rPr>
          <w:u w:val="single"/>
        </w:rPr>
      </w:pPr>
    </w:p>
    <w:p w14:paraId="6B1B5CF6" w14:textId="77777777" w:rsidR="00A32941" w:rsidRDefault="00A32941" w:rsidP="004D4ED1">
      <w:pPr>
        <w:jc w:val="center"/>
        <w:rPr>
          <w:u w:val="single"/>
        </w:rPr>
      </w:pPr>
    </w:p>
    <w:p w14:paraId="4DEBEC08" w14:textId="77777777" w:rsidR="00A32941" w:rsidRDefault="00A32941" w:rsidP="004D4ED1">
      <w:pPr>
        <w:jc w:val="center"/>
        <w:rPr>
          <w:u w:val="single"/>
        </w:rPr>
      </w:pPr>
    </w:p>
    <w:p w14:paraId="77C8936C" w14:textId="77777777" w:rsidR="00A32941" w:rsidRDefault="00A32941" w:rsidP="004D4ED1">
      <w:pPr>
        <w:jc w:val="center"/>
        <w:rPr>
          <w:u w:val="single"/>
        </w:rPr>
      </w:pPr>
    </w:p>
    <w:p w14:paraId="16276A49" w14:textId="77777777" w:rsidR="00A32941" w:rsidRDefault="00A32941" w:rsidP="004D4ED1">
      <w:pPr>
        <w:jc w:val="center"/>
        <w:rPr>
          <w:u w:val="single"/>
        </w:rPr>
      </w:pPr>
    </w:p>
    <w:p w14:paraId="0926D9B3" w14:textId="77777777" w:rsidR="00A32941" w:rsidRDefault="00A32941" w:rsidP="004D4ED1">
      <w:pPr>
        <w:jc w:val="center"/>
        <w:rPr>
          <w:u w:val="single"/>
        </w:rPr>
      </w:pPr>
    </w:p>
    <w:p w14:paraId="1CDE4C7A" w14:textId="77777777" w:rsidR="00A32941" w:rsidRDefault="00A32941" w:rsidP="004D4ED1">
      <w:pPr>
        <w:jc w:val="center"/>
        <w:rPr>
          <w:u w:val="single"/>
        </w:rPr>
      </w:pPr>
    </w:p>
    <w:p w14:paraId="0CFF1B94" w14:textId="77777777" w:rsidR="00A32941" w:rsidRDefault="00A32941" w:rsidP="004D4ED1">
      <w:pPr>
        <w:jc w:val="center"/>
        <w:rPr>
          <w:u w:val="single"/>
        </w:rPr>
      </w:pPr>
    </w:p>
    <w:p w14:paraId="577818B2" w14:textId="77777777" w:rsidR="00A32941" w:rsidRDefault="00A32941" w:rsidP="004D4ED1">
      <w:pPr>
        <w:jc w:val="center"/>
        <w:rPr>
          <w:u w:val="single"/>
        </w:rPr>
      </w:pPr>
    </w:p>
    <w:p w14:paraId="15641C70" w14:textId="77777777" w:rsidR="00A32941" w:rsidRDefault="00A32941" w:rsidP="004D4ED1">
      <w:pPr>
        <w:jc w:val="center"/>
        <w:rPr>
          <w:u w:val="single"/>
        </w:rPr>
      </w:pPr>
    </w:p>
    <w:p w14:paraId="6C912F46" w14:textId="77777777" w:rsidR="00A32941" w:rsidRDefault="00A32941" w:rsidP="004D4ED1">
      <w:pPr>
        <w:jc w:val="center"/>
        <w:rPr>
          <w:u w:val="single"/>
        </w:rPr>
      </w:pPr>
    </w:p>
    <w:p w14:paraId="6B854446" w14:textId="77777777" w:rsidR="00A32941" w:rsidRDefault="00A32941" w:rsidP="004D4ED1">
      <w:pPr>
        <w:jc w:val="center"/>
        <w:rPr>
          <w:u w:val="single"/>
        </w:rPr>
      </w:pPr>
    </w:p>
    <w:p w14:paraId="753AFD43" w14:textId="77777777" w:rsidR="00A32941" w:rsidRDefault="00A32941" w:rsidP="004D4ED1">
      <w:pPr>
        <w:jc w:val="center"/>
        <w:rPr>
          <w:u w:val="single"/>
        </w:rPr>
      </w:pPr>
    </w:p>
    <w:p w14:paraId="15D68184" w14:textId="768A8FF4" w:rsidR="00760E77" w:rsidRDefault="00E206CE" w:rsidP="004D4ED1">
      <w:pPr>
        <w:jc w:val="center"/>
        <w:rPr>
          <w:u w:val="single"/>
        </w:rPr>
      </w:pPr>
      <w:r w:rsidRPr="00E206CE">
        <w:rPr>
          <w:u w:val="single"/>
        </w:rPr>
        <w:lastRenderedPageBreak/>
        <w:t>A Critical Comparison</w:t>
      </w:r>
      <w:r w:rsidR="000B235F">
        <w:rPr>
          <w:u w:val="single"/>
        </w:rPr>
        <w:t xml:space="preserve"> of Tw</w:t>
      </w:r>
      <w:r w:rsidRPr="00E206CE">
        <w:rPr>
          <w:u w:val="single"/>
        </w:rPr>
        <w:t>o Secondary Sources</w:t>
      </w:r>
    </w:p>
    <w:p w14:paraId="07944C42" w14:textId="5F3E2FDB" w:rsidR="00E206CE" w:rsidRDefault="00E206CE" w:rsidP="004D4ED1">
      <w:pPr>
        <w:jc w:val="both"/>
        <w:rPr>
          <w:u w:val="single"/>
        </w:rPr>
      </w:pPr>
    </w:p>
    <w:p w14:paraId="6FBEC104" w14:textId="7BEE8331" w:rsidR="00E206CE" w:rsidRDefault="00E206CE" w:rsidP="004D4ED1">
      <w:pPr>
        <w:jc w:val="both"/>
      </w:pPr>
      <w:r>
        <w:t xml:space="preserve">The aim of this essay is to critically </w:t>
      </w:r>
      <w:r w:rsidR="00D81779">
        <w:t xml:space="preserve">consider </w:t>
      </w:r>
      <w:r>
        <w:t>two research papers; Gillian Bennett’s article ‘If I Knew You Were Coming, I’d Have Baked a Cake</w:t>
      </w:r>
      <w:r w:rsidR="000B235F">
        <w:t>: The Folklore of Foreknowledge in a Neighborhood Group’</w:t>
      </w:r>
      <w:r w:rsidR="00D81779">
        <w:t xml:space="preserve"> (1995)</w:t>
      </w:r>
      <w:r w:rsidR="00016297">
        <w:rPr>
          <w:rStyle w:val="FootnoteReference"/>
        </w:rPr>
        <w:footnoteReference w:id="1"/>
      </w:r>
      <w:r>
        <w:t xml:space="preserve"> with</w:t>
      </w:r>
      <w:r w:rsidR="00D81779">
        <w:t xml:space="preserve"> Tony Walter and Helen Waterhouse’s paper, ‘A Very Private Belief: Reincarnation in Contemporary England’ (1999).</w:t>
      </w:r>
      <w:r w:rsidR="002E59EE">
        <w:rPr>
          <w:rStyle w:val="FootnoteReference"/>
        </w:rPr>
        <w:footnoteReference w:id="2"/>
      </w:r>
    </w:p>
    <w:p w14:paraId="4CBD46D5" w14:textId="320CF287" w:rsidR="000B235F" w:rsidRDefault="000B235F" w:rsidP="004D4ED1">
      <w:pPr>
        <w:jc w:val="both"/>
      </w:pPr>
      <w:r>
        <w:t>This essay will consider the methodologies applied by the researchers in terms of the validity of choice, the insider/outsider continuum in respect of chosen target groups and the literature reviewed in terms of relevance and underpinning the broader academic framework.</w:t>
      </w:r>
    </w:p>
    <w:p w14:paraId="35C0F7EA" w14:textId="45551E07" w:rsidR="00450DB6" w:rsidRDefault="00450DB6" w:rsidP="004D4ED1">
      <w:pPr>
        <w:jc w:val="both"/>
      </w:pPr>
      <w:r>
        <w:t>In order to contextualise the research papers, a brief overview of the authors will now follow. Erudite in the field of research</w:t>
      </w:r>
      <w:r w:rsidR="00EA4257">
        <w:t>;</w:t>
      </w:r>
      <w:r>
        <w:t xml:space="preserve"> a Research Associate at the University of Sheffield</w:t>
      </w:r>
      <w:r w:rsidR="00272473">
        <w:t xml:space="preserve">, </w:t>
      </w:r>
      <w:r>
        <w:t>Research Fellow at Manchester Metropolitan University</w:t>
      </w:r>
      <w:r w:rsidR="00272473">
        <w:t xml:space="preserve"> and having</w:t>
      </w:r>
      <w:r w:rsidR="00EA4257">
        <w:t xml:space="preserve"> gained a doctorate at the University of Bristol in 1997 </w:t>
      </w:r>
      <w:r>
        <w:rPr>
          <w:rStyle w:val="FootnoteReference"/>
        </w:rPr>
        <w:footnoteReference w:id="3"/>
      </w:r>
      <w:r w:rsidR="00FD3A2C">
        <w:t xml:space="preserve">, Gillian Bennet was </w:t>
      </w:r>
      <w:r w:rsidR="008E20B5">
        <w:t>additionally, an</w:t>
      </w:r>
      <w:r w:rsidR="00EA4257">
        <w:t xml:space="preserve"> </w:t>
      </w:r>
      <w:r w:rsidR="00FD3A2C">
        <w:t>editor of a folklore journal</w:t>
      </w:r>
      <w:r w:rsidR="00FD3A2C">
        <w:rPr>
          <w:rStyle w:val="FootnoteReference"/>
        </w:rPr>
        <w:footnoteReference w:id="4"/>
      </w:r>
      <w:r w:rsidR="00FD3A2C">
        <w:t>.</w:t>
      </w:r>
      <w:r w:rsidR="003105E5">
        <w:t xml:space="preserve"> The research paper, </w:t>
      </w:r>
      <w:r w:rsidR="00C912DC">
        <w:t>‘If I Knew You Were Coming, I’d have Baked a Cake’</w:t>
      </w:r>
      <w:r w:rsidR="00C912DC">
        <w:rPr>
          <w:rStyle w:val="FootnoteReference"/>
        </w:rPr>
        <w:footnoteReference w:id="5"/>
      </w:r>
      <w:r w:rsidR="00C912DC">
        <w:t>, though published in 1995, contains interviews dating back to 1981 when Bennett ended her lecturing career in English literature, ‘turning her attention to folklore and oral narrative in 1980.’</w:t>
      </w:r>
      <w:r w:rsidR="00C912DC">
        <w:rPr>
          <w:rStyle w:val="FootnoteReference"/>
        </w:rPr>
        <w:footnoteReference w:id="6"/>
      </w:r>
      <w:r w:rsidR="009966D9">
        <w:t xml:space="preserve"> Bennett’s passion for folklore is evident within her esteemed editorial background, awards received and membership of relevant societies</w:t>
      </w:r>
      <w:r w:rsidR="00A22FAE">
        <w:rPr>
          <w:rStyle w:val="FootnoteReference"/>
        </w:rPr>
        <w:footnoteReference w:id="7"/>
      </w:r>
      <w:r w:rsidR="00A22FAE">
        <w:t xml:space="preserve">, and the </w:t>
      </w:r>
      <w:r w:rsidR="006768D5">
        <w:t xml:space="preserve">research </w:t>
      </w:r>
      <w:r w:rsidR="00A22FAE">
        <w:t>article being explored in this paper is</w:t>
      </w:r>
      <w:r w:rsidR="006768D5">
        <w:t xml:space="preserve"> Bennett’s original research into folklore, the supernatural and foreknowledge within a neighbourhood group in an English middle-class suburb</w:t>
      </w:r>
      <w:r w:rsidR="006768D5">
        <w:rPr>
          <w:rStyle w:val="FootnoteReference"/>
        </w:rPr>
        <w:footnoteReference w:id="8"/>
      </w:r>
      <w:r w:rsidR="006768D5">
        <w:t>.</w:t>
      </w:r>
    </w:p>
    <w:p w14:paraId="4F81977E" w14:textId="32D6C8A9" w:rsidR="006768D5" w:rsidRDefault="006768D5" w:rsidP="004D4ED1">
      <w:pPr>
        <w:jc w:val="both"/>
      </w:pPr>
      <w:r>
        <w:t xml:space="preserve">As a </w:t>
      </w:r>
      <w:r w:rsidR="0062345A">
        <w:t>well-versed</w:t>
      </w:r>
      <w:r>
        <w:t xml:space="preserve"> scholar, lecturer, author, researcher a</w:t>
      </w:r>
      <w:r w:rsidR="0062345A">
        <w:t>nd</w:t>
      </w:r>
      <w:r>
        <w:t xml:space="preserve"> director at the Centre for Death </w:t>
      </w:r>
      <w:r w:rsidR="0062345A">
        <w:t xml:space="preserve">and Society </w:t>
      </w:r>
      <w:r>
        <w:t>at the university of Bath</w:t>
      </w:r>
      <w:r w:rsidR="006F7DE0">
        <w:rPr>
          <w:rStyle w:val="FootnoteReference"/>
        </w:rPr>
        <w:footnoteReference w:id="9"/>
      </w:r>
      <w:r w:rsidR="0062345A">
        <w:t xml:space="preserve">, </w:t>
      </w:r>
      <w:r w:rsidR="00AA6362">
        <w:t xml:space="preserve">Tony </w:t>
      </w:r>
      <w:r w:rsidR="0062345A">
        <w:t xml:space="preserve">Walter unpacks the very taboo topics of death and the afterlife in his </w:t>
      </w:r>
      <w:r w:rsidR="0062345A">
        <w:lastRenderedPageBreak/>
        <w:t>research and publications</w:t>
      </w:r>
      <w:r w:rsidR="0062345A">
        <w:rPr>
          <w:rStyle w:val="FootnoteReference"/>
        </w:rPr>
        <w:footnoteReference w:id="10"/>
      </w:r>
      <w:r w:rsidR="00BE067A">
        <w:t xml:space="preserve">. </w:t>
      </w:r>
      <w:r w:rsidR="004273C7">
        <w:t>Having a background in Freelance writing</w:t>
      </w:r>
      <w:r w:rsidR="00B9315D">
        <w:rPr>
          <w:rStyle w:val="FootnoteReference"/>
        </w:rPr>
        <w:footnoteReference w:id="11"/>
      </w:r>
      <w:r w:rsidR="004273C7">
        <w:t>, Walter turned his research focus to death in modern society</w:t>
      </w:r>
      <w:r w:rsidR="004273C7">
        <w:rPr>
          <w:rStyle w:val="FootnoteReference"/>
        </w:rPr>
        <w:footnoteReference w:id="12"/>
      </w:r>
      <w:r w:rsidR="00272473">
        <w:t>.</w:t>
      </w:r>
      <w:r w:rsidR="004273C7">
        <w:t xml:space="preserve">   </w:t>
      </w:r>
      <w:r w:rsidR="00EA4257">
        <w:t>Working collaboratively with Helen Waterhouse, the research paper</w:t>
      </w:r>
      <w:r w:rsidR="00C329EC">
        <w:t>s produced summarise</w:t>
      </w:r>
      <w:r w:rsidR="00EA4257">
        <w:t xml:space="preserve"> the findings concerning belief in reincarnation </w:t>
      </w:r>
      <w:r w:rsidR="00FA4D1E">
        <w:t>regarding</w:t>
      </w:r>
      <w:r w:rsidR="00C329EC">
        <w:t xml:space="preserve"> the Christian church, contemporary society and everyday life within English suburbs dating from 1999 to 2003 and have contributed to the field of reincarnation study</w:t>
      </w:r>
      <w:r w:rsidR="001C6BF2">
        <w:t>;</w:t>
      </w:r>
      <w:r w:rsidR="00C329EC">
        <w:t xml:space="preserve"> </w:t>
      </w:r>
      <w:r w:rsidR="00FA4D1E">
        <w:t>additionally,</w:t>
      </w:r>
      <w:r w:rsidR="00C329EC">
        <w:t xml:space="preserve"> the papers are primarily intended for scholars and students within the field</w:t>
      </w:r>
      <w:r w:rsidR="001C6BF2">
        <w:rPr>
          <w:rStyle w:val="FootnoteReference"/>
        </w:rPr>
        <w:footnoteReference w:id="13"/>
      </w:r>
      <w:r w:rsidR="008941D7">
        <w:t>. The collaborative research paper, ‘A Very Private Belief’</w:t>
      </w:r>
      <w:r w:rsidR="008941D7">
        <w:rPr>
          <w:rStyle w:val="FootnoteReference"/>
        </w:rPr>
        <w:footnoteReference w:id="14"/>
      </w:r>
      <w:r w:rsidR="008941D7">
        <w:t xml:space="preserve">, </w:t>
      </w:r>
      <w:r w:rsidR="00FA4D1E">
        <w:t xml:space="preserve">is an authoritative critique that was </w:t>
      </w:r>
      <w:r w:rsidR="00CA554D">
        <w:t xml:space="preserve">written </w:t>
      </w:r>
      <w:r w:rsidR="00FA4D1E">
        <w:t>in response to survey data concerning western belief and reincarnation</w:t>
      </w:r>
      <w:r w:rsidR="00FA4D1E">
        <w:rPr>
          <w:rStyle w:val="FootnoteReference"/>
        </w:rPr>
        <w:footnoteReference w:id="15"/>
      </w:r>
      <w:r w:rsidR="00CA554D">
        <w:t>.</w:t>
      </w:r>
      <w:r w:rsidR="004273C7">
        <w:t xml:space="preserve">                                                                                                                                                                                                                                                                                                                                                                                                                                                                                                                                                                                                                                                                                                                                                                                                                                                                                                                                                                                                                                                                                                                                                                                                                                                                                                                                                                                                                                                                                </w:t>
      </w:r>
    </w:p>
    <w:p w14:paraId="7CDEEC19" w14:textId="368A03B9" w:rsidR="000B235F" w:rsidRDefault="000B235F" w:rsidP="004D4ED1">
      <w:pPr>
        <w:jc w:val="both"/>
      </w:pPr>
      <w:r>
        <w:t xml:space="preserve"> </w:t>
      </w:r>
      <w:r w:rsidR="00CA554D">
        <w:t xml:space="preserve">Turning now to the secondary sources, a brief abstract will be given to identify the key points considered by the two authors. In response to John Beaumont’s observation </w:t>
      </w:r>
      <w:r w:rsidR="002F053A">
        <w:t>that to say dreams are vain visions and to exclude divination from the experience of being alive, ‘…is contrary to Experience and the common Consent and Agreement of Mankind’</w:t>
      </w:r>
      <w:r w:rsidR="002F053A">
        <w:rPr>
          <w:rStyle w:val="FootnoteReference"/>
        </w:rPr>
        <w:footnoteReference w:id="16"/>
      </w:r>
      <w:r w:rsidR="00974528">
        <w:t>,  Gillian Bennett took as the primary focus of her research, the common assent and agreement concerning foreknowledge amongst a group of mature, middle-aged women in her hometown</w:t>
      </w:r>
      <w:r w:rsidR="00974528">
        <w:rPr>
          <w:rStyle w:val="FootnoteReference"/>
        </w:rPr>
        <w:footnoteReference w:id="17"/>
      </w:r>
      <w:r w:rsidR="00D052FB">
        <w:t>; examining how their social and moral obligations, structured the folklore shared</w:t>
      </w:r>
      <w:r w:rsidR="00D052FB">
        <w:rPr>
          <w:rStyle w:val="FootnoteReference"/>
        </w:rPr>
        <w:footnoteReference w:id="18"/>
      </w:r>
      <w:r w:rsidR="00D052FB">
        <w:t>.</w:t>
      </w:r>
    </w:p>
    <w:p w14:paraId="6DE6C593" w14:textId="472B935D" w:rsidR="0041290E" w:rsidRDefault="00D052FB" w:rsidP="004D4ED1">
      <w:pPr>
        <w:jc w:val="both"/>
      </w:pPr>
      <w:r>
        <w:t xml:space="preserve">As Bennett </w:t>
      </w:r>
      <w:r w:rsidR="000A52B1">
        <w:t>points out</w:t>
      </w:r>
      <w:r w:rsidR="00154154">
        <w:t>, ‘Perhaps the best place to begin any survey of British traditions is with John Aubrey’</w:t>
      </w:r>
      <w:r w:rsidR="00154154">
        <w:rPr>
          <w:rStyle w:val="FootnoteReference"/>
        </w:rPr>
        <w:footnoteReference w:id="19"/>
      </w:r>
      <w:r w:rsidR="00154154">
        <w:t xml:space="preserve">, and using examples from preceding centuries to demonstrate how the </w:t>
      </w:r>
      <w:r w:rsidR="000A52B1">
        <w:t>supernatural and folklore experiences were determined according to the historical backdrop</w:t>
      </w:r>
      <w:r w:rsidR="000A52B1">
        <w:rPr>
          <w:rStyle w:val="FootnoteReference"/>
        </w:rPr>
        <w:footnoteReference w:id="20"/>
      </w:r>
      <w:r w:rsidR="000A52B1">
        <w:t>, Bennett unpacks the events used by Aubrey to determine how the future could be predicted through th</w:t>
      </w:r>
      <w:r w:rsidR="004D4ED1">
        <w:t>e</w:t>
      </w:r>
      <w:r w:rsidR="000A52B1">
        <w:t xml:space="preserve"> portentous occurrences</w:t>
      </w:r>
      <w:r w:rsidR="000A52B1">
        <w:rPr>
          <w:rStyle w:val="FootnoteReference"/>
        </w:rPr>
        <w:footnoteReference w:id="21"/>
      </w:r>
      <w:r w:rsidR="000A52B1">
        <w:t>.</w:t>
      </w:r>
      <w:r w:rsidR="004D4ED1">
        <w:t xml:space="preserve"> </w:t>
      </w:r>
      <w:r w:rsidR="00086CB7">
        <w:t>Bennett further demonstrates the correlation between the ‘two main strands in British folkloristic writing</w:t>
      </w:r>
      <w:r w:rsidR="00FA625E">
        <w:t>’</w:t>
      </w:r>
      <w:r w:rsidR="00FA625E">
        <w:rPr>
          <w:rStyle w:val="FootnoteReference"/>
        </w:rPr>
        <w:footnoteReference w:id="22"/>
      </w:r>
      <w:r w:rsidR="00FA625E">
        <w:t>, namely divinatory practices and interpretations of signs, dreams and visions</w:t>
      </w:r>
      <w:r w:rsidR="00FA625E">
        <w:rPr>
          <w:rStyle w:val="FootnoteReference"/>
        </w:rPr>
        <w:footnoteReference w:id="23"/>
      </w:r>
      <w:r w:rsidR="00FA625E">
        <w:t xml:space="preserve"> and proposes an explanatory theory by connecting the strands to modern methodologies such as the </w:t>
      </w:r>
      <w:r w:rsidR="00FA625E">
        <w:lastRenderedPageBreak/>
        <w:t>first strand represented by, ‘astrology, fortune tellers… psychics or mediums’</w:t>
      </w:r>
      <w:r w:rsidR="00FA625E">
        <w:rPr>
          <w:rStyle w:val="FootnoteReference"/>
        </w:rPr>
        <w:footnoteReference w:id="24"/>
      </w:r>
      <w:r w:rsidR="002369EB">
        <w:t xml:space="preserve"> and the second strand represented with ESP/telepathy</w:t>
      </w:r>
      <w:r w:rsidR="002369EB">
        <w:rPr>
          <w:rStyle w:val="FootnoteReference"/>
        </w:rPr>
        <w:footnoteReference w:id="25"/>
      </w:r>
      <w:r w:rsidR="002369EB">
        <w:t xml:space="preserve">. </w:t>
      </w:r>
    </w:p>
    <w:p w14:paraId="3674C74B" w14:textId="38B6592B" w:rsidR="00142373" w:rsidRDefault="00142373" w:rsidP="004D4ED1">
      <w:pPr>
        <w:jc w:val="both"/>
      </w:pPr>
      <w:r>
        <w:t>Bennett found the understanding of divinatory and visionary practices to be evident within the interviews and narratives told</w:t>
      </w:r>
      <w:r>
        <w:rPr>
          <w:rStyle w:val="FootnoteReference"/>
        </w:rPr>
        <w:footnoteReference w:id="26"/>
      </w:r>
      <w:r w:rsidR="00FE1B36">
        <w:t xml:space="preserve"> whilst a negated view of divinatory practise was noted</w:t>
      </w:r>
      <w:r w:rsidR="00FE1B36">
        <w:rPr>
          <w:rStyle w:val="FootnoteReference"/>
        </w:rPr>
        <w:footnoteReference w:id="27"/>
      </w:r>
      <w:r w:rsidR="00FE1B36">
        <w:t>. Having therefore demonstrated the correlations between her findings, Bennett</w:t>
      </w:r>
      <w:r w:rsidR="00F052E9">
        <w:t xml:space="preserve"> expounds an explanation on the perceived negative aspects of psychic power</w:t>
      </w:r>
      <w:r w:rsidR="00F052E9">
        <w:rPr>
          <w:rStyle w:val="FootnoteReference"/>
        </w:rPr>
        <w:footnoteReference w:id="28"/>
      </w:r>
      <w:r w:rsidR="00F052E9">
        <w:t xml:space="preserve"> and in the subsequent chapters examines the traditional</w:t>
      </w:r>
      <w:r w:rsidR="00E01DD5">
        <w:t xml:space="preserve"> </w:t>
      </w:r>
      <w:r w:rsidR="00F052E9">
        <w:t>feminine role</w:t>
      </w:r>
      <w:r w:rsidR="00E01DD5">
        <w:rPr>
          <w:rStyle w:val="FootnoteReference"/>
        </w:rPr>
        <w:footnoteReference w:id="29"/>
      </w:r>
      <w:r w:rsidR="008E20B5">
        <w:t>,</w:t>
      </w:r>
      <w:r w:rsidR="00C81FE7">
        <w:t xml:space="preserve"> </w:t>
      </w:r>
      <w:r w:rsidR="00E01DD5">
        <w:t>summaris</w:t>
      </w:r>
      <w:r w:rsidR="008E20B5">
        <w:t>ing</w:t>
      </w:r>
      <w:r w:rsidR="00E01DD5">
        <w:t xml:space="preserve"> that age is a notable variable</w:t>
      </w:r>
      <w:r w:rsidR="00E01DD5">
        <w:rPr>
          <w:rStyle w:val="FootnoteReference"/>
        </w:rPr>
        <w:footnoteReference w:id="30"/>
      </w:r>
      <w:r w:rsidR="00E01DD5">
        <w:t xml:space="preserve"> when looking at belief in both strands of foreknowledge</w:t>
      </w:r>
      <w:r w:rsidR="00E01DD5">
        <w:rPr>
          <w:rStyle w:val="FootnoteReference"/>
        </w:rPr>
        <w:footnoteReference w:id="31"/>
      </w:r>
      <w:r w:rsidR="00C81FE7">
        <w:t>.</w:t>
      </w:r>
    </w:p>
    <w:p w14:paraId="0FD04287" w14:textId="01F4B5CC" w:rsidR="009A2080" w:rsidRDefault="009A2080" w:rsidP="004D4ED1">
      <w:pPr>
        <w:jc w:val="both"/>
      </w:pPr>
      <w:r>
        <w:t>Using survey data that indicated belief in reincarnation despite no connection to Easter</w:t>
      </w:r>
      <w:r w:rsidR="00AA6362">
        <w:t>n or New Age thinking</w:t>
      </w:r>
      <w:r w:rsidR="00AA6362">
        <w:rPr>
          <w:rStyle w:val="FootnoteReference"/>
        </w:rPr>
        <w:footnoteReference w:id="32"/>
      </w:r>
      <w:r w:rsidR="00AA6362">
        <w:t>, Tony Walter and Helen Waterhouse present critical research on the correlation between, ‘a group of English people’ and their reincarnation beliefs</w:t>
      </w:r>
      <w:r w:rsidR="00AA6362">
        <w:rPr>
          <w:rStyle w:val="FootnoteReference"/>
        </w:rPr>
        <w:footnoteReference w:id="33"/>
      </w:r>
      <w:r w:rsidR="00AC7A44">
        <w:t>. Whilst survey data is unable to propose why reincarnation appears to be an increasingly emergent theory within the last century</w:t>
      </w:r>
      <w:r w:rsidR="00AC7A44">
        <w:rPr>
          <w:rStyle w:val="FootnoteReference"/>
        </w:rPr>
        <w:footnoteReference w:id="34"/>
      </w:r>
      <w:r w:rsidR="00AC7A44">
        <w:t xml:space="preserve">, </w:t>
      </w:r>
      <w:r w:rsidR="00397C3F">
        <w:t>Walter and Waterhouse</w:t>
      </w:r>
      <w:r w:rsidR="00AC7A44">
        <w:t xml:space="preserve"> carried out a series of interviews to provide the necessary qualitative data to </w:t>
      </w:r>
      <w:r w:rsidR="00BD6137">
        <w:t>interpret the</w:t>
      </w:r>
      <w:r w:rsidR="00AC7A44">
        <w:t xml:space="preserve"> quantitative survey results</w:t>
      </w:r>
      <w:r w:rsidR="00AC7A44">
        <w:rPr>
          <w:rStyle w:val="FootnoteReference"/>
        </w:rPr>
        <w:footnoteReference w:id="35"/>
      </w:r>
      <w:r w:rsidR="00BD6137">
        <w:t>.</w:t>
      </w:r>
    </w:p>
    <w:p w14:paraId="6497E72F" w14:textId="1C96032C" w:rsidR="00BD6137" w:rsidRDefault="00397C3F" w:rsidP="004D4ED1">
      <w:pPr>
        <w:jc w:val="both"/>
      </w:pPr>
      <w:r>
        <w:t>Walter and Waterhouse</w:t>
      </w:r>
      <w:r w:rsidR="00DB36CD">
        <w:t xml:space="preserve"> sought to exclusively seek out those with mainly Christian ideological beliefs in order to effectuate any correlations between religious belief and reincarnation</w:t>
      </w:r>
      <w:r w:rsidR="00DB36CD">
        <w:rPr>
          <w:rStyle w:val="FootnoteReference"/>
        </w:rPr>
        <w:footnoteReference w:id="36"/>
      </w:r>
      <w:r w:rsidR="00B21AB0">
        <w:t xml:space="preserve"> and c</w:t>
      </w:r>
      <w:r w:rsidR="001A50AD">
        <w:t>onsequently</w:t>
      </w:r>
      <w:r w:rsidR="0087292E">
        <w:t xml:space="preserve">, </w:t>
      </w:r>
      <w:r>
        <w:t>Walter and Waterhouse</w:t>
      </w:r>
      <w:r w:rsidR="0087292E">
        <w:t xml:space="preserve"> found that ‘half of our adult </w:t>
      </w:r>
      <w:r w:rsidR="001A50AD">
        <w:t>respondents</w:t>
      </w:r>
      <w:r w:rsidR="0087292E">
        <w:t xml:space="preserve"> </w:t>
      </w:r>
      <w:r w:rsidR="001A50AD">
        <w:t>revealed some connection with a church’</w:t>
      </w:r>
      <w:r w:rsidR="001A50AD">
        <w:rPr>
          <w:rStyle w:val="FootnoteReference"/>
        </w:rPr>
        <w:footnoteReference w:id="37"/>
      </w:r>
      <w:r w:rsidR="001A50AD">
        <w:t xml:space="preserve"> while spiritualism and New Age practices were further noted regarding their nuanced or overt influence in terms of the findings</w:t>
      </w:r>
      <w:r w:rsidR="001A50AD">
        <w:rPr>
          <w:rStyle w:val="FootnoteReference"/>
        </w:rPr>
        <w:footnoteReference w:id="38"/>
      </w:r>
      <w:r w:rsidR="001A50AD">
        <w:t>.</w:t>
      </w:r>
    </w:p>
    <w:p w14:paraId="05B76886" w14:textId="07A29B3F" w:rsidR="0087292E" w:rsidRDefault="003A4A89" w:rsidP="004D4ED1">
      <w:pPr>
        <w:jc w:val="both"/>
      </w:pPr>
      <w:r>
        <w:t xml:space="preserve">When considering the effects of reincarnation on everyday life, </w:t>
      </w:r>
      <w:r w:rsidR="00397C3F">
        <w:t>Walter and Waterhouse</w:t>
      </w:r>
      <w:r>
        <w:t xml:space="preserve"> point out that belief does not necessarily assume an important role in the morals, activities or values with</w:t>
      </w:r>
      <w:r w:rsidR="00AE1893">
        <w:t>in the respondent’s life</w:t>
      </w:r>
      <w:r w:rsidR="00BC3FED">
        <w:t xml:space="preserve"> and</w:t>
      </w:r>
      <w:r w:rsidR="00CE612D">
        <w:t xml:space="preserve"> assert that reincarnation is seen as ‘part of one’s belief system, but with no great effect on one’s life</w:t>
      </w:r>
      <w:r w:rsidR="00CE612D">
        <w:rPr>
          <w:rStyle w:val="FootnoteReference"/>
        </w:rPr>
        <w:footnoteReference w:id="39"/>
      </w:r>
      <w:r w:rsidR="00CE612D">
        <w:t xml:space="preserve">. </w:t>
      </w:r>
      <w:r w:rsidR="00E73708">
        <w:t xml:space="preserve">As </w:t>
      </w:r>
      <w:r w:rsidR="00397C3F">
        <w:t>Walter and Waterhouse</w:t>
      </w:r>
      <w:r w:rsidR="00E73708">
        <w:t xml:space="preserve"> sum up, belief in reincarnation does not appear to cause an emerging chasm between traditional religious belief</w:t>
      </w:r>
      <w:r w:rsidR="008E20B5">
        <w:t xml:space="preserve">, does </w:t>
      </w:r>
      <w:r w:rsidR="00E73708">
        <w:t>not dispel anachronistic beliefs</w:t>
      </w:r>
      <w:r w:rsidR="00921493">
        <w:t xml:space="preserve"> and h</w:t>
      </w:r>
      <w:r w:rsidR="008E20B5">
        <w:t>as</w:t>
      </w:r>
      <w:r w:rsidR="00726203">
        <w:t xml:space="preserve"> little impact on the mundane activities of life</w:t>
      </w:r>
      <w:r w:rsidR="00726203">
        <w:rPr>
          <w:rStyle w:val="FootnoteReference"/>
        </w:rPr>
        <w:footnoteReference w:id="40"/>
      </w:r>
      <w:r w:rsidR="00726203">
        <w:t>.</w:t>
      </w:r>
    </w:p>
    <w:p w14:paraId="34CE4935" w14:textId="4A328773" w:rsidR="00FD5656" w:rsidRDefault="00726203" w:rsidP="00540346">
      <w:pPr>
        <w:jc w:val="both"/>
      </w:pPr>
      <w:r>
        <w:t xml:space="preserve">A comparison of Bennett with </w:t>
      </w:r>
      <w:r w:rsidR="00397C3F">
        <w:t>Walter and Waterhouse</w:t>
      </w:r>
      <w:r>
        <w:t xml:space="preserve"> will now be given. </w:t>
      </w:r>
      <w:r w:rsidR="00677CCE">
        <w:t xml:space="preserve">As </w:t>
      </w:r>
      <w:r w:rsidR="00397C3F">
        <w:t>Hennink, Hutter and Bailey</w:t>
      </w:r>
      <w:r w:rsidR="00677CCE">
        <w:t xml:space="preserve"> point out, ‘While formatting the research question, the objectives of the research are </w:t>
      </w:r>
      <w:r w:rsidR="00677CCE">
        <w:lastRenderedPageBreak/>
        <w:t>simultaneously identified’</w:t>
      </w:r>
      <w:r w:rsidR="00677CCE">
        <w:rPr>
          <w:rStyle w:val="FootnoteReference"/>
        </w:rPr>
        <w:footnoteReference w:id="41"/>
      </w:r>
      <w:r w:rsidR="00EE65F4">
        <w:t xml:space="preserve"> and taking this into consideration, the methodology employed by the researcher must therefore demonstrate the best possible approach to answering the research problem</w:t>
      </w:r>
      <w:r w:rsidR="00EE65F4">
        <w:rPr>
          <w:rStyle w:val="FootnoteReference"/>
        </w:rPr>
        <w:footnoteReference w:id="42"/>
      </w:r>
      <w:r w:rsidR="00EE65F4">
        <w:t xml:space="preserve">. Having established the research question, Bennett </w:t>
      </w:r>
      <w:r w:rsidR="0012774A">
        <w:t xml:space="preserve">chose </w:t>
      </w:r>
      <w:r w:rsidR="00EE65F4">
        <w:t>methodology suitable for qualitative research</w:t>
      </w:r>
      <w:r w:rsidR="00C67358">
        <w:t>;</w:t>
      </w:r>
      <w:r w:rsidR="00C81FE7">
        <w:t xml:space="preserve"> as</w:t>
      </w:r>
      <w:r w:rsidR="00FD5656">
        <w:t xml:space="preserve"> </w:t>
      </w:r>
      <w:r w:rsidR="00397C3F">
        <w:t>Hennink, Hutter and Bailey</w:t>
      </w:r>
      <w:r w:rsidR="00FD5656">
        <w:t xml:space="preserve"> point</w:t>
      </w:r>
      <w:r w:rsidR="0012774A">
        <w:t xml:space="preserve">s </w:t>
      </w:r>
      <w:r w:rsidR="00FD5656">
        <w:t>out</w:t>
      </w:r>
      <w:r w:rsidR="00EE65F4">
        <w:t xml:space="preserve">, </w:t>
      </w:r>
      <w:r w:rsidR="0012774A">
        <w:t>‘to</w:t>
      </w:r>
      <w:r w:rsidR="00EE65F4">
        <w:t xml:space="preserve"> focus on exploring the </w:t>
      </w:r>
      <w:r w:rsidR="00EE65F4" w:rsidRPr="00291584">
        <w:rPr>
          <w:i/>
          <w:iCs/>
        </w:rPr>
        <w:t>processes</w:t>
      </w:r>
      <w:r w:rsidR="00EE65F4">
        <w:t xml:space="preserve"> </w:t>
      </w:r>
      <w:r w:rsidR="00EE65F4" w:rsidRPr="00291584">
        <w:t>behind behaviour to</w:t>
      </w:r>
      <w:r w:rsidR="00EE65F4">
        <w:rPr>
          <w:i/>
          <w:iCs/>
        </w:rPr>
        <w:t xml:space="preserve"> understand</w:t>
      </w:r>
      <w:r w:rsidR="00EE65F4">
        <w:t xml:space="preserve"> (or </w:t>
      </w:r>
      <w:r w:rsidR="00EE65F4" w:rsidRPr="00291584">
        <w:rPr>
          <w:i/>
          <w:iCs/>
        </w:rPr>
        <w:t>Verstehen</w:t>
      </w:r>
      <w:r w:rsidR="00EE65F4">
        <w:t>)’</w:t>
      </w:r>
      <w:r w:rsidR="00291584">
        <w:rPr>
          <w:rStyle w:val="FootnoteReference"/>
        </w:rPr>
        <w:footnoteReference w:id="43"/>
      </w:r>
      <w:r w:rsidR="00291584">
        <w:t xml:space="preserve">. Acknowledging the research questions </w:t>
      </w:r>
      <w:r w:rsidR="00B21AB0">
        <w:t xml:space="preserve">regarding foreknowledge </w:t>
      </w:r>
      <w:r w:rsidR="00291584">
        <w:t>to be somewhat ‘delicate’ in nature</w:t>
      </w:r>
      <w:r w:rsidR="00291584">
        <w:rPr>
          <w:rStyle w:val="FootnoteReference"/>
        </w:rPr>
        <w:footnoteReference w:id="44"/>
      </w:r>
      <w:r w:rsidR="00291584">
        <w:t xml:space="preserve">, Bennett’s approach, using qualitative methods, is </w:t>
      </w:r>
      <w:r w:rsidR="00FD5656">
        <w:t xml:space="preserve">defined by </w:t>
      </w:r>
      <w:r w:rsidR="00397C3F">
        <w:t>Hennink, Hutter and Bailey</w:t>
      </w:r>
      <w:r w:rsidR="00FD5656">
        <w:t xml:space="preserve"> </w:t>
      </w:r>
      <w:r w:rsidR="00FD5656">
        <w:t xml:space="preserve">as a </w:t>
      </w:r>
      <w:r w:rsidR="00540346">
        <w:t>way ‘</w:t>
      </w:r>
      <w:r w:rsidR="00FD5656">
        <w:t>to understand or explain behaviour and beliefs, identity processes and understand the context of people’s experiences’</w:t>
      </w:r>
      <w:r w:rsidR="00FD5656">
        <w:rPr>
          <w:rStyle w:val="FootnoteReference"/>
        </w:rPr>
        <w:footnoteReference w:id="45"/>
      </w:r>
      <w:r w:rsidR="00B21AB0">
        <w:t xml:space="preserve"> </w:t>
      </w:r>
      <w:r w:rsidR="006F3B3E">
        <w:t>therefore allowing for an understanding of how ‘the women’s social situation and moral code shape the folklore that they share’</w:t>
      </w:r>
      <w:r w:rsidR="006F3B3E">
        <w:rPr>
          <w:rStyle w:val="FootnoteReference"/>
        </w:rPr>
        <w:footnoteReference w:id="46"/>
      </w:r>
      <w:r w:rsidR="006F3B3E">
        <w:t xml:space="preserve">. </w:t>
      </w:r>
    </w:p>
    <w:p w14:paraId="4AE30E29" w14:textId="7277CD0D" w:rsidR="0041290E" w:rsidRPr="00EE65F4" w:rsidRDefault="006F3B3E" w:rsidP="004D4ED1">
      <w:pPr>
        <w:jc w:val="both"/>
      </w:pPr>
      <w:r>
        <w:t xml:space="preserve">This methodological approach is </w:t>
      </w:r>
      <w:r w:rsidR="00531672">
        <w:t>like</w:t>
      </w:r>
      <w:r>
        <w:t xml:space="preserve"> that of </w:t>
      </w:r>
      <w:r w:rsidR="00397C3F">
        <w:t>Walter and Waterhouse</w:t>
      </w:r>
      <w:r>
        <w:t xml:space="preserve"> who explored, ‘what reincarnation means to some of those who believe in it, why they find it attractive and how it relates to other aspects of their life’</w:t>
      </w:r>
      <w:r>
        <w:rPr>
          <w:rStyle w:val="FootnoteReference"/>
        </w:rPr>
        <w:footnoteReference w:id="47"/>
      </w:r>
      <w:r w:rsidR="00531672">
        <w:t xml:space="preserve">. In contrast to Bennett however, </w:t>
      </w:r>
      <w:r w:rsidR="00397C3F">
        <w:t>Walter and Waterhouse</w:t>
      </w:r>
      <w:r w:rsidR="00531672">
        <w:t xml:space="preserve"> used survey data as the basis of their research and used the methodological approach of ‘an intensive interview study of a small number of English people</w:t>
      </w:r>
      <w:r w:rsidR="00531672">
        <w:rPr>
          <w:rStyle w:val="FootnoteReference"/>
        </w:rPr>
        <w:footnoteReference w:id="48"/>
      </w:r>
      <w:r w:rsidR="0012774A">
        <w:t>, seeking</w:t>
      </w:r>
      <w:r w:rsidR="00531672">
        <w:t xml:space="preserve"> to examine the very notions of </w:t>
      </w:r>
      <w:r w:rsidR="00125086">
        <w:t>a belief</w:t>
      </w:r>
      <w:r w:rsidR="00531672">
        <w:t xml:space="preserve"> in reincarnation as well as implications on religious belief and everyday life</w:t>
      </w:r>
      <w:r w:rsidR="008B3813">
        <w:t>.</w:t>
      </w:r>
      <w:r w:rsidR="00531672">
        <w:rPr>
          <w:rStyle w:val="FootnoteReference"/>
        </w:rPr>
        <w:footnoteReference w:id="49"/>
      </w:r>
    </w:p>
    <w:p w14:paraId="53E6A447" w14:textId="0945D9CB" w:rsidR="00320DB5" w:rsidRDefault="00397C3F" w:rsidP="00320DB5">
      <w:pPr>
        <w:jc w:val="both"/>
      </w:pPr>
      <w:r>
        <w:t>Walter and Waterhouse</w:t>
      </w:r>
      <w:r w:rsidR="006E1A8F">
        <w:t>’s methodology is further</w:t>
      </w:r>
      <w:r w:rsidR="00540346">
        <w:t xml:space="preserve"> informed</w:t>
      </w:r>
      <w:r w:rsidR="006E1A8F">
        <w:t xml:space="preserve"> through </w:t>
      </w:r>
      <w:r w:rsidR="00540346">
        <w:t xml:space="preserve">previous </w:t>
      </w:r>
      <w:r w:rsidR="006E1A8F">
        <w:t>primary data sources and the collection and interpretation of the survey data</w:t>
      </w:r>
      <w:r w:rsidR="00611C58">
        <w:t xml:space="preserve"> which posed intriguing questions </w:t>
      </w:r>
      <w:r w:rsidR="005F5B5A">
        <w:t>that required</w:t>
      </w:r>
      <w:r w:rsidR="00611C58">
        <w:t xml:space="preserve"> further in-depth interviews ‘to elicit the meaning of reincarnation</w:t>
      </w:r>
      <w:r w:rsidR="005F5B5A">
        <w:t xml:space="preserve"> to those who believe in it’</w:t>
      </w:r>
      <w:r w:rsidR="005F5B5A">
        <w:rPr>
          <w:rStyle w:val="FootnoteReference"/>
        </w:rPr>
        <w:footnoteReference w:id="50"/>
      </w:r>
      <w:r w:rsidR="005F5B5A">
        <w:t xml:space="preserve">. </w:t>
      </w:r>
      <w:r>
        <w:t>Walter and Waterhouse</w:t>
      </w:r>
      <w:r w:rsidR="00320DB5">
        <w:t xml:space="preserve"> noted that the</w:t>
      </w:r>
      <w:r w:rsidR="00320DB5">
        <w:t xml:space="preserve"> adequate elucidation of what respondents termed as reincarnation was problematic, ‘Many had great difficulty articulating their musings’</w:t>
      </w:r>
      <w:r w:rsidR="00320DB5">
        <w:rPr>
          <w:rStyle w:val="FootnoteReference"/>
        </w:rPr>
        <w:footnoteReference w:id="51"/>
      </w:r>
      <w:r w:rsidR="00320DB5">
        <w:t xml:space="preserve"> and observed that the explanations given, only served to further obfuscate an already esoteric concept</w:t>
      </w:r>
      <w:r w:rsidR="00320DB5">
        <w:rPr>
          <w:rStyle w:val="FootnoteReference"/>
        </w:rPr>
        <w:footnoteReference w:id="52"/>
      </w:r>
      <w:r w:rsidR="00320DB5">
        <w:t>. Therefore, the quantitative use of ‘yes-don’t know-no’ questions</w:t>
      </w:r>
      <w:r w:rsidR="00320DB5">
        <w:rPr>
          <w:rStyle w:val="FootnoteReference"/>
        </w:rPr>
        <w:footnoteReference w:id="53"/>
      </w:r>
      <w:r w:rsidR="00320DB5">
        <w:t xml:space="preserve">, though appearing as incongruent to the nuanced conceptual truth of reincarnation, is a useful strategy utilised by </w:t>
      </w:r>
      <w:r>
        <w:t>Walter and Waterhouse</w:t>
      </w:r>
      <w:r w:rsidR="00320DB5">
        <w:t xml:space="preserve"> to choose respondents who considered reincarnation as a legitimate concept/belief and therefore presented as suitable for interview</w:t>
      </w:r>
      <w:r w:rsidR="00320DB5">
        <w:rPr>
          <w:rStyle w:val="FootnoteReference"/>
        </w:rPr>
        <w:footnoteReference w:id="54"/>
      </w:r>
      <w:r w:rsidR="00320DB5">
        <w:t>.</w:t>
      </w:r>
    </w:p>
    <w:p w14:paraId="23E35083" w14:textId="22A4E684" w:rsidR="0041290E" w:rsidRDefault="00397C3F" w:rsidP="004D4ED1">
      <w:pPr>
        <w:jc w:val="both"/>
      </w:pPr>
      <w:r>
        <w:lastRenderedPageBreak/>
        <w:t>Walter and Waterhouse</w:t>
      </w:r>
      <w:r w:rsidR="00914454">
        <w:t xml:space="preserve"> utilise the mixed method approach, underpinning the research with quantitative surveys to follow further with qualitative, unstructured interviews; Alan Bryman notes the beneficial nature of such an approach, ‘the initial quantitative research allows for a ‘mapping’ of the issue to be addressed and also provides the basis for in-depth qualitative interviewing</w:t>
      </w:r>
      <w:r w:rsidR="008B3813">
        <w:t>.</w:t>
      </w:r>
      <w:r w:rsidR="00914454">
        <w:t>’</w:t>
      </w:r>
      <w:r w:rsidR="00914454">
        <w:rPr>
          <w:rStyle w:val="FootnoteReference"/>
        </w:rPr>
        <w:footnoteReference w:id="55"/>
      </w:r>
      <w:r w:rsidR="008B3813">
        <w:t xml:space="preserve"> Inversely, Bennett favours </w:t>
      </w:r>
      <w:r w:rsidR="0012774A">
        <w:t>a mainly</w:t>
      </w:r>
      <w:r w:rsidR="008B3813">
        <w:t xml:space="preserve"> qualitative approach of narrative interviews to elicit </w:t>
      </w:r>
      <w:r w:rsidR="00AD37FD">
        <w:t>deeper</w:t>
      </w:r>
      <w:r w:rsidR="008B3813">
        <w:t xml:space="preserve"> </w:t>
      </w:r>
      <w:r w:rsidR="00AD37FD">
        <w:t>understanding and the opportunity for the women to ‘cite personal examples.’</w:t>
      </w:r>
      <w:r w:rsidR="00AD37FD">
        <w:rPr>
          <w:rStyle w:val="FootnoteReference"/>
        </w:rPr>
        <w:footnoteReference w:id="56"/>
      </w:r>
      <w:r w:rsidR="00AD37FD">
        <w:t xml:space="preserve"> </w:t>
      </w:r>
      <w:r w:rsidR="009D5A92">
        <w:t>While Bryman notes the favourable technique ‘allows considerable latitude for interviewees</w:t>
      </w:r>
      <w:r w:rsidR="00FB17EA">
        <w:t>’</w:t>
      </w:r>
      <w:r w:rsidR="009D5A92">
        <w:rPr>
          <w:rStyle w:val="FootnoteReference"/>
        </w:rPr>
        <w:footnoteReference w:id="57"/>
      </w:r>
      <w:r w:rsidR="009D5A92">
        <w:t xml:space="preserve">, </w:t>
      </w:r>
      <w:r>
        <w:t>Hennink, Hutter and Bailey</w:t>
      </w:r>
      <w:r w:rsidR="009D5A92">
        <w:t xml:space="preserve"> </w:t>
      </w:r>
      <w:r w:rsidR="00FB17EA">
        <w:t>discuss</w:t>
      </w:r>
      <w:r w:rsidR="009D5A92">
        <w:t xml:space="preserve"> the need to ‘assess the balance between the narrative text and the </w:t>
      </w:r>
      <w:r w:rsidR="00FB17EA">
        <w:t>quotations’</w:t>
      </w:r>
      <w:r w:rsidR="00FB17EA">
        <w:rPr>
          <w:rStyle w:val="FootnoteReference"/>
        </w:rPr>
        <w:footnoteReference w:id="58"/>
      </w:r>
      <w:r w:rsidR="00FB17EA">
        <w:t xml:space="preserve"> and Bennett provides ample quotations to justify the choice of narrative methodology.</w:t>
      </w:r>
      <w:r w:rsidR="00FB17EA">
        <w:rPr>
          <w:rStyle w:val="FootnoteReference"/>
        </w:rPr>
        <w:footnoteReference w:id="59"/>
      </w:r>
    </w:p>
    <w:p w14:paraId="00457F93" w14:textId="56583144" w:rsidR="0041290E" w:rsidRDefault="00397C3F" w:rsidP="004D4ED1">
      <w:pPr>
        <w:jc w:val="both"/>
      </w:pPr>
      <w:r>
        <w:t>Hennink, Hutter and Bailey</w:t>
      </w:r>
      <w:r w:rsidR="00D175DF">
        <w:t xml:space="preserve"> </w:t>
      </w:r>
      <w:r w:rsidR="00AF3C82">
        <w:t xml:space="preserve">further </w:t>
      </w:r>
      <w:r w:rsidR="00D175DF">
        <w:t xml:space="preserve">note that ‘in-depth interviews are thus primarily used when you seek to capture people’s individual </w:t>
      </w:r>
      <w:r w:rsidR="00D175DF" w:rsidRPr="00D175DF">
        <w:rPr>
          <w:i/>
          <w:iCs/>
        </w:rPr>
        <w:t>voices</w:t>
      </w:r>
      <w:r w:rsidR="00D175DF">
        <w:t xml:space="preserve"> and </w:t>
      </w:r>
      <w:r w:rsidR="00D175DF" w:rsidRPr="00D175DF">
        <w:rPr>
          <w:i/>
          <w:iCs/>
        </w:rPr>
        <w:t>stories</w:t>
      </w:r>
      <w:r w:rsidR="00D175DF">
        <w:t>’</w:t>
      </w:r>
      <w:r w:rsidR="00D175DF">
        <w:rPr>
          <w:rStyle w:val="FootnoteReference"/>
        </w:rPr>
        <w:footnoteReference w:id="60"/>
      </w:r>
      <w:r w:rsidR="00D175DF">
        <w:t xml:space="preserve">, and </w:t>
      </w:r>
      <w:r w:rsidR="008D7CF1">
        <w:t>given the nature of Bennett’s research problem, the intimate setting of a treatment room in which a doctor/Bennett’s father</w:t>
      </w:r>
      <w:r w:rsidR="00E616D9">
        <w:t xml:space="preserve"> carried out treatment</w:t>
      </w:r>
      <w:r w:rsidR="00EF6DF7">
        <w:rPr>
          <w:rStyle w:val="FootnoteReference"/>
        </w:rPr>
        <w:footnoteReference w:id="61"/>
      </w:r>
      <w:r w:rsidR="00E616D9">
        <w:t xml:space="preserve">; </w:t>
      </w:r>
      <w:r w:rsidR="008D7CF1">
        <w:t>though private</w:t>
      </w:r>
      <w:r w:rsidR="00EF6DF7">
        <w:t xml:space="preserve"> and ‘conducive to personal conversation’</w:t>
      </w:r>
      <w:r w:rsidR="00EF6DF7">
        <w:rPr>
          <w:rStyle w:val="FootnoteReference"/>
        </w:rPr>
        <w:footnoteReference w:id="62"/>
      </w:r>
      <w:r w:rsidR="008F3CBF">
        <w:t xml:space="preserve">, </w:t>
      </w:r>
      <w:r w:rsidR="008D7CF1">
        <w:t>could pr</w:t>
      </w:r>
      <w:r w:rsidR="008F3CBF">
        <w:t>esent ethical</w:t>
      </w:r>
      <w:r w:rsidR="00EF6DF7">
        <w:t>, bias and confidentiality concerns</w:t>
      </w:r>
      <w:r w:rsidR="00EF6DF7">
        <w:rPr>
          <w:rStyle w:val="FootnoteReference"/>
        </w:rPr>
        <w:footnoteReference w:id="63"/>
      </w:r>
      <w:r w:rsidR="00EF6DF7">
        <w:t xml:space="preserve">. </w:t>
      </w:r>
      <w:r w:rsidR="00E616D9">
        <w:t xml:space="preserve">Moreover, what applies for Bennett further applies to </w:t>
      </w:r>
      <w:r>
        <w:t>Walter and Waterhouse</w:t>
      </w:r>
      <w:r w:rsidR="00E616D9">
        <w:t xml:space="preserve"> and the premise of group interviews and interviewing children as young as eleven</w:t>
      </w:r>
      <w:r w:rsidR="00E616D9">
        <w:rPr>
          <w:rStyle w:val="FootnoteReference"/>
        </w:rPr>
        <w:footnoteReference w:id="64"/>
      </w:r>
      <w:r w:rsidR="00AB2AE5">
        <w:t xml:space="preserve"> could be problematic, as Hayes notes, ‘they may feel socially constrained and not contribute freely to the discussion.’</w:t>
      </w:r>
      <w:r w:rsidR="00AB2AE5">
        <w:rPr>
          <w:rStyle w:val="FootnoteReference"/>
        </w:rPr>
        <w:footnoteReference w:id="65"/>
      </w:r>
    </w:p>
    <w:p w14:paraId="0E74F49F" w14:textId="79E0E5B3" w:rsidR="0041290E" w:rsidRDefault="00D14DB3" w:rsidP="004D4ED1">
      <w:pPr>
        <w:jc w:val="both"/>
      </w:pPr>
      <w:r>
        <w:t xml:space="preserve"> </w:t>
      </w:r>
      <w:r w:rsidR="002C0446">
        <w:t xml:space="preserve">It is further noted that Bennett as well as </w:t>
      </w:r>
      <w:r w:rsidR="00397C3F">
        <w:t>Walter and Waterhouse</w:t>
      </w:r>
      <w:r w:rsidR="002C0446">
        <w:t xml:space="preserve"> adopt the concept of </w:t>
      </w:r>
      <w:r w:rsidR="00E67AF1">
        <w:t xml:space="preserve">Verstehen within their qualitative research; defined by </w:t>
      </w:r>
      <w:r w:rsidR="00397C3F">
        <w:t>Hennink, Hutter and Bailey</w:t>
      </w:r>
      <w:r w:rsidR="00E67AF1">
        <w:t xml:space="preserve"> as ‘understanding the life of the people whom you study from their own perspective, in their own context and describing this using their own words and concepts.’</w:t>
      </w:r>
      <w:r w:rsidR="00E67AF1">
        <w:rPr>
          <w:rStyle w:val="FootnoteReference"/>
        </w:rPr>
        <w:footnoteReference w:id="66"/>
      </w:r>
      <w:r w:rsidR="003E3874">
        <w:t xml:space="preserve"> Though very much an outsider of her research group</w:t>
      </w:r>
      <w:r w:rsidR="003A1559">
        <w:rPr>
          <w:rStyle w:val="FootnoteReference"/>
        </w:rPr>
        <w:footnoteReference w:id="67"/>
      </w:r>
      <w:r w:rsidR="003E3874">
        <w:t xml:space="preserve">, </w:t>
      </w:r>
      <w:r w:rsidR="003A1559">
        <w:t xml:space="preserve">Bennett demonstrates an empathetic understanding of the women interviewed </w:t>
      </w:r>
      <w:r w:rsidR="006B55C2">
        <w:t>and is thus able</w:t>
      </w:r>
      <w:r w:rsidR="003A1559">
        <w:t xml:space="preserve"> to reason their motives and beliefs</w:t>
      </w:r>
      <w:r w:rsidR="003A1559">
        <w:rPr>
          <w:rStyle w:val="FootnoteReference"/>
        </w:rPr>
        <w:footnoteReference w:id="68"/>
      </w:r>
      <w:r w:rsidR="006B55C2">
        <w:t xml:space="preserve"> whilst </w:t>
      </w:r>
      <w:r w:rsidR="00397C3F">
        <w:t>Walter and Waterhouse</w:t>
      </w:r>
      <w:r w:rsidR="006B55C2">
        <w:t xml:space="preserve"> adopt the Verstehen approach in order to ‘elicit </w:t>
      </w:r>
      <w:r w:rsidR="006B55C2">
        <w:lastRenderedPageBreak/>
        <w:t xml:space="preserve">the meaning of reincarnation </w:t>
      </w:r>
      <w:r w:rsidR="00D17C44">
        <w:t>to</w:t>
      </w:r>
      <w:r w:rsidR="006B55C2">
        <w:t xml:space="preserve"> those who believe in it</w:t>
      </w:r>
      <w:r w:rsidR="006B55C2">
        <w:rPr>
          <w:rStyle w:val="FootnoteReference"/>
        </w:rPr>
        <w:footnoteReference w:id="69"/>
      </w:r>
      <w:r w:rsidR="006B55C2">
        <w:t>.’</w:t>
      </w:r>
      <w:r w:rsidR="00D17C44">
        <w:t xml:space="preserve"> This empathetic approach</w:t>
      </w:r>
      <w:r w:rsidR="00647A9D">
        <w:t>, axiomatic with qualitative research methods,</w:t>
      </w:r>
      <w:r w:rsidR="00D17C44">
        <w:t xml:space="preserve"> can be likened to cognitive, empathetic methodology</w:t>
      </w:r>
      <w:r w:rsidR="00D17C44">
        <w:rPr>
          <w:rStyle w:val="FootnoteReference"/>
        </w:rPr>
        <w:footnoteReference w:id="70"/>
      </w:r>
      <w:r w:rsidR="00D17C44">
        <w:t>, where</w:t>
      </w:r>
      <w:r w:rsidR="00647A9D">
        <w:t>in</w:t>
      </w:r>
      <w:r w:rsidR="00D17C44">
        <w:t xml:space="preserve"> the understanding </w:t>
      </w:r>
      <w:r w:rsidR="00647A9D">
        <w:t>of the interviewee’s perspective is understood and recognised within the research</w:t>
      </w:r>
      <w:r w:rsidR="00F212E3">
        <w:rPr>
          <w:rStyle w:val="FootnoteReference"/>
        </w:rPr>
        <w:footnoteReference w:id="71"/>
      </w:r>
    </w:p>
    <w:p w14:paraId="21E0CEE3" w14:textId="0F83306E" w:rsidR="0041290E" w:rsidRDefault="001373B5" w:rsidP="004D4ED1">
      <w:pPr>
        <w:jc w:val="both"/>
      </w:pPr>
      <w:r>
        <w:t>Yet the empathetic approach can present methodological problems when considering the reflexive and subjective stance of the researcher and the qualitative researcher therefore needs to reflect on their own ‘social background, assumptions, positioning and behaviour</w:t>
      </w:r>
      <w:r w:rsidR="00D30AFB">
        <w:t>.’</w:t>
      </w:r>
      <w:r>
        <w:rPr>
          <w:rStyle w:val="FootnoteReference"/>
        </w:rPr>
        <w:footnoteReference w:id="72"/>
      </w:r>
      <w:r w:rsidR="00D30AFB">
        <w:t xml:space="preserve"> When</w:t>
      </w:r>
      <w:r w:rsidR="00C02134">
        <w:t xml:space="preserve"> undertaking her research, Bennett omits any reflexive contemplation on how the </w:t>
      </w:r>
      <w:r w:rsidR="00DA0A3A">
        <w:t>analysis of data gathered</w:t>
      </w:r>
      <w:r w:rsidR="00C02134">
        <w:t xml:space="preserve"> may be filtered through her personal lens</w:t>
      </w:r>
      <w:r w:rsidR="00C02134">
        <w:rPr>
          <w:rStyle w:val="FootnoteReference"/>
        </w:rPr>
        <w:footnoteReference w:id="73"/>
      </w:r>
      <w:r w:rsidR="00C02134">
        <w:t xml:space="preserve"> and additionally, </w:t>
      </w:r>
      <w:r w:rsidR="00397C3F">
        <w:t>Walter and Waterhouse</w:t>
      </w:r>
      <w:r w:rsidR="00DA0A3A">
        <w:t xml:space="preserve"> do not consider any reflexive bias  and </w:t>
      </w:r>
      <w:r w:rsidR="00606EEE">
        <w:t xml:space="preserve">as </w:t>
      </w:r>
      <w:r w:rsidR="00397C3F">
        <w:t>Hennink, Hutter and Bailey</w:t>
      </w:r>
      <w:r w:rsidR="00606EEE">
        <w:t xml:space="preserve"> observe</w:t>
      </w:r>
      <w:r w:rsidR="00C67358">
        <w:t>s</w:t>
      </w:r>
      <w:r w:rsidR="00606EEE">
        <w:t xml:space="preserve">, </w:t>
      </w:r>
      <w:r w:rsidR="00DA0A3A">
        <w:t xml:space="preserve"> this may lead to a subjective interpretation of data, ‘researchers also bring their subjective influences to the research process particularly during data collection and interpretation.’</w:t>
      </w:r>
      <w:r w:rsidR="00DA0A3A">
        <w:rPr>
          <w:rStyle w:val="FootnoteReference"/>
        </w:rPr>
        <w:footnoteReference w:id="74"/>
      </w:r>
    </w:p>
    <w:p w14:paraId="2E30251F" w14:textId="508401F0" w:rsidR="0041290E" w:rsidRDefault="00DA0A3A" w:rsidP="004D4ED1">
      <w:pPr>
        <w:jc w:val="both"/>
      </w:pPr>
      <w:r>
        <w:t>As an outside</w:t>
      </w:r>
      <w:r w:rsidR="00AD2839">
        <w:t>r</w:t>
      </w:r>
      <w:r>
        <w:t xml:space="preserve"> and moreover, from an e</w:t>
      </w:r>
      <w:r w:rsidR="002E2A94">
        <w:t>tic</w:t>
      </w:r>
      <w:r>
        <w:t xml:space="preserve"> perspective</w:t>
      </w:r>
      <w:r w:rsidR="002E2A94">
        <w:t xml:space="preserve"> that is situated within a realist perspective to describe differences across cultures</w:t>
      </w:r>
      <w:r w:rsidR="002E2A94">
        <w:rPr>
          <w:rStyle w:val="FootnoteReference"/>
        </w:rPr>
        <w:footnoteReference w:id="75"/>
      </w:r>
      <w:r w:rsidR="005D7E40">
        <w:t xml:space="preserve">, </w:t>
      </w:r>
      <w:r>
        <w:t xml:space="preserve">Bennett </w:t>
      </w:r>
      <w:r w:rsidR="00AD2839">
        <w:t>presents ‘these women’</w:t>
      </w:r>
      <w:r w:rsidR="00C57949">
        <w:rPr>
          <w:rStyle w:val="FootnoteReference"/>
        </w:rPr>
        <w:footnoteReference w:id="76"/>
      </w:r>
      <w:r w:rsidR="003B357C">
        <w:t>,</w:t>
      </w:r>
      <w:r w:rsidR="00AD2839">
        <w:t xml:space="preserve"> </w:t>
      </w:r>
      <w:r w:rsidR="003B357C">
        <w:t>though living in the same suburban area</w:t>
      </w:r>
      <w:r w:rsidR="00812CE7">
        <w:t>,</w:t>
      </w:r>
      <w:r w:rsidR="003B357C">
        <w:t xml:space="preserve"> </w:t>
      </w:r>
      <w:r w:rsidR="00C57949">
        <w:t>as older and</w:t>
      </w:r>
      <w:r w:rsidR="003B357C">
        <w:t xml:space="preserve"> inhabiting disparate worlds of thoughts and beliefs</w:t>
      </w:r>
      <w:r w:rsidR="00C57949">
        <w:rPr>
          <w:rStyle w:val="FootnoteReference"/>
        </w:rPr>
        <w:footnoteReference w:id="77"/>
      </w:r>
      <w:r w:rsidR="00812CE7">
        <w:t>. Qualiative research is fundamentally o</w:t>
      </w:r>
      <w:r w:rsidR="006A7C98">
        <w:t>p</w:t>
      </w:r>
      <w:r w:rsidR="00812CE7">
        <w:t xml:space="preserve">en to interpretation and a lack of introspection regarding the researcher’s </w:t>
      </w:r>
      <w:r w:rsidR="00BF60BF">
        <w:t>role as an outsider can lead to bias subjectivity</w:t>
      </w:r>
      <w:r w:rsidR="00BF60BF">
        <w:rPr>
          <w:rStyle w:val="FootnoteReference"/>
        </w:rPr>
        <w:footnoteReference w:id="78"/>
      </w:r>
      <w:r w:rsidR="00BF60BF">
        <w:t xml:space="preserve">. </w:t>
      </w:r>
      <w:r w:rsidR="00BE423D">
        <w:t xml:space="preserve"> As the research subject for Bennett as well as </w:t>
      </w:r>
      <w:r w:rsidR="00397C3F">
        <w:t>Walter and Waterhouse</w:t>
      </w:r>
      <w:r w:rsidR="00BE423D">
        <w:t xml:space="preserve"> </w:t>
      </w:r>
      <w:r w:rsidR="00A31387">
        <w:t>concern</w:t>
      </w:r>
      <w:r w:rsidR="00C67358">
        <w:t>s</w:t>
      </w:r>
      <w:r w:rsidR="00BE423D">
        <w:t xml:space="preserve"> </w:t>
      </w:r>
      <w:r w:rsidR="00EF7CE0">
        <w:t>esoteric topics</w:t>
      </w:r>
      <w:r w:rsidR="00BE423D">
        <w:t xml:space="preserve">, an ontological awareness </w:t>
      </w:r>
      <w:r w:rsidR="00EF7CE0">
        <w:t>that reality is subjective and can provide varying beliefs is necessary</w:t>
      </w:r>
      <w:r w:rsidR="00A31387">
        <w:t xml:space="preserve">, </w:t>
      </w:r>
      <w:r w:rsidR="003B0D5C">
        <w:t xml:space="preserve">as Creswell and Path point out </w:t>
      </w:r>
      <w:r w:rsidR="00A31387">
        <w:t>‘…ontology, epistemology, rhetorical and methodological assumptions. T</w:t>
      </w:r>
      <w:r w:rsidR="00EF7CE0">
        <w:t>he qualitative researcher chooses a stance on eac</w:t>
      </w:r>
      <w:r w:rsidR="00A31387">
        <w:t>h</w:t>
      </w:r>
      <w:r w:rsidR="00C72036">
        <w:t xml:space="preserve"> </w:t>
      </w:r>
      <w:r w:rsidR="00A31387">
        <w:t>of these assumptions</w:t>
      </w:r>
      <w:r w:rsidR="00C72036">
        <w:t>’</w:t>
      </w:r>
      <w:r w:rsidR="00C72036">
        <w:rPr>
          <w:rStyle w:val="FootnoteReference"/>
        </w:rPr>
        <w:footnoteReference w:id="79"/>
      </w:r>
      <w:r w:rsidR="00C72036">
        <w:t xml:space="preserve">. </w:t>
      </w:r>
      <w:r w:rsidR="0089415B">
        <w:t xml:space="preserve">Bennett adopts an ontological assumption, allowing the differing perspectives to form new findings in her research and to allow the women a voice to express their nature of reality through the </w:t>
      </w:r>
      <w:r w:rsidR="0019456A">
        <w:t xml:space="preserve">frequent </w:t>
      </w:r>
      <w:r w:rsidR="0089415B">
        <w:t>use of quotes</w:t>
      </w:r>
      <w:r w:rsidR="0089415B">
        <w:rPr>
          <w:rStyle w:val="FootnoteReference"/>
        </w:rPr>
        <w:footnoteReference w:id="80"/>
      </w:r>
      <w:r w:rsidR="0089415B">
        <w:t xml:space="preserve">. </w:t>
      </w:r>
      <w:r w:rsidR="0019456A">
        <w:t xml:space="preserve">Bennett’s own ontological positioning is not </w:t>
      </w:r>
      <w:r w:rsidR="008844AB">
        <w:t>discussed,</w:t>
      </w:r>
      <w:r w:rsidR="0019456A">
        <w:t xml:space="preserve"> </w:t>
      </w:r>
      <w:r w:rsidR="00E75FD8">
        <w:t>and a</w:t>
      </w:r>
      <w:r w:rsidR="0019456A">
        <w:t xml:space="preserve"> </w:t>
      </w:r>
      <w:r w:rsidR="0019456A">
        <w:lastRenderedPageBreak/>
        <w:t xml:space="preserve">reflexive account would clarify </w:t>
      </w:r>
      <w:r w:rsidR="00E75FD8">
        <w:t>her etic</w:t>
      </w:r>
      <w:r w:rsidR="008635F6">
        <w:t>,</w:t>
      </w:r>
      <w:r w:rsidR="00E75FD8">
        <w:t xml:space="preserve"> ontological position as an outsider of the group and the extent to which a detachment from the beliefs and prejudices of the group could be realised</w:t>
      </w:r>
      <w:r w:rsidR="00E75FD8">
        <w:rPr>
          <w:rStyle w:val="FootnoteReference"/>
        </w:rPr>
        <w:footnoteReference w:id="81"/>
      </w:r>
      <w:r w:rsidR="00CF68EC">
        <w:t>.</w:t>
      </w:r>
    </w:p>
    <w:p w14:paraId="2053D568" w14:textId="01935689" w:rsidR="009E5B61" w:rsidRDefault="00CF68EC" w:rsidP="004D4ED1">
      <w:pPr>
        <w:jc w:val="both"/>
      </w:pPr>
      <w:r>
        <w:t xml:space="preserve">Likewise, </w:t>
      </w:r>
      <w:r w:rsidR="00397C3F">
        <w:t>Walter and Waterhouse</w:t>
      </w:r>
      <w:r>
        <w:t xml:space="preserve"> </w:t>
      </w:r>
      <w:r w:rsidR="009E5B61">
        <w:t>are outside researchers in respect to their research on reincarnation</w:t>
      </w:r>
      <w:r w:rsidR="009E5B61">
        <w:rPr>
          <w:rStyle w:val="FootnoteReference"/>
        </w:rPr>
        <w:footnoteReference w:id="82"/>
      </w:r>
      <w:r w:rsidR="009E5B61">
        <w:t xml:space="preserve"> though, like Bennett they belong to the same </w:t>
      </w:r>
      <w:r w:rsidR="00046235">
        <w:t xml:space="preserve">cultural group. Neither Bennett nor </w:t>
      </w:r>
      <w:r w:rsidR="00397C3F">
        <w:t>Walter and Waterhouse</w:t>
      </w:r>
      <w:r w:rsidR="00046235">
        <w:t xml:space="preserve"> discuss their status as an outsider of the group or the associated problems of reflexivity</w:t>
      </w:r>
      <w:r w:rsidR="00321472">
        <w:t xml:space="preserve">, however they do not express their own shared experiences, beliefs or their own perspective when reporting on the findings. Bennett states that her father belongs to the same suburban community in which she conducts her research </w:t>
      </w:r>
      <w:r w:rsidR="00321472">
        <w:rPr>
          <w:rStyle w:val="FootnoteReference"/>
        </w:rPr>
        <w:footnoteReference w:id="83"/>
      </w:r>
      <w:r w:rsidR="003E11FF">
        <w:t xml:space="preserve"> and Anzul, Ely, Friedman, Garner and Steinmetz note the importance of conducting qualitative research within a familiar social group in terms of trustworthiness</w:t>
      </w:r>
      <w:r w:rsidR="003E11FF">
        <w:rPr>
          <w:rStyle w:val="FootnoteReference"/>
        </w:rPr>
        <w:footnoteReference w:id="84"/>
      </w:r>
      <w:r w:rsidR="00015CCA">
        <w:t xml:space="preserve">. </w:t>
      </w:r>
    </w:p>
    <w:p w14:paraId="678788DA" w14:textId="280F768B" w:rsidR="009E5B61" w:rsidRDefault="00EE5F30" w:rsidP="004D4ED1">
      <w:pPr>
        <w:jc w:val="both"/>
      </w:pPr>
      <w:r>
        <w:t xml:space="preserve">In regard to the literature review, Creswell </w:t>
      </w:r>
      <w:r w:rsidR="0063190C">
        <w:t xml:space="preserve">points out </w:t>
      </w:r>
      <w:r>
        <w:t>the necessity to inform the reader of relevant, comparable studies to the research</w:t>
      </w:r>
      <w:r>
        <w:rPr>
          <w:rStyle w:val="FootnoteReference"/>
        </w:rPr>
        <w:footnoteReference w:id="85"/>
      </w:r>
      <w:r w:rsidR="002E75B0">
        <w:t xml:space="preserve"> whilst Chris Hart notes that ‘without it, you will not acquire an understanding of your topic’</w:t>
      </w:r>
      <w:r w:rsidR="002E75B0">
        <w:rPr>
          <w:rStyle w:val="FootnoteReference"/>
        </w:rPr>
        <w:footnoteReference w:id="86"/>
      </w:r>
      <w:r w:rsidR="0063190C">
        <w:t xml:space="preserve"> and therefore the literature review informs and directs the research. </w:t>
      </w:r>
    </w:p>
    <w:p w14:paraId="6FFFCE2C" w14:textId="7ACB6E66" w:rsidR="0041290E" w:rsidRDefault="006F394C" w:rsidP="004D4ED1">
      <w:pPr>
        <w:jc w:val="both"/>
      </w:pPr>
      <w:r>
        <w:t>Seeking to add to existing data regarding ‘people who take seriously the possibility of reincarnation’</w:t>
      </w:r>
      <w:r>
        <w:rPr>
          <w:rStyle w:val="FootnoteReference"/>
        </w:rPr>
        <w:footnoteReference w:id="87"/>
      </w:r>
      <w:r>
        <w:t xml:space="preserve">, </w:t>
      </w:r>
      <w:r w:rsidR="00397C3F">
        <w:t>Walter and Waterhouse</w:t>
      </w:r>
      <w:r w:rsidR="00BD5F9E">
        <w:t xml:space="preserve"> looked to build upon previous data indicating an increasing prevalence regarding reincarnation belief within Western society and particularly in the context of orthodox, Christian belief</w:t>
      </w:r>
      <w:r w:rsidR="00BD5F9E">
        <w:rPr>
          <w:rStyle w:val="FootnoteReference"/>
        </w:rPr>
        <w:footnoteReference w:id="88"/>
      </w:r>
      <w:r w:rsidR="00BD5F9E">
        <w:t>.</w:t>
      </w:r>
      <w:r w:rsidR="00FD5656">
        <w:t xml:space="preserve"> </w:t>
      </w:r>
      <w:r w:rsidR="00FD5656">
        <w:t xml:space="preserve">Quantitative data provided by </w:t>
      </w:r>
      <w:r w:rsidR="00397C3F">
        <w:t>Walter and Waterhouse</w:t>
      </w:r>
      <w:r w:rsidR="00FD5656">
        <w:t xml:space="preserve"> through primary source data is therefore disanalogous to Bennett for whom, the methodological underpinning of research consist of insights into the historical elucidation of foreknowledge that necessitate qualitative research to gain an understanding of modern-day folklore in terms of moral and societal obligations.</w:t>
      </w:r>
      <w:r w:rsidR="00FD5656">
        <w:rPr>
          <w:rStyle w:val="FootnoteReference"/>
        </w:rPr>
        <w:footnoteReference w:id="89"/>
      </w:r>
    </w:p>
    <w:p w14:paraId="48803E2E" w14:textId="5454BAE9" w:rsidR="006812E7" w:rsidRDefault="006812E7" w:rsidP="006812E7">
      <w:pPr>
        <w:jc w:val="both"/>
      </w:pPr>
      <w:r>
        <w:t>Jeffrey Knopf considers the benefit of moving away from ‘the traditional literature’ that focuses on academic books and articles, looking at alternative sources such as survey data to provide the relevant information</w:t>
      </w:r>
      <w:r>
        <w:rPr>
          <w:rStyle w:val="FootnoteReference"/>
        </w:rPr>
        <w:footnoteReference w:id="90"/>
      </w:r>
      <w:r>
        <w:t xml:space="preserve">. After all, as Creswell notes, ‘in mixed methods research, the use of literature will depend on the type of strategy of inquiry and the weight given to qualitative or quantitative </w:t>
      </w:r>
      <w:r>
        <w:rPr>
          <w:rStyle w:val="FootnoteReference"/>
        </w:rPr>
        <w:footnoteReference w:id="91"/>
      </w:r>
      <w:r>
        <w:t xml:space="preserve">research </w:t>
      </w:r>
      <w:r>
        <w:lastRenderedPageBreak/>
        <w:t xml:space="preserve">in the study’. Therefore, looking at previous surveys is a valuable tool in establishing previous and contemporary belief patterns in reincarnation and thus enables </w:t>
      </w:r>
      <w:r w:rsidR="00397C3F">
        <w:t>Walter and Waterhouse</w:t>
      </w:r>
      <w:r>
        <w:t xml:space="preserve"> to determine the questions and relevant groups to use for interview and questionnaires</w:t>
      </w:r>
      <w:r>
        <w:rPr>
          <w:rStyle w:val="FootnoteReference"/>
        </w:rPr>
        <w:footnoteReference w:id="92"/>
      </w:r>
      <w:r>
        <w:t xml:space="preserve">. </w:t>
      </w:r>
    </w:p>
    <w:p w14:paraId="346624A5" w14:textId="3F66B4AE" w:rsidR="00BD5F9E" w:rsidRDefault="00BD5F9E" w:rsidP="004D4ED1">
      <w:pPr>
        <w:jc w:val="both"/>
      </w:pPr>
      <w:r>
        <w:t>For Bennett, looking at the historical context of foreknowledge and tracing its development to modern times</w:t>
      </w:r>
      <w:r w:rsidR="0080070B">
        <w:t>, brought forth the necessary knowledge concerning the progression of the concept throughout the centuries</w:t>
      </w:r>
      <w:r w:rsidR="0080070B">
        <w:rPr>
          <w:rStyle w:val="FootnoteReference"/>
        </w:rPr>
        <w:footnoteReference w:id="93"/>
      </w:r>
      <w:r w:rsidR="00DA7EE2">
        <w:t>. Marcus Collins and Peter Stearns identifies history as ‘a vehicle through which the field can reflect on our own practices’</w:t>
      </w:r>
      <w:r w:rsidR="00DA7EE2">
        <w:rPr>
          <w:rStyle w:val="FootnoteReference"/>
        </w:rPr>
        <w:footnoteReference w:id="94"/>
      </w:r>
      <w:r w:rsidR="00F471D9">
        <w:t xml:space="preserve"> whilst </w:t>
      </w:r>
      <w:r w:rsidR="006230EC">
        <w:t>Barbara Lawrence postulates on the benefits of looking through a historical lens</w:t>
      </w:r>
      <w:r w:rsidR="006230EC">
        <w:rPr>
          <w:rStyle w:val="FootnoteReference"/>
        </w:rPr>
        <w:footnoteReference w:id="95"/>
      </w:r>
      <w:r w:rsidR="00B205BA">
        <w:t>.</w:t>
      </w:r>
    </w:p>
    <w:p w14:paraId="53699EF2" w14:textId="30D81158" w:rsidR="0041290E" w:rsidRDefault="00D041C8" w:rsidP="004D4ED1">
      <w:pPr>
        <w:jc w:val="both"/>
      </w:pPr>
      <w:r>
        <w:t xml:space="preserve">To sum up, the evidence suggests </w:t>
      </w:r>
      <w:r w:rsidR="002719B4">
        <w:t xml:space="preserve">that </w:t>
      </w:r>
      <w:r>
        <w:t xml:space="preserve">though analogous </w:t>
      </w:r>
      <w:r w:rsidR="00CC6B4D">
        <w:t>when considering the theoretical frameworks</w:t>
      </w:r>
      <w:r>
        <w:t xml:space="preserve"> to their research problems, Bennett considers the divergent views regarding foreknowledge and divination through qualitative research and postulating a brief historical context to underpin the research problem whereas </w:t>
      </w:r>
      <w:r w:rsidR="00397C3F">
        <w:t>Walter and Waterhouse</w:t>
      </w:r>
      <w:r>
        <w:t xml:space="preserve"> </w:t>
      </w:r>
      <w:r w:rsidR="00207186">
        <w:t xml:space="preserve">apply both quantitative and qualitative approaches within their </w:t>
      </w:r>
      <w:r w:rsidR="00264DFA">
        <w:t>methodology</w:t>
      </w:r>
      <w:r w:rsidR="00207186">
        <w:t xml:space="preserve"> and draw on previous survey data to </w:t>
      </w:r>
      <w:r w:rsidR="00264DFA">
        <w:t>predicate the outcomes of their research</w:t>
      </w:r>
    </w:p>
    <w:p w14:paraId="582C9610" w14:textId="584D3E53" w:rsidR="0046175F" w:rsidRDefault="00264DFA" w:rsidP="004D4ED1">
      <w:pPr>
        <w:jc w:val="both"/>
      </w:pPr>
      <w:r w:rsidRPr="00264DFA">
        <w:t>As expressed</w:t>
      </w:r>
      <w:r>
        <w:t xml:space="preserve">, Bennett as well as </w:t>
      </w:r>
      <w:r w:rsidR="00397C3F">
        <w:t>Walter and Waterhouse</w:t>
      </w:r>
      <w:r>
        <w:t xml:space="preserve"> apply qualitative methodological approaches including semi structured interviews within their </w:t>
      </w:r>
      <w:r w:rsidR="003249B5">
        <w:t>research, unpacking</w:t>
      </w:r>
      <w:r>
        <w:t xml:space="preserve"> and interpreting the data received</w:t>
      </w:r>
      <w:r w:rsidR="002A50C0">
        <w:t xml:space="preserve">, </w:t>
      </w:r>
      <w:r>
        <w:t xml:space="preserve">yet </w:t>
      </w:r>
      <w:r w:rsidR="003249B5">
        <w:t>a</w:t>
      </w:r>
      <w:r>
        <w:t xml:space="preserve"> reflexive </w:t>
      </w:r>
      <w:r w:rsidR="002A50C0">
        <w:t xml:space="preserve">account </w:t>
      </w:r>
      <w:r>
        <w:t xml:space="preserve">would prove useful </w:t>
      </w:r>
      <w:r w:rsidR="002A50C0">
        <w:t xml:space="preserve">to discern the impact of their empathetic and subjective biases regarding the phenomenal and emotional world of their research.  </w:t>
      </w:r>
    </w:p>
    <w:p w14:paraId="70F512D9" w14:textId="04E10453" w:rsidR="003249B5" w:rsidRDefault="003249B5" w:rsidP="004D4ED1">
      <w:pPr>
        <w:jc w:val="both"/>
      </w:pPr>
    </w:p>
    <w:p w14:paraId="476F906F" w14:textId="1E04D994" w:rsidR="003249B5" w:rsidRDefault="003249B5" w:rsidP="004D4ED1">
      <w:pPr>
        <w:jc w:val="both"/>
      </w:pPr>
    </w:p>
    <w:p w14:paraId="3B1BC1C8" w14:textId="32E5E648" w:rsidR="003249B5" w:rsidRDefault="003249B5" w:rsidP="004D4ED1">
      <w:pPr>
        <w:jc w:val="both"/>
      </w:pPr>
    </w:p>
    <w:p w14:paraId="38C01CB7" w14:textId="3D1A7A0A" w:rsidR="003249B5" w:rsidRDefault="003249B5" w:rsidP="004D4ED1">
      <w:pPr>
        <w:jc w:val="both"/>
      </w:pPr>
    </w:p>
    <w:p w14:paraId="3BC89824" w14:textId="198173FF" w:rsidR="003249B5" w:rsidRDefault="003249B5" w:rsidP="004D4ED1">
      <w:pPr>
        <w:jc w:val="both"/>
      </w:pPr>
    </w:p>
    <w:p w14:paraId="164BCC17" w14:textId="74E148A6" w:rsidR="003249B5" w:rsidRDefault="003249B5" w:rsidP="004D4ED1">
      <w:pPr>
        <w:jc w:val="both"/>
      </w:pPr>
    </w:p>
    <w:p w14:paraId="01ACEE49" w14:textId="623E223C" w:rsidR="003249B5" w:rsidRDefault="003249B5" w:rsidP="004D4ED1">
      <w:pPr>
        <w:jc w:val="both"/>
      </w:pPr>
    </w:p>
    <w:p w14:paraId="04B44F17" w14:textId="144AD011" w:rsidR="003249B5" w:rsidRDefault="003249B5" w:rsidP="004D4ED1">
      <w:pPr>
        <w:jc w:val="both"/>
      </w:pPr>
    </w:p>
    <w:p w14:paraId="151CE42F" w14:textId="106AA7E8" w:rsidR="003249B5" w:rsidRDefault="003249B5" w:rsidP="004D4ED1">
      <w:pPr>
        <w:jc w:val="both"/>
      </w:pPr>
    </w:p>
    <w:p w14:paraId="66B83809" w14:textId="444A996B" w:rsidR="003249B5" w:rsidRDefault="003249B5" w:rsidP="004D4ED1">
      <w:pPr>
        <w:jc w:val="both"/>
      </w:pPr>
    </w:p>
    <w:p w14:paraId="7CEC8A24" w14:textId="197C72FA" w:rsidR="003249B5" w:rsidRDefault="003249B5" w:rsidP="004D4ED1">
      <w:pPr>
        <w:jc w:val="both"/>
      </w:pPr>
    </w:p>
    <w:p w14:paraId="5653A9E0" w14:textId="62A8D409" w:rsidR="003249B5" w:rsidRDefault="003249B5" w:rsidP="004D4ED1">
      <w:pPr>
        <w:jc w:val="both"/>
      </w:pPr>
    </w:p>
    <w:p w14:paraId="27E1820D" w14:textId="15A9597B" w:rsidR="003249B5" w:rsidRDefault="003249B5" w:rsidP="004D4ED1">
      <w:pPr>
        <w:jc w:val="both"/>
        <w:rPr>
          <w:b/>
          <w:bCs/>
          <w:u w:val="single"/>
        </w:rPr>
      </w:pPr>
      <w:r w:rsidRPr="003249B5">
        <w:rPr>
          <w:b/>
          <w:bCs/>
          <w:u w:val="single"/>
        </w:rPr>
        <w:t>Bibliography</w:t>
      </w:r>
    </w:p>
    <w:p w14:paraId="61E06804" w14:textId="790349E6" w:rsidR="00765F79" w:rsidRDefault="00765F79" w:rsidP="00765F79">
      <w:pPr>
        <w:pStyle w:val="FootnoteText"/>
      </w:pPr>
      <w:r>
        <w:t>Anzul, Margaret, Ely,</w:t>
      </w:r>
      <w:r w:rsidRPr="009A2D99">
        <w:t xml:space="preserve"> </w:t>
      </w:r>
      <w:r>
        <w:t>Margot, Freidman, Teri, Garner,</w:t>
      </w:r>
      <w:r w:rsidRPr="009A2D99">
        <w:t xml:space="preserve"> </w:t>
      </w:r>
      <w:r>
        <w:t xml:space="preserve">Diane and McCormack-Steinmetz, Ann, </w:t>
      </w:r>
      <w:r>
        <w:rPr>
          <w:i/>
          <w:iCs/>
        </w:rPr>
        <w:t>Doing Qualitative Research: Circles Within Circles</w:t>
      </w:r>
      <w:r>
        <w:t>, (London: Routledge, 1991)</w:t>
      </w:r>
    </w:p>
    <w:p w14:paraId="0E3704B4" w14:textId="77777777" w:rsidR="00765F79" w:rsidRDefault="00765F79" w:rsidP="00765F79">
      <w:pPr>
        <w:pStyle w:val="FootnoteText"/>
      </w:pPr>
    </w:p>
    <w:p w14:paraId="54D91414" w14:textId="66EE27A3" w:rsidR="00EC58A4" w:rsidRDefault="00EC58A4" w:rsidP="00EC58A4">
      <w:pPr>
        <w:pStyle w:val="FootnoteText"/>
      </w:pPr>
      <w:r>
        <w:t xml:space="preserve">Amberley Publishing, </w:t>
      </w:r>
      <w:r w:rsidRPr="009966D9">
        <w:t>Transport, Military, Local and General History,</w:t>
      </w:r>
      <w:r>
        <w:rPr>
          <w:i/>
          <w:iCs/>
        </w:rPr>
        <w:t xml:space="preserve"> Gillian Bennett</w:t>
      </w:r>
      <w:r>
        <w:t xml:space="preserve">, (2020), </w:t>
      </w:r>
      <w:hyperlink r:id="rId8" w:history="1">
        <w:r w:rsidRPr="00953764">
          <w:rPr>
            <w:rStyle w:val="Hyperlink"/>
          </w:rPr>
          <w:t>https://www.amberley-books.com/author-community-main-page/b/gillian-bennett.html</w:t>
        </w:r>
      </w:hyperlink>
    </w:p>
    <w:p w14:paraId="250408AF" w14:textId="77777777" w:rsidR="00EC58A4" w:rsidRDefault="00EC58A4" w:rsidP="00EC58A4">
      <w:pPr>
        <w:pStyle w:val="FootnoteText"/>
      </w:pPr>
    </w:p>
    <w:p w14:paraId="618BAEA8" w14:textId="430F2733" w:rsidR="00EC58A4" w:rsidRDefault="00EC58A4" w:rsidP="00EC58A4">
      <w:pPr>
        <w:pStyle w:val="FootnoteText"/>
        <w:rPr>
          <w:i/>
          <w:iCs/>
        </w:rPr>
      </w:pPr>
      <w:r>
        <w:t xml:space="preserve">Beaumont, John, </w:t>
      </w:r>
      <w:r>
        <w:rPr>
          <w:i/>
          <w:iCs/>
        </w:rPr>
        <w:t xml:space="preserve">An Historical Physiological and Theological Treatise of Spirits, Apparitions, Witchcrafts and Other Magical Practices, (London: D. Browne, 1705) </w:t>
      </w:r>
    </w:p>
    <w:p w14:paraId="375F9E0E" w14:textId="77777777" w:rsidR="00EC58A4" w:rsidRDefault="00EC58A4" w:rsidP="00EC58A4">
      <w:pPr>
        <w:pStyle w:val="FootnoteText"/>
        <w:rPr>
          <w:i/>
          <w:iCs/>
        </w:rPr>
      </w:pPr>
    </w:p>
    <w:p w14:paraId="53F6EDD7" w14:textId="77777777" w:rsidR="00EC58A4" w:rsidRDefault="00EC58A4" w:rsidP="00EC58A4">
      <w:pPr>
        <w:spacing w:after="0"/>
        <w:rPr>
          <w:sz w:val="20"/>
          <w:szCs w:val="20"/>
        </w:rPr>
      </w:pPr>
      <w:r w:rsidRPr="00D14DB3">
        <w:rPr>
          <w:sz w:val="20"/>
          <w:szCs w:val="20"/>
        </w:rPr>
        <w:t xml:space="preserve">Bell, </w:t>
      </w:r>
      <w:r>
        <w:rPr>
          <w:sz w:val="20"/>
          <w:szCs w:val="20"/>
        </w:rPr>
        <w:t xml:space="preserve">Judith, </w:t>
      </w:r>
      <w:r w:rsidRPr="00D14DB3">
        <w:rPr>
          <w:i/>
          <w:iCs/>
          <w:sz w:val="20"/>
          <w:szCs w:val="20"/>
        </w:rPr>
        <w:t>Doing Your Research Project</w:t>
      </w:r>
      <w:r w:rsidRPr="00D14DB3">
        <w:rPr>
          <w:sz w:val="20"/>
          <w:szCs w:val="20"/>
        </w:rPr>
        <w:t>, 4th Edition, (Glasgow: Open University Press, 2009</w:t>
      </w:r>
      <w:r>
        <w:rPr>
          <w:sz w:val="20"/>
          <w:szCs w:val="20"/>
        </w:rPr>
        <w:t>)</w:t>
      </w:r>
    </w:p>
    <w:p w14:paraId="1C3418D5" w14:textId="77777777" w:rsidR="00EC58A4" w:rsidRDefault="00EC58A4" w:rsidP="00EC58A4">
      <w:pPr>
        <w:pStyle w:val="FootnoteText"/>
      </w:pPr>
    </w:p>
    <w:p w14:paraId="251289AE" w14:textId="5973938C" w:rsidR="00EC58A4" w:rsidRDefault="00EC58A4" w:rsidP="00EC58A4">
      <w:pPr>
        <w:pStyle w:val="FootnoteText"/>
      </w:pPr>
      <w:r>
        <w:t xml:space="preserve">Bennett, Gillian ‘Editorial’, </w:t>
      </w:r>
      <w:r>
        <w:rPr>
          <w:i/>
          <w:iCs/>
        </w:rPr>
        <w:t>Folklore</w:t>
      </w:r>
      <w:r>
        <w:t xml:space="preserve">, vol. 105, Folklore Enterprises, (Taylor &amp; Francis Ltd., 1994) </w:t>
      </w:r>
    </w:p>
    <w:p w14:paraId="0339E96A" w14:textId="77777777" w:rsidR="00EC58A4" w:rsidRDefault="00EC58A4" w:rsidP="00AF3C82">
      <w:pPr>
        <w:pStyle w:val="FootnoteText"/>
      </w:pPr>
    </w:p>
    <w:p w14:paraId="059D66C1" w14:textId="59EB2CCD" w:rsidR="00AF3C82" w:rsidRDefault="00AF3C82" w:rsidP="00AF3C82">
      <w:pPr>
        <w:pStyle w:val="FootnoteText"/>
      </w:pPr>
      <w:r>
        <w:t>Bennett,</w:t>
      </w:r>
      <w:r w:rsidRPr="00AF3C82">
        <w:t xml:space="preserve"> </w:t>
      </w:r>
      <w:r>
        <w:t xml:space="preserve">Gillian </w:t>
      </w:r>
      <w:r>
        <w:rPr>
          <w:i/>
          <w:iCs/>
        </w:rPr>
        <w:t xml:space="preserve">“If I Knew You Were Coming, I’d Have Baked a Cake”: The Folklore of Foreknowledge in a Neighborhood Group, </w:t>
      </w:r>
      <w:r>
        <w:t xml:space="preserve">In </w:t>
      </w:r>
      <w:r w:rsidR="00262728">
        <w:t>‘</w:t>
      </w:r>
      <w:r>
        <w:t>Out of the Ordinary: Folklore and the Supernatural</w:t>
      </w:r>
      <w:r w:rsidR="00262728">
        <w:t>’</w:t>
      </w:r>
      <w:r>
        <w:t>, edited by Barbara Walker, Logan, (Utah: Utah University Press, 1995</w:t>
      </w:r>
      <w:r>
        <w:t>)</w:t>
      </w:r>
    </w:p>
    <w:p w14:paraId="04AB763A" w14:textId="04BB2540" w:rsidR="00AF3C82" w:rsidRDefault="00AF3C82" w:rsidP="00AF3C82">
      <w:pPr>
        <w:pStyle w:val="FootnoteText"/>
      </w:pPr>
    </w:p>
    <w:p w14:paraId="3D61E189" w14:textId="0EF66431" w:rsidR="00EC58A4" w:rsidRDefault="00EC58A4" w:rsidP="00EC58A4">
      <w:pPr>
        <w:pStyle w:val="FootnoteText"/>
        <w:rPr>
          <w:rStyle w:val="normaltextrun"/>
          <w:color w:val="000000"/>
          <w:shd w:val="clear" w:color="auto" w:fill="FFFFFF"/>
        </w:rPr>
      </w:pPr>
      <w:r>
        <w:rPr>
          <w:rStyle w:val="normaltextrun"/>
          <w:color w:val="000000"/>
          <w:shd w:val="clear" w:color="auto" w:fill="FFFFFF"/>
        </w:rPr>
        <w:t xml:space="preserve">Bryman, Alan, </w:t>
      </w:r>
      <w:r>
        <w:rPr>
          <w:rStyle w:val="normaltextrun"/>
          <w:i/>
          <w:iCs/>
          <w:color w:val="000000"/>
          <w:shd w:val="clear" w:color="auto" w:fill="FFFFFF"/>
        </w:rPr>
        <w:t>Quantity and Quality in Social Research, </w:t>
      </w:r>
      <w:r>
        <w:rPr>
          <w:rStyle w:val="normaltextrun"/>
          <w:color w:val="000000"/>
          <w:shd w:val="clear" w:color="auto" w:fill="FFFFFF"/>
        </w:rPr>
        <w:t>(London and New York: Routledge, 1993)</w:t>
      </w:r>
    </w:p>
    <w:p w14:paraId="1D6E69C5" w14:textId="77777777" w:rsidR="00765F79" w:rsidRDefault="00765F79" w:rsidP="00EC58A4">
      <w:pPr>
        <w:pStyle w:val="FootnoteText"/>
        <w:rPr>
          <w:rStyle w:val="normaltextrun"/>
          <w:color w:val="000000"/>
          <w:shd w:val="clear" w:color="auto" w:fill="FFFFFF"/>
        </w:rPr>
      </w:pPr>
    </w:p>
    <w:p w14:paraId="6BA0B2C0" w14:textId="77777777" w:rsidR="00765F79" w:rsidRDefault="00765F79" w:rsidP="00765F79">
      <w:pPr>
        <w:spacing w:after="0"/>
      </w:pPr>
      <w:r>
        <w:rPr>
          <w:sz w:val="20"/>
          <w:szCs w:val="20"/>
        </w:rPr>
        <w:t xml:space="preserve">Callahan, Jamie </w:t>
      </w:r>
      <w:r>
        <w:rPr>
          <w:i/>
          <w:iCs/>
          <w:sz w:val="20"/>
          <w:szCs w:val="20"/>
        </w:rPr>
        <w:t>Reconstructing, Constructing, and Deconstructing the Field: The Importance of Historical Manuscripts in HRDR</w:t>
      </w:r>
      <w:r w:rsidRPr="007606EC">
        <w:t>, (Human Resources Development Review, 2010)</w:t>
      </w:r>
    </w:p>
    <w:p w14:paraId="1A90BAFB" w14:textId="77777777" w:rsidR="00EC58A4" w:rsidRDefault="00EC58A4" w:rsidP="00AF3C82">
      <w:pPr>
        <w:pStyle w:val="FootnoteText"/>
      </w:pPr>
    </w:p>
    <w:p w14:paraId="7796F6F3" w14:textId="2E22A47E" w:rsidR="00EC58A4" w:rsidRDefault="00EC58A4" w:rsidP="00EC58A4">
      <w:pPr>
        <w:pStyle w:val="FootnoteText"/>
        <w:rPr>
          <w:rFonts w:cstheme="minorHAnsi"/>
        </w:rPr>
      </w:pPr>
      <w:r>
        <w:t xml:space="preserve">Contemporarylegend.org – The website for the International Society for Contemporary Legend Research, </w:t>
      </w:r>
      <w:r>
        <w:rPr>
          <w:i/>
          <w:iCs/>
        </w:rPr>
        <w:t>Dr. Gillian Bennett</w:t>
      </w:r>
      <w:r>
        <w:t xml:space="preserve">, (2016), </w:t>
      </w:r>
      <w:hyperlink r:id="rId9" w:history="1">
        <w:r w:rsidRPr="00B047B1">
          <w:rPr>
            <w:rStyle w:val="Hyperlink"/>
          </w:rPr>
          <w:t>https://upcolorado.com/our-books/our-authors/item/2403-gillian-bennett</w:t>
        </w:r>
      </w:hyperlink>
    </w:p>
    <w:p w14:paraId="627EB8DF" w14:textId="77777777" w:rsidR="00EC58A4" w:rsidRDefault="00EC58A4" w:rsidP="00EC58A4">
      <w:pPr>
        <w:pStyle w:val="FootnoteText"/>
        <w:rPr>
          <w:rFonts w:cstheme="minorHAnsi"/>
        </w:rPr>
      </w:pPr>
    </w:p>
    <w:p w14:paraId="64AA7195" w14:textId="20266780" w:rsidR="00EC58A4" w:rsidRDefault="00EC58A4" w:rsidP="00EC58A4">
      <w:pPr>
        <w:pStyle w:val="FootnoteText"/>
        <w:rPr>
          <w:rStyle w:val="normaltextrun"/>
          <w:color w:val="000000"/>
          <w:shd w:val="clear" w:color="auto" w:fill="FFFFFF"/>
        </w:rPr>
      </w:pPr>
      <w:r>
        <w:rPr>
          <w:rStyle w:val="normaltextrun"/>
          <w:color w:val="000000"/>
          <w:shd w:val="clear" w:color="auto" w:fill="FFFFFF"/>
        </w:rPr>
        <w:t xml:space="preserve">Creswell, John W, </w:t>
      </w:r>
      <w:r>
        <w:rPr>
          <w:rStyle w:val="normaltextrun"/>
          <w:i/>
          <w:iCs/>
          <w:color w:val="000000"/>
          <w:shd w:val="clear" w:color="auto" w:fill="FFFFFF"/>
        </w:rPr>
        <w:t>Research Design: Qualitative, Quantitative and Mixed Methods Approaches</w:t>
      </w:r>
      <w:r>
        <w:rPr>
          <w:rStyle w:val="normaltextrun"/>
          <w:color w:val="000000"/>
          <w:shd w:val="clear" w:color="auto" w:fill="FFFFFF"/>
        </w:rPr>
        <w:t>, 2</w:t>
      </w:r>
      <w:r>
        <w:rPr>
          <w:rStyle w:val="normaltextrun"/>
          <w:color w:val="000000"/>
          <w:sz w:val="16"/>
          <w:szCs w:val="16"/>
          <w:shd w:val="clear" w:color="auto" w:fill="FFFFFF"/>
        </w:rPr>
        <w:t>nd</w:t>
      </w:r>
      <w:r>
        <w:rPr>
          <w:rStyle w:val="normaltextrun"/>
          <w:color w:val="000000"/>
          <w:shd w:val="clear" w:color="auto" w:fill="FFFFFF"/>
        </w:rPr>
        <w:t> Edition, (Sage Publications, 2003)</w:t>
      </w:r>
    </w:p>
    <w:p w14:paraId="7C5D5E6E" w14:textId="77777777" w:rsidR="00765F79" w:rsidRDefault="00765F79" w:rsidP="00EC58A4">
      <w:pPr>
        <w:pStyle w:val="FootnoteText"/>
        <w:rPr>
          <w:rStyle w:val="normaltextrun"/>
          <w:color w:val="000000"/>
          <w:shd w:val="clear" w:color="auto" w:fill="FFFFFF"/>
        </w:rPr>
      </w:pPr>
    </w:p>
    <w:p w14:paraId="636E790A" w14:textId="196D41A6" w:rsidR="00765F79" w:rsidRDefault="00765F79" w:rsidP="00765F79">
      <w:pPr>
        <w:pStyle w:val="FootnoteText"/>
      </w:pPr>
      <w:r>
        <w:t>Creswell John W. and Path,</w:t>
      </w:r>
      <w:r w:rsidRPr="001B6482">
        <w:t xml:space="preserve"> </w:t>
      </w:r>
      <w:r>
        <w:t xml:space="preserve">Cheryl N, </w:t>
      </w:r>
      <w:r>
        <w:rPr>
          <w:i/>
          <w:iCs/>
        </w:rPr>
        <w:t xml:space="preserve">Qualitative Inquiry &amp; Research Design: Choosing Among Five Approaches, </w:t>
      </w:r>
      <w:r>
        <w:t>4</w:t>
      </w:r>
      <w:r w:rsidRPr="00A31387">
        <w:rPr>
          <w:vertAlign w:val="superscript"/>
        </w:rPr>
        <w:t>th</w:t>
      </w:r>
      <w:r>
        <w:t xml:space="preserve"> Edition, (Sage, 2018)</w:t>
      </w:r>
    </w:p>
    <w:p w14:paraId="0F7C386D" w14:textId="77777777" w:rsidR="00765F79" w:rsidRDefault="00765F79" w:rsidP="00765F79">
      <w:pPr>
        <w:pStyle w:val="FootnoteText"/>
      </w:pPr>
    </w:p>
    <w:p w14:paraId="2D7FC31F" w14:textId="77777777" w:rsidR="00765F79" w:rsidRDefault="00765F79" w:rsidP="00765F79">
      <w:pPr>
        <w:spacing w:after="0"/>
        <w:rPr>
          <w:sz w:val="20"/>
          <w:szCs w:val="20"/>
        </w:rPr>
      </w:pPr>
      <w:r w:rsidRPr="00DA7EE2">
        <w:rPr>
          <w:sz w:val="20"/>
          <w:szCs w:val="20"/>
        </w:rPr>
        <w:t>Collins</w:t>
      </w:r>
      <w:r>
        <w:rPr>
          <w:sz w:val="20"/>
          <w:szCs w:val="20"/>
        </w:rPr>
        <w:t>,</w:t>
      </w:r>
      <w:r w:rsidRPr="00DA7EE2">
        <w:rPr>
          <w:sz w:val="20"/>
          <w:szCs w:val="20"/>
        </w:rPr>
        <w:t xml:space="preserve"> Marcus and Stearns</w:t>
      </w:r>
      <w:r>
        <w:rPr>
          <w:sz w:val="20"/>
          <w:szCs w:val="20"/>
        </w:rPr>
        <w:t xml:space="preserve">, </w:t>
      </w:r>
      <w:r w:rsidRPr="00DA7EE2">
        <w:rPr>
          <w:sz w:val="20"/>
          <w:szCs w:val="20"/>
        </w:rPr>
        <w:t>Peter</w:t>
      </w:r>
      <w:r>
        <w:rPr>
          <w:sz w:val="20"/>
          <w:szCs w:val="20"/>
        </w:rPr>
        <w:t xml:space="preserve">, </w:t>
      </w:r>
      <w:r>
        <w:rPr>
          <w:i/>
          <w:iCs/>
          <w:sz w:val="20"/>
          <w:szCs w:val="20"/>
        </w:rPr>
        <w:t xml:space="preserve">Why Study History? </w:t>
      </w:r>
      <w:r w:rsidRPr="00DA7EE2">
        <w:rPr>
          <w:sz w:val="20"/>
          <w:szCs w:val="20"/>
        </w:rPr>
        <w:t>The American Historical Association</w:t>
      </w:r>
      <w:r>
        <w:rPr>
          <w:sz w:val="20"/>
          <w:szCs w:val="20"/>
        </w:rPr>
        <w:t xml:space="preserve">, (London Publishing Partnership, 2020) </w:t>
      </w:r>
    </w:p>
    <w:p w14:paraId="4739CE6E" w14:textId="77777777" w:rsidR="00765F79" w:rsidRDefault="00765F79" w:rsidP="00EC58A4">
      <w:pPr>
        <w:pStyle w:val="FootnoteText"/>
        <w:rPr>
          <w:rStyle w:val="normaltextrun"/>
          <w:color w:val="000000"/>
          <w:shd w:val="clear" w:color="auto" w:fill="FFFFFF"/>
        </w:rPr>
      </w:pPr>
    </w:p>
    <w:p w14:paraId="62D3868E" w14:textId="77777777" w:rsidR="00765F79" w:rsidRDefault="00765F79" w:rsidP="00765F79">
      <w:pPr>
        <w:pStyle w:val="FootnoteText"/>
      </w:pPr>
      <w:r>
        <w:t xml:space="preserve">Finlay, L and Gouch, B, </w:t>
      </w:r>
      <w:r>
        <w:rPr>
          <w:i/>
          <w:iCs/>
        </w:rPr>
        <w:t xml:space="preserve">Reflexivity: A Practical Guide for Researchers in Health and Social Sciences, </w:t>
      </w:r>
      <w:r w:rsidRPr="00815AFD">
        <w:t>(Oxford: Blackwell, 2003)</w:t>
      </w:r>
    </w:p>
    <w:p w14:paraId="5CFE0D11" w14:textId="77777777" w:rsidR="00EC58A4" w:rsidRDefault="00EC58A4" w:rsidP="00EC58A4">
      <w:pPr>
        <w:pStyle w:val="FootnoteText"/>
        <w:rPr>
          <w:rStyle w:val="normaltextrun"/>
          <w:color w:val="000000"/>
          <w:shd w:val="clear" w:color="auto" w:fill="FFFFFF"/>
        </w:rPr>
      </w:pPr>
    </w:p>
    <w:p w14:paraId="1A5F9B1B" w14:textId="4DC5CA3C" w:rsidR="00EC58A4" w:rsidRDefault="00EC58A4" w:rsidP="00EC58A4">
      <w:pPr>
        <w:pStyle w:val="FootnoteText"/>
      </w:pPr>
      <w:r>
        <w:t>Gerdes, Karen E, Segel</w:t>
      </w:r>
      <w:r w:rsidRPr="00C7101E">
        <w:t xml:space="preserve"> </w:t>
      </w:r>
      <w:r>
        <w:t xml:space="preserve">Elizabeth A.  and Lietz, Cynthia A. </w:t>
      </w:r>
      <w:r>
        <w:rPr>
          <w:i/>
          <w:iCs/>
        </w:rPr>
        <w:t xml:space="preserve">Conceptualising and Measuring Empathy, </w:t>
      </w:r>
      <w:r>
        <w:t>The British Journal of Social Work, Vol. 40, no. 7, (Oxford University Press, 2010)</w:t>
      </w:r>
      <w:r w:rsidR="00262728">
        <w:t xml:space="preserve"> </w:t>
      </w:r>
    </w:p>
    <w:p w14:paraId="76B6F80E" w14:textId="77777777" w:rsidR="00765F79" w:rsidRDefault="00765F79" w:rsidP="00EC58A4">
      <w:pPr>
        <w:pStyle w:val="FootnoteText"/>
      </w:pPr>
    </w:p>
    <w:p w14:paraId="4A7D5AC6" w14:textId="77777777" w:rsidR="00765F79" w:rsidRDefault="00765F79" w:rsidP="00765F79">
      <w:pPr>
        <w:pStyle w:val="FootnoteText"/>
      </w:pPr>
      <w:r>
        <w:t>Hart, Chris, Doing</w:t>
      </w:r>
      <w:r>
        <w:rPr>
          <w:i/>
          <w:iCs/>
        </w:rPr>
        <w:t xml:space="preserve"> a Literature Review: Releasing the Social Science Research Imagination</w:t>
      </w:r>
      <w:r>
        <w:t>, (London: Sage in association with The Open University, 1998)</w:t>
      </w:r>
    </w:p>
    <w:p w14:paraId="14735DBA" w14:textId="77777777" w:rsidR="00EC58A4" w:rsidRDefault="00EC58A4" w:rsidP="00EC58A4">
      <w:pPr>
        <w:pStyle w:val="FootnoteText"/>
        <w:rPr>
          <w:rStyle w:val="normaltextrun"/>
          <w:color w:val="000000"/>
          <w:shd w:val="clear" w:color="auto" w:fill="FFFFFF"/>
        </w:rPr>
      </w:pPr>
    </w:p>
    <w:p w14:paraId="17947831" w14:textId="77777777" w:rsidR="00EC58A4" w:rsidRDefault="00EC58A4" w:rsidP="00EC58A4">
      <w:pPr>
        <w:spacing w:after="0"/>
        <w:rPr>
          <w:sz w:val="20"/>
          <w:szCs w:val="20"/>
        </w:rPr>
      </w:pPr>
      <w:r>
        <w:rPr>
          <w:sz w:val="20"/>
          <w:szCs w:val="20"/>
        </w:rPr>
        <w:t xml:space="preserve">Hayes, Nicky, </w:t>
      </w:r>
      <w:r>
        <w:rPr>
          <w:i/>
          <w:iCs/>
          <w:sz w:val="20"/>
          <w:szCs w:val="20"/>
        </w:rPr>
        <w:t>Doing Psychological Research: Gathering and Analysing Data</w:t>
      </w:r>
      <w:r>
        <w:rPr>
          <w:sz w:val="20"/>
          <w:szCs w:val="20"/>
        </w:rPr>
        <w:t xml:space="preserve">, (Buckingham: Open University Press, 2000) </w:t>
      </w:r>
    </w:p>
    <w:p w14:paraId="19212A2D" w14:textId="77777777" w:rsidR="00EC58A4" w:rsidRDefault="00EC58A4" w:rsidP="00EC58A4">
      <w:pPr>
        <w:pStyle w:val="FootnoteText"/>
        <w:rPr>
          <w:rFonts w:cstheme="minorHAnsi"/>
        </w:rPr>
      </w:pPr>
    </w:p>
    <w:p w14:paraId="709BB9C1" w14:textId="56407FBE" w:rsidR="00EC58A4" w:rsidRDefault="00EC58A4" w:rsidP="00EC58A4">
      <w:pPr>
        <w:pStyle w:val="FootnoteText"/>
        <w:rPr>
          <w:rStyle w:val="normaltextrun"/>
          <w:color w:val="000000"/>
          <w:bdr w:val="none" w:sz="0" w:space="0" w:color="auto" w:frame="1"/>
        </w:rPr>
      </w:pPr>
      <w:r>
        <w:t xml:space="preserve">Hennink, Monique, Hutter Inge and Bailey, Ajay, </w:t>
      </w:r>
      <w:r>
        <w:rPr>
          <w:i/>
          <w:iCs/>
        </w:rPr>
        <w:t xml:space="preserve">Qualitative Research Methods, </w:t>
      </w:r>
      <w:r>
        <w:rPr>
          <w:rStyle w:val="normaltextrun"/>
          <w:color w:val="000000"/>
          <w:bdr w:val="none" w:sz="0" w:space="0" w:color="auto" w:frame="1"/>
        </w:rPr>
        <w:t>(London: Sage Publications Ltd., 2013)</w:t>
      </w:r>
    </w:p>
    <w:p w14:paraId="03718348" w14:textId="77777777" w:rsidR="00765F79" w:rsidRDefault="00765F79" w:rsidP="00EC58A4">
      <w:pPr>
        <w:pStyle w:val="FootnoteText"/>
        <w:rPr>
          <w:rStyle w:val="normaltextrun"/>
          <w:color w:val="000000"/>
          <w:bdr w:val="none" w:sz="0" w:space="0" w:color="auto" w:frame="1"/>
        </w:rPr>
      </w:pPr>
    </w:p>
    <w:p w14:paraId="02DC3DEE" w14:textId="5121C952" w:rsidR="00765F79" w:rsidRDefault="00765F79" w:rsidP="00765F79">
      <w:pPr>
        <w:pStyle w:val="FootnoteText"/>
      </w:pPr>
      <w:r>
        <w:t xml:space="preserve">Knopf, Jeffrey W, </w:t>
      </w:r>
      <w:r>
        <w:rPr>
          <w:i/>
          <w:iCs/>
        </w:rPr>
        <w:t>Doing a Literature Review</w:t>
      </w:r>
      <w:r>
        <w:t xml:space="preserve">, PS: Political Science and Politics, vol. 39, no. 1, (American Political Science Association, Cambridge University Press, 2006) </w:t>
      </w:r>
      <w:r w:rsidR="00262728">
        <w:t>-</w:t>
      </w:r>
    </w:p>
    <w:p w14:paraId="35632BAB" w14:textId="77777777" w:rsidR="00765F79" w:rsidRDefault="00765F79" w:rsidP="00EC58A4">
      <w:pPr>
        <w:pStyle w:val="FootnoteText"/>
        <w:rPr>
          <w:rStyle w:val="normaltextrun"/>
          <w:color w:val="000000"/>
          <w:bdr w:val="none" w:sz="0" w:space="0" w:color="auto" w:frame="1"/>
        </w:rPr>
      </w:pPr>
    </w:p>
    <w:p w14:paraId="0B86EFC4" w14:textId="641B7052" w:rsidR="00765F79" w:rsidRDefault="00765F79" w:rsidP="00765F79">
      <w:pPr>
        <w:pStyle w:val="FootnoteText"/>
      </w:pPr>
      <w:r>
        <w:lastRenderedPageBreak/>
        <w:t xml:space="preserve">Kusow, Abdi M, </w:t>
      </w:r>
      <w:r>
        <w:rPr>
          <w:i/>
          <w:iCs/>
        </w:rPr>
        <w:t xml:space="preserve">Beyond Indigenous Authenticity: Reflections on the Insider/Outsider Debate in Immigration Research, </w:t>
      </w:r>
      <w:r>
        <w:t>(Iowa: Iowa State University, 2003)</w:t>
      </w:r>
    </w:p>
    <w:p w14:paraId="0BB0E4A4" w14:textId="77777777" w:rsidR="00765F79" w:rsidRDefault="00765F79" w:rsidP="00765F79">
      <w:pPr>
        <w:pStyle w:val="FootnoteText"/>
      </w:pPr>
    </w:p>
    <w:p w14:paraId="4D056C60" w14:textId="77777777" w:rsidR="00765F79" w:rsidRPr="00B205BA" w:rsidRDefault="00765F79" w:rsidP="00765F79">
      <w:pPr>
        <w:spacing w:after="0"/>
        <w:rPr>
          <w:sz w:val="20"/>
          <w:szCs w:val="20"/>
        </w:rPr>
      </w:pPr>
      <w:r>
        <w:rPr>
          <w:sz w:val="20"/>
          <w:szCs w:val="20"/>
        </w:rPr>
        <w:t xml:space="preserve">Lawrence, Barbara S, </w:t>
      </w:r>
      <w:r>
        <w:rPr>
          <w:i/>
          <w:iCs/>
          <w:sz w:val="20"/>
          <w:szCs w:val="20"/>
        </w:rPr>
        <w:t>Historical Perspective: Using the Past to Study the Present</w:t>
      </w:r>
      <w:r>
        <w:rPr>
          <w:sz w:val="20"/>
          <w:szCs w:val="20"/>
        </w:rPr>
        <w:t>, vol. 9, no. 2, (The Academy of Management Review, 1984)</w:t>
      </w:r>
    </w:p>
    <w:p w14:paraId="55141A10" w14:textId="77777777" w:rsidR="00765F79" w:rsidRDefault="00765F79" w:rsidP="00EC58A4">
      <w:pPr>
        <w:pStyle w:val="FootnoteText"/>
        <w:rPr>
          <w:rStyle w:val="normaltextrun"/>
          <w:color w:val="000000"/>
          <w:bdr w:val="none" w:sz="0" w:space="0" w:color="auto" w:frame="1"/>
        </w:rPr>
      </w:pPr>
    </w:p>
    <w:p w14:paraId="6366D147" w14:textId="77777777" w:rsidR="00765F79" w:rsidRDefault="00765F79" w:rsidP="00765F79">
      <w:pPr>
        <w:pStyle w:val="FootnoteText"/>
      </w:pPr>
      <w:r>
        <w:t>Nagar,</w:t>
      </w:r>
      <w:r w:rsidRPr="001B6482">
        <w:t xml:space="preserve"> </w:t>
      </w:r>
      <w:r>
        <w:t xml:space="preserve">Richa and Geiger, Susan, </w:t>
      </w:r>
      <w:r>
        <w:rPr>
          <w:i/>
          <w:iCs/>
        </w:rPr>
        <w:t xml:space="preserve">Reflexivity and Personality in Feminist Fieldwork Revisited, </w:t>
      </w:r>
      <w:r>
        <w:t>ed. Adam Tickell et al., (Sage, 2007)</w:t>
      </w:r>
    </w:p>
    <w:p w14:paraId="5682E332" w14:textId="77777777" w:rsidR="00EC58A4" w:rsidRDefault="00EC58A4" w:rsidP="00EC58A4">
      <w:pPr>
        <w:pStyle w:val="FootnoteText"/>
        <w:rPr>
          <w:rFonts w:cstheme="minorHAnsi"/>
        </w:rPr>
      </w:pPr>
    </w:p>
    <w:p w14:paraId="25B1926A" w14:textId="56AE9235" w:rsidR="00EC58A4" w:rsidRDefault="00EC58A4" w:rsidP="00EC58A4">
      <w:pPr>
        <w:pStyle w:val="FootnoteText"/>
        <w:rPr>
          <w:rFonts w:eastAsia="Times New Roman"/>
        </w:rPr>
      </w:pPr>
      <w:r>
        <w:t xml:space="preserve">University of Bath, </w:t>
      </w:r>
      <w:r>
        <w:rPr>
          <w:i/>
          <w:iCs/>
        </w:rPr>
        <w:t>Helen Waterhouse</w:t>
      </w:r>
      <w:r>
        <w:t xml:space="preserve">, (2022), </w:t>
      </w:r>
      <w:hyperlink r:id="rId10" w:history="1">
        <w:r>
          <w:rPr>
            <w:rStyle w:val="Hyperlink"/>
            <w:rFonts w:eastAsia="Times New Roman"/>
          </w:rPr>
          <w:t>https://researchportal.bath.ac.uk/en/searchAll/index/?search=Helen+Waterhouse&amp;pageSize=25&amp;showAdvanced=false&amp;allConcepts=true&amp;inferConcepts=true&amp;searchBy=PartOfNameOrTitle</w:t>
        </w:r>
      </w:hyperlink>
    </w:p>
    <w:p w14:paraId="50BF577A" w14:textId="77777777" w:rsidR="00EC58A4" w:rsidRDefault="00EC58A4" w:rsidP="00AF3C82">
      <w:pPr>
        <w:pStyle w:val="FootnoteText"/>
      </w:pPr>
    </w:p>
    <w:p w14:paraId="1B32BCAD" w14:textId="022BD745" w:rsidR="00EC58A4" w:rsidRDefault="00EC58A4" w:rsidP="00EC58A4">
      <w:pPr>
        <w:pStyle w:val="FootnoteText"/>
      </w:pPr>
      <w:r>
        <w:t xml:space="preserve">University of Bath, </w:t>
      </w:r>
      <w:r>
        <w:rPr>
          <w:i/>
          <w:iCs/>
        </w:rPr>
        <w:t>Tony Walter</w:t>
      </w:r>
      <w:r>
        <w:t>, (2015),</w:t>
      </w:r>
      <w:r w:rsidRPr="00A60580">
        <w:rPr>
          <w:rFonts w:eastAsia="Times New Roman"/>
        </w:rPr>
        <w:t xml:space="preserve"> </w:t>
      </w:r>
      <w:hyperlink r:id="rId11" w:history="1">
        <w:r>
          <w:rPr>
            <w:rStyle w:val="Hyperlink"/>
            <w:rFonts w:eastAsia="Times New Roman"/>
          </w:rPr>
          <w:t>https://researchportal.bath.ac.uk/en/persons/tony-walter</w:t>
        </w:r>
      </w:hyperlink>
    </w:p>
    <w:p w14:paraId="08A0C859" w14:textId="77777777" w:rsidR="00EC58A4" w:rsidRPr="009F4D43" w:rsidRDefault="00EC58A4" w:rsidP="00AF3C82">
      <w:pPr>
        <w:pStyle w:val="FootnoteText"/>
      </w:pPr>
    </w:p>
    <w:p w14:paraId="5D3B117A" w14:textId="37EC49AC" w:rsidR="00AF3C82" w:rsidRDefault="00AF3C82" w:rsidP="00AF3C82">
      <w:pPr>
        <w:pStyle w:val="FootnoteText"/>
        <w:rPr>
          <w:rFonts w:cstheme="minorHAnsi"/>
        </w:rPr>
      </w:pPr>
      <w:r>
        <w:t xml:space="preserve">University Press of Colorado, </w:t>
      </w:r>
      <w:r>
        <w:rPr>
          <w:i/>
          <w:iCs/>
        </w:rPr>
        <w:t>Gillian Bennett</w:t>
      </w:r>
      <w:r>
        <w:t xml:space="preserve">, (2021), </w:t>
      </w:r>
      <w:hyperlink r:id="rId12" w:history="1">
        <w:r w:rsidRPr="00B047B1">
          <w:rPr>
            <w:rStyle w:val="Hyperlink"/>
          </w:rPr>
          <w:t>http://upcolorado.com/our-books/our-authors/item/2403-gillian-bennett</w:t>
        </w:r>
      </w:hyperlink>
      <w:r>
        <w:t xml:space="preserve"> </w:t>
      </w:r>
    </w:p>
    <w:p w14:paraId="0F8A6BDC" w14:textId="77777777" w:rsidR="00EC58A4" w:rsidRDefault="00EC58A4" w:rsidP="00AF3C82">
      <w:pPr>
        <w:pStyle w:val="FootnoteText"/>
        <w:rPr>
          <w:rFonts w:cstheme="minorHAnsi"/>
        </w:rPr>
      </w:pPr>
    </w:p>
    <w:p w14:paraId="04BBBE34" w14:textId="7ED31835" w:rsidR="00EC58A4" w:rsidRDefault="00EC58A4" w:rsidP="00EC58A4">
      <w:pPr>
        <w:pStyle w:val="FootnoteText"/>
      </w:pPr>
      <w:r>
        <w:t xml:space="preserve">University of Reading, </w:t>
      </w:r>
      <w:r>
        <w:rPr>
          <w:i/>
          <w:iCs/>
        </w:rPr>
        <w:t>Dr. Tony Walter</w:t>
      </w:r>
      <w:r>
        <w:t xml:space="preserve">, (2015), </w:t>
      </w:r>
      <w:hyperlink r:id="rId13" w:history="1">
        <w:r w:rsidRPr="00953764">
          <w:rPr>
            <w:rStyle w:val="Hyperlink"/>
          </w:rPr>
          <w:t>https://www.reading.ac.uk/AcaDepts/lw/staff/tony.htm</w:t>
        </w:r>
      </w:hyperlink>
      <w:r>
        <w:t xml:space="preserve">, </w:t>
      </w:r>
    </w:p>
    <w:p w14:paraId="239D24BD" w14:textId="77777777" w:rsidR="00397C3F" w:rsidRPr="00450DB6" w:rsidRDefault="00397C3F" w:rsidP="00AF3C82">
      <w:pPr>
        <w:pStyle w:val="FootnoteText"/>
      </w:pPr>
    </w:p>
    <w:p w14:paraId="483AF58C" w14:textId="7515DFAE" w:rsidR="00EC58A4" w:rsidRDefault="00EC58A4" w:rsidP="00EC58A4">
      <w:pPr>
        <w:pStyle w:val="FootnoteText"/>
      </w:pPr>
      <w:r>
        <w:t xml:space="preserve">Walter, Tony and Waterhouse, Helen, </w:t>
      </w:r>
      <w:r>
        <w:rPr>
          <w:i/>
          <w:iCs/>
        </w:rPr>
        <w:t xml:space="preserve">A Very Private Belief: Reincarnation in Contemporary England, </w:t>
      </w:r>
      <w:r>
        <w:t>Sociology of Religion, vol. 60, no. 2., (Oxford University Press, 1999)</w:t>
      </w:r>
    </w:p>
    <w:p w14:paraId="63331FB4" w14:textId="77777777" w:rsidR="00EC58A4" w:rsidRDefault="00EC58A4" w:rsidP="00EC58A4">
      <w:pPr>
        <w:pStyle w:val="FootnoteText"/>
      </w:pPr>
    </w:p>
    <w:p w14:paraId="7D88684A" w14:textId="0354A976" w:rsidR="00EC58A4" w:rsidRDefault="00EC58A4" w:rsidP="00EC58A4">
      <w:pPr>
        <w:pStyle w:val="FootnoteText"/>
      </w:pPr>
      <w:r>
        <w:t xml:space="preserve">Walter, Tony, </w:t>
      </w:r>
      <w:r>
        <w:rPr>
          <w:i/>
          <w:iCs/>
        </w:rPr>
        <w:t>The Conversation</w:t>
      </w:r>
      <w:r>
        <w:t xml:space="preserve">, 8 October 2015, </w:t>
      </w:r>
      <w:hyperlink r:id="rId14" w:history="1">
        <w:r w:rsidRPr="00953764">
          <w:rPr>
            <w:rStyle w:val="Hyperlink"/>
          </w:rPr>
          <w:t>https://theconversation.com/profiles/tony-walter-197166</w:t>
        </w:r>
      </w:hyperlink>
      <w:r>
        <w:t xml:space="preserve">, </w:t>
      </w:r>
    </w:p>
    <w:p w14:paraId="3D2573C2" w14:textId="77777777" w:rsidR="00397C3F" w:rsidRDefault="00397C3F" w:rsidP="00AF3C82">
      <w:pPr>
        <w:pStyle w:val="FootnoteText"/>
      </w:pPr>
    </w:p>
    <w:p w14:paraId="6CBA49F7" w14:textId="61F5BF40" w:rsidR="00AF3C82" w:rsidRDefault="00AF3C82" w:rsidP="00AF3C82">
      <w:pPr>
        <w:pStyle w:val="FootnoteText"/>
        <w:rPr>
          <w:rFonts w:cstheme="minorHAnsi"/>
        </w:rPr>
      </w:pPr>
      <w:r>
        <w:t xml:space="preserve">Walter, </w:t>
      </w:r>
      <w:r w:rsidR="00397C3F">
        <w:t>Tony</w:t>
      </w:r>
      <w:r w:rsidR="00397C3F">
        <w:rPr>
          <w:i/>
          <w:iCs/>
        </w:rPr>
        <w:t xml:space="preserve"> </w:t>
      </w:r>
      <w:r>
        <w:rPr>
          <w:i/>
          <w:iCs/>
        </w:rPr>
        <w:t>The Revival of Death: Two Decades On</w:t>
      </w:r>
      <w:r>
        <w:t xml:space="preserve">, (University of Glasgow: End of Life Studies, 17 October 2014), </w:t>
      </w:r>
      <w:hyperlink r:id="rId15" w:history="1">
        <w:r w:rsidRPr="00953764">
          <w:rPr>
            <w:rStyle w:val="Hyperlink"/>
          </w:rPr>
          <w:t>http://endoflifestudies.academicblogs.co.uk/the-revival-of-death-two-decades-on-by-tony-walter/</w:t>
        </w:r>
      </w:hyperlink>
      <w:r>
        <w:t xml:space="preserve">, </w:t>
      </w:r>
    </w:p>
    <w:p w14:paraId="724F584C" w14:textId="77777777" w:rsidR="001B6482" w:rsidRPr="00741E9D" w:rsidRDefault="001B6482" w:rsidP="00AF3C82">
      <w:pPr>
        <w:pStyle w:val="FootnoteText"/>
      </w:pPr>
    </w:p>
    <w:p w14:paraId="007A1EA9" w14:textId="77777777" w:rsidR="001B6482" w:rsidRPr="00815AFD" w:rsidRDefault="001B6482" w:rsidP="00AF3C82">
      <w:pPr>
        <w:pStyle w:val="FootnoteText"/>
      </w:pPr>
    </w:p>
    <w:p w14:paraId="3F733217" w14:textId="77777777" w:rsidR="001B6482" w:rsidRPr="002E2A94" w:rsidRDefault="001B6482" w:rsidP="00AF3C82">
      <w:pPr>
        <w:pStyle w:val="FootnoteText"/>
      </w:pPr>
    </w:p>
    <w:p w14:paraId="04A98AF6" w14:textId="77777777" w:rsidR="001B6482" w:rsidRDefault="001B6482" w:rsidP="00AF3C82">
      <w:pPr>
        <w:pStyle w:val="FootnoteText"/>
      </w:pPr>
    </w:p>
    <w:p w14:paraId="78F2C029" w14:textId="77777777" w:rsidR="009A2D99" w:rsidRPr="00CF68EC" w:rsidRDefault="009A2D99" w:rsidP="00AF3C82">
      <w:pPr>
        <w:pStyle w:val="FootnoteText"/>
      </w:pPr>
    </w:p>
    <w:p w14:paraId="0CB6DE3D" w14:textId="77777777" w:rsidR="009A2D99" w:rsidRPr="00015CCA" w:rsidRDefault="009A2D99" w:rsidP="00AF3C82">
      <w:pPr>
        <w:pStyle w:val="FootnoteText"/>
      </w:pPr>
    </w:p>
    <w:p w14:paraId="32BE35B6" w14:textId="1F84F37A" w:rsidR="00AF3C82" w:rsidRDefault="00AF3C82" w:rsidP="009A2D99">
      <w:pPr>
        <w:pStyle w:val="FootnoteText"/>
      </w:pPr>
    </w:p>
    <w:p w14:paraId="5EA76A41" w14:textId="77777777" w:rsidR="009A2D99" w:rsidRPr="000B1BD4" w:rsidRDefault="009A2D99" w:rsidP="00AF3C82">
      <w:pPr>
        <w:pStyle w:val="FootnoteText"/>
      </w:pPr>
    </w:p>
    <w:p w14:paraId="03E7D27F" w14:textId="77777777" w:rsidR="007606EC" w:rsidRDefault="007606EC" w:rsidP="00AF3C82">
      <w:pPr>
        <w:spacing w:after="0"/>
        <w:rPr>
          <w:sz w:val="20"/>
          <w:szCs w:val="20"/>
        </w:rPr>
      </w:pPr>
    </w:p>
    <w:p w14:paraId="1BD94E4A" w14:textId="77777777" w:rsidR="007606EC" w:rsidRPr="00F471D9" w:rsidRDefault="007606EC" w:rsidP="00AF3C82">
      <w:pPr>
        <w:spacing w:after="0"/>
      </w:pPr>
    </w:p>
    <w:sectPr w:rsidR="007606EC" w:rsidRPr="00F471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DB784" w14:textId="77777777" w:rsidR="00F175F0" w:rsidRDefault="00F175F0" w:rsidP="00E206CE">
      <w:pPr>
        <w:spacing w:after="0" w:line="240" w:lineRule="auto"/>
      </w:pPr>
      <w:r>
        <w:separator/>
      </w:r>
    </w:p>
  </w:endnote>
  <w:endnote w:type="continuationSeparator" w:id="0">
    <w:p w14:paraId="3DD04535" w14:textId="77777777" w:rsidR="00F175F0" w:rsidRDefault="00F175F0" w:rsidP="00E20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5B43E" w14:textId="77777777" w:rsidR="00F175F0" w:rsidRDefault="00F175F0" w:rsidP="00E206CE">
      <w:pPr>
        <w:spacing w:after="0" w:line="240" w:lineRule="auto"/>
      </w:pPr>
      <w:r>
        <w:separator/>
      </w:r>
    </w:p>
  </w:footnote>
  <w:footnote w:type="continuationSeparator" w:id="0">
    <w:p w14:paraId="2D05B76D" w14:textId="77777777" w:rsidR="00F175F0" w:rsidRDefault="00F175F0" w:rsidP="00E206CE">
      <w:pPr>
        <w:spacing w:after="0" w:line="240" w:lineRule="auto"/>
      </w:pPr>
      <w:r>
        <w:continuationSeparator/>
      </w:r>
    </w:p>
  </w:footnote>
  <w:footnote w:id="1">
    <w:p w14:paraId="082BE3D8" w14:textId="4CB6D430" w:rsidR="00016297" w:rsidRDefault="00016297">
      <w:pPr>
        <w:pStyle w:val="FootnoteText"/>
      </w:pPr>
      <w:r>
        <w:rPr>
          <w:rStyle w:val="FootnoteReference"/>
        </w:rPr>
        <w:footnoteRef/>
      </w:r>
      <w:r>
        <w:t xml:space="preserve"> </w:t>
      </w:r>
      <w:r>
        <w:t xml:space="preserve">Gillian Bennett, </w:t>
      </w:r>
      <w:r>
        <w:rPr>
          <w:i/>
          <w:iCs/>
        </w:rPr>
        <w:t xml:space="preserve">“If I Knew You Were Coming, I’d Have Baked a Cake”: The Folklore of Foreknowledge in a Neighborhood Group, </w:t>
      </w:r>
      <w:r>
        <w:t>In Out of the Ordinary: Folklore and the Supernatural, edited by Barbara Walker, 122-142. Logan, (Utah: Utah University Press, 1995), pp. 122-142.</w:t>
      </w:r>
    </w:p>
  </w:footnote>
  <w:footnote w:id="2">
    <w:p w14:paraId="33B6380C" w14:textId="2CC6AE5A" w:rsidR="002E59EE" w:rsidRPr="009F4D43" w:rsidRDefault="002E59EE">
      <w:pPr>
        <w:pStyle w:val="FootnoteText"/>
      </w:pPr>
      <w:r>
        <w:rPr>
          <w:rStyle w:val="FootnoteReference"/>
        </w:rPr>
        <w:footnoteRef/>
      </w:r>
      <w:r>
        <w:t xml:space="preserve"> </w:t>
      </w:r>
      <w:bookmarkStart w:id="0" w:name="_Hlk97720636"/>
      <w:bookmarkStart w:id="1" w:name="_Hlk97840633"/>
      <w:r>
        <w:t xml:space="preserve">Tony Walter and Helen Waterhouse, </w:t>
      </w:r>
      <w:r>
        <w:rPr>
          <w:i/>
          <w:iCs/>
        </w:rPr>
        <w:t xml:space="preserve">A </w:t>
      </w:r>
      <w:r w:rsidR="000B235F">
        <w:rPr>
          <w:i/>
          <w:iCs/>
        </w:rPr>
        <w:t>Very Private</w:t>
      </w:r>
      <w:r>
        <w:rPr>
          <w:i/>
          <w:iCs/>
        </w:rPr>
        <w:t xml:space="preserve"> Belief: </w:t>
      </w:r>
      <w:r w:rsidR="009F4D43">
        <w:rPr>
          <w:i/>
          <w:iCs/>
        </w:rPr>
        <w:t xml:space="preserve">Reincarnation in Contemporary England, </w:t>
      </w:r>
      <w:r w:rsidR="009F4D43">
        <w:t>Sociology of Religion, vol. 60, no. 2., (Oxford University Press, 1999), pp. 187</w:t>
      </w:r>
      <w:bookmarkEnd w:id="1"/>
      <w:r w:rsidR="009F4D43">
        <w:t>-197.</w:t>
      </w:r>
      <w:bookmarkEnd w:id="0"/>
    </w:p>
  </w:footnote>
  <w:footnote w:id="3">
    <w:p w14:paraId="590B825C" w14:textId="1B061804" w:rsidR="00450DB6" w:rsidRPr="00450DB6" w:rsidRDefault="00450DB6">
      <w:pPr>
        <w:pStyle w:val="FootnoteText"/>
      </w:pPr>
      <w:r>
        <w:rPr>
          <w:rStyle w:val="FootnoteReference"/>
        </w:rPr>
        <w:footnoteRef/>
      </w:r>
      <w:r>
        <w:t xml:space="preserve"> University Press of Colorado, </w:t>
      </w:r>
      <w:r>
        <w:rPr>
          <w:i/>
          <w:iCs/>
        </w:rPr>
        <w:t>Gillian Bennett</w:t>
      </w:r>
      <w:r>
        <w:t xml:space="preserve">, (2021), </w:t>
      </w:r>
      <w:hyperlink r:id="rId1" w:history="1">
        <w:r w:rsidRPr="00B047B1">
          <w:rPr>
            <w:rStyle w:val="Hyperlink"/>
          </w:rPr>
          <w:t>http://upcolorado.com/our-books/our-authors/item/2403-gil</w:t>
        </w:r>
        <w:r w:rsidRPr="00B047B1">
          <w:rPr>
            <w:rStyle w:val="Hyperlink"/>
          </w:rPr>
          <w:t>l</w:t>
        </w:r>
        <w:r w:rsidRPr="00B047B1">
          <w:rPr>
            <w:rStyle w:val="Hyperlink"/>
          </w:rPr>
          <w:t>ian-bennett</w:t>
        </w:r>
      </w:hyperlink>
      <w:r>
        <w:t xml:space="preserve"> </w:t>
      </w:r>
      <w:r w:rsidR="00FD3A2C">
        <w:rPr>
          <w:rFonts w:cstheme="minorHAnsi"/>
        </w:rPr>
        <w:t>[</w:t>
      </w:r>
      <w:r w:rsidR="00FD3A2C">
        <w:t>Accessed 18 February 2022</w:t>
      </w:r>
      <w:r w:rsidR="00FD3A2C">
        <w:rPr>
          <w:rFonts w:cstheme="minorHAnsi"/>
        </w:rPr>
        <w:t>].</w:t>
      </w:r>
    </w:p>
  </w:footnote>
  <w:footnote w:id="4">
    <w:p w14:paraId="5ACDA495" w14:textId="7A83B635" w:rsidR="00FD3A2C" w:rsidRPr="00FD3A2C" w:rsidRDefault="00FD3A2C">
      <w:pPr>
        <w:pStyle w:val="FootnoteText"/>
      </w:pPr>
      <w:r>
        <w:rPr>
          <w:rStyle w:val="FootnoteReference"/>
        </w:rPr>
        <w:footnoteRef/>
      </w:r>
      <w:r>
        <w:t xml:space="preserve"> Gillian Bennett, ‘Editorial’, </w:t>
      </w:r>
      <w:r>
        <w:rPr>
          <w:i/>
          <w:iCs/>
        </w:rPr>
        <w:t>Folklore</w:t>
      </w:r>
      <w:r>
        <w:t>, vol. 105, Folklore Enterprises, (Taylor &amp; Francis Ltd., 1994), p. 1. http://www.jstor.org/stable/1260623.</w:t>
      </w:r>
    </w:p>
  </w:footnote>
  <w:footnote w:id="5">
    <w:p w14:paraId="3F7C45E8" w14:textId="30C2B804" w:rsidR="00C912DC" w:rsidRDefault="00C912DC">
      <w:pPr>
        <w:pStyle w:val="FootnoteText"/>
      </w:pPr>
      <w:r>
        <w:rPr>
          <w:rStyle w:val="FootnoteReference"/>
        </w:rPr>
        <w:footnoteRef/>
      </w:r>
      <w:r>
        <w:t xml:space="preserve"> </w:t>
      </w:r>
      <w:r>
        <w:t xml:space="preserve">Gillian Bennett, </w:t>
      </w:r>
      <w:r>
        <w:rPr>
          <w:i/>
          <w:iCs/>
        </w:rPr>
        <w:t xml:space="preserve">“If I Knew You Were Coming, I’d Have Baked a Cake”: The Folklore of Foreknowledge in a Neighborhood Group, </w:t>
      </w:r>
      <w:r>
        <w:t>In Out of the Ordinary: Folklore and the Supernatural, edited by Barbara Walker, 122-142. Logan, (Utah: Utah University Press, 1995), pp. 122-142.</w:t>
      </w:r>
    </w:p>
  </w:footnote>
  <w:footnote w:id="6">
    <w:p w14:paraId="3B368989" w14:textId="417701C6" w:rsidR="00C912DC" w:rsidRPr="009966D9" w:rsidRDefault="00C912DC">
      <w:pPr>
        <w:pStyle w:val="FootnoteText"/>
      </w:pPr>
      <w:r>
        <w:rPr>
          <w:rStyle w:val="FootnoteReference"/>
        </w:rPr>
        <w:footnoteRef/>
      </w:r>
      <w:r>
        <w:t xml:space="preserve"> </w:t>
      </w:r>
      <w:r w:rsidR="009966D9">
        <w:t xml:space="preserve">Amberley Publishing, </w:t>
      </w:r>
      <w:r w:rsidR="009966D9" w:rsidRPr="009966D9">
        <w:t>Transport, Military, Local and General History,</w:t>
      </w:r>
      <w:r w:rsidR="009966D9">
        <w:rPr>
          <w:i/>
          <w:iCs/>
        </w:rPr>
        <w:t xml:space="preserve"> Gillian Bennett</w:t>
      </w:r>
      <w:r w:rsidR="009966D9">
        <w:t xml:space="preserve">, (2020), </w:t>
      </w:r>
      <w:hyperlink r:id="rId2" w:history="1">
        <w:r w:rsidR="00974528" w:rsidRPr="00953764">
          <w:rPr>
            <w:rStyle w:val="Hyperlink"/>
          </w:rPr>
          <w:t>https://www.amberley-books.com/author-community-main-page/</w:t>
        </w:r>
        <w:r w:rsidR="00974528" w:rsidRPr="00953764">
          <w:rPr>
            <w:rStyle w:val="Hyperlink"/>
          </w:rPr>
          <w:t>b</w:t>
        </w:r>
        <w:r w:rsidR="00974528" w:rsidRPr="00953764">
          <w:rPr>
            <w:rStyle w:val="Hyperlink"/>
          </w:rPr>
          <w:t>/gillian-bennett.html</w:t>
        </w:r>
      </w:hyperlink>
      <w:r w:rsidR="00974528">
        <w:rPr>
          <w:rFonts w:cstheme="minorHAnsi"/>
        </w:rPr>
        <w:t xml:space="preserve">, </w:t>
      </w:r>
      <w:r w:rsidR="009966D9">
        <w:rPr>
          <w:rFonts w:cstheme="minorHAnsi"/>
        </w:rPr>
        <w:t>[</w:t>
      </w:r>
      <w:r w:rsidR="009966D9">
        <w:t>Accessed 18 February 2022</w:t>
      </w:r>
      <w:r w:rsidR="009966D9">
        <w:rPr>
          <w:rFonts w:cstheme="minorHAnsi"/>
        </w:rPr>
        <w:t>]</w:t>
      </w:r>
      <w:r w:rsidR="009966D9">
        <w:t>.</w:t>
      </w:r>
    </w:p>
  </w:footnote>
  <w:footnote w:id="7">
    <w:p w14:paraId="1B0D6D68" w14:textId="2BA699A7" w:rsidR="00A22FAE" w:rsidRPr="00A22FAE" w:rsidRDefault="00A22FAE">
      <w:pPr>
        <w:pStyle w:val="FootnoteText"/>
      </w:pPr>
      <w:r>
        <w:rPr>
          <w:rStyle w:val="FootnoteReference"/>
        </w:rPr>
        <w:footnoteRef/>
      </w:r>
      <w:r>
        <w:t xml:space="preserve"> Contemporarylegend.org – The website for the International Society for Contemporary Legend Research, </w:t>
      </w:r>
      <w:r>
        <w:rPr>
          <w:i/>
          <w:iCs/>
        </w:rPr>
        <w:t>Dr. Gillian Bennett</w:t>
      </w:r>
      <w:r>
        <w:t xml:space="preserve">, (2016), </w:t>
      </w:r>
      <w:hyperlink r:id="rId3" w:history="1">
        <w:r w:rsidRPr="00B047B1">
          <w:rPr>
            <w:rStyle w:val="Hyperlink"/>
          </w:rPr>
          <w:t>https://upcolorado.com</w:t>
        </w:r>
        <w:r w:rsidRPr="00B047B1">
          <w:rPr>
            <w:rStyle w:val="Hyperlink"/>
          </w:rPr>
          <w:t>/</w:t>
        </w:r>
        <w:r w:rsidRPr="00B047B1">
          <w:rPr>
            <w:rStyle w:val="Hyperlink"/>
          </w:rPr>
          <w:t>our-books/our-authors/item/2403-gillian-bennett</w:t>
        </w:r>
      </w:hyperlink>
      <w:r>
        <w:t xml:space="preserve">, </w:t>
      </w:r>
      <w:r>
        <w:rPr>
          <w:rFonts w:cstheme="minorHAnsi"/>
        </w:rPr>
        <w:t>[</w:t>
      </w:r>
      <w:r>
        <w:t>Accessed 18 February 2022</w:t>
      </w:r>
      <w:r>
        <w:rPr>
          <w:rFonts w:cstheme="minorHAnsi"/>
        </w:rPr>
        <w:t>]</w:t>
      </w:r>
      <w:r>
        <w:t>.</w:t>
      </w:r>
    </w:p>
  </w:footnote>
  <w:footnote w:id="8">
    <w:p w14:paraId="11947A93" w14:textId="2399F2C1" w:rsidR="006768D5" w:rsidRDefault="006768D5">
      <w:pPr>
        <w:pStyle w:val="FootnoteText"/>
      </w:pPr>
      <w:r>
        <w:rPr>
          <w:rStyle w:val="FootnoteReference"/>
        </w:rPr>
        <w:footnoteRef/>
      </w:r>
      <w:r>
        <w:t xml:space="preserve"> </w:t>
      </w:r>
      <w:r>
        <w:t xml:space="preserve">Gillian Bennett, </w:t>
      </w:r>
      <w:r>
        <w:rPr>
          <w:i/>
          <w:iCs/>
        </w:rPr>
        <w:t xml:space="preserve">“If I Knew You Were Coming, I’d Have Baked a Cake”: The Folklore of Foreknowledge in a Neighborhood Group, </w:t>
      </w:r>
      <w:r>
        <w:t>In Out of the Ordinary: Folklore and the Supernatural, edited by Barbara Walker, 122-142. Logan, (Utah: Utah University Press, 1995), pp. 122-142.</w:t>
      </w:r>
    </w:p>
  </w:footnote>
  <w:footnote w:id="9">
    <w:p w14:paraId="673F8297" w14:textId="0A18D24A" w:rsidR="006F7DE0" w:rsidRDefault="006F7DE0">
      <w:pPr>
        <w:pStyle w:val="FootnoteText"/>
      </w:pPr>
      <w:r>
        <w:rPr>
          <w:rStyle w:val="FootnoteReference"/>
        </w:rPr>
        <w:footnoteRef/>
      </w:r>
      <w:r>
        <w:t xml:space="preserve"> </w:t>
      </w:r>
      <w:r>
        <w:t xml:space="preserve">University of Bath, </w:t>
      </w:r>
      <w:r>
        <w:rPr>
          <w:i/>
          <w:iCs/>
        </w:rPr>
        <w:t>Tony Walter</w:t>
      </w:r>
      <w:r>
        <w:t>, (2015),</w:t>
      </w:r>
      <w:r w:rsidR="00A60580" w:rsidRPr="00A60580">
        <w:rPr>
          <w:rFonts w:eastAsia="Times New Roman"/>
        </w:rPr>
        <w:t xml:space="preserve"> </w:t>
      </w:r>
      <w:hyperlink r:id="rId4" w:history="1">
        <w:r w:rsidR="00A60580">
          <w:rPr>
            <w:rStyle w:val="Hyperlink"/>
            <w:rFonts w:eastAsia="Times New Roman"/>
          </w:rPr>
          <w:t>https://resea</w:t>
        </w:r>
        <w:r w:rsidR="00A60580">
          <w:rPr>
            <w:rStyle w:val="Hyperlink"/>
            <w:rFonts w:eastAsia="Times New Roman"/>
          </w:rPr>
          <w:t>r</w:t>
        </w:r>
        <w:r w:rsidR="00A60580">
          <w:rPr>
            <w:rStyle w:val="Hyperlink"/>
            <w:rFonts w:eastAsia="Times New Roman"/>
          </w:rPr>
          <w:t>chportal.bath.ac.uk/en/persons/tony-walter</w:t>
        </w:r>
      </w:hyperlink>
      <w:r>
        <w:t xml:space="preserve">, </w:t>
      </w:r>
      <w:r>
        <w:rPr>
          <w:rFonts w:cstheme="minorHAnsi"/>
        </w:rPr>
        <w:t>[</w:t>
      </w:r>
      <w:r>
        <w:t>Accessed 18 February 2022</w:t>
      </w:r>
      <w:r>
        <w:rPr>
          <w:rFonts w:cstheme="minorHAnsi"/>
        </w:rPr>
        <w:t>]</w:t>
      </w:r>
      <w:r>
        <w:t>.</w:t>
      </w:r>
    </w:p>
  </w:footnote>
  <w:footnote w:id="10">
    <w:p w14:paraId="66E4E22A" w14:textId="3C4226EA" w:rsidR="0062345A" w:rsidRPr="0062345A" w:rsidRDefault="0062345A">
      <w:pPr>
        <w:pStyle w:val="FootnoteText"/>
      </w:pPr>
      <w:r>
        <w:rPr>
          <w:rStyle w:val="FootnoteReference"/>
        </w:rPr>
        <w:footnoteRef/>
      </w:r>
      <w:r>
        <w:t xml:space="preserve"> </w:t>
      </w:r>
      <w:r w:rsidR="006F7DE0">
        <w:t xml:space="preserve">Tony Walter, </w:t>
      </w:r>
      <w:r w:rsidR="006F7DE0">
        <w:rPr>
          <w:i/>
          <w:iCs/>
        </w:rPr>
        <w:t>The Revival of Death: Two Decades On</w:t>
      </w:r>
      <w:r w:rsidR="006F7DE0">
        <w:t xml:space="preserve">, (University of Glasgow: End of Life Studies, 17 October 2014), </w:t>
      </w:r>
      <w:hyperlink r:id="rId5" w:history="1">
        <w:r w:rsidR="006F7DE0" w:rsidRPr="00953764">
          <w:rPr>
            <w:rStyle w:val="Hyperlink"/>
          </w:rPr>
          <w:t>http://endoflifestudies.academicblogs.co.u</w:t>
        </w:r>
        <w:r w:rsidR="006F7DE0" w:rsidRPr="00953764">
          <w:rPr>
            <w:rStyle w:val="Hyperlink"/>
          </w:rPr>
          <w:t>k</w:t>
        </w:r>
        <w:r w:rsidR="006F7DE0" w:rsidRPr="00953764">
          <w:rPr>
            <w:rStyle w:val="Hyperlink"/>
          </w:rPr>
          <w:t>/the-revival-of-death-two-decades-on-by-tony-walter/</w:t>
        </w:r>
      </w:hyperlink>
      <w:r w:rsidR="006F7DE0">
        <w:t xml:space="preserve">, </w:t>
      </w:r>
      <w:r w:rsidR="006F7DE0">
        <w:rPr>
          <w:rFonts w:cstheme="minorHAnsi"/>
        </w:rPr>
        <w:t>[</w:t>
      </w:r>
      <w:r w:rsidR="006F7DE0">
        <w:t>Accessed 18 February 2022</w:t>
      </w:r>
      <w:r w:rsidR="006F7DE0">
        <w:rPr>
          <w:rFonts w:cstheme="minorHAnsi"/>
        </w:rPr>
        <w:t>].</w:t>
      </w:r>
    </w:p>
  </w:footnote>
  <w:footnote w:id="11">
    <w:p w14:paraId="691DE324" w14:textId="20D8A960" w:rsidR="00B9315D" w:rsidRPr="00B9315D" w:rsidRDefault="00B9315D">
      <w:pPr>
        <w:pStyle w:val="FootnoteText"/>
      </w:pPr>
      <w:r>
        <w:rPr>
          <w:rStyle w:val="FootnoteReference"/>
        </w:rPr>
        <w:footnoteRef/>
      </w:r>
      <w:r>
        <w:t xml:space="preserve"> University of Reading, </w:t>
      </w:r>
      <w:r>
        <w:rPr>
          <w:i/>
          <w:iCs/>
        </w:rPr>
        <w:t>Dr. Tony Walter</w:t>
      </w:r>
      <w:r>
        <w:t xml:space="preserve">, (2015), </w:t>
      </w:r>
      <w:hyperlink r:id="rId6" w:history="1">
        <w:r w:rsidRPr="00953764">
          <w:rPr>
            <w:rStyle w:val="Hyperlink"/>
          </w:rPr>
          <w:t>https://www.reading.ac</w:t>
        </w:r>
        <w:r w:rsidRPr="00953764">
          <w:rPr>
            <w:rStyle w:val="Hyperlink"/>
          </w:rPr>
          <w:t>.</w:t>
        </w:r>
        <w:r w:rsidRPr="00953764">
          <w:rPr>
            <w:rStyle w:val="Hyperlink"/>
          </w:rPr>
          <w:t>uk/AcaDepts/lw/staff/tony.htm</w:t>
        </w:r>
      </w:hyperlink>
      <w:r>
        <w:t xml:space="preserve">, </w:t>
      </w:r>
      <w:r>
        <w:rPr>
          <w:rFonts w:cstheme="minorHAnsi"/>
        </w:rPr>
        <w:t>[</w:t>
      </w:r>
      <w:r>
        <w:t>Accessed 18 February 2022</w:t>
      </w:r>
      <w:r>
        <w:rPr>
          <w:rFonts w:cstheme="minorHAnsi"/>
        </w:rPr>
        <w:t>]</w:t>
      </w:r>
      <w:r>
        <w:t>.</w:t>
      </w:r>
    </w:p>
  </w:footnote>
  <w:footnote w:id="12">
    <w:p w14:paraId="1278ED97" w14:textId="1F5467E5" w:rsidR="004273C7" w:rsidRPr="00272473" w:rsidRDefault="004273C7">
      <w:pPr>
        <w:pStyle w:val="FootnoteText"/>
      </w:pPr>
      <w:r>
        <w:rPr>
          <w:rStyle w:val="FootnoteReference"/>
        </w:rPr>
        <w:footnoteRef/>
      </w:r>
      <w:r>
        <w:t xml:space="preserve"> </w:t>
      </w:r>
      <w:r w:rsidR="00B9315D">
        <w:t xml:space="preserve">Tony Walter, </w:t>
      </w:r>
      <w:r w:rsidR="00272473">
        <w:rPr>
          <w:i/>
          <w:iCs/>
        </w:rPr>
        <w:t>The Conversation</w:t>
      </w:r>
      <w:r w:rsidR="00272473">
        <w:t xml:space="preserve">, 8 October 2015, </w:t>
      </w:r>
      <w:hyperlink r:id="rId7" w:history="1">
        <w:r w:rsidR="00272473" w:rsidRPr="00953764">
          <w:rPr>
            <w:rStyle w:val="Hyperlink"/>
          </w:rPr>
          <w:t>https://theconversat</w:t>
        </w:r>
        <w:r w:rsidR="00272473" w:rsidRPr="00953764">
          <w:rPr>
            <w:rStyle w:val="Hyperlink"/>
          </w:rPr>
          <w:t>i</w:t>
        </w:r>
        <w:r w:rsidR="00272473" w:rsidRPr="00953764">
          <w:rPr>
            <w:rStyle w:val="Hyperlink"/>
          </w:rPr>
          <w:t>on.com/profiles/tony-walter-197166</w:t>
        </w:r>
      </w:hyperlink>
      <w:r w:rsidR="00272473">
        <w:t xml:space="preserve">, </w:t>
      </w:r>
      <w:r w:rsidR="00272473">
        <w:rPr>
          <w:rFonts w:cstheme="minorHAnsi"/>
        </w:rPr>
        <w:t>[</w:t>
      </w:r>
      <w:r w:rsidR="00272473">
        <w:t>Accessed 18 February 2022</w:t>
      </w:r>
      <w:r w:rsidR="00272473">
        <w:rPr>
          <w:rFonts w:cstheme="minorHAnsi"/>
        </w:rPr>
        <w:t>]</w:t>
      </w:r>
      <w:r w:rsidR="00272473">
        <w:t>.</w:t>
      </w:r>
    </w:p>
  </w:footnote>
  <w:footnote w:id="13">
    <w:p w14:paraId="3EAAC757" w14:textId="0280ABC4" w:rsidR="001C6BF2" w:rsidRPr="001C6BF2" w:rsidRDefault="001C6BF2">
      <w:pPr>
        <w:pStyle w:val="FootnoteText"/>
      </w:pPr>
      <w:r>
        <w:rPr>
          <w:rStyle w:val="FootnoteReference"/>
        </w:rPr>
        <w:footnoteRef/>
      </w:r>
      <w:r>
        <w:t xml:space="preserve"> University of Bath, </w:t>
      </w:r>
      <w:r>
        <w:rPr>
          <w:i/>
          <w:iCs/>
        </w:rPr>
        <w:t>Helen Waterhouse</w:t>
      </w:r>
      <w:r>
        <w:t xml:space="preserve">, (2022), </w:t>
      </w:r>
      <w:hyperlink r:id="rId8" w:history="1">
        <w:r w:rsidR="008941D7">
          <w:rPr>
            <w:rStyle w:val="Hyperlink"/>
            <w:rFonts w:eastAsia="Times New Roman"/>
          </w:rPr>
          <w:t>https://researchportal.bath.ac.uk/en/searchAll/index/?search=Helen+Waterhouse&amp;pageSize=25&amp;showAdvanced=false&amp;allConcepts=true&amp;inferConcepts=true&amp;se</w:t>
        </w:r>
        <w:r w:rsidR="008941D7">
          <w:rPr>
            <w:rStyle w:val="Hyperlink"/>
            <w:rFonts w:eastAsia="Times New Roman"/>
          </w:rPr>
          <w:t>a</w:t>
        </w:r>
        <w:r w:rsidR="008941D7">
          <w:rPr>
            <w:rStyle w:val="Hyperlink"/>
            <w:rFonts w:eastAsia="Times New Roman"/>
          </w:rPr>
          <w:t>rchBy=PartOfNameOrTitle</w:t>
        </w:r>
      </w:hyperlink>
      <w:r w:rsidR="008941D7">
        <w:rPr>
          <w:rFonts w:eastAsia="Times New Roman"/>
        </w:rPr>
        <w:t xml:space="preserve">, </w:t>
      </w:r>
      <w:r w:rsidR="008941D7">
        <w:rPr>
          <w:rFonts w:eastAsia="Times New Roman" w:cstheme="minorHAnsi"/>
        </w:rPr>
        <w:t>[</w:t>
      </w:r>
      <w:r w:rsidR="008941D7">
        <w:rPr>
          <w:rFonts w:eastAsia="Times New Roman"/>
        </w:rPr>
        <w:t>Accessed 18 February 2022</w:t>
      </w:r>
      <w:r w:rsidR="008941D7">
        <w:rPr>
          <w:rFonts w:eastAsia="Times New Roman" w:cstheme="minorHAnsi"/>
        </w:rPr>
        <w:t>]</w:t>
      </w:r>
      <w:r w:rsidR="008941D7">
        <w:rPr>
          <w:rFonts w:eastAsia="Times New Roman"/>
        </w:rPr>
        <w:t>.</w:t>
      </w:r>
    </w:p>
  </w:footnote>
  <w:footnote w:id="14">
    <w:p w14:paraId="1CB9049B" w14:textId="020876AF" w:rsidR="008941D7" w:rsidRDefault="008941D7">
      <w:pPr>
        <w:pStyle w:val="FootnoteText"/>
      </w:pPr>
      <w:r>
        <w:rPr>
          <w:rStyle w:val="FootnoteReference"/>
        </w:rPr>
        <w:footnoteRef/>
      </w:r>
      <w:r>
        <w:t xml:space="preserve"> </w:t>
      </w:r>
      <w:r>
        <w:t xml:space="preserve">Tony Walter and Helen Waterhouse, </w:t>
      </w:r>
      <w:r>
        <w:rPr>
          <w:i/>
          <w:iCs/>
        </w:rPr>
        <w:t xml:space="preserve">A Very Private Belief: Reincarnation in Contemporary England, </w:t>
      </w:r>
      <w:r>
        <w:t>Sociology of Religion, vol. 60, no. 2., (Oxford University Press, 1999), pp. 187-197.</w:t>
      </w:r>
    </w:p>
  </w:footnote>
  <w:footnote w:id="15">
    <w:p w14:paraId="20CC137A" w14:textId="55306C14" w:rsidR="00FA4D1E" w:rsidRDefault="00FA4D1E">
      <w:pPr>
        <w:pStyle w:val="FootnoteText"/>
      </w:pPr>
      <w:r>
        <w:rPr>
          <w:rStyle w:val="FootnoteReference"/>
        </w:rPr>
        <w:footnoteRef/>
      </w:r>
      <w:r>
        <w:t xml:space="preserve"> </w:t>
      </w:r>
      <w:r w:rsidR="00397C3F">
        <w:t>Walter and Waterhouse</w:t>
      </w:r>
      <w:r>
        <w:t xml:space="preserve">, </w:t>
      </w:r>
      <w:r>
        <w:rPr>
          <w:i/>
          <w:iCs/>
        </w:rPr>
        <w:t>A Very Private Belief</w:t>
      </w:r>
      <w:r>
        <w:t>, pp. 187</w:t>
      </w:r>
      <w:r>
        <w:t>-188.</w:t>
      </w:r>
    </w:p>
  </w:footnote>
  <w:footnote w:id="16">
    <w:p w14:paraId="5B9B8068" w14:textId="4F974173" w:rsidR="002F053A" w:rsidRPr="002F053A" w:rsidRDefault="002F053A">
      <w:pPr>
        <w:pStyle w:val="FootnoteText"/>
        <w:rPr>
          <w:i/>
          <w:iCs/>
        </w:rPr>
      </w:pPr>
      <w:r>
        <w:rPr>
          <w:rStyle w:val="FootnoteReference"/>
        </w:rPr>
        <w:footnoteRef/>
      </w:r>
      <w:r>
        <w:t xml:space="preserve"> John Beaumont, </w:t>
      </w:r>
      <w:r>
        <w:rPr>
          <w:i/>
          <w:iCs/>
        </w:rPr>
        <w:t xml:space="preserve">An Historical Physiological and Theological Treatise of Spirits, Apparitions, Witchcrafts and </w:t>
      </w:r>
      <w:r w:rsidR="00A60580">
        <w:rPr>
          <w:i/>
          <w:iCs/>
        </w:rPr>
        <w:t xml:space="preserve">Other Magical Practices, (London: D. Browne, 1705) cited in </w:t>
      </w:r>
      <w:r w:rsidR="00A60580">
        <w:t xml:space="preserve">Gillian Bennett, </w:t>
      </w:r>
      <w:r w:rsidR="00A60580">
        <w:rPr>
          <w:i/>
          <w:iCs/>
        </w:rPr>
        <w:t xml:space="preserve">“If I Knew You Were Coming, I’d Have Baked a Cake”: The Folklore of Foreknowledge in a Neighborhood Group, </w:t>
      </w:r>
      <w:r w:rsidR="00A60580">
        <w:t>In Out of the Ordinary: Folklore and the Supernatural, edited by Barbara Walker, 122-142. Logan, (Utah: Utah University Press, 1995), p. 12</w:t>
      </w:r>
      <w:r w:rsidR="00A60580">
        <w:t>1.</w:t>
      </w:r>
    </w:p>
  </w:footnote>
  <w:footnote w:id="17">
    <w:p w14:paraId="28F8BA19" w14:textId="7A58E161" w:rsidR="00974528" w:rsidRDefault="00974528">
      <w:pPr>
        <w:pStyle w:val="FootnoteText"/>
      </w:pPr>
      <w:r>
        <w:rPr>
          <w:rStyle w:val="FootnoteReference"/>
        </w:rPr>
        <w:footnoteRef/>
      </w:r>
      <w:r>
        <w:t xml:space="preserve"> </w:t>
      </w:r>
      <w:r>
        <w:t xml:space="preserve">Gillian Bennett, </w:t>
      </w:r>
      <w:r>
        <w:rPr>
          <w:i/>
          <w:iCs/>
        </w:rPr>
        <w:t xml:space="preserve">“If I Knew You Were Coming, I’d Have Baked a Cake”: The Folklore of Foreknowledge in a Neighborhood Group, </w:t>
      </w:r>
      <w:r>
        <w:t>In Out of the Ordinary: Folklore and the Supernatural, edited by Barbara Walker, 122-142. Logan, (Utah: Utah University Press, 1995), p. 121.</w:t>
      </w:r>
    </w:p>
  </w:footnote>
  <w:footnote w:id="18">
    <w:p w14:paraId="1159C7DA" w14:textId="0DDB4C8C" w:rsidR="00D052FB" w:rsidRPr="00D052FB" w:rsidRDefault="00D052FB">
      <w:pPr>
        <w:pStyle w:val="FootnoteText"/>
      </w:pPr>
      <w:r>
        <w:rPr>
          <w:rStyle w:val="FootnoteReference"/>
        </w:rPr>
        <w:footnoteRef/>
      </w:r>
      <w:r>
        <w:t xml:space="preserve"> Bennett, </w:t>
      </w:r>
      <w:r>
        <w:rPr>
          <w:i/>
          <w:iCs/>
        </w:rPr>
        <w:t>If I Knew You Were Coming</w:t>
      </w:r>
      <w:r>
        <w:t>, p. 122.</w:t>
      </w:r>
    </w:p>
  </w:footnote>
  <w:footnote w:id="19">
    <w:p w14:paraId="07009DE1" w14:textId="4729A1AF" w:rsidR="00154154" w:rsidRDefault="00154154">
      <w:pPr>
        <w:pStyle w:val="FootnoteText"/>
      </w:pPr>
      <w:r>
        <w:rPr>
          <w:rStyle w:val="FootnoteReference"/>
        </w:rPr>
        <w:footnoteRef/>
      </w:r>
      <w:r>
        <w:t xml:space="preserve"> </w:t>
      </w:r>
      <w:r>
        <w:t xml:space="preserve">Bennett, </w:t>
      </w:r>
      <w:r>
        <w:rPr>
          <w:i/>
          <w:iCs/>
        </w:rPr>
        <w:t>If I Knew You Were Coming</w:t>
      </w:r>
      <w:r>
        <w:t>, p. 122.</w:t>
      </w:r>
    </w:p>
  </w:footnote>
  <w:footnote w:id="20">
    <w:p w14:paraId="376A6FEF" w14:textId="7BAB4E61" w:rsidR="000A52B1" w:rsidRDefault="000A52B1">
      <w:pPr>
        <w:pStyle w:val="FootnoteText"/>
      </w:pPr>
      <w:r>
        <w:rPr>
          <w:rStyle w:val="FootnoteReference"/>
        </w:rPr>
        <w:footnoteRef/>
      </w:r>
      <w:r>
        <w:t xml:space="preserve"> </w:t>
      </w:r>
      <w:r>
        <w:t xml:space="preserve">Bennett, </w:t>
      </w:r>
      <w:r>
        <w:rPr>
          <w:i/>
          <w:iCs/>
        </w:rPr>
        <w:t>If I Knew You Were Coming</w:t>
      </w:r>
      <w:r>
        <w:t xml:space="preserve">, </w:t>
      </w:r>
      <w:r>
        <w:t>p</w:t>
      </w:r>
      <w:r>
        <w:t>p. 122</w:t>
      </w:r>
      <w:r>
        <w:t>-126.</w:t>
      </w:r>
    </w:p>
  </w:footnote>
  <w:footnote w:id="21">
    <w:p w14:paraId="4E5BB756" w14:textId="128FBA4E" w:rsidR="000A52B1" w:rsidRDefault="000A52B1">
      <w:pPr>
        <w:pStyle w:val="FootnoteText"/>
      </w:pPr>
      <w:r>
        <w:rPr>
          <w:rStyle w:val="FootnoteReference"/>
        </w:rPr>
        <w:footnoteRef/>
      </w:r>
      <w:r>
        <w:t xml:space="preserve"> </w:t>
      </w:r>
      <w:r w:rsidRPr="000A52B1">
        <w:t xml:space="preserve">Bennett, </w:t>
      </w:r>
      <w:r w:rsidRPr="000A52B1">
        <w:rPr>
          <w:i/>
          <w:iCs/>
        </w:rPr>
        <w:t>If I Knew You Were Coming</w:t>
      </w:r>
      <w:r w:rsidRPr="000A52B1">
        <w:t>, p</w:t>
      </w:r>
      <w:r>
        <w:t>p</w:t>
      </w:r>
      <w:r w:rsidRPr="000A52B1">
        <w:t>. 122</w:t>
      </w:r>
      <w:r>
        <w:t>-124.</w:t>
      </w:r>
    </w:p>
  </w:footnote>
  <w:footnote w:id="22">
    <w:p w14:paraId="70BF149E" w14:textId="17472EDF" w:rsidR="00FA625E" w:rsidRDefault="00FA625E">
      <w:pPr>
        <w:pStyle w:val="FootnoteText"/>
      </w:pPr>
      <w:r>
        <w:rPr>
          <w:rStyle w:val="FootnoteReference"/>
        </w:rPr>
        <w:footnoteRef/>
      </w:r>
      <w:r>
        <w:t xml:space="preserve"> </w:t>
      </w:r>
      <w:r>
        <w:t xml:space="preserve">Bennett, </w:t>
      </w:r>
      <w:r>
        <w:rPr>
          <w:i/>
          <w:iCs/>
        </w:rPr>
        <w:t>If I Knew You Were Coming</w:t>
      </w:r>
      <w:r>
        <w:t>, p. 12</w:t>
      </w:r>
      <w:r>
        <w:t>4.</w:t>
      </w:r>
    </w:p>
  </w:footnote>
  <w:footnote w:id="23">
    <w:p w14:paraId="0A06538F" w14:textId="05596FBF" w:rsidR="00FA625E" w:rsidRDefault="00FA625E">
      <w:pPr>
        <w:pStyle w:val="FootnoteText"/>
      </w:pPr>
      <w:r>
        <w:rPr>
          <w:rStyle w:val="FootnoteReference"/>
        </w:rPr>
        <w:footnoteRef/>
      </w:r>
      <w:r>
        <w:t xml:space="preserve"> </w:t>
      </w:r>
      <w:r>
        <w:t xml:space="preserve">Bennett, </w:t>
      </w:r>
      <w:r>
        <w:rPr>
          <w:i/>
          <w:iCs/>
        </w:rPr>
        <w:t>If I Knew You Were Coming</w:t>
      </w:r>
      <w:r>
        <w:t>, p. 12</w:t>
      </w:r>
      <w:r>
        <w:t>4.</w:t>
      </w:r>
    </w:p>
  </w:footnote>
  <w:footnote w:id="24">
    <w:p w14:paraId="3B45E61B" w14:textId="7CAE2EF9" w:rsidR="00FA625E" w:rsidRDefault="00FA625E">
      <w:pPr>
        <w:pStyle w:val="FootnoteText"/>
      </w:pPr>
      <w:r>
        <w:rPr>
          <w:rStyle w:val="FootnoteReference"/>
        </w:rPr>
        <w:footnoteRef/>
      </w:r>
      <w:r>
        <w:t xml:space="preserve"> </w:t>
      </w:r>
      <w:r>
        <w:t xml:space="preserve">Bennett, </w:t>
      </w:r>
      <w:r>
        <w:rPr>
          <w:i/>
          <w:iCs/>
        </w:rPr>
        <w:t>If I Knew You Were Coming</w:t>
      </w:r>
      <w:r>
        <w:t>, p. 12</w:t>
      </w:r>
      <w:r w:rsidR="002369EB">
        <w:t>4.</w:t>
      </w:r>
    </w:p>
  </w:footnote>
  <w:footnote w:id="25">
    <w:p w14:paraId="0CE5CCA6" w14:textId="516F6983" w:rsidR="002369EB" w:rsidRDefault="002369EB">
      <w:pPr>
        <w:pStyle w:val="FootnoteText"/>
      </w:pPr>
      <w:r>
        <w:rPr>
          <w:rStyle w:val="FootnoteReference"/>
        </w:rPr>
        <w:footnoteRef/>
      </w:r>
      <w:r>
        <w:t xml:space="preserve"> </w:t>
      </w:r>
      <w:r>
        <w:t xml:space="preserve">Bennett, </w:t>
      </w:r>
      <w:r>
        <w:rPr>
          <w:i/>
          <w:iCs/>
        </w:rPr>
        <w:t>If I Knew You Were Coming</w:t>
      </w:r>
      <w:r>
        <w:t>, p. 12</w:t>
      </w:r>
      <w:r>
        <w:t>5.</w:t>
      </w:r>
    </w:p>
  </w:footnote>
  <w:footnote w:id="26">
    <w:p w14:paraId="15AA02CF" w14:textId="2A2C37E7" w:rsidR="00142373" w:rsidRDefault="00142373">
      <w:pPr>
        <w:pStyle w:val="FootnoteText"/>
      </w:pPr>
      <w:r>
        <w:rPr>
          <w:rStyle w:val="FootnoteReference"/>
        </w:rPr>
        <w:footnoteRef/>
      </w:r>
      <w:r>
        <w:t xml:space="preserve"> </w:t>
      </w:r>
      <w:r>
        <w:t xml:space="preserve">Bennett, </w:t>
      </w:r>
      <w:r>
        <w:rPr>
          <w:i/>
          <w:iCs/>
        </w:rPr>
        <w:t>If I Knew You Were Coming</w:t>
      </w:r>
      <w:r>
        <w:t>, pp. 12</w:t>
      </w:r>
      <w:r w:rsidR="00FE1B36">
        <w:t>8-129.</w:t>
      </w:r>
    </w:p>
  </w:footnote>
  <w:footnote w:id="27">
    <w:p w14:paraId="76E9486C" w14:textId="19317C38" w:rsidR="00FE1B36" w:rsidRDefault="00FE1B36">
      <w:pPr>
        <w:pStyle w:val="FootnoteText"/>
      </w:pPr>
      <w:r>
        <w:rPr>
          <w:rStyle w:val="FootnoteReference"/>
        </w:rPr>
        <w:footnoteRef/>
      </w:r>
      <w:r>
        <w:t xml:space="preserve"> </w:t>
      </w:r>
      <w:r>
        <w:t xml:space="preserve">Bennett, </w:t>
      </w:r>
      <w:r>
        <w:rPr>
          <w:i/>
          <w:iCs/>
        </w:rPr>
        <w:t>If I Knew You Were Coming</w:t>
      </w:r>
      <w:r>
        <w:t xml:space="preserve">, pp. </w:t>
      </w:r>
      <w:r>
        <w:t>130-132.</w:t>
      </w:r>
    </w:p>
  </w:footnote>
  <w:footnote w:id="28">
    <w:p w14:paraId="6E62A1E0" w14:textId="61F70700" w:rsidR="00F052E9" w:rsidRDefault="00F052E9">
      <w:pPr>
        <w:pStyle w:val="FootnoteText"/>
      </w:pPr>
      <w:r>
        <w:rPr>
          <w:rStyle w:val="FootnoteReference"/>
        </w:rPr>
        <w:footnoteRef/>
      </w:r>
      <w:r>
        <w:t xml:space="preserve"> </w:t>
      </w:r>
      <w:r>
        <w:t xml:space="preserve">Bennett, </w:t>
      </w:r>
      <w:r>
        <w:rPr>
          <w:i/>
          <w:iCs/>
        </w:rPr>
        <w:t>If I Knew You Were Coming</w:t>
      </w:r>
      <w:r>
        <w:t>, pp. 1</w:t>
      </w:r>
      <w:r>
        <w:t>36</w:t>
      </w:r>
      <w:r>
        <w:t>-1</w:t>
      </w:r>
      <w:r>
        <w:t>39</w:t>
      </w:r>
      <w:r>
        <w:t>.</w:t>
      </w:r>
    </w:p>
  </w:footnote>
  <w:footnote w:id="29">
    <w:p w14:paraId="73225AC7" w14:textId="2F53439B" w:rsidR="00E01DD5" w:rsidRDefault="00E01DD5">
      <w:pPr>
        <w:pStyle w:val="FootnoteText"/>
      </w:pPr>
      <w:r>
        <w:rPr>
          <w:rStyle w:val="FootnoteReference"/>
        </w:rPr>
        <w:footnoteRef/>
      </w:r>
      <w:r>
        <w:t xml:space="preserve"> </w:t>
      </w:r>
      <w:r>
        <w:t xml:space="preserve">Bennett, </w:t>
      </w:r>
      <w:r>
        <w:rPr>
          <w:i/>
          <w:iCs/>
        </w:rPr>
        <w:t>If I Knew You Were Coming</w:t>
      </w:r>
      <w:r>
        <w:t xml:space="preserve">, </w:t>
      </w:r>
      <w:r>
        <w:t>p. 139.</w:t>
      </w:r>
    </w:p>
  </w:footnote>
  <w:footnote w:id="30">
    <w:p w14:paraId="72597883" w14:textId="4B84D8AB" w:rsidR="00E01DD5" w:rsidRDefault="00E01DD5">
      <w:pPr>
        <w:pStyle w:val="FootnoteText"/>
      </w:pPr>
      <w:r>
        <w:rPr>
          <w:rStyle w:val="FootnoteReference"/>
        </w:rPr>
        <w:footnoteRef/>
      </w:r>
      <w:r>
        <w:t xml:space="preserve"> </w:t>
      </w:r>
      <w:r>
        <w:t xml:space="preserve">Bennett, </w:t>
      </w:r>
      <w:r>
        <w:rPr>
          <w:i/>
          <w:iCs/>
        </w:rPr>
        <w:t>If I Knew You Were Coming</w:t>
      </w:r>
      <w:r>
        <w:t xml:space="preserve">, pp. </w:t>
      </w:r>
      <w:r>
        <w:t>140-141.</w:t>
      </w:r>
    </w:p>
  </w:footnote>
  <w:footnote w:id="31">
    <w:p w14:paraId="171A75D1" w14:textId="15271777" w:rsidR="00E01DD5" w:rsidRDefault="00E01DD5">
      <w:pPr>
        <w:pStyle w:val="FootnoteText"/>
      </w:pPr>
      <w:r>
        <w:rPr>
          <w:rStyle w:val="FootnoteReference"/>
        </w:rPr>
        <w:footnoteRef/>
      </w:r>
      <w:r>
        <w:t xml:space="preserve"> </w:t>
      </w:r>
      <w:r>
        <w:t xml:space="preserve">Bennett, </w:t>
      </w:r>
      <w:r>
        <w:rPr>
          <w:i/>
          <w:iCs/>
        </w:rPr>
        <w:t>If I Knew You Were Coming</w:t>
      </w:r>
      <w:r>
        <w:t xml:space="preserve">, pp. </w:t>
      </w:r>
      <w:r>
        <w:t>124-125.</w:t>
      </w:r>
    </w:p>
  </w:footnote>
  <w:footnote w:id="32">
    <w:p w14:paraId="7026957D" w14:textId="4F312E36" w:rsidR="00AA6362" w:rsidRDefault="00AA6362">
      <w:pPr>
        <w:pStyle w:val="FootnoteText"/>
      </w:pPr>
      <w:r>
        <w:rPr>
          <w:rStyle w:val="FootnoteReference"/>
        </w:rPr>
        <w:footnoteRef/>
      </w:r>
      <w:r>
        <w:t xml:space="preserve"> </w:t>
      </w:r>
      <w:r>
        <w:t xml:space="preserve">Tony Walter and Helen Waterhouse, </w:t>
      </w:r>
      <w:bookmarkStart w:id="2" w:name="_Hlk97720950"/>
      <w:r>
        <w:rPr>
          <w:i/>
          <w:iCs/>
        </w:rPr>
        <w:t>A Very Private Belief</w:t>
      </w:r>
      <w:bookmarkEnd w:id="2"/>
      <w:r>
        <w:rPr>
          <w:i/>
          <w:iCs/>
        </w:rPr>
        <w:t xml:space="preserve">: Reincarnation in Contemporary England, </w:t>
      </w:r>
      <w:r>
        <w:t>Sociology of Religion, vol. 60, no. 2., (Oxford University Press, 1999), p. 187</w:t>
      </w:r>
      <w:r>
        <w:t>.</w:t>
      </w:r>
    </w:p>
  </w:footnote>
  <w:footnote w:id="33">
    <w:p w14:paraId="53F8AE8C" w14:textId="0108BBA4" w:rsidR="00AA6362" w:rsidRPr="00513696" w:rsidRDefault="00AA6362">
      <w:pPr>
        <w:pStyle w:val="FootnoteText"/>
      </w:pPr>
      <w:r>
        <w:rPr>
          <w:rStyle w:val="FootnoteReference"/>
        </w:rPr>
        <w:footnoteRef/>
      </w:r>
      <w:r>
        <w:t xml:space="preserve"> </w:t>
      </w:r>
      <w:bookmarkStart w:id="3" w:name="_Hlk97805118"/>
      <w:r w:rsidR="00397C3F">
        <w:t>Walter and Waterhouse</w:t>
      </w:r>
      <w:r w:rsidR="00513696">
        <w:t xml:space="preserve">, </w:t>
      </w:r>
      <w:r w:rsidR="00513696">
        <w:rPr>
          <w:i/>
          <w:iCs/>
        </w:rPr>
        <w:t>A Very Private Belief</w:t>
      </w:r>
      <w:r w:rsidR="00513696">
        <w:t>, p. 187.</w:t>
      </w:r>
      <w:bookmarkEnd w:id="3"/>
    </w:p>
  </w:footnote>
  <w:footnote w:id="34">
    <w:p w14:paraId="2B6459FF" w14:textId="44E5A197" w:rsidR="00AC7A44" w:rsidRDefault="00AC7A44">
      <w:pPr>
        <w:pStyle w:val="FootnoteText"/>
      </w:pPr>
      <w:r>
        <w:rPr>
          <w:rStyle w:val="FootnoteReference"/>
        </w:rPr>
        <w:footnoteRef/>
      </w:r>
      <w:r>
        <w:t xml:space="preserve"> </w:t>
      </w:r>
      <w:r w:rsidR="00397C3F">
        <w:t>Walter and Waterhouse</w:t>
      </w:r>
      <w:r>
        <w:t xml:space="preserve">, </w:t>
      </w:r>
      <w:r>
        <w:rPr>
          <w:i/>
          <w:iCs/>
        </w:rPr>
        <w:t>A Very Private Belief</w:t>
      </w:r>
      <w:r>
        <w:t>, p. 18</w:t>
      </w:r>
      <w:r w:rsidR="00BD6137">
        <w:t>9.</w:t>
      </w:r>
    </w:p>
  </w:footnote>
  <w:footnote w:id="35">
    <w:p w14:paraId="3CC9E45A" w14:textId="79CDDF27" w:rsidR="00AC7A44" w:rsidRDefault="00AC7A44">
      <w:pPr>
        <w:pStyle w:val="FootnoteText"/>
      </w:pPr>
      <w:r>
        <w:rPr>
          <w:rStyle w:val="FootnoteReference"/>
        </w:rPr>
        <w:footnoteRef/>
      </w:r>
      <w:r>
        <w:t xml:space="preserve"> </w:t>
      </w:r>
      <w:r w:rsidR="00397C3F">
        <w:t>Walter and Waterhouse</w:t>
      </w:r>
      <w:r w:rsidR="00BD6137">
        <w:t xml:space="preserve">, </w:t>
      </w:r>
      <w:r w:rsidR="00BD6137">
        <w:rPr>
          <w:i/>
          <w:iCs/>
        </w:rPr>
        <w:t>A Very Private Belief</w:t>
      </w:r>
      <w:r w:rsidR="00BD6137">
        <w:t xml:space="preserve">, </w:t>
      </w:r>
      <w:r w:rsidR="00BD6137">
        <w:t>p</w:t>
      </w:r>
      <w:r w:rsidR="00BD6137">
        <w:t>p. 18</w:t>
      </w:r>
      <w:r w:rsidR="00BD6137">
        <w:t>8-190.</w:t>
      </w:r>
    </w:p>
  </w:footnote>
  <w:footnote w:id="36">
    <w:p w14:paraId="266F305F" w14:textId="3D4508F4" w:rsidR="00DB36CD" w:rsidRDefault="00DB36CD">
      <w:pPr>
        <w:pStyle w:val="FootnoteText"/>
      </w:pPr>
      <w:r>
        <w:rPr>
          <w:rStyle w:val="FootnoteReference"/>
        </w:rPr>
        <w:footnoteRef/>
      </w:r>
      <w:r>
        <w:t xml:space="preserve"> </w:t>
      </w:r>
      <w:r w:rsidR="00397C3F">
        <w:t>Walter and Waterhouse</w:t>
      </w:r>
      <w:r w:rsidR="000E3A1D">
        <w:t xml:space="preserve">, </w:t>
      </w:r>
      <w:r w:rsidR="000E3A1D">
        <w:rPr>
          <w:i/>
          <w:iCs/>
        </w:rPr>
        <w:t>A Very Private Belief</w:t>
      </w:r>
      <w:r w:rsidR="000E3A1D">
        <w:t>, p</w:t>
      </w:r>
      <w:r w:rsidR="000E3A1D">
        <w:t>p</w:t>
      </w:r>
      <w:r w:rsidR="000E3A1D">
        <w:t>. 18</w:t>
      </w:r>
      <w:r w:rsidR="000E3A1D">
        <w:t>9-190.</w:t>
      </w:r>
    </w:p>
  </w:footnote>
  <w:footnote w:id="37">
    <w:p w14:paraId="1E7A70B4" w14:textId="5A8E3A01" w:rsidR="001A50AD" w:rsidRDefault="001A50AD">
      <w:pPr>
        <w:pStyle w:val="FootnoteText"/>
      </w:pPr>
      <w:r>
        <w:rPr>
          <w:rStyle w:val="FootnoteReference"/>
        </w:rPr>
        <w:footnoteRef/>
      </w:r>
      <w:r>
        <w:t xml:space="preserve"> </w:t>
      </w:r>
      <w:r w:rsidR="00397C3F">
        <w:t>Walter and Waterhouse</w:t>
      </w:r>
      <w:r>
        <w:t xml:space="preserve">, </w:t>
      </w:r>
      <w:r>
        <w:rPr>
          <w:i/>
          <w:iCs/>
        </w:rPr>
        <w:t>A Very Private Belief</w:t>
      </w:r>
      <w:r>
        <w:t xml:space="preserve">, p. </w:t>
      </w:r>
      <w:r>
        <w:t>190</w:t>
      </w:r>
      <w:r>
        <w:t>.</w:t>
      </w:r>
    </w:p>
  </w:footnote>
  <w:footnote w:id="38">
    <w:p w14:paraId="1EB01C95" w14:textId="3D370778" w:rsidR="001A50AD" w:rsidRDefault="001A50AD">
      <w:pPr>
        <w:pStyle w:val="FootnoteText"/>
      </w:pPr>
      <w:r>
        <w:rPr>
          <w:rStyle w:val="FootnoteReference"/>
        </w:rPr>
        <w:footnoteRef/>
      </w:r>
      <w:r>
        <w:t xml:space="preserve"> </w:t>
      </w:r>
      <w:r w:rsidR="00397C3F">
        <w:t>Walter and Waterhouse</w:t>
      </w:r>
      <w:r>
        <w:t xml:space="preserve">, </w:t>
      </w:r>
      <w:r>
        <w:rPr>
          <w:i/>
          <w:iCs/>
        </w:rPr>
        <w:t>A Very Private Belief</w:t>
      </w:r>
      <w:r>
        <w:t>, p</w:t>
      </w:r>
      <w:r>
        <w:t>p</w:t>
      </w:r>
      <w:r>
        <w:t>. 1</w:t>
      </w:r>
      <w:r>
        <w:t>90-191</w:t>
      </w:r>
      <w:r>
        <w:t>.</w:t>
      </w:r>
    </w:p>
  </w:footnote>
  <w:footnote w:id="39">
    <w:p w14:paraId="11C5526B" w14:textId="70D00532" w:rsidR="00CE612D" w:rsidRDefault="00CE612D">
      <w:pPr>
        <w:pStyle w:val="FootnoteText"/>
      </w:pPr>
      <w:r>
        <w:rPr>
          <w:rStyle w:val="FootnoteReference"/>
        </w:rPr>
        <w:footnoteRef/>
      </w:r>
      <w:r>
        <w:t xml:space="preserve"> </w:t>
      </w:r>
      <w:r w:rsidR="00397C3F">
        <w:t>Walter and Waterhouse</w:t>
      </w:r>
      <w:r>
        <w:t xml:space="preserve">, </w:t>
      </w:r>
      <w:r>
        <w:rPr>
          <w:i/>
          <w:iCs/>
        </w:rPr>
        <w:t>A Very Private Belief</w:t>
      </w:r>
      <w:r>
        <w:t>, p. 1</w:t>
      </w:r>
      <w:r>
        <w:t>95</w:t>
      </w:r>
      <w:r>
        <w:t>.</w:t>
      </w:r>
    </w:p>
  </w:footnote>
  <w:footnote w:id="40">
    <w:p w14:paraId="00F2ABE5" w14:textId="5A1B41E0" w:rsidR="00726203" w:rsidRDefault="00726203">
      <w:pPr>
        <w:pStyle w:val="FootnoteText"/>
      </w:pPr>
      <w:r>
        <w:rPr>
          <w:rStyle w:val="FootnoteReference"/>
        </w:rPr>
        <w:footnoteRef/>
      </w:r>
      <w:r>
        <w:t xml:space="preserve"> </w:t>
      </w:r>
      <w:r w:rsidR="00397C3F">
        <w:t>Walter and Waterhouse</w:t>
      </w:r>
      <w:r>
        <w:t xml:space="preserve">, </w:t>
      </w:r>
      <w:r>
        <w:rPr>
          <w:i/>
          <w:iCs/>
        </w:rPr>
        <w:t>A Very Private Belief</w:t>
      </w:r>
      <w:r>
        <w:t>, p. 1</w:t>
      </w:r>
      <w:r>
        <w:t>96</w:t>
      </w:r>
      <w:r>
        <w:t>.</w:t>
      </w:r>
    </w:p>
  </w:footnote>
  <w:footnote w:id="41">
    <w:p w14:paraId="2C314925" w14:textId="26DCAFB1" w:rsidR="00677CCE" w:rsidRPr="00677CCE" w:rsidRDefault="00677CCE">
      <w:pPr>
        <w:pStyle w:val="FootnoteText"/>
        <w:rPr>
          <w:i/>
          <w:iCs/>
        </w:rPr>
      </w:pPr>
      <w:r>
        <w:rPr>
          <w:rStyle w:val="FootnoteReference"/>
        </w:rPr>
        <w:footnoteRef/>
      </w:r>
      <w:r>
        <w:t xml:space="preserve"> Monique Hennink, Inge Hutter and Ajay Bailey, </w:t>
      </w:r>
      <w:r>
        <w:rPr>
          <w:i/>
          <w:iCs/>
        </w:rPr>
        <w:t xml:space="preserve">Qualitative Research Methods, </w:t>
      </w:r>
      <w:r w:rsidR="00EE65F4">
        <w:rPr>
          <w:rStyle w:val="normaltextrun"/>
          <w:color w:val="000000"/>
          <w:bdr w:val="none" w:sz="0" w:space="0" w:color="auto" w:frame="1"/>
        </w:rPr>
        <w:t xml:space="preserve">(London: Sage Publications Ltd., 2013), p. </w:t>
      </w:r>
      <w:r w:rsidR="00EE65F4">
        <w:rPr>
          <w:rStyle w:val="normaltextrun"/>
          <w:color w:val="000000"/>
          <w:bdr w:val="none" w:sz="0" w:space="0" w:color="auto" w:frame="1"/>
        </w:rPr>
        <w:t>35.</w:t>
      </w:r>
    </w:p>
  </w:footnote>
  <w:footnote w:id="42">
    <w:p w14:paraId="07C83ADE" w14:textId="44F38E8A" w:rsidR="00EE65F4" w:rsidRDefault="00EE65F4">
      <w:pPr>
        <w:pStyle w:val="FootnoteText"/>
      </w:pPr>
      <w:r>
        <w:rPr>
          <w:rStyle w:val="FootnoteReference"/>
        </w:rPr>
        <w:footnoteRef/>
      </w:r>
      <w:r>
        <w:t xml:space="preserve"> </w:t>
      </w:r>
      <w:r>
        <w:rPr>
          <w:rStyle w:val="normaltextrun"/>
          <w:color w:val="000000"/>
          <w:shd w:val="clear" w:color="auto" w:fill="FFFFFF"/>
        </w:rPr>
        <w:t>John W. Creswell, </w:t>
      </w:r>
      <w:r>
        <w:rPr>
          <w:rStyle w:val="normaltextrun"/>
          <w:i/>
          <w:iCs/>
          <w:color w:val="000000"/>
          <w:shd w:val="clear" w:color="auto" w:fill="FFFFFF"/>
        </w:rPr>
        <w:t>Research Design: Qualitative, Quantitative and Mixed Methods Approaches</w:t>
      </w:r>
      <w:r>
        <w:rPr>
          <w:rStyle w:val="normaltextrun"/>
          <w:color w:val="000000"/>
          <w:shd w:val="clear" w:color="auto" w:fill="FFFFFF"/>
        </w:rPr>
        <w:t>, 2</w:t>
      </w:r>
      <w:r>
        <w:rPr>
          <w:rStyle w:val="normaltextrun"/>
          <w:color w:val="000000"/>
          <w:sz w:val="16"/>
          <w:szCs w:val="16"/>
          <w:shd w:val="clear" w:color="auto" w:fill="FFFFFF"/>
        </w:rPr>
        <w:t>nd</w:t>
      </w:r>
      <w:r>
        <w:rPr>
          <w:rStyle w:val="normaltextrun"/>
          <w:color w:val="000000"/>
          <w:shd w:val="clear" w:color="auto" w:fill="FFFFFF"/>
        </w:rPr>
        <w:t xml:space="preserve"> Edition, (Sage Publications, 2003), </w:t>
      </w:r>
      <w:r>
        <w:rPr>
          <w:rStyle w:val="normaltextrun"/>
          <w:color w:val="000000"/>
          <w:shd w:val="clear" w:color="auto" w:fill="FFFFFF"/>
        </w:rPr>
        <w:t>p. 105.</w:t>
      </w:r>
    </w:p>
  </w:footnote>
  <w:footnote w:id="43">
    <w:p w14:paraId="6C6FFE23" w14:textId="4D3DE4C9" w:rsidR="00291584" w:rsidRDefault="00291584">
      <w:pPr>
        <w:pStyle w:val="FootnoteText"/>
      </w:pPr>
      <w:r>
        <w:rPr>
          <w:rStyle w:val="FootnoteReference"/>
        </w:rPr>
        <w:footnoteRef/>
      </w:r>
      <w:r>
        <w:t xml:space="preserve"> </w:t>
      </w:r>
      <w:r>
        <w:t xml:space="preserve">Monique Hennink, Inge Hutter and Ajay Bailey, </w:t>
      </w:r>
      <w:r>
        <w:rPr>
          <w:i/>
          <w:iCs/>
        </w:rPr>
        <w:t xml:space="preserve">Qualitative Research Methods, </w:t>
      </w:r>
      <w:r>
        <w:rPr>
          <w:rStyle w:val="normaltextrun"/>
          <w:color w:val="000000"/>
          <w:bdr w:val="none" w:sz="0" w:space="0" w:color="auto" w:frame="1"/>
        </w:rPr>
        <w:t xml:space="preserve">(London: Sage Publications Ltd., 2013), p. </w:t>
      </w:r>
      <w:r>
        <w:rPr>
          <w:rStyle w:val="normaltextrun"/>
          <w:color w:val="000000"/>
          <w:bdr w:val="none" w:sz="0" w:space="0" w:color="auto" w:frame="1"/>
        </w:rPr>
        <w:t>35.</w:t>
      </w:r>
    </w:p>
  </w:footnote>
  <w:footnote w:id="44">
    <w:p w14:paraId="1890F6E9" w14:textId="3D2364E0" w:rsidR="00291584" w:rsidRDefault="00291584">
      <w:pPr>
        <w:pStyle w:val="FootnoteText"/>
      </w:pPr>
      <w:r>
        <w:rPr>
          <w:rStyle w:val="FootnoteReference"/>
        </w:rPr>
        <w:footnoteRef/>
      </w:r>
      <w:r>
        <w:t xml:space="preserve"> </w:t>
      </w:r>
      <w:r>
        <w:t xml:space="preserve">Gillian Bennett, </w:t>
      </w:r>
      <w:r>
        <w:rPr>
          <w:i/>
          <w:iCs/>
        </w:rPr>
        <w:t xml:space="preserve">“If I Knew You Were Coming, I’d Have Baked a Cake”: The Folklore of Foreknowledge in a Neighborhood Group, </w:t>
      </w:r>
      <w:r>
        <w:t xml:space="preserve">In Out of the Ordinary: Folklore and the Supernatural, edited by Barbara Walker, 122-142. Logan, (Utah: Utah University Press, 1995), </w:t>
      </w:r>
      <w:r>
        <w:t>p. 126.</w:t>
      </w:r>
    </w:p>
  </w:footnote>
  <w:footnote w:id="45">
    <w:p w14:paraId="129BBD2D" w14:textId="77777777" w:rsidR="00FD5656" w:rsidRDefault="00FD5656" w:rsidP="00FD5656">
      <w:pPr>
        <w:pStyle w:val="FootnoteText"/>
      </w:pPr>
      <w:r>
        <w:rPr>
          <w:rStyle w:val="FootnoteReference"/>
        </w:rPr>
        <w:footnoteRef/>
      </w:r>
      <w:r>
        <w:t xml:space="preserve"> Monique Hennink, Inge Hutter and Ajay Bailey, </w:t>
      </w:r>
      <w:r>
        <w:rPr>
          <w:i/>
          <w:iCs/>
        </w:rPr>
        <w:t xml:space="preserve">Qualitative Research Methods, </w:t>
      </w:r>
      <w:r>
        <w:rPr>
          <w:rStyle w:val="normaltextrun"/>
          <w:color w:val="000000"/>
          <w:bdr w:val="none" w:sz="0" w:space="0" w:color="auto" w:frame="1"/>
        </w:rPr>
        <w:t>(London: Sage Publications Ltd., 2013), p. 17.</w:t>
      </w:r>
    </w:p>
  </w:footnote>
  <w:footnote w:id="46">
    <w:p w14:paraId="0FEADB0B" w14:textId="09B365A1" w:rsidR="006F3B3E" w:rsidRDefault="006F3B3E">
      <w:pPr>
        <w:pStyle w:val="FootnoteText"/>
      </w:pPr>
      <w:r>
        <w:rPr>
          <w:rStyle w:val="FootnoteReference"/>
        </w:rPr>
        <w:footnoteRef/>
      </w:r>
      <w:r>
        <w:t xml:space="preserve"> </w:t>
      </w:r>
      <w:r>
        <w:t xml:space="preserve">Gillian Bennett, </w:t>
      </w:r>
      <w:r>
        <w:rPr>
          <w:i/>
          <w:iCs/>
        </w:rPr>
        <w:t xml:space="preserve">“If I Knew You Were Coming, I’d Have Baked a Cake”: The Folklore of Foreknowledge in a Neighborhood Group, </w:t>
      </w:r>
      <w:r>
        <w:t>In Out of the Ordinary: Folklore and the Supernatural, edited by Barbara Walker, 122-142. Logan, (Utah: Utah University Press, 1995), p. 12</w:t>
      </w:r>
      <w:r>
        <w:t>2.</w:t>
      </w:r>
    </w:p>
  </w:footnote>
  <w:footnote w:id="47">
    <w:p w14:paraId="4019C0B4" w14:textId="31347DF6" w:rsidR="006F3B3E" w:rsidRDefault="006F3B3E">
      <w:pPr>
        <w:pStyle w:val="FootnoteText"/>
      </w:pPr>
      <w:r>
        <w:rPr>
          <w:rStyle w:val="FootnoteReference"/>
        </w:rPr>
        <w:footnoteRef/>
      </w:r>
      <w:r>
        <w:t xml:space="preserve"> </w:t>
      </w:r>
      <w:r w:rsidR="00531672">
        <w:t xml:space="preserve">Tony Walter and Helen Waterhouse, </w:t>
      </w:r>
      <w:r w:rsidR="00531672">
        <w:rPr>
          <w:i/>
          <w:iCs/>
        </w:rPr>
        <w:t xml:space="preserve">A Very Private Belief: Reincarnation in Contemporary England, </w:t>
      </w:r>
      <w:r w:rsidR="00531672">
        <w:t>Sociology of Religion, vol. 60, no. 2., (Oxford University Press, 1999), pp. 187</w:t>
      </w:r>
      <w:r w:rsidR="00531672">
        <w:t>.</w:t>
      </w:r>
    </w:p>
  </w:footnote>
  <w:footnote w:id="48">
    <w:p w14:paraId="05AF01ED" w14:textId="40C04368" w:rsidR="00531672" w:rsidRDefault="00531672">
      <w:pPr>
        <w:pStyle w:val="FootnoteText"/>
      </w:pPr>
      <w:r>
        <w:rPr>
          <w:rStyle w:val="FootnoteReference"/>
        </w:rPr>
        <w:footnoteRef/>
      </w:r>
      <w:r>
        <w:t xml:space="preserve"> </w:t>
      </w:r>
      <w:r w:rsidR="00397C3F">
        <w:t>Walter and Waterhouse</w:t>
      </w:r>
      <w:r>
        <w:t xml:space="preserve">, </w:t>
      </w:r>
      <w:r>
        <w:rPr>
          <w:i/>
          <w:iCs/>
        </w:rPr>
        <w:t>A Very Private Belief</w:t>
      </w:r>
      <w:r>
        <w:t>, p. 187.</w:t>
      </w:r>
    </w:p>
  </w:footnote>
  <w:footnote w:id="49">
    <w:p w14:paraId="12BA1784" w14:textId="7002EE97" w:rsidR="00531672" w:rsidRDefault="00531672">
      <w:pPr>
        <w:pStyle w:val="FootnoteText"/>
      </w:pPr>
      <w:r>
        <w:rPr>
          <w:rStyle w:val="FootnoteReference"/>
        </w:rPr>
        <w:footnoteRef/>
      </w:r>
      <w:r>
        <w:t xml:space="preserve"> </w:t>
      </w:r>
      <w:r w:rsidR="00397C3F">
        <w:t>Walter and Waterhouse</w:t>
      </w:r>
      <w:r>
        <w:t xml:space="preserve">, </w:t>
      </w:r>
      <w:r>
        <w:rPr>
          <w:i/>
          <w:iCs/>
        </w:rPr>
        <w:t>A Very Private Belief</w:t>
      </w:r>
      <w:r>
        <w:t>, p. 187</w:t>
      </w:r>
      <w:r>
        <w:t>-188.</w:t>
      </w:r>
    </w:p>
  </w:footnote>
  <w:footnote w:id="50">
    <w:p w14:paraId="31E77A36" w14:textId="6C4E8A32" w:rsidR="005F5B5A" w:rsidRDefault="005F5B5A">
      <w:pPr>
        <w:pStyle w:val="FootnoteText"/>
      </w:pPr>
      <w:r>
        <w:rPr>
          <w:rStyle w:val="FootnoteReference"/>
        </w:rPr>
        <w:footnoteRef/>
      </w:r>
      <w:r>
        <w:t xml:space="preserve"> </w:t>
      </w:r>
      <w:r w:rsidR="00397C3F">
        <w:t>Walter and Waterhouse</w:t>
      </w:r>
      <w:r>
        <w:t xml:space="preserve">, </w:t>
      </w:r>
      <w:r>
        <w:rPr>
          <w:i/>
          <w:iCs/>
        </w:rPr>
        <w:t>A Very Private Belief</w:t>
      </w:r>
      <w:r>
        <w:t>, p</w:t>
      </w:r>
      <w:r>
        <w:t xml:space="preserve">. </w:t>
      </w:r>
      <w:r>
        <w:t>188</w:t>
      </w:r>
      <w:r>
        <w:t>.</w:t>
      </w:r>
    </w:p>
  </w:footnote>
  <w:footnote w:id="51">
    <w:p w14:paraId="523923FD" w14:textId="785421E4" w:rsidR="00320DB5" w:rsidRDefault="00320DB5" w:rsidP="00320DB5">
      <w:pPr>
        <w:pStyle w:val="FootnoteText"/>
      </w:pPr>
      <w:r>
        <w:rPr>
          <w:rStyle w:val="FootnoteReference"/>
        </w:rPr>
        <w:footnoteRef/>
      </w:r>
      <w:r>
        <w:t xml:space="preserve"> </w:t>
      </w:r>
      <w:r w:rsidR="00397C3F">
        <w:t>Walter and Waterhouse</w:t>
      </w:r>
      <w:r>
        <w:t xml:space="preserve">, </w:t>
      </w:r>
      <w:r>
        <w:rPr>
          <w:i/>
          <w:iCs/>
        </w:rPr>
        <w:t>A Very Private Belief</w:t>
      </w:r>
      <w:r>
        <w:t>, p. 192.</w:t>
      </w:r>
    </w:p>
  </w:footnote>
  <w:footnote w:id="52">
    <w:p w14:paraId="752685D6" w14:textId="2CFB5AE6" w:rsidR="00320DB5" w:rsidRDefault="00320DB5" w:rsidP="00320DB5">
      <w:pPr>
        <w:pStyle w:val="FootnoteText"/>
      </w:pPr>
      <w:r>
        <w:rPr>
          <w:rStyle w:val="FootnoteReference"/>
        </w:rPr>
        <w:footnoteRef/>
      </w:r>
      <w:r>
        <w:t xml:space="preserve"> </w:t>
      </w:r>
      <w:r w:rsidR="00397C3F">
        <w:t>Walter and Waterhouse</w:t>
      </w:r>
      <w:r>
        <w:t xml:space="preserve">, </w:t>
      </w:r>
      <w:r>
        <w:rPr>
          <w:i/>
          <w:iCs/>
        </w:rPr>
        <w:t>A Very Private Belief</w:t>
      </w:r>
      <w:r>
        <w:t>, p. 192.</w:t>
      </w:r>
    </w:p>
  </w:footnote>
  <w:footnote w:id="53">
    <w:p w14:paraId="61E95648" w14:textId="08663F27" w:rsidR="00320DB5" w:rsidRDefault="00320DB5" w:rsidP="00320DB5">
      <w:pPr>
        <w:pStyle w:val="FootnoteText"/>
      </w:pPr>
      <w:r>
        <w:rPr>
          <w:rStyle w:val="FootnoteReference"/>
        </w:rPr>
        <w:footnoteRef/>
      </w:r>
      <w:r>
        <w:t xml:space="preserve"> </w:t>
      </w:r>
      <w:r w:rsidR="00397C3F">
        <w:t>Walter and Waterhouse</w:t>
      </w:r>
      <w:r>
        <w:t xml:space="preserve">, </w:t>
      </w:r>
      <w:r>
        <w:rPr>
          <w:i/>
          <w:iCs/>
        </w:rPr>
        <w:t>A Very Private Belief</w:t>
      </w:r>
      <w:r>
        <w:t>, p. 192.</w:t>
      </w:r>
    </w:p>
  </w:footnote>
  <w:footnote w:id="54">
    <w:p w14:paraId="4F9FE597" w14:textId="49BE458D" w:rsidR="00320DB5" w:rsidRDefault="00320DB5" w:rsidP="00320DB5">
      <w:pPr>
        <w:pStyle w:val="FootnoteText"/>
      </w:pPr>
      <w:r>
        <w:rPr>
          <w:rStyle w:val="FootnoteReference"/>
        </w:rPr>
        <w:footnoteRef/>
      </w:r>
      <w:r>
        <w:t xml:space="preserve"> </w:t>
      </w:r>
      <w:r w:rsidR="00397C3F">
        <w:t>Walter and Waterhouse</w:t>
      </w:r>
      <w:r>
        <w:t xml:space="preserve">, </w:t>
      </w:r>
      <w:r>
        <w:rPr>
          <w:i/>
          <w:iCs/>
        </w:rPr>
        <w:t>A Very Private Belief</w:t>
      </w:r>
      <w:r>
        <w:t>, p. 192.</w:t>
      </w:r>
    </w:p>
  </w:footnote>
  <w:footnote w:id="55">
    <w:p w14:paraId="5C0F12E8" w14:textId="06CB55DB" w:rsidR="00914454" w:rsidRDefault="00914454">
      <w:pPr>
        <w:pStyle w:val="FootnoteText"/>
      </w:pPr>
      <w:r>
        <w:rPr>
          <w:rStyle w:val="FootnoteReference"/>
        </w:rPr>
        <w:footnoteRef/>
      </w:r>
      <w:r>
        <w:t xml:space="preserve"> </w:t>
      </w:r>
      <w:bookmarkStart w:id="4" w:name="_Hlk97896384"/>
      <w:r>
        <w:rPr>
          <w:rStyle w:val="normaltextrun"/>
          <w:color w:val="000000"/>
          <w:shd w:val="clear" w:color="auto" w:fill="FFFFFF"/>
        </w:rPr>
        <w:t>Alan Bryman, </w:t>
      </w:r>
      <w:r>
        <w:rPr>
          <w:rStyle w:val="normaltextrun"/>
          <w:i/>
          <w:iCs/>
          <w:color w:val="000000"/>
          <w:shd w:val="clear" w:color="auto" w:fill="FFFFFF"/>
        </w:rPr>
        <w:t>Quantity and Quality in Social Research, </w:t>
      </w:r>
      <w:r>
        <w:rPr>
          <w:rStyle w:val="normaltextrun"/>
          <w:color w:val="000000"/>
          <w:shd w:val="clear" w:color="auto" w:fill="FFFFFF"/>
        </w:rPr>
        <w:t>(London and New York: Routledge, 1993), p. 137.</w:t>
      </w:r>
      <w:bookmarkEnd w:id="4"/>
    </w:p>
  </w:footnote>
  <w:footnote w:id="56">
    <w:p w14:paraId="7BB294F3" w14:textId="104E69E5" w:rsidR="00AD37FD" w:rsidRDefault="00AD37FD">
      <w:pPr>
        <w:pStyle w:val="FootnoteText"/>
      </w:pPr>
      <w:r>
        <w:rPr>
          <w:rStyle w:val="FootnoteReference"/>
        </w:rPr>
        <w:footnoteRef/>
      </w:r>
      <w:r>
        <w:t xml:space="preserve"> </w:t>
      </w:r>
      <w:r>
        <w:t xml:space="preserve">Bennett, </w:t>
      </w:r>
      <w:r>
        <w:rPr>
          <w:i/>
          <w:iCs/>
        </w:rPr>
        <w:t>If I Knew You Were Coming</w:t>
      </w:r>
      <w:r>
        <w:t>, pp. 12</w:t>
      </w:r>
      <w:r>
        <w:t>9.</w:t>
      </w:r>
    </w:p>
  </w:footnote>
  <w:footnote w:id="57">
    <w:p w14:paraId="7D11AA9C" w14:textId="6C9DAED7" w:rsidR="009D5A92" w:rsidRDefault="009D5A92">
      <w:pPr>
        <w:pStyle w:val="FootnoteText"/>
      </w:pPr>
      <w:r>
        <w:rPr>
          <w:rStyle w:val="FootnoteReference"/>
        </w:rPr>
        <w:footnoteRef/>
      </w:r>
      <w:r>
        <w:t xml:space="preserve"> </w:t>
      </w:r>
      <w:r>
        <w:rPr>
          <w:rStyle w:val="normaltextrun"/>
          <w:color w:val="000000"/>
          <w:shd w:val="clear" w:color="auto" w:fill="FFFFFF"/>
        </w:rPr>
        <w:t>Alan Bryman, </w:t>
      </w:r>
      <w:r>
        <w:rPr>
          <w:rStyle w:val="normaltextrun"/>
          <w:i/>
          <w:iCs/>
          <w:color w:val="000000"/>
          <w:shd w:val="clear" w:color="auto" w:fill="FFFFFF"/>
        </w:rPr>
        <w:t>Quantity and Quality in Social Research, </w:t>
      </w:r>
      <w:r>
        <w:rPr>
          <w:rStyle w:val="normaltextrun"/>
          <w:color w:val="000000"/>
          <w:shd w:val="clear" w:color="auto" w:fill="FFFFFF"/>
        </w:rPr>
        <w:t xml:space="preserve">(London and New York: Routledge, 1993), p. </w:t>
      </w:r>
      <w:r>
        <w:rPr>
          <w:rStyle w:val="normaltextrun"/>
          <w:color w:val="000000"/>
          <w:shd w:val="clear" w:color="auto" w:fill="FFFFFF"/>
        </w:rPr>
        <w:t>46</w:t>
      </w:r>
      <w:r>
        <w:rPr>
          <w:rStyle w:val="normaltextrun"/>
          <w:color w:val="000000"/>
          <w:shd w:val="clear" w:color="auto" w:fill="FFFFFF"/>
        </w:rPr>
        <w:t>.</w:t>
      </w:r>
    </w:p>
  </w:footnote>
  <w:footnote w:id="58">
    <w:p w14:paraId="29368D42" w14:textId="2214F8BD" w:rsidR="00FB17EA" w:rsidRDefault="00FB17EA">
      <w:pPr>
        <w:pStyle w:val="FootnoteText"/>
      </w:pPr>
      <w:r>
        <w:rPr>
          <w:rStyle w:val="FootnoteReference"/>
        </w:rPr>
        <w:footnoteRef/>
      </w:r>
      <w:r>
        <w:t xml:space="preserve"> </w:t>
      </w:r>
      <w:bookmarkStart w:id="5" w:name="_Hlk97897822"/>
      <w:r>
        <w:t xml:space="preserve">Monique Hennink, Inge Hutter and Ajay Bailey, </w:t>
      </w:r>
      <w:r>
        <w:rPr>
          <w:i/>
          <w:iCs/>
        </w:rPr>
        <w:t xml:space="preserve">Qualitative Research Methods, </w:t>
      </w:r>
      <w:r>
        <w:rPr>
          <w:rStyle w:val="normaltextrun"/>
          <w:color w:val="000000"/>
          <w:bdr w:val="none" w:sz="0" w:space="0" w:color="auto" w:frame="1"/>
        </w:rPr>
        <w:t xml:space="preserve">(London: Sage Publications Ltd., 2013), p. </w:t>
      </w:r>
      <w:r>
        <w:rPr>
          <w:rStyle w:val="normaltextrun"/>
          <w:color w:val="000000"/>
          <w:bdr w:val="none" w:sz="0" w:space="0" w:color="auto" w:frame="1"/>
        </w:rPr>
        <w:t>281</w:t>
      </w:r>
      <w:r>
        <w:rPr>
          <w:rStyle w:val="normaltextrun"/>
          <w:color w:val="000000"/>
          <w:bdr w:val="none" w:sz="0" w:space="0" w:color="auto" w:frame="1"/>
        </w:rPr>
        <w:t>.</w:t>
      </w:r>
      <w:bookmarkEnd w:id="5"/>
    </w:p>
  </w:footnote>
  <w:footnote w:id="59">
    <w:p w14:paraId="02860D8D" w14:textId="082F9EE7" w:rsidR="00FB17EA" w:rsidRDefault="00FB17EA">
      <w:pPr>
        <w:pStyle w:val="FootnoteText"/>
      </w:pPr>
      <w:r>
        <w:rPr>
          <w:rStyle w:val="FootnoteReference"/>
        </w:rPr>
        <w:footnoteRef/>
      </w:r>
      <w:r>
        <w:t xml:space="preserve"> </w:t>
      </w:r>
      <w:r>
        <w:t xml:space="preserve">Gillian Bennett, </w:t>
      </w:r>
      <w:r>
        <w:rPr>
          <w:i/>
          <w:iCs/>
        </w:rPr>
        <w:t xml:space="preserve">“If I Knew You Were Coming, I’d Have Baked a Cake”: The Folklore of Foreknowledge in a Neighborhood Group, </w:t>
      </w:r>
      <w:r>
        <w:t>In Out of the Ordinary: Folklore and the Supernatural, edited by Barbara Walker, 122-142. Logan, (Utah: Utah University Press, 1995), p. 12</w:t>
      </w:r>
      <w:r>
        <w:t>8-139.</w:t>
      </w:r>
    </w:p>
  </w:footnote>
  <w:footnote w:id="60">
    <w:p w14:paraId="350FA536" w14:textId="5A540B30" w:rsidR="00D175DF" w:rsidRDefault="00D175DF">
      <w:pPr>
        <w:pStyle w:val="FootnoteText"/>
      </w:pPr>
      <w:r>
        <w:rPr>
          <w:rStyle w:val="FootnoteReference"/>
        </w:rPr>
        <w:footnoteRef/>
      </w:r>
      <w:r>
        <w:t xml:space="preserve"> </w:t>
      </w:r>
      <w:r>
        <w:t xml:space="preserve">Monique Hennink, Inge Hutter and Ajay Bailey, </w:t>
      </w:r>
      <w:r>
        <w:rPr>
          <w:i/>
          <w:iCs/>
        </w:rPr>
        <w:t xml:space="preserve">Qualitative Research Methods, </w:t>
      </w:r>
      <w:r>
        <w:rPr>
          <w:rStyle w:val="normaltextrun"/>
          <w:color w:val="000000"/>
          <w:bdr w:val="none" w:sz="0" w:space="0" w:color="auto" w:frame="1"/>
        </w:rPr>
        <w:t xml:space="preserve">(London: Sage Publications Ltd., 2013), </w:t>
      </w:r>
      <w:r>
        <w:rPr>
          <w:rStyle w:val="normaltextrun"/>
          <w:color w:val="000000"/>
          <w:bdr w:val="none" w:sz="0" w:space="0" w:color="auto" w:frame="1"/>
        </w:rPr>
        <w:t>p. 110.</w:t>
      </w:r>
    </w:p>
  </w:footnote>
  <w:footnote w:id="61">
    <w:p w14:paraId="597EFE68" w14:textId="4AC35062" w:rsidR="00EF6DF7" w:rsidRDefault="00EF6DF7">
      <w:pPr>
        <w:pStyle w:val="FootnoteText"/>
      </w:pPr>
      <w:r>
        <w:rPr>
          <w:rStyle w:val="FootnoteReference"/>
        </w:rPr>
        <w:footnoteRef/>
      </w:r>
      <w:r>
        <w:t xml:space="preserve"> </w:t>
      </w:r>
      <w:r>
        <w:t xml:space="preserve">Gillian Bennett, </w:t>
      </w:r>
      <w:r>
        <w:rPr>
          <w:i/>
          <w:iCs/>
        </w:rPr>
        <w:t xml:space="preserve">“If I Knew You Were Coming, I’d Have Baked a Cake”: The Folklore of Foreknowledge in a Neighborhood Group, </w:t>
      </w:r>
      <w:r>
        <w:t xml:space="preserve">In Out of the Ordinary: Folklore and the Supernatural, edited by Barbara Walker, 122-142. Logan, (Utah: Utah University Press, 1995), p. </w:t>
      </w:r>
      <w:r>
        <w:t>127.</w:t>
      </w:r>
    </w:p>
  </w:footnote>
  <w:footnote w:id="62">
    <w:p w14:paraId="018E14A9" w14:textId="363A9050" w:rsidR="00EF6DF7" w:rsidRDefault="00EF6DF7">
      <w:pPr>
        <w:pStyle w:val="FootnoteText"/>
      </w:pPr>
      <w:r>
        <w:rPr>
          <w:rStyle w:val="FootnoteReference"/>
        </w:rPr>
        <w:footnoteRef/>
      </w:r>
      <w:r>
        <w:t xml:space="preserve"> </w:t>
      </w:r>
      <w:r>
        <w:t xml:space="preserve">Bennett, </w:t>
      </w:r>
      <w:r>
        <w:rPr>
          <w:i/>
          <w:iCs/>
        </w:rPr>
        <w:t>If I Knew You Were Coming</w:t>
      </w:r>
      <w:r>
        <w:t>, p. 126</w:t>
      </w:r>
      <w:r>
        <w:t>.</w:t>
      </w:r>
    </w:p>
  </w:footnote>
  <w:footnote w:id="63">
    <w:p w14:paraId="76A1A6C2" w14:textId="6188EDD7" w:rsidR="00EF6DF7" w:rsidRDefault="00EF6DF7">
      <w:pPr>
        <w:pStyle w:val="FootnoteText"/>
      </w:pPr>
      <w:r>
        <w:rPr>
          <w:rStyle w:val="FootnoteReference"/>
        </w:rPr>
        <w:footnoteRef/>
      </w:r>
      <w:r>
        <w:t xml:space="preserve"> </w:t>
      </w:r>
      <w:r>
        <w:t xml:space="preserve">Monique Hennink, Inge Hutter and Ajay Bailey, </w:t>
      </w:r>
      <w:r>
        <w:rPr>
          <w:i/>
          <w:iCs/>
        </w:rPr>
        <w:t xml:space="preserve">Qualitative Research Methods, </w:t>
      </w:r>
      <w:r>
        <w:rPr>
          <w:rStyle w:val="normaltextrun"/>
          <w:color w:val="000000"/>
          <w:bdr w:val="none" w:sz="0" w:space="0" w:color="auto" w:frame="1"/>
        </w:rPr>
        <w:t>(London: Sage Publications Ltd., 2013), p</w:t>
      </w:r>
      <w:r>
        <w:rPr>
          <w:rStyle w:val="normaltextrun"/>
          <w:color w:val="000000"/>
          <w:bdr w:val="none" w:sz="0" w:space="0" w:color="auto" w:frame="1"/>
        </w:rPr>
        <w:t>p. 68-72.</w:t>
      </w:r>
    </w:p>
  </w:footnote>
  <w:footnote w:id="64">
    <w:p w14:paraId="48C6A92A" w14:textId="39D416E5" w:rsidR="00E616D9" w:rsidRDefault="00E616D9">
      <w:pPr>
        <w:pStyle w:val="FootnoteText"/>
      </w:pPr>
      <w:r>
        <w:rPr>
          <w:rStyle w:val="FootnoteReference"/>
        </w:rPr>
        <w:footnoteRef/>
      </w:r>
      <w:r>
        <w:t xml:space="preserve"> </w:t>
      </w:r>
      <w:r>
        <w:t xml:space="preserve">Tony Walter and Helen Waterhouse, </w:t>
      </w:r>
      <w:r>
        <w:rPr>
          <w:i/>
          <w:iCs/>
        </w:rPr>
        <w:t xml:space="preserve">A Very Private Belief: Reincarnation in Contemporary England, </w:t>
      </w:r>
      <w:r>
        <w:t>Sociology of Religion, vol. 60, no. 2., (Oxford University Press, 1999), p</w:t>
      </w:r>
      <w:r w:rsidR="00AB2AE5">
        <w:t>p. 188-189.</w:t>
      </w:r>
    </w:p>
  </w:footnote>
  <w:footnote w:id="65">
    <w:p w14:paraId="6269EFBA" w14:textId="71EDD98D" w:rsidR="00AB2AE5" w:rsidRDefault="00AB2AE5" w:rsidP="00E67AF1">
      <w:pPr>
        <w:spacing w:after="0"/>
      </w:pPr>
      <w:r>
        <w:rPr>
          <w:rStyle w:val="FootnoteReference"/>
        </w:rPr>
        <w:footnoteRef/>
      </w:r>
      <w:r w:rsidR="00502A07">
        <w:t xml:space="preserve"> </w:t>
      </w:r>
      <w:r w:rsidR="00502A07" w:rsidRPr="00502A07">
        <w:rPr>
          <w:sz w:val="20"/>
          <w:szCs w:val="20"/>
        </w:rPr>
        <w:t>Nicky</w:t>
      </w:r>
      <w:r w:rsidR="00502A07">
        <w:rPr>
          <w:sz w:val="20"/>
          <w:szCs w:val="20"/>
        </w:rPr>
        <w:t xml:space="preserve"> Hayes, </w:t>
      </w:r>
      <w:r w:rsidR="00502A07">
        <w:rPr>
          <w:i/>
          <w:iCs/>
          <w:sz w:val="20"/>
          <w:szCs w:val="20"/>
        </w:rPr>
        <w:t>Doing Psychological Research: Gathering and Analysing Data</w:t>
      </w:r>
      <w:r w:rsidR="00502A07">
        <w:rPr>
          <w:sz w:val="20"/>
          <w:szCs w:val="20"/>
        </w:rPr>
        <w:t xml:space="preserve">, (Buckingham: Open University Press, 2000), </w:t>
      </w:r>
      <w:r w:rsidR="00D14DB3">
        <w:rPr>
          <w:sz w:val="20"/>
          <w:szCs w:val="20"/>
        </w:rPr>
        <w:t xml:space="preserve">p. 395, cited in </w:t>
      </w:r>
      <w:r w:rsidR="00D14DB3" w:rsidRPr="00D14DB3">
        <w:rPr>
          <w:sz w:val="20"/>
          <w:szCs w:val="20"/>
        </w:rPr>
        <w:t xml:space="preserve">Judith Bell, </w:t>
      </w:r>
      <w:r w:rsidR="00D14DB3" w:rsidRPr="00D14DB3">
        <w:rPr>
          <w:i/>
          <w:iCs/>
          <w:sz w:val="20"/>
          <w:szCs w:val="20"/>
        </w:rPr>
        <w:t>Doing Your Research Project</w:t>
      </w:r>
      <w:r w:rsidR="00D14DB3" w:rsidRPr="00D14DB3">
        <w:rPr>
          <w:sz w:val="20"/>
          <w:szCs w:val="20"/>
        </w:rPr>
        <w:t xml:space="preserve">, 4th Edition, (Glasgow: Open University Press, 2009), pp. </w:t>
      </w:r>
      <w:r w:rsidR="00D14DB3">
        <w:rPr>
          <w:sz w:val="20"/>
          <w:szCs w:val="20"/>
        </w:rPr>
        <w:t>163.</w:t>
      </w:r>
    </w:p>
  </w:footnote>
  <w:footnote w:id="66">
    <w:p w14:paraId="01B85866" w14:textId="5F8BC7EF" w:rsidR="00E67AF1" w:rsidRDefault="00E67AF1">
      <w:pPr>
        <w:pStyle w:val="FootnoteText"/>
      </w:pPr>
      <w:r>
        <w:rPr>
          <w:rStyle w:val="FootnoteReference"/>
        </w:rPr>
        <w:footnoteRef/>
      </w:r>
      <w:r>
        <w:t xml:space="preserve"> </w:t>
      </w:r>
      <w:r>
        <w:t xml:space="preserve">Monique Hennink, Inge Hutter and Ajay Bailey, </w:t>
      </w:r>
      <w:r>
        <w:rPr>
          <w:i/>
          <w:iCs/>
        </w:rPr>
        <w:t xml:space="preserve">Qualitative Research Methods, </w:t>
      </w:r>
      <w:r>
        <w:rPr>
          <w:rStyle w:val="normaltextrun"/>
          <w:color w:val="000000"/>
          <w:bdr w:val="none" w:sz="0" w:space="0" w:color="auto" w:frame="1"/>
        </w:rPr>
        <w:t xml:space="preserve">(London: Sage Publications Ltd., 2013), p. </w:t>
      </w:r>
      <w:r w:rsidR="003E3874">
        <w:rPr>
          <w:rStyle w:val="normaltextrun"/>
          <w:color w:val="000000"/>
          <w:bdr w:val="none" w:sz="0" w:space="0" w:color="auto" w:frame="1"/>
        </w:rPr>
        <w:t>17.</w:t>
      </w:r>
    </w:p>
  </w:footnote>
  <w:footnote w:id="67">
    <w:p w14:paraId="06909C15" w14:textId="2EF67AC1" w:rsidR="003A1559" w:rsidRDefault="003A1559">
      <w:pPr>
        <w:pStyle w:val="FootnoteText"/>
      </w:pPr>
      <w:r>
        <w:rPr>
          <w:rStyle w:val="FootnoteReference"/>
        </w:rPr>
        <w:footnoteRef/>
      </w:r>
      <w:r>
        <w:t xml:space="preserve"> </w:t>
      </w:r>
      <w:bookmarkStart w:id="6" w:name="_Hlk98213877"/>
      <w:r>
        <w:t xml:space="preserve">Gillian Bennett, </w:t>
      </w:r>
      <w:r>
        <w:rPr>
          <w:i/>
          <w:iCs/>
        </w:rPr>
        <w:t xml:space="preserve">“If I Knew You Were Coming, I’d Have Baked a Cake”: The Folklore of Foreknowledge in a Neighborhood Group, </w:t>
      </w:r>
      <w:r>
        <w:t>In Out of the Ordinary: Folklore and the Supernatural, edited by Barbara Walker, 122-142. Logan, (Utah: Utah University Press, 1995), p. 1</w:t>
      </w:r>
      <w:r>
        <w:t>33.</w:t>
      </w:r>
      <w:bookmarkEnd w:id="6"/>
    </w:p>
  </w:footnote>
  <w:footnote w:id="68">
    <w:p w14:paraId="401AF3F8" w14:textId="4367CB24" w:rsidR="003A1559" w:rsidRDefault="003A1559">
      <w:pPr>
        <w:pStyle w:val="FootnoteText"/>
      </w:pPr>
      <w:r>
        <w:rPr>
          <w:rStyle w:val="FootnoteReference"/>
        </w:rPr>
        <w:footnoteRef/>
      </w:r>
      <w:r>
        <w:t xml:space="preserve"> </w:t>
      </w:r>
      <w:r w:rsidR="006B55C2">
        <w:t xml:space="preserve">Bennett, </w:t>
      </w:r>
      <w:r w:rsidR="006B55C2">
        <w:rPr>
          <w:i/>
          <w:iCs/>
        </w:rPr>
        <w:t>If I Knew You Were Coming</w:t>
      </w:r>
      <w:r w:rsidR="006B55C2">
        <w:t>, p. 139.</w:t>
      </w:r>
    </w:p>
  </w:footnote>
  <w:footnote w:id="69">
    <w:p w14:paraId="0A52BB64" w14:textId="60B6F536" w:rsidR="006B55C2" w:rsidRDefault="006B55C2">
      <w:pPr>
        <w:pStyle w:val="FootnoteText"/>
      </w:pPr>
      <w:r>
        <w:rPr>
          <w:rStyle w:val="FootnoteReference"/>
        </w:rPr>
        <w:footnoteRef/>
      </w:r>
      <w:r>
        <w:t xml:space="preserve"> </w:t>
      </w:r>
      <w:bookmarkStart w:id="7" w:name="_Hlk98219301"/>
      <w:r>
        <w:t xml:space="preserve">Tony Walter and Helen Waterhouse, </w:t>
      </w:r>
      <w:r>
        <w:rPr>
          <w:i/>
          <w:iCs/>
        </w:rPr>
        <w:t xml:space="preserve">A Very Private Belief: Reincarnation in Contemporary England, </w:t>
      </w:r>
      <w:r>
        <w:t>Sociology of Religion, vol. 60, no. 2., (Oxford University Press, 1999), p. 188</w:t>
      </w:r>
      <w:r w:rsidR="00D17C44">
        <w:t>.</w:t>
      </w:r>
      <w:bookmarkEnd w:id="7"/>
    </w:p>
  </w:footnote>
  <w:footnote w:id="70">
    <w:p w14:paraId="166C87F1" w14:textId="6E251035" w:rsidR="00F212E3" w:rsidRPr="00741E9D" w:rsidRDefault="00D17C44">
      <w:pPr>
        <w:pStyle w:val="FootnoteText"/>
      </w:pPr>
      <w:r>
        <w:rPr>
          <w:rStyle w:val="FootnoteReference"/>
        </w:rPr>
        <w:footnoteRef/>
      </w:r>
      <w:r>
        <w:t xml:space="preserve"> </w:t>
      </w:r>
      <w:r w:rsidR="00741E9D">
        <w:t xml:space="preserve">Karen E. Gerdes, Elizabeth A. Segel and Cynthia A. Lietz, </w:t>
      </w:r>
      <w:r w:rsidR="00741E9D">
        <w:rPr>
          <w:i/>
          <w:iCs/>
        </w:rPr>
        <w:t xml:space="preserve">Conceptualising and Measuring Empathy, </w:t>
      </w:r>
      <w:r w:rsidR="00741E9D">
        <w:t xml:space="preserve">The British Journal of Social Work, Vol. 40, no. 7, (Oxford University Press, 2010), p. 2236-2237. </w:t>
      </w:r>
      <w:hyperlink r:id="rId9" w:history="1">
        <w:r w:rsidR="00F212E3" w:rsidRPr="00953764">
          <w:rPr>
            <w:rStyle w:val="Hyperlink"/>
          </w:rPr>
          <w:t>http://jstor.org/stab</w:t>
        </w:r>
        <w:r w:rsidR="00F212E3" w:rsidRPr="00953764">
          <w:rPr>
            <w:rStyle w:val="Hyperlink"/>
          </w:rPr>
          <w:t>l</w:t>
        </w:r>
        <w:r w:rsidR="00F212E3" w:rsidRPr="00953764">
          <w:rPr>
            <w:rStyle w:val="Hyperlink"/>
          </w:rPr>
          <w:t>e/4</w:t>
        </w:r>
        <w:r w:rsidR="00F212E3" w:rsidRPr="00953764">
          <w:rPr>
            <w:rStyle w:val="Hyperlink"/>
          </w:rPr>
          <w:t>3</w:t>
        </w:r>
        <w:r w:rsidR="00F212E3" w:rsidRPr="00953764">
          <w:rPr>
            <w:rStyle w:val="Hyperlink"/>
          </w:rPr>
          <w:t>688037</w:t>
        </w:r>
      </w:hyperlink>
      <w:r w:rsidR="00F212E3">
        <w:t>.</w:t>
      </w:r>
    </w:p>
  </w:footnote>
  <w:footnote w:id="71">
    <w:p w14:paraId="2F6A9E67" w14:textId="284BB40E" w:rsidR="00F212E3" w:rsidRDefault="00F212E3">
      <w:pPr>
        <w:pStyle w:val="FootnoteText"/>
      </w:pPr>
      <w:r>
        <w:rPr>
          <w:rStyle w:val="FootnoteReference"/>
        </w:rPr>
        <w:footnoteRef/>
      </w:r>
      <w:r>
        <w:t xml:space="preserve"> </w:t>
      </w:r>
      <w:bookmarkStart w:id="8" w:name="_Hlk98213851"/>
      <w:r>
        <w:t xml:space="preserve">Monique Hennink, Inge Hutter and Ajay Bailey, </w:t>
      </w:r>
      <w:r>
        <w:rPr>
          <w:i/>
          <w:iCs/>
        </w:rPr>
        <w:t xml:space="preserve">Qualitative Research Methods, </w:t>
      </w:r>
      <w:r>
        <w:rPr>
          <w:rStyle w:val="normaltextrun"/>
          <w:color w:val="000000"/>
          <w:bdr w:val="none" w:sz="0" w:space="0" w:color="auto" w:frame="1"/>
        </w:rPr>
        <w:t xml:space="preserve">(London: Sage Publications Ltd., 2013), p. </w:t>
      </w:r>
      <w:r>
        <w:rPr>
          <w:rStyle w:val="normaltextrun"/>
          <w:color w:val="000000"/>
          <w:bdr w:val="none" w:sz="0" w:space="0" w:color="auto" w:frame="1"/>
        </w:rPr>
        <w:t>70</w:t>
      </w:r>
      <w:r>
        <w:rPr>
          <w:rStyle w:val="normaltextrun"/>
          <w:color w:val="000000"/>
          <w:bdr w:val="none" w:sz="0" w:space="0" w:color="auto" w:frame="1"/>
        </w:rPr>
        <w:t>.</w:t>
      </w:r>
      <w:bookmarkEnd w:id="8"/>
    </w:p>
  </w:footnote>
  <w:footnote w:id="72">
    <w:p w14:paraId="17A8E472" w14:textId="25A26959" w:rsidR="00D30AFB" w:rsidRPr="00815AFD" w:rsidRDefault="001373B5">
      <w:pPr>
        <w:pStyle w:val="FootnoteText"/>
      </w:pPr>
      <w:r>
        <w:rPr>
          <w:rStyle w:val="FootnoteReference"/>
        </w:rPr>
        <w:footnoteRef/>
      </w:r>
      <w:r>
        <w:t xml:space="preserve"> </w:t>
      </w:r>
      <w:r w:rsidR="00106698">
        <w:t xml:space="preserve">L. </w:t>
      </w:r>
      <w:r>
        <w:t xml:space="preserve">Finlay </w:t>
      </w:r>
      <w:r w:rsidR="00106698">
        <w:t xml:space="preserve">and B. Gouch, </w:t>
      </w:r>
      <w:r w:rsidR="00106698">
        <w:rPr>
          <w:i/>
          <w:iCs/>
        </w:rPr>
        <w:t>Reflexivity: A Practical Guide for Researcher</w:t>
      </w:r>
      <w:r w:rsidR="00815AFD">
        <w:rPr>
          <w:i/>
          <w:iCs/>
        </w:rPr>
        <w:t xml:space="preserve">s in Health and Social Sciences, </w:t>
      </w:r>
      <w:r w:rsidR="00815AFD" w:rsidRPr="00815AFD">
        <w:t xml:space="preserve">(Oxford: Blackwell, 2003), </w:t>
      </w:r>
      <w:r w:rsidR="00815AFD">
        <w:t xml:space="preserve">cited in </w:t>
      </w:r>
      <w:r w:rsidR="00D30AFB">
        <w:t xml:space="preserve">Monique Hennink, Inge Hutter and Ajay Bailey, </w:t>
      </w:r>
      <w:r w:rsidR="00D30AFB">
        <w:rPr>
          <w:i/>
          <w:iCs/>
        </w:rPr>
        <w:t xml:space="preserve">Qualitative Research Methods, </w:t>
      </w:r>
      <w:r w:rsidR="00D30AFB">
        <w:rPr>
          <w:rStyle w:val="normaltextrun"/>
          <w:color w:val="000000"/>
          <w:bdr w:val="none" w:sz="0" w:space="0" w:color="auto" w:frame="1"/>
        </w:rPr>
        <w:t>(London: Sage Publications Ltd., 2013), p. 1</w:t>
      </w:r>
      <w:r w:rsidR="00D30AFB">
        <w:rPr>
          <w:rStyle w:val="normaltextrun"/>
          <w:color w:val="000000"/>
          <w:bdr w:val="none" w:sz="0" w:space="0" w:color="auto" w:frame="1"/>
        </w:rPr>
        <w:t>9.</w:t>
      </w:r>
    </w:p>
  </w:footnote>
  <w:footnote w:id="73">
    <w:p w14:paraId="03431EE6" w14:textId="4B789D67" w:rsidR="00C02134" w:rsidRDefault="00C02134">
      <w:pPr>
        <w:pStyle w:val="FootnoteText"/>
      </w:pPr>
      <w:r>
        <w:rPr>
          <w:rStyle w:val="FootnoteReference"/>
        </w:rPr>
        <w:footnoteRef/>
      </w:r>
      <w:r>
        <w:t xml:space="preserve"> </w:t>
      </w:r>
      <w:bookmarkStart w:id="9" w:name="_Hlk98214516"/>
      <w:r>
        <w:rPr>
          <w:rStyle w:val="normaltextrun"/>
          <w:color w:val="000000"/>
          <w:shd w:val="clear" w:color="auto" w:fill="FFFFFF"/>
        </w:rPr>
        <w:t>John W. Creswell, </w:t>
      </w:r>
      <w:r>
        <w:rPr>
          <w:rStyle w:val="normaltextrun"/>
          <w:i/>
          <w:iCs/>
          <w:color w:val="000000"/>
          <w:shd w:val="clear" w:color="auto" w:fill="FFFFFF"/>
        </w:rPr>
        <w:t>Research Design: Qualitative, Quantitative and Mixed Methods Approaches</w:t>
      </w:r>
      <w:r>
        <w:rPr>
          <w:rStyle w:val="normaltextrun"/>
          <w:color w:val="000000"/>
          <w:shd w:val="clear" w:color="auto" w:fill="FFFFFF"/>
        </w:rPr>
        <w:t>, 2</w:t>
      </w:r>
      <w:r>
        <w:rPr>
          <w:rStyle w:val="normaltextrun"/>
          <w:color w:val="000000"/>
          <w:sz w:val="16"/>
          <w:szCs w:val="16"/>
          <w:shd w:val="clear" w:color="auto" w:fill="FFFFFF"/>
        </w:rPr>
        <w:t>nd</w:t>
      </w:r>
      <w:r>
        <w:rPr>
          <w:rStyle w:val="normaltextrun"/>
          <w:color w:val="000000"/>
          <w:shd w:val="clear" w:color="auto" w:fill="FFFFFF"/>
        </w:rPr>
        <w:t> Edition, (Sage Publications, 2003), p. 1</w:t>
      </w:r>
      <w:r>
        <w:rPr>
          <w:rStyle w:val="normaltextrun"/>
          <w:color w:val="000000"/>
          <w:shd w:val="clear" w:color="auto" w:fill="FFFFFF"/>
        </w:rPr>
        <w:t>82.</w:t>
      </w:r>
      <w:bookmarkEnd w:id="9"/>
    </w:p>
  </w:footnote>
  <w:footnote w:id="74">
    <w:p w14:paraId="64CC5FEA" w14:textId="41BEE609" w:rsidR="00DA0A3A" w:rsidRDefault="00DA0A3A">
      <w:pPr>
        <w:pStyle w:val="FootnoteText"/>
      </w:pPr>
      <w:r>
        <w:rPr>
          <w:rStyle w:val="FootnoteReference"/>
        </w:rPr>
        <w:footnoteRef/>
      </w:r>
      <w:r>
        <w:t xml:space="preserve"> </w:t>
      </w:r>
      <w:r>
        <w:t xml:space="preserve">Monique Hennink, Inge Hutter and Ajay Bailey, </w:t>
      </w:r>
      <w:r>
        <w:rPr>
          <w:i/>
          <w:iCs/>
        </w:rPr>
        <w:t xml:space="preserve">Qualitative Research Methods, </w:t>
      </w:r>
      <w:r>
        <w:rPr>
          <w:rStyle w:val="normaltextrun"/>
          <w:color w:val="000000"/>
          <w:bdr w:val="none" w:sz="0" w:space="0" w:color="auto" w:frame="1"/>
        </w:rPr>
        <w:t xml:space="preserve">(London: Sage Publications Ltd., 2013), p. </w:t>
      </w:r>
      <w:r>
        <w:rPr>
          <w:rStyle w:val="normaltextrun"/>
          <w:color w:val="000000"/>
          <w:bdr w:val="none" w:sz="0" w:space="0" w:color="auto" w:frame="1"/>
        </w:rPr>
        <w:t>19.</w:t>
      </w:r>
    </w:p>
  </w:footnote>
  <w:footnote w:id="75">
    <w:p w14:paraId="74FC6EFB" w14:textId="64145876" w:rsidR="002E2A94" w:rsidRPr="002E2A94" w:rsidRDefault="002E2A94">
      <w:pPr>
        <w:pStyle w:val="FootnoteText"/>
      </w:pPr>
      <w:r>
        <w:rPr>
          <w:rStyle w:val="FootnoteReference"/>
        </w:rPr>
        <w:footnoteRef/>
      </w:r>
      <w:r>
        <w:t xml:space="preserve"> Richa Nagar and Susan Geiger, </w:t>
      </w:r>
      <w:r>
        <w:rPr>
          <w:i/>
          <w:iCs/>
        </w:rPr>
        <w:t xml:space="preserve">Reflexivity and Personality in Feminist Fieldwork </w:t>
      </w:r>
      <w:r w:rsidR="00E75FD8">
        <w:rPr>
          <w:i/>
          <w:iCs/>
        </w:rPr>
        <w:t>Revisited</w:t>
      </w:r>
      <w:r>
        <w:rPr>
          <w:i/>
          <w:iCs/>
        </w:rPr>
        <w:t xml:space="preserve">, </w:t>
      </w:r>
      <w:r w:rsidR="00E75FD8">
        <w:t>ed. Adam Tickell et al., (Sage, 2007), p. 15.</w:t>
      </w:r>
    </w:p>
  </w:footnote>
  <w:footnote w:id="76">
    <w:p w14:paraId="770E59D6" w14:textId="7F7D862F" w:rsidR="00C57949" w:rsidRDefault="00C57949">
      <w:pPr>
        <w:pStyle w:val="FootnoteText"/>
      </w:pPr>
      <w:r>
        <w:rPr>
          <w:rStyle w:val="FootnoteReference"/>
        </w:rPr>
        <w:footnoteRef/>
      </w:r>
      <w:r>
        <w:t xml:space="preserve"> </w:t>
      </w:r>
      <w:bookmarkStart w:id="10" w:name="_Hlk98216820"/>
      <w:r>
        <w:t xml:space="preserve">Gillian Bennett, </w:t>
      </w:r>
      <w:r>
        <w:rPr>
          <w:i/>
          <w:iCs/>
        </w:rPr>
        <w:t xml:space="preserve">“If I Knew You Were Coming, I’d Have Baked a Cake”: The Folklore of Foreknowledge in a Neighborhood Group, </w:t>
      </w:r>
      <w:r>
        <w:t>In Out of the Ordinary: Folklore and the Supernatural, edited by Barbara Walker, 122-142. Logan, (Utah: Utah University Press, 1995), p. 1</w:t>
      </w:r>
      <w:r>
        <w:t>27.</w:t>
      </w:r>
      <w:bookmarkEnd w:id="10"/>
    </w:p>
  </w:footnote>
  <w:footnote w:id="77">
    <w:p w14:paraId="1FC0D81D" w14:textId="22821BE0" w:rsidR="00C57949" w:rsidRDefault="00C57949">
      <w:pPr>
        <w:pStyle w:val="FootnoteText"/>
      </w:pPr>
      <w:r>
        <w:rPr>
          <w:rStyle w:val="FootnoteReference"/>
        </w:rPr>
        <w:footnoteRef/>
      </w:r>
      <w:r>
        <w:t xml:space="preserve"> </w:t>
      </w:r>
      <w:r>
        <w:t xml:space="preserve">Bennett, </w:t>
      </w:r>
      <w:r>
        <w:rPr>
          <w:i/>
          <w:iCs/>
        </w:rPr>
        <w:t>If I Knew You Were Coming</w:t>
      </w:r>
      <w:r>
        <w:t>, p</w:t>
      </w:r>
      <w:r w:rsidR="00812CE7">
        <w:t>p. 127-141.</w:t>
      </w:r>
    </w:p>
  </w:footnote>
  <w:footnote w:id="78">
    <w:p w14:paraId="46251C06" w14:textId="0AAEA3E2" w:rsidR="00BF60BF" w:rsidRDefault="00BF60BF">
      <w:pPr>
        <w:pStyle w:val="FootnoteText"/>
      </w:pPr>
      <w:r>
        <w:rPr>
          <w:rStyle w:val="FootnoteReference"/>
        </w:rPr>
        <w:footnoteRef/>
      </w:r>
      <w:r>
        <w:t xml:space="preserve"> </w:t>
      </w:r>
      <w:bookmarkStart w:id="11" w:name="_Hlk98433441"/>
      <w:r>
        <w:rPr>
          <w:rStyle w:val="normaltextrun"/>
          <w:color w:val="000000"/>
          <w:shd w:val="clear" w:color="auto" w:fill="FFFFFF"/>
        </w:rPr>
        <w:t>John W. Creswell, </w:t>
      </w:r>
      <w:r>
        <w:rPr>
          <w:rStyle w:val="normaltextrun"/>
          <w:i/>
          <w:iCs/>
          <w:color w:val="000000"/>
          <w:shd w:val="clear" w:color="auto" w:fill="FFFFFF"/>
        </w:rPr>
        <w:t>Research Design: Qualitative, Quantitative and Mixed Methods Approaches</w:t>
      </w:r>
      <w:r>
        <w:rPr>
          <w:rStyle w:val="normaltextrun"/>
          <w:color w:val="000000"/>
          <w:shd w:val="clear" w:color="auto" w:fill="FFFFFF"/>
        </w:rPr>
        <w:t>, 2</w:t>
      </w:r>
      <w:r>
        <w:rPr>
          <w:rStyle w:val="normaltextrun"/>
          <w:color w:val="000000"/>
          <w:sz w:val="16"/>
          <w:szCs w:val="16"/>
          <w:shd w:val="clear" w:color="auto" w:fill="FFFFFF"/>
        </w:rPr>
        <w:t>nd</w:t>
      </w:r>
      <w:r>
        <w:rPr>
          <w:rStyle w:val="normaltextrun"/>
          <w:color w:val="000000"/>
          <w:shd w:val="clear" w:color="auto" w:fill="FFFFFF"/>
        </w:rPr>
        <w:t> Edition, (Sage Publications, 2003), p. 182.</w:t>
      </w:r>
      <w:bookmarkEnd w:id="11"/>
    </w:p>
  </w:footnote>
  <w:footnote w:id="79">
    <w:p w14:paraId="3D08AAA4" w14:textId="145CC528" w:rsidR="00C72036" w:rsidRDefault="00C72036">
      <w:pPr>
        <w:pStyle w:val="FootnoteText"/>
      </w:pPr>
      <w:r>
        <w:rPr>
          <w:rStyle w:val="FootnoteReference"/>
        </w:rPr>
        <w:footnoteRef/>
      </w:r>
      <w:r>
        <w:t xml:space="preserve"> </w:t>
      </w:r>
      <w:r>
        <w:t xml:space="preserve">John W. Creswell and Cheryl N. Path, </w:t>
      </w:r>
      <w:r>
        <w:rPr>
          <w:i/>
          <w:iCs/>
        </w:rPr>
        <w:t xml:space="preserve">Qualitative Inquiry &amp; Research Design: Choosing Among Five Approaches, </w:t>
      </w:r>
      <w:r>
        <w:t>4</w:t>
      </w:r>
      <w:r w:rsidRPr="00A31387">
        <w:rPr>
          <w:vertAlign w:val="superscript"/>
        </w:rPr>
        <w:t>th</w:t>
      </w:r>
      <w:r>
        <w:t xml:space="preserve"> Edition, (Sage, 2018), p. 20.</w:t>
      </w:r>
    </w:p>
  </w:footnote>
  <w:footnote w:id="80">
    <w:p w14:paraId="6B06366A" w14:textId="194C0D0A" w:rsidR="0089415B" w:rsidRDefault="0089415B">
      <w:pPr>
        <w:pStyle w:val="FootnoteText"/>
      </w:pPr>
      <w:r>
        <w:rPr>
          <w:rStyle w:val="FootnoteReference"/>
        </w:rPr>
        <w:footnoteRef/>
      </w:r>
      <w:r>
        <w:t xml:space="preserve"> </w:t>
      </w:r>
      <w:r>
        <w:t xml:space="preserve">Gillian Bennett, </w:t>
      </w:r>
      <w:r>
        <w:rPr>
          <w:i/>
          <w:iCs/>
        </w:rPr>
        <w:t xml:space="preserve">“If I Knew You Were Coming, I’d Have Baked a Cake”: The Folklore of Foreknowledge in a Neighborhood Group, </w:t>
      </w:r>
      <w:r>
        <w:t>In Out of the Ordinary: Folklore and the Supernatural, edited by Barbara Walker, 122-142. Logan, (Utah: Utah University Press, 1995), p</w:t>
      </w:r>
      <w:r>
        <w:t>p</w:t>
      </w:r>
      <w:r>
        <w:t>. 12</w:t>
      </w:r>
      <w:r>
        <w:t>9-139.</w:t>
      </w:r>
    </w:p>
  </w:footnote>
  <w:footnote w:id="81">
    <w:p w14:paraId="350C3C6A" w14:textId="3043288C" w:rsidR="00E75FD8" w:rsidRPr="00CF68EC" w:rsidRDefault="00E75FD8">
      <w:pPr>
        <w:pStyle w:val="FootnoteText"/>
      </w:pPr>
      <w:r>
        <w:rPr>
          <w:rStyle w:val="FootnoteReference"/>
        </w:rPr>
        <w:footnoteRef/>
      </w:r>
      <w:r>
        <w:t xml:space="preserve"> </w:t>
      </w:r>
      <w:r w:rsidR="008844AB">
        <w:t xml:space="preserve">Abdi M. Kusow, </w:t>
      </w:r>
      <w:r w:rsidR="008844AB">
        <w:rPr>
          <w:i/>
          <w:iCs/>
        </w:rPr>
        <w:t xml:space="preserve">Beyond </w:t>
      </w:r>
      <w:r w:rsidR="00CF68EC">
        <w:rPr>
          <w:i/>
          <w:iCs/>
        </w:rPr>
        <w:t>Indigenous</w:t>
      </w:r>
      <w:r w:rsidR="008844AB">
        <w:rPr>
          <w:i/>
          <w:iCs/>
        </w:rPr>
        <w:t xml:space="preserve"> Authenticity</w:t>
      </w:r>
      <w:r w:rsidR="00CF68EC">
        <w:rPr>
          <w:i/>
          <w:iCs/>
        </w:rPr>
        <w:t xml:space="preserve">: Reflections on the Insider/Outsider Debate in Immigration Research, </w:t>
      </w:r>
      <w:r w:rsidR="00CF68EC">
        <w:t>(Iowa: Iowa State University, 2003), p. 592.</w:t>
      </w:r>
    </w:p>
  </w:footnote>
  <w:footnote w:id="82">
    <w:p w14:paraId="47D501D6" w14:textId="10C0DCAA" w:rsidR="009E5B61" w:rsidRDefault="009E5B61">
      <w:pPr>
        <w:pStyle w:val="FootnoteText"/>
      </w:pPr>
      <w:r>
        <w:rPr>
          <w:rStyle w:val="FootnoteReference"/>
        </w:rPr>
        <w:footnoteRef/>
      </w:r>
      <w:r>
        <w:t xml:space="preserve"> </w:t>
      </w:r>
      <w:r>
        <w:t xml:space="preserve">Tony Walter and Helen Waterhouse, </w:t>
      </w:r>
      <w:r>
        <w:rPr>
          <w:i/>
          <w:iCs/>
        </w:rPr>
        <w:t xml:space="preserve">A Very Private Belief: Reincarnation in Contemporary England, </w:t>
      </w:r>
      <w:r>
        <w:t xml:space="preserve">Sociology of Religion, vol. 60, no. 2., (Oxford University Press, 1999), pp. </w:t>
      </w:r>
      <w:r>
        <w:t>188-190.</w:t>
      </w:r>
    </w:p>
  </w:footnote>
  <w:footnote w:id="83">
    <w:p w14:paraId="760C3544" w14:textId="790157FC" w:rsidR="00321472" w:rsidRDefault="00321472">
      <w:pPr>
        <w:pStyle w:val="FootnoteText"/>
      </w:pPr>
      <w:r>
        <w:rPr>
          <w:rStyle w:val="FootnoteReference"/>
        </w:rPr>
        <w:footnoteRef/>
      </w:r>
      <w:r>
        <w:t xml:space="preserve"> </w:t>
      </w:r>
      <w:r>
        <w:t xml:space="preserve">Gillian Bennett, </w:t>
      </w:r>
      <w:r>
        <w:rPr>
          <w:i/>
          <w:iCs/>
        </w:rPr>
        <w:t xml:space="preserve">“If I Knew You Were Coming, I’d Have Baked a Cake”: The Folklore of Foreknowledge in a Neighborhood Group, </w:t>
      </w:r>
      <w:r>
        <w:t xml:space="preserve">In Out of the Ordinary: Folklore and the Supernatural, edited by Barbara Walker, 122-142. Logan, (Utah: Utah University Press, 1995), p. </w:t>
      </w:r>
      <w:r>
        <w:t>127.</w:t>
      </w:r>
    </w:p>
  </w:footnote>
  <w:footnote w:id="84">
    <w:p w14:paraId="5BD6AC56" w14:textId="198AAB91" w:rsidR="003E11FF" w:rsidRPr="00015CCA" w:rsidRDefault="003E11FF">
      <w:pPr>
        <w:pStyle w:val="FootnoteText"/>
      </w:pPr>
      <w:r>
        <w:rPr>
          <w:rStyle w:val="FootnoteReference"/>
        </w:rPr>
        <w:footnoteRef/>
      </w:r>
      <w:r>
        <w:t xml:space="preserve"> Margaret Anzul, Margot Ely, Teri Freidman, Diane Garner and Ann McCormack-Stein</w:t>
      </w:r>
      <w:r w:rsidR="00015CCA">
        <w:t xml:space="preserve">metz, </w:t>
      </w:r>
      <w:r w:rsidR="00015CCA">
        <w:rPr>
          <w:i/>
          <w:iCs/>
        </w:rPr>
        <w:t>Doing Qualitative Research: Circles Within Circles</w:t>
      </w:r>
      <w:r w:rsidR="00015CCA">
        <w:t>, (London: Routledge, 1991), p. 156.</w:t>
      </w:r>
    </w:p>
  </w:footnote>
  <w:footnote w:id="85">
    <w:p w14:paraId="65EEE5B1" w14:textId="64284C3B" w:rsidR="00EE5F30" w:rsidRDefault="00EE5F30">
      <w:pPr>
        <w:pStyle w:val="FootnoteText"/>
      </w:pPr>
      <w:r>
        <w:rPr>
          <w:rStyle w:val="FootnoteReference"/>
        </w:rPr>
        <w:footnoteRef/>
      </w:r>
      <w:r>
        <w:t xml:space="preserve"> </w:t>
      </w:r>
      <w:r>
        <w:rPr>
          <w:rStyle w:val="normaltextrun"/>
          <w:color w:val="000000"/>
          <w:shd w:val="clear" w:color="auto" w:fill="FFFFFF"/>
        </w:rPr>
        <w:t>John W. Creswell, </w:t>
      </w:r>
      <w:r>
        <w:rPr>
          <w:rStyle w:val="normaltextrun"/>
          <w:i/>
          <w:iCs/>
          <w:color w:val="000000"/>
          <w:shd w:val="clear" w:color="auto" w:fill="FFFFFF"/>
        </w:rPr>
        <w:t>Research Design: Qualitative, Quantitative and Mixed Methods Approaches</w:t>
      </w:r>
      <w:r>
        <w:rPr>
          <w:rStyle w:val="normaltextrun"/>
          <w:color w:val="000000"/>
          <w:shd w:val="clear" w:color="auto" w:fill="FFFFFF"/>
        </w:rPr>
        <w:t>, 2</w:t>
      </w:r>
      <w:r>
        <w:rPr>
          <w:rStyle w:val="normaltextrun"/>
          <w:color w:val="000000"/>
          <w:sz w:val="16"/>
          <w:szCs w:val="16"/>
          <w:shd w:val="clear" w:color="auto" w:fill="FFFFFF"/>
        </w:rPr>
        <w:t>nd</w:t>
      </w:r>
      <w:r>
        <w:rPr>
          <w:rStyle w:val="normaltextrun"/>
          <w:color w:val="000000"/>
          <w:shd w:val="clear" w:color="auto" w:fill="FFFFFF"/>
        </w:rPr>
        <w:t> Edition, (Sage Publications, 2003), p</w:t>
      </w:r>
      <w:r w:rsidR="006B0D17">
        <w:rPr>
          <w:rStyle w:val="normaltextrun"/>
          <w:color w:val="000000"/>
          <w:shd w:val="clear" w:color="auto" w:fill="FFFFFF"/>
        </w:rPr>
        <w:t>p</w:t>
      </w:r>
      <w:r>
        <w:rPr>
          <w:rStyle w:val="normaltextrun"/>
          <w:color w:val="000000"/>
          <w:shd w:val="clear" w:color="auto" w:fill="FFFFFF"/>
        </w:rPr>
        <w:t xml:space="preserve">. </w:t>
      </w:r>
      <w:r>
        <w:rPr>
          <w:rStyle w:val="normaltextrun"/>
          <w:color w:val="000000"/>
          <w:shd w:val="clear" w:color="auto" w:fill="FFFFFF"/>
        </w:rPr>
        <w:t>29-30.</w:t>
      </w:r>
    </w:p>
  </w:footnote>
  <w:footnote w:id="86">
    <w:p w14:paraId="1BF525ED" w14:textId="44F84085" w:rsidR="002E75B0" w:rsidRPr="0063190C" w:rsidRDefault="002E75B0">
      <w:pPr>
        <w:pStyle w:val="FootnoteText"/>
      </w:pPr>
      <w:r>
        <w:rPr>
          <w:rStyle w:val="FootnoteReference"/>
        </w:rPr>
        <w:footnoteRef/>
      </w:r>
      <w:r>
        <w:t xml:space="preserve"> Chris Hart, </w:t>
      </w:r>
      <w:r w:rsidR="0063190C">
        <w:rPr>
          <w:i/>
          <w:iCs/>
        </w:rPr>
        <w:t>Doing a Literature Review: Releasing the Social Science Research Imagination</w:t>
      </w:r>
      <w:r w:rsidR="0063190C">
        <w:t xml:space="preserve">, (London: Sage in association with The Open University, 1998) cited in </w:t>
      </w:r>
      <w:r w:rsidR="0063190C">
        <w:t xml:space="preserve">Judith Bell, </w:t>
      </w:r>
      <w:r w:rsidR="0063190C">
        <w:rPr>
          <w:i/>
          <w:iCs/>
        </w:rPr>
        <w:t>Doing Your Research Project</w:t>
      </w:r>
      <w:r w:rsidR="0063190C" w:rsidRPr="001B3D7B">
        <w:t>, 4</w:t>
      </w:r>
      <w:r w:rsidR="0063190C" w:rsidRPr="001B3D7B">
        <w:rPr>
          <w:vertAlign w:val="superscript"/>
        </w:rPr>
        <w:t>th</w:t>
      </w:r>
      <w:r w:rsidR="0063190C" w:rsidRPr="001B3D7B">
        <w:t xml:space="preserve"> Edition,</w:t>
      </w:r>
      <w:r w:rsidR="0063190C">
        <w:t xml:space="preserve"> (Glasgow: Open University Press, 2009), </w:t>
      </w:r>
      <w:r w:rsidR="0063190C">
        <w:t>p. 99.</w:t>
      </w:r>
    </w:p>
  </w:footnote>
  <w:footnote w:id="87">
    <w:p w14:paraId="78810066" w14:textId="5A2448D2" w:rsidR="006F394C" w:rsidRDefault="006F394C">
      <w:pPr>
        <w:pStyle w:val="FootnoteText"/>
      </w:pPr>
      <w:r>
        <w:rPr>
          <w:rStyle w:val="FootnoteReference"/>
        </w:rPr>
        <w:footnoteRef/>
      </w:r>
      <w:r>
        <w:t xml:space="preserve"> </w:t>
      </w:r>
      <w:r w:rsidR="00397C3F">
        <w:t>Walter and Waterhouse</w:t>
      </w:r>
      <w:r>
        <w:t xml:space="preserve">, </w:t>
      </w:r>
      <w:r>
        <w:rPr>
          <w:i/>
          <w:iCs/>
        </w:rPr>
        <w:t>A Very Private Belief</w:t>
      </w:r>
      <w:r>
        <w:t>, p. 1</w:t>
      </w:r>
      <w:r>
        <w:t>87.</w:t>
      </w:r>
    </w:p>
  </w:footnote>
  <w:footnote w:id="88">
    <w:p w14:paraId="6A76F5F7" w14:textId="5A154674" w:rsidR="00BD5F9E" w:rsidRDefault="00BD5F9E">
      <w:pPr>
        <w:pStyle w:val="FootnoteText"/>
      </w:pPr>
      <w:r>
        <w:rPr>
          <w:rStyle w:val="FootnoteReference"/>
        </w:rPr>
        <w:footnoteRef/>
      </w:r>
      <w:r>
        <w:t xml:space="preserve"> </w:t>
      </w:r>
      <w:r w:rsidR="00397C3F">
        <w:t>Walter and Waterhouse</w:t>
      </w:r>
      <w:r>
        <w:t xml:space="preserve">, </w:t>
      </w:r>
      <w:r>
        <w:rPr>
          <w:i/>
          <w:iCs/>
        </w:rPr>
        <w:t>A Very Private Belief</w:t>
      </w:r>
      <w:r>
        <w:t>, p. 19</w:t>
      </w:r>
      <w:r>
        <w:t>0.</w:t>
      </w:r>
    </w:p>
  </w:footnote>
  <w:footnote w:id="89">
    <w:p w14:paraId="2AF5B3A5" w14:textId="77777777" w:rsidR="00FD5656" w:rsidRDefault="00FD5656" w:rsidP="00FD5656">
      <w:pPr>
        <w:pStyle w:val="FootnoteText"/>
      </w:pPr>
      <w:r>
        <w:rPr>
          <w:rStyle w:val="FootnoteReference"/>
        </w:rPr>
        <w:footnoteRef/>
      </w:r>
      <w:r>
        <w:t xml:space="preserve"> Gillian Bennett, </w:t>
      </w:r>
      <w:r>
        <w:rPr>
          <w:i/>
          <w:iCs/>
        </w:rPr>
        <w:t xml:space="preserve">“If I Knew You Were Coming, I’d Have Baked a Cake”: The Folklore of Foreknowledge in a Neighborhood Group, </w:t>
      </w:r>
      <w:r>
        <w:t>In Out of the Ordinary: Folklore and the Supernatural, edited by Barbara Walker, 122-142. Logan, (Utah: Utah University Press, 1995), p. 122.</w:t>
      </w:r>
    </w:p>
  </w:footnote>
  <w:footnote w:id="90">
    <w:p w14:paraId="7ADE382F" w14:textId="77777777" w:rsidR="006812E7" w:rsidRPr="000B1BD4" w:rsidRDefault="006812E7" w:rsidP="006812E7">
      <w:pPr>
        <w:pStyle w:val="FootnoteText"/>
      </w:pPr>
      <w:r>
        <w:rPr>
          <w:rStyle w:val="FootnoteReference"/>
        </w:rPr>
        <w:footnoteRef/>
      </w:r>
      <w:r>
        <w:t xml:space="preserve"> Jeffrey W. Knopf, </w:t>
      </w:r>
      <w:r>
        <w:rPr>
          <w:i/>
          <w:iCs/>
        </w:rPr>
        <w:t>Doing a Literature Review</w:t>
      </w:r>
      <w:r>
        <w:t xml:space="preserve">, PS: Political Science and Politics, vol. 39, no. 1, (American Political Science Association, Cambridge University Press, 2006), p. 128, </w:t>
      </w:r>
      <w:hyperlink r:id="rId10" w:history="1">
        <w:r w:rsidRPr="00953764">
          <w:rPr>
            <w:rStyle w:val="Hyperlink"/>
          </w:rPr>
          <w:t>http://www.js</w:t>
        </w:r>
        <w:r w:rsidRPr="00953764">
          <w:rPr>
            <w:rStyle w:val="Hyperlink"/>
          </w:rPr>
          <w:t>t</w:t>
        </w:r>
        <w:r w:rsidRPr="00953764">
          <w:rPr>
            <w:rStyle w:val="Hyperlink"/>
          </w:rPr>
          <w:t>or.org/stable/20451692</w:t>
        </w:r>
      </w:hyperlink>
      <w:r>
        <w:t>.</w:t>
      </w:r>
    </w:p>
  </w:footnote>
  <w:footnote w:id="91">
    <w:p w14:paraId="3A1E5C3C" w14:textId="77777777" w:rsidR="006812E7" w:rsidRDefault="006812E7" w:rsidP="006812E7">
      <w:pPr>
        <w:pStyle w:val="FootnoteText"/>
      </w:pPr>
      <w:r>
        <w:rPr>
          <w:rStyle w:val="FootnoteReference"/>
        </w:rPr>
        <w:footnoteRef/>
      </w:r>
      <w:r>
        <w:t xml:space="preserve"> </w:t>
      </w:r>
      <w:r>
        <w:rPr>
          <w:rStyle w:val="normaltextrun"/>
          <w:color w:val="000000"/>
          <w:shd w:val="clear" w:color="auto" w:fill="FFFFFF"/>
        </w:rPr>
        <w:t>John W. Creswell, </w:t>
      </w:r>
      <w:r>
        <w:rPr>
          <w:rStyle w:val="normaltextrun"/>
          <w:i/>
          <w:iCs/>
          <w:color w:val="000000"/>
          <w:shd w:val="clear" w:color="auto" w:fill="FFFFFF"/>
        </w:rPr>
        <w:t>Research Design: Qualitative, Quantitative and Mixed Methods Approaches</w:t>
      </w:r>
      <w:r>
        <w:rPr>
          <w:rStyle w:val="normaltextrun"/>
          <w:color w:val="000000"/>
          <w:shd w:val="clear" w:color="auto" w:fill="FFFFFF"/>
        </w:rPr>
        <w:t>, 2</w:t>
      </w:r>
      <w:r>
        <w:rPr>
          <w:rStyle w:val="normaltextrun"/>
          <w:color w:val="000000"/>
          <w:sz w:val="16"/>
          <w:szCs w:val="16"/>
          <w:shd w:val="clear" w:color="auto" w:fill="FFFFFF"/>
        </w:rPr>
        <w:t>nd</w:t>
      </w:r>
      <w:r>
        <w:rPr>
          <w:rStyle w:val="normaltextrun"/>
          <w:color w:val="000000"/>
          <w:shd w:val="clear" w:color="auto" w:fill="FFFFFF"/>
        </w:rPr>
        <w:t> Edition, (Sage Publications, 2003), p. 46.</w:t>
      </w:r>
    </w:p>
  </w:footnote>
  <w:footnote w:id="92">
    <w:p w14:paraId="39C538B2" w14:textId="77777777" w:rsidR="006812E7" w:rsidRDefault="006812E7" w:rsidP="006812E7">
      <w:pPr>
        <w:pStyle w:val="FootnoteText"/>
      </w:pPr>
      <w:r>
        <w:rPr>
          <w:rStyle w:val="FootnoteReference"/>
        </w:rPr>
        <w:footnoteRef/>
      </w:r>
      <w:r>
        <w:t xml:space="preserve"> Tony Walter and Helen Waterhouse, </w:t>
      </w:r>
      <w:r>
        <w:rPr>
          <w:i/>
          <w:iCs/>
        </w:rPr>
        <w:t xml:space="preserve">A Very Private Belief: Reincarnation in Contemporary England, </w:t>
      </w:r>
      <w:r>
        <w:t>Sociology of Religion, vol. 60, no. 2., (Oxford University Press, 1999), pp. 188.</w:t>
      </w:r>
    </w:p>
  </w:footnote>
  <w:footnote w:id="93">
    <w:p w14:paraId="42CB1E8B" w14:textId="39F082AC" w:rsidR="0080070B" w:rsidRPr="0080070B" w:rsidRDefault="0080070B">
      <w:pPr>
        <w:pStyle w:val="FootnoteText"/>
      </w:pPr>
      <w:r>
        <w:rPr>
          <w:rStyle w:val="FootnoteReference"/>
        </w:rPr>
        <w:footnoteRef/>
      </w:r>
      <w:r>
        <w:t xml:space="preserve"> </w:t>
      </w:r>
      <w:r>
        <w:t xml:space="preserve">Gillian Bennett, </w:t>
      </w:r>
      <w:r>
        <w:rPr>
          <w:i/>
          <w:iCs/>
        </w:rPr>
        <w:t xml:space="preserve">“If I Knew You Were Coming, I’d Have Baked a Cake”: The Folklore of Foreknowledge in a Neighborhood Group, </w:t>
      </w:r>
      <w:r>
        <w:t>In Out of the Ordinary: Folklore and the Supernatural, edited by Barbara Walker, 122-142. Logan, (Utah: Utah University Press, 1995), p</w:t>
      </w:r>
      <w:r w:rsidR="00DA7EE2">
        <w:t>p. 122-126.</w:t>
      </w:r>
    </w:p>
  </w:footnote>
  <w:footnote w:id="94">
    <w:p w14:paraId="770A95F6" w14:textId="14CC2CA9" w:rsidR="00DA7EE2" w:rsidRPr="00F471D9" w:rsidRDefault="00DA7EE2" w:rsidP="006230EC">
      <w:pPr>
        <w:spacing w:after="0"/>
      </w:pPr>
      <w:r>
        <w:rPr>
          <w:rStyle w:val="FootnoteReference"/>
        </w:rPr>
        <w:footnoteRef/>
      </w:r>
      <w:r>
        <w:t xml:space="preserve"> </w:t>
      </w:r>
      <w:r w:rsidRPr="00DA7EE2">
        <w:rPr>
          <w:sz w:val="20"/>
          <w:szCs w:val="20"/>
        </w:rPr>
        <w:t>Marcus Collins and Peter Stearns</w:t>
      </w:r>
      <w:r>
        <w:rPr>
          <w:sz w:val="20"/>
          <w:szCs w:val="20"/>
        </w:rPr>
        <w:t xml:space="preserve">, </w:t>
      </w:r>
      <w:r>
        <w:rPr>
          <w:i/>
          <w:iCs/>
          <w:sz w:val="20"/>
          <w:szCs w:val="20"/>
        </w:rPr>
        <w:t xml:space="preserve">Why Study History? </w:t>
      </w:r>
      <w:r w:rsidRPr="00DA7EE2">
        <w:rPr>
          <w:sz w:val="20"/>
          <w:szCs w:val="20"/>
        </w:rPr>
        <w:t>The American Historical Association</w:t>
      </w:r>
      <w:r>
        <w:rPr>
          <w:sz w:val="20"/>
          <w:szCs w:val="20"/>
        </w:rPr>
        <w:t>, (</w:t>
      </w:r>
      <w:r w:rsidR="00303F49">
        <w:rPr>
          <w:sz w:val="20"/>
          <w:szCs w:val="20"/>
        </w:rPr>
        <w:t>London Publishing Partnership, 2020)</w:t>
      </w:r>
      <w:r w:rsidR="00F471D9">
        <w:rPr>
          <w:sz w:val="20"/>
          <w:szCs w:val="20"/>
        </w:rPr>
        <w:t xml:space="preserve"> cited in Jamie Callahan, </w:t>
      </w:r>
      <w:r w:rsidR="00F471D9">
        <w:rPr>
          <w:i/>
          <w:iCs/>
          <w:sz w:val="20"/>
          <w:szCs w:val="20"/>
        </w:rPr>
        <w:t>Reconstructing, Constructing, and Deconstructing the Field: The Importance of Historical Manuscripts in HRDR</w:t>
      </w:r>
      <w:r w:rsidR="00F471D9">
        <w:rPr>
          <w:sz w:val="20"/>
          <w:szCs w:val="20"/>
        </w:rPr>
        <w:t xml:space="preserve">, </w:t>
      </w:r>
      <w:r w:rsidR="00F471D9" w:rsidRPr="00EC58A4">
        <w:rPr>
          <w:sz w:val="20"/>
          <w:szCs w:val="20"/>
        </w:rPr>
        <w:t>(Human Resources Development Review, 2010),</w:t>
      </w:r>
      <w:r w:rsidR="00F471D9" w:rsidRPr="00EC58A4">
        <w:rPr>
          <w:sz w:val="18"/>
          <w:szCs w:val="18"/>
        </w:rPr>
        <w:t xml:space="preserve"> </w:t>
      </w:r>
      <w:r w:rsidR="00F471D9" w:rsidRPr="00EC58A4">
        <w:rPr>
          <w:sz w:val="16"/>
          <w:szCs w:val="16"/>
        </w:rPr>
        <w:t>p. 312.</w:t>
      </w:r>
    </w:p>
  </w:footnote>
  <w:footnote w:id="95">
    <w:p w14:paraId="2CA89C99" w14:textId="324CCA2F" w:rsidR="006230EC" w:rsidRPr="00B205BA" w:rsidRDefault="006230EC" w:rsidP="0081498B">
      <w:pPr>
        <w:spacing w:after="0"/>
        <w:rPr>
          <w:sz w:val="20"/>
          <w:szCs w:val="20"/>
        </w:rPr>
      </w:pPr>
      <w:r>
        <w:rPr>
          <w:rStyle w:val="FootnoteReference"/>
        </w:rPr>
        <w:footnoteRef/>
      </w:r>
      <w:r>
        <w:t xml:space="preserve"> </w:t>
      </w:r>
      <w:r>
        <w:rPr>
          <w:sz w:val="20"/>
          <w:szCs w:val="20"/>
        </w:rPr>
        <w:t>Ba</w:t>
      </w:r>
      <w:r w:rsidR="00B205BA">
        <w:rPr>
          <w:sz w:val="20"/>
          <w:szCs w:val="20"/>
        </w:rPr>
        <w:t xml:space="preserve">rbara S. Lawrence, </w:t>
      </w:r>
      <w:r w:rsidR="00B205BA">
        <w:rPr>
          <w:i/>
          <w:iCs/>
          <w:sz w:val="20"/>
          <w:szCs w:val="20"/>
        </w:rPr>
        <w:t>Historical Perspective: Using the Past to Study the Present</w:t>
      </w:r>
      <w:r w:rsidR="00B205BA">
        <w:rPr>
          <w:sz w:val="20"/>
          <w:szCs w:val="20"/>
        </w:rPr>
        <w:t xml:space="preserve">, </w:t>
      </w:r>
      <w:r w:rsidR="007606EC">
        <w:rPr>
          <w:sz w:val="20"/>
          <w:szCs w:val="20"/>
        </w:rPr>
        <w:t xml:space="preserve">vol. 9, no. 2, </w:t>
      </w:r>
      <w:r w:rsidR="007606EC">
        <w:rPr>
          <w:sz w:val="20"/>
          <w:szCs w:val="20"/>
        </w:rPr>
        <w:t>(</w:t>
      </w:r>
      <w:r w:rsidR="00B205BA">
        <w:rPr>
          <w:sz w:val="20"/>
          <w:szCs w:val="20"/>
        </w:rPr>
        <w:t>The Academy of Management Review, 1984</w:t>
      </w:r>
      <w:r w:rsidR="007606EC">
        <w:rPr>
          <w:sz w:val="20"/>
          <w:szCs w:val="20"/>
        </w:rPr>
        <w:t>)</w:t>
      </w:r>
      <w:r w:rsidR="00B205BA">
        <w:rPr>
          <w:sz w:val="20"/>
          <w:szCs w:val="20"/>
        </w:rPr>
        <w:t>, p. 308.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109"/>
    <w:rsid w:val="00015CCA"/>
    <w:rsid w:val="00016297"/>
    <w:rsid w:val="00046235"/>
    <w:rsid w:val="00057376"/>
    <w:rsid w:val="00063B6C"/>
    <w:rsid w:val="00086CB7"/>
    <w:rsid w:val="000A52B1"/>
    <w:rsid w:val="000B1BD4"/>
    <w:rsid w:val="000B235F"/>
    <w:rsid w:val="000E3A1D"/>
    <w:rsid w:val="00106698"/>
    <w:rsid w:val="0011428F"/>
    <w:rsid w:val="00125086"/>
    <w:rsid w:val="0012774A"/>
    <w:rsid w:val="001373B5"/>
    <w:rsid w:val="00142373"/>
    <w:rsid w:val="00154154"/>
    <w:rsid w:val="0019456A"/>
    <w:rsid w:val="001A50AD"/>
    <w:rsid w:val="001B3D7B"/>
    <w:rsid w:val="001B6482"/>
    <w:rsid w:val="001C6BF2"/>
    <w:rsid w:val="001D20B5"/>
    <w:rsid w:val="001F3C27"/>
    <w:rsid w:val="00207186"/>
    <w:rsid w:val="002369EB"/>
    <w:rsid w:val="00242C43"/>
    <w:rsid w:val="00262728"/>
    <w:rsid w:val="00264DFA"/>
    <w:rsid w:val="002719B4"/>
    <w:rsid w:val="00272473"/>
    <w:rsid w:val="00291584"/>
    <w:rsid w:val="002A50C0"/>
    <w:rsid w:val="002A6D3C"/>
    <w:rsid w:val="002B5109"/>
    <w:rsid w:val="002C0446"/>
    <w:rsid w:val="002D387A"/>
    <w:rsid w:val="002E2A94"/>
    <w:rsid w:val="002E59EE"/>
    <w:rsid w:val="002E75B0"/>
    <w:rsid w:val="002F053A"/>
    <w:rsid w:val="00303F49"/>
    <w:rsid w:val="003105E5"/>
    <w:rsid w:val="00313FA9"/>
    <w:rsid w:val="00315435"/>
    <w:rsid w:val="00320DB5"/>
    <w:rsid w:val="00321472"/>
    <w:rsid w:val="00322894"/>
    <w:rsid w:val="003249B5"/>
    <w:rsid w:val="003348BD"/>
    <w:rsid w:val="00342A21"/>
    <w:rsid w:val="0035042B"/>
    <w:rsid w:val="00356689"/>
    <w:rsid w:val="00357F1C"/>
    <w:rsid w:val="00397C3F"/>
    <w:rsid w:val="003A1559"/>
    <w:rsid w:val="003A4A89"/>
    <w:rsid w:val="003B0D5C"/>
    <w:rsid w:val="003B357C"/>
    <w:rsid w:val="003E11FF"/>
    <w:rsid w:val="003E3874"/>
    <w:rsid w:val="0041290E"/>
    <w:rsid w:val="004273C7"/>
    <w:rsid w:val="00450DB6"/>
    <w:rsid w:val="0046175F"/>
    <w:rsid w:val="0046330B"/>
    <w:rsid w:val="00490301"/>
    <w:rsid w:val="004D4ED1"/>
    <w:rsid w:val="004E45AB"/>
    <w:rsid w:val="004E51E2"/>
    <w:rsid w:val="00502A07"/>
    <w:rsid w:val="00513696"/>
    <w:rsid w:val="00531672"/>
    <w:rsid w:val="00540346"/>
    <w:rsid w:val="005432E3"/>
    <w:rsid w:val="00566007"/>
    <w:rsid w:val="005960D1"/>
    <w:rsid w:val="005D7E40"/>
    <w:rsid w:val="005F5B5A"/>
    <w:rsid w:val="00606EEE"/>
    <w:rsid w:val="00611C58"/>
    <w:rsid w:val="006230EC"/>
    <w:rsid w:val="0062345A"/>
    <w:rsid w:val="0063190C"/>
    <w:rsid w:val="00646F92"/>
    <w:rsid w:val="00647A9D"/>
    <w:rsid w:val="006768D5"/>
    <w:rsid w:val="00677CCE"/>
    <w:rsid w:val="006812E7"/>
    <w:rsid w:val="006A6478"/>
    <w:rsid w:val="006A7C98"/>
    <w:rsid w:val="006B0D17"/>
    <w:rsid w:val="006B55C2"/>
    <w:rsid w:val="006D4DF2"/>
    <w:rsid w:val="006E1A8F"/>
    <w:rsid w:val="006E5115"/>
    <w:rsid w:val="006F0710"/>
    <w:rsid w:val="006F394C"/>
    <w:rsid w:val="006F3B3E"/>
    <w:rsid w:val="006F7DE0"/>
    <w:rsid w:val="00726203"/>
    <w:rsid w:val="00741E9D"/>
    <w:rsid w:val="00744DA0"/>
    <w:rsid w:val="007606EC"/>
    <w:rsid w:val="00760E77"/>
    <w:rsid w:val="00762CF8"/>
    <w:rsid w:val="00765F79"/>
    <w:rsid w:val="007D2CEE"/>
    <w:rsid w:val="007D5D26"/>
    <w:rsid w:val="0080070B"/>
    <w:rsid w:val="00812CE7"/>
    <w:rsid w:val="0081498B"/>
    <w:rsid w:val="00815AFD"/>
    <w:rsid w:val="008218CD"/>
    <w:rsid w:val="008229AB"/>
    <w:rsid w:val="0083345C"/>
    <w:rsid w:val="008635F6"/>
    <w:rsid w:val="0087292E"/>
    <w:rsid w:val="008844AB"/>
    <w:rsid w:val="0089415B"/>
    <w:rsid w:val="008941D7"/>
    <w:rsid w:val="008B3813"/>
    <w:rsid w:val="008D7CF1"/>
    <w:rsid w:val="008E20B5"/>
    <w:rsid w:val="008F3CBF"/>
    <w:rsid w:val="00914454"/>
    <w:rsid w:val="00921493"/>
    <w:rsid w:val="00923208"/>
    <w:rsid w:val="00947C65"/>
    <w:rsid w:val="00974528"/>
    <w:rsid w:val="009966D9"/>
    <w:rsid w:val="009A2080"/>
    <w:rsid w:val="009A2D99"/>
    <w:rsid w:val="009D5A92"/>
    <w:rsid w:val="009E5B61"/>
    <w:rsid w:val="009F4D43"/>
    <w:rsid w:val="009F6840"/>
    <w:rsid w:val="00A118F1"/>
    <w:rsid w:val="00A165CB"/>
    <w:rsid w:val="00A22FAE"/>
    <w:rsid w:val="00A31387"/>
    <w:rsid w:val="00A32941"/>
    <w:rsid w:val="00A60580"/>
    <w:rsid w:val="00A84949"/>
    <w:rsid w:val="00AA6362"/>
    <w:rsid w:val="00AA7E82"/>
    <w:rsid w:val="00AB2AE5"/>
    <w:rsid w:val="00AC7A44"/>
    <w:rsid w:val="00AD2839"/>
    <w:rsid w:val="00AD37FD"/>
    <w:rsid w:val="00AE1893"/>
    <w:rsid w:val="00AF3C82"/>
    <w:rsid w:val="00B205BA"/>
    <w:rsid w:val="00B21AB0"/>
    <w:rsid w:val="00B54B5D"/>
    <w:rsid w:val="00B9315D"/>
    <w:rsid w:val="00BC3FED"/>
    <w:rsid w:val="00BD5F9E"/>
    <w:rsid w:val="00BD6137"/>
    <w:rsid w:val="00BE067A"/>
    <w:rsid w:val="00BE423D"/>
    <w:rsid w:val="00BF1D0F"/>
    <w:rsid w:val="00BF60BF"/>
    <w:rsid w:val="00C02134"/>
    <w:rsid w:val="00C27EFD"/>
    <w:rsid w:val="00C329EC"/>
    <w:rsid w:val="00C32F61"/>
    <w:rsid w:val="00C54749"/>
    <w:rsid w:val="00C57949"/>
    <w:rsid w:val="00C60EA1"/>
    <w:rsid w:val="00C67358"/>
    <w:rsid w:val="00C7101E"/>
    <w:rsid w:val="00C72036"/>
    <w:rsid w:val="00C81FE7"/>
    <w:rsid w:val="00C912DC"/>
    <w:rsid w:val="00CA554D"/>
    <w:rsid w:val="00CC68AA"/>
    <w:rsid w:val="00CC6B4D"/>
    <w:rsid w:val="00CE612D"/>
    <w:rsid w:val="00CF68EC"/>
    <w:rsid w:val="00CF7BCB"/>
    <w:rsid w:val="00D041C8"/>
    <w:rsid w:val="00D052FB"/>
    <w:rsid w:val="00D14DB3"/>
    <w:rsid w:val="00D175DF"/>
    <w:rsid w:val="00D17C44"/>
    <w:rsid w:val="00D30AFB"/>
    <w:rsid w:val="00D468B5"/>
    <w:rsid w:val="00D522FE"/>
    <w:rsid w:val="00D53EA7"/>
    <w:rsid w:val="00D81779"/>
    <w:rsid w:val="00DA0A3A"/>
    <w:rsid w:val="00DA7EE2"/>
    <w:rsid w:val="00DB36CD"/>
    <w:rsid w:val="00DC63FE"/>
    <w:rsid w:val="00DE4778"/>
    <w:rsid w:val="00E01DD5"/>
    <w:rsid w:val="00E206CE"/>
    <w:rsid w:val="00E51082"/>
    <w:rsid w:val="00E616D9"/>
    <w:rsid w:val="00E67AF1"/>
    <w:rsid w:val="00E73708"/>
    <w:rsid w:val="00E75FD8"/>
    <w:rsid w:val="00E9708B"/>
    <w:rsid w:val="00EA4257"/>
    <w:rsid w:val="00EC58A4"/>
    <w:rsid w:val="00EE5F30"/>
    <w:rsid w:val="00EE65F4"/>
    <w:rsid w:val="00EF6DF7"/>
    <w:rsid w:val="00EF7CE0"/>
    <w:rsid w:val="00F052E9"/>
    <w:rsid w:val="00F14E11"/>
    <w:rsid w:val="00F175F0"/>
    <w:rsid w:val="00F212E3"/>
    <w:rsid w:val="00F3326D"/>
    <w:rsid w:val="00F42EF1"/>
    <w:rsid w:val="00F471D9"/>
    <w:rsid w:val="00FA4D1E"/>
    <w:rsid w:val="00FA625E"/>
    <w:rsid w:val="00FB0C39"/>
    <w:rsid w:val="00FB17EA"/>
    <w:rsid w:val="00FB3B21"/>
    <w:rsid w:val="00FD3A2C"/>
    <w:rsid w:val="00FD5656"/>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C2267"/>
  <w15:chartTrackingRefBased/>
  <w15:docId w15:val="{E4393FE0-8010-41B6-95BC-417C74BF6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206CE"/>
    <w:pPr>
      <w:spacing w:after="0" w:line="240" w:lineRule="auto"/>
    </w:pPr>
    <w:rPr>
      <w:sz w:val="20"/>
      <w:szCs w:val="20"/>
    </w:rPr>
  </w:style>
  <w:style w:type="character" w:customStyle="1" w:styleId="FootnoteTextChar">
    <w:name w:val="Footnote Text Char"/>
    <w:basedOn w:val="DefaultParagraphFont"/>
    <w:link w:val="FootnoteText"/>
    <w:uiPriority w:val="99"/>
    <w:rsid w:val="00E206CE"/>
    <w:rPr>
      <w:sz w:val="20"/>
      <w:szCs w:val="20"/>
    </w:rPr>
  </w:style>
  <w:style w:type="character" w:styleId="FootnoteReference">
    <w:name w:val="footnote reference"/>
    <w:basedOn w:val="DefaultParagraphFont"/>
    <w:uiPriority w:val="99"/>
    <w:semiHidden/>
    <w:unhideWhenUsed/>
    <w:rsid w:val="00E206CE"/>
    <w:rPr>
      <w:vertAlign w:val="superscript"/>
    </w:rPr>
  </w:style>
  <w:style w:type="character" w:styleId="Hyperlink">
    <w:name w:val="Hyperlink"/>
    <w:basedOn w:val="DefaultParagraphFont"/>
    <w:uiPriority w:val="99"/>
    <w:unhideWhenUsed/>
    <w:rsid w:val="00450DB6"/>
    <w:rPr>
      <w:color w:val="0563C1" w:themeColor="hyperlink"/>
      <w:u w:val="single"/>
    </w:rPr>
  </w:style>
  <w:style w:type="character" w:styleId="UnresolvedMention">
    <w:name w:val="Unresolved Mention"/>
    <w:basedOn w:val="DefaultParagraphFont"/>
    <w:uiPriority w:val="99"/>
    <w:semiHidden/>
    <w:unhideWhenUsed/>
    <w:rsid w:val="00450DB6"/>
    <w:rPr>
      <w:color w:val="605E5C"/>
      <w:shd w:val="clear" w:color="auto" w:fill="E1DFDD"/>
    </w:rPr>
  </w:style>
  <w:style w:type="paragraph" w:styleId="Header">
    <w:name w:val="header"/>
    <w:basedOn w:val="Normal"/>
    <w:link w:val="HeaderChar"/>
    <w:uiPriority w:val="99"/>
    <w:unhideWhenUsed/>
    <w:rsid w:val="00FD3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A2C"/>
  </w:style>
  <w:style w:type="paragraph" w:styleId="Footer">
    <w:name w:val="footer"/>
    <w:basedOn w:val="Normal"/>
    <w:link w:val="FooterChar"/>
    <w:uiPriority w:val="99"/>
    <w:unhideWhenUsed/>
    <w:rsid w:val="00FD3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A2C"/>
  </w:style>
  <w:style w:type="character" w:styleId="PlaceholderText">
    <w:name w:val="Placeholder Text"/>
    <w:basedOn w:val="DefaultParagraphFont"/>
    <w:uiPriority w:val="99"/>
    <w:semiHidden/>
    <w:rsid w:val="0062345A"/>
    <w:rPr>
      <w:color w:val="808080"/>
    </w:rPr>
  </w:style>
  <w:style w:type="character" w:styleId="FollowedHyperlink">
    <w:name w:val="FollowedHyperlink"/>
    <w:basedOn w:val="DefaultParagraphFont"/>
    <w:uiPriority w:val="99"/>
    <w:semiHidden/>
    <w:unhideWhenUsed/>
    <w:rsid w:val="00B9315D"/>
    <w:rPr>
      <w:color w:val="954F72" w:themeColor="followedHyperlink"/>
      <w:u w:val="single"/>
    </w:rPr>
  </w:style>
  <w:style w:type="character" w:customStyle="1" w:styleId="normaltextrun">
    <w:name w:val="normaltextrun"/>
    <w:basedOn w:val="DefaultParagraphFont"/>
    <w:rsid w:val="00EE6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berley-books.com/author-community-main-page/b/gillian-bennett.html" TargetMode="External"/><Relationship Id="rId13" Type="http://schemas.openxmlformats.org/officeDocument/2006/relationships/hyperlink" Target="https://www.reading.ac.uk/AcaDepts/lw/staff/tony.ht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upcolorado.com/our-books/our-authors/item/2403-gillian-bennet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searchportal.bath.ac.uk/en/persons/tony-walter" TargetMode="External"/><Relationship Id="rId5" Type="http://schemas.openxmlformats.org/officeDocument/2006/relationships/footnotes" Target="footnotes.xml"/><Relationship Id="rId15" Type="http://schemas.openxmlformats.org/officeDocument/2006/relationships/hyperlink" Target="http://endoflifestudies.academicblogs.co.uk/the-revival-of-death-two-decades-on-by-tony-walter/" TargetMode="External"/><Relationship Id="rId10" Type="http://schemas.openxmlformats.org/officeDocument/2006/relationships/hyperlink" Target="https://researchportal.bath.ac.uk/en/searchAll/index/?search=Helen+Waterhouse&amp;pageSize=25&amp;showAdvanced=false&amp;allConcepts=true&amp;inferConcepts=true&amp;searchBy=PartOfNameOrTitle" TargetMode="External"/><Relationship Id="rId4" Type="http://schemas.openxmlformats.org/officeDocument/2006/relationships/webSettings" Target="webSettings.xml"/><Relationship Id="rId9" Type="http://schemas.openxmlformats.org/officeDocument/2006/relationships/hyperlink" Target="https://upcolorado.com/our-books/our-authors/item/2403-gillian-bennett" TargetMode="External"/><Relationship Id="rId14" Type="http://schemas.openxmlformats.org/officeDocument/2006/relationships/hyperlink" Target="https://theconversation.com/profiles/tony-walter-197166"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searchportal.bath.ac.uk/en/searchAll/index/?search=Helen+Waterhouse&amp;pageSize=25&amp;showAdvanced=false&amp;allConcepts=true&amp;inferConcepts=true&amp;searchBy=PartOfNameOrTitle" TargetMode="External"/><Relationship Id="rId3" Type="http://schemas.openxmlformats.org/officeDocument/2006/relationships/hyperlink" Target="https://upcolorado.com/our-books/our-authors/item/2403-gillian-bennett" TargetMode="External"/><Relationship Id="rId7" Type="http://schemas.openxmlformats.org/officeDocument/2006/relationships/hyperlink" Target="https://theconversation.com/profiles/tony-walter-197166" TargetMode="External"/><Relationship Id="rId2" Type="http://schemas.openxmlformats.org/officeDocument/2006/relationships/hyperlink" Target="https://www.amberley-books.com/author-community-main-page/b/gillian-bennett.html" TargetMode="External"/><Relationship Id="rId1" Type="http://schemas.openxmlformats.org/officeDocument/2006/relationships/hyperlink" Target="http://upcolorado.com/our-books/our-authors/item/2403-gillian-bennett" TargetMode="External"/><Relationship Id="rId6" Type="http://schemas.openxmlformats.org/officeDocument/2006/relationships/hyperlink" Target="https://www.reading.ac.uk/AcaDepts/lw/staff/tony.htm" TargetMode="External"/><Relationship Id="rId5" Type="http://schemas.openxmlformats.org/officeDocument/2006/relationships/hyperlink" Target="http://endoflifestudies.academicblogs.co.uk/the-revival-of-death-two-decades-on-by-tony-walter/" TargetMode="External"/><Relationship Id="rId10" Type="http://schemas.openxmlformats.org/officeDocument/2006/relationships/hyperlink" Target="http://www.jstor.org/stable/20451692" TargetMode="External"/><Relationship Id="rId4" Type="http://schemas.openxmlformats.org/officeDocument/2006/relationships/hyperlink" Target="https://researchportal.bath.ac.uk/en/persons/tony-walter" TargetMode="External"/><Relationship Id="rId9" Type="http://schemas.openxmlformats.org/officeDocument/2006/relationships/hyperlink" Target="http://jstor.org/stable/436880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C0ACB-0059-4B86-B386-22A5A5A84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13</Pages>
  <Words>3664</Words>
  <Characters>20891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Hanson (2113844)</dc:creator>
  <cp:keywords/>
  <dc:description/>
  <cp:lastModifiedBy>Karen Hanson</cp:lastModifiedBy>
  <cp:revision>3</cp:revision>
  <cp:lastPrinted>2022-03-20T08:06:00Z</cp:lastPrinted>
  <dcterms:created xsi:type="dcterms:W3CDTF">2022-03-20T08:04:00Z</dcterms:created>
  <dcterms:modified xsi:type="dcterms:W3CDTF">2022-03-20T17:41:00Z</dcterms:modified>
</cp:coreProperties>
</file>