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C30424" w14:textId="77777777" w:rsidR="00496F49" w:rsidRDefault="00496F49">
      <w:pPr>
        <w:rPr>
          <w:rFonts w:ascii="Arial" w:hAnsi="Arial" w:cs="Arial"/>
          <w:b/>
          <w:bCs/>
          <w:sz w:val="40"/>
          <w:szCs w:val="40"/>
        </w:rPr>
      </w:pPr>
    </w:p>
    <w:p w14:paraId="68118CD3" w14:textId="77777777" w:rsidR="00496F49" w:rsidRDefault="00496F49">
      <w:pPr>
        <w:rPr>
          <w:rFonts w:ascii="Arial" w:hAnsi="Arial" w:cs="Arial"/>
          <w:b/>
          <w:bCs/>
          <w:sz w:val="40"/>
          <w:szCs w:val="40"/>
        </w:rPr>
      </w:pPr>
    </w:p>
    <w:p w14:paraId="33AB51DB" w14:textId="77777777" w:rsidR="00496F49" w:rsidRDefault="00496F49">
      <w:pPr>
        <w:rPr>
          <w:rFonts w:ascii="Arial" w:hAnsi="Arial" w:cs="Arial"/>
          <w:b/>
          <w:bCs/>
          <w:sz w:val="40"/>
          <w:szCs w:val="40"/>
        </w:rPr>
      </w:pPr>
    </w:p>
    <w:p w14:paraId="23EC827A" w14:textId="04545E1E" w:rsidR="00D87410" w:rsidRDefault="00C4736E">
      <w:pPr>
        <w:rPr>
          <w:rFonts w:ascii="Arial" w:hAnsi="Arial" w:cs="Arial"/>
          <w:b/>
          <w:bCs/>
          <w:sz w:val="40"/>
          <w:szCs w:val="40"/>
        </w:rPr>
      </w:pPr>
      <w:r w:rsidRPr="00C4736E">
        <w:rPr>
          <w:rFonts w:ascii="Arial" w:hAnsi="Arial" w:cs="Arial"/>
          <w:b/>
          <w:bCs/>
          <w:sz w:val="40"/>
          <w:szCs w:val="40"/>
        </w:rPr>
        <w:t>How Occupational Therapy Contributes to Patient Outcomes and NHS Operational Efficiency</w:t>
      </w:r>
    </w:p>
    <w:p w14:paraId="7BDED0B7" w14:textId="77777777" w:rsidR="00C4736E" w:rsidRDefault="00C4736E">
      <w:pPr>
        <w:rPr>
          <w:rFonts w:ascii="Arial" w:hAnsi="Arial" w:cs="Arial"/>
          <w:b/>
          <w:bCs/>
          <w:sz w:val="40"/>
          <w:szCs w:val="40"/>
        </w:rPr>
      </w:pPr>
    </w:p>
    <w:p w14:paraId="712F4BA0" w14:textId="77777777" w:rsidR="00496F49" w:rsidRDefault="00496F49">
      <w:pPr>
        <w:rPr>
          <w:rFonts w:ascii="Arial" w:hAnsi="Arial" w:cs="Arial"/>
          <w:b/>
          <w:bCs/>
          <w:sz w:val="40"/>
          <w:szCs w:val="40"/>
        </w:rPr>
      </w:pPr>
    </w:p>
    <w:p w14:paraId="2F453E5F" w14:textId="77777777" w:rsidR="00496F49" w:rsidRDefault="00496F49">
      <w:pPr>
        <w:rPr>
          <w:rFonts w:ascii="Arial" w:hAnsi="Arial" w:cs="Arial"/>
          <w:b/>
          <w:bCs/>
          <w:sz w:val="40"/>
          <w:szCs w:val="40"/>
        </w:rPr>
      </w:pPr>
    </w:p>
    <w:p w14:paraId="36CDB69B" w14:textId="77777777" w:rsidR="00496F49" w:rsidRDefault="00496F49" w:rsidP="00496F49">
      <w:pPr>
        <w:rPr>
          <w:rFonts w:ascii="Arial" w:hAnsi="Arial" w:cs="Arial"/>
          <w:b/>
          <w:bCs/>
          <w:sz w:val="24"/>
          <w:szCs w:val="24"/>
          <w:lang w:val="en-US"/>
        </w:rPr>
      </w:pPr>
    </w:p>
    <w:p w14:paraId="019D7DC7" w14:textId="77777777" w:rsidR="00496F49" w:rsidRDefault="00496F49" w:rsidP="00496F49">
      <w:pPr>
        <w:rPr>
          <w:rFonts w:ascii="Arial" w:hAnsi="Arial" w:cs="Arial"/>
          <w:b/>
          <w:bCs/>
          <w:sz w:val="24"/>
          <w:szCs w:val="24"/>
          <w:lang w:val="en-US"/>
        </w:rPr>
      </w:pPr>
    </w:p>
    <w:p w14:paraId="138D6CCC" w14:textId="77777777" w:rsidR="00496F49" w:rsidRDefault="00496F49" w:rsidP="00496F49">
      <w:pPr>
        <w:rPr>
          <w:rFonts w:ascii="Arial" w:hAnsi="Arial" w:cs="Arial"/>
          <w:b/>
          <w:bCs/>
          <w:sz w:val="24"/>
          <w:szCs w:val="24"/>
          <w:lang w:val="en-US"/>
        </w:rPr>
      </w:pPr>
    </w:p>
    <w:p w14:paraId="3FBD981F" w14:textId="77777777" w:rsidR="00496F49" w:rsidRDefault="00496F49" w:rsidP="00496F49">
      <w:pPr>
        <w:rPr>
          <w:rFonts w:ascii="Arial" w:hAnsi="Arial" w:cs="Arial"/>
          <w:b/>
          <w:bCs/>
          <w:sz w:val="24"/>
          <w:szCs w:val="24"/>
          <w:lang w:val="en-US"/>
        </w:rPr>
      </w:pPr>
    </w:p>
    <w:p w14:paraId="7697FF5F" w14:textId="77777777" w:rsidR="00496F49" w:rsidRDefault="00496F49" w:rsidP="00496F49">
      <w:pPr>
        <w:rPr>
          <w:rFonts w:ascii="Arial" w:hAnsi="Arial" w:cs="Arial"/>
          <w:b/>
          <w:bCs/>
          <w:sz w:val="24"/>
          <w:szCs w:val="24"/>
          <w:lang w:val="en-US"/>
        </w:rPr>
      </w:pPr>
    </w:p>
    <w:p w14:paraId="133C107E" w14:textId="77777777" w:rsidR="00496F49" w:rsidRDefault="00496F49" w:rsidP="00496F49">
      <w:pPr>
        <w:rPr>
          <w:rFonts w:ascii="Arial" w:hAnsi="Arial" w:cs="Arial"/>
          <w:b/>
          <w:bCs/>
          <w:sz w:val="24"/>
          <w:szCs w:val="24"/>
          <w:lang w:val="en-US"/>
        </w:rPr>
      </w:pPr>
    </w:p>
    <w:p w14:paraId="257A942B" w14:textId="77777777" w:rsidR="00496F49" w:rsidRPr="00496F49" w:rsidRDefault="00496F49" w:rsidP="00496F49">
      <w:pPr>
        <w:rPr>
          <w:rFonts w:ascii="Arial" w:hAnsi="Arial" w:cs="Arial"/>
          <w:b/>
          <w:bCs/>
          <w:sz w:val="24"/>
          <w:szCs w:val="24"/>
        </w:rPr>
      </w:pPr>
      <w:r w:rsidRPr="00496F49">
        <w:rPr>
          <w:rFonts w:ascii="Arial" w:hAnsi="Arial" w:cs="Arial"/>
          <w:b/>
          <w:bCs/>
          <w:sz w:val="24"/>
          <w:szCs w:val="24"/>
          <w:lang w:val="en-US"/>
        </w:rPr>
        <w:t>Module Name</w:t>
      </w:r>
      <w:r w:rsidRPr="00496F49">
        <w:rPr>
          <w:rFonts w:ascii="Arial" w:hAnsi="Arial" w:cs="Arial"/>
          <w:sz w:val="24"/>
          <w:szCs w:val="24"/>
          <w:lang w:val="en-US"/>
        </w:rPr>
        <w:t xml:space="preserve">: </w:t>
      </w:r>
      <w:r w:rsidRPr="00496F49">
        <w:rPr>
          <w:rFonts w:ascii="Arial" w:hAnsi="Arial" w:cs="Arial"/>
          <w:sz w:val="24"/>
          <w:szCs w:val="24"/>
        </w:rPr>
        <w:t>Developing a Research Proposal (BMSW5014_SWAN)</w:t>
      </w:r>
    </w:p>
    <w:p w14:paraId="0881E073" w14:textId="77777777" w:rsidR="00496F49" w:rsidRPr="00496F49" w:rsidRDefault="00496F49" w:rsidP="00496F49">
      <w:pPr>
        <w:rPr>
          <w:rFonts w:ascii="Arial" w:hAnsi="Arial" w:cs="Arial"/>
          <w:sz w:val="24"/>
          <w:szCs w:val="24"/>
          <w:lang w:val="en-US"/>
        </w:rPr>
      </w:pPr>
      <w:r w:rsidRPr="00496F49">
        <w:rPr>
          <w:rFonts w:ascii="Arial" w:hAnsi="Arial" w:cs="Arial"/>
          <w:b/>
          <w:bCs/>
          <w:sz w:val="24"/>
          <w:szCs w:val="24"/>
          <w:lang w:val="en-US"/>
        </w:rPr>
        <w:t>Student name:</w:t>
      </w:r>
      <w:r w:rsidRPr="00496F49">
        <w:rPr>
          <w:rFonts w:ascii="Arial" w:hAnsi="Arial" w:cs="Arial"/>
          <w:sz w:val="24"/>
          <w:szCs w:val="24"/>
          <w:lang w:val="en-US"/>
        </w:rPr>
        <w:t xml:space="preserve"> Ionela Catalina Simion</w:t>
      </w:r>
    </w:p>
    <w:p w14:paraId="798C4C67" w14:textId="77777777" w:rsidR="00496F49" w:rsidRPr="00496F49" w:rsidRDefault="00496F49" w:rsidP="00496F49">
      <w:pPr>
        <w:rPr>
          <w:rFonts w:ascii="Arial" w:hAnsi="Arial" w:cs="Arial"/>
          <w:sz w:val="24"/>
          <w:szCs w:val="24"/>
          <w:lang w:val="en-US"/>
        </w:rPr>
      </w:pPr>
      <w:r w:rsidRPr="00496F49">
        <w:rPr>
          <w:rFonts w:ascii="Arial" w:hAnsi="Arial" w:cs="Arial"/>
          <w:b/>
          <w:bCs/>
          <w:sz w:val="24"/>
          <w:szCs w:val="24"/>
          <w:lang w:val="en-US"/>
        </w:rPr>
        <w:t>Student Number</w:t>
      </w:r>
      <w:r w:rsidRPr="00496F49">
        <w:rPr>
          <w:rFonts w:ascii="Arial" w:hAnsi="Arial" w:cs="Arial"/>
          <w:sz w:val="24"/>
          <w:szCs w:val="24"/>
          <w:lang w:val="en-US"/>
        </w:rPr>
        <w:t xml:space="preserve"> :2227035</w:t>
      </w:r>
    </w:p>
    <w:p w14:paraId="75733038" w14:textId="77777777" w:rsidR="00496F49" w:rsidRPr="00496F49" w:rsidRDefault="00496F49">
      <w:pPr>
        <w:rPr>
          <w:rFonts w:ascii="Arial" w:hAnsi="Arial" w:cs="Arial"/>
          <w:sz w:val="24"/>
          <w:szCs w:val="24"/>
        </w:rPr>
      </w:pPr>
    </w:p>
    <w:p w14:paraId="69C45E4D" w14:textId="77777777" w:rsidR="00C4736E" w:rsidRDefault="00C4736E">
      <w:pPr>
        <w:rPr>
          <w:rFonts w:ascii="Arial" w:hAnsi="Arial" w:cs="Arial"/>
          <w:b/>
          <w:bCs/>
          <w:sz w:val="40"/>
          <w:szCs w:val="40"/>
        </w:rPr>
      </w:pPr>
    </w:p>
    <w:p w14:paraId="5157162B" w14:textId="77777777" w:rsidR="00496F49" w:rsidRDefault="00496F49">
      <w:pPr>
        <w:rPr>
          <w:rFonts w:ascii="Arial" w:hAnsi="Arial" w:cs="Arial"/>
          <w:b/>
          <w:bCs/>
          <w:sz w:val="40"/>
          <w:szCs w:val="40"/>
        </w:rPr>
      </w:pPr>
    </w:p>
    <w:p w14:paraId="610F0378" w14:textId="77777777" w:rsidR="00496F49" w:rsidRDefault="00496F49">
      <w:pPr>
        <w:rPr>
          <w:rFonts w:ascii="Arial" w:hAnsi="Arial" w:cs="Arial"/>
          <w:b/>
          <w:bCs/>
          <w:sz w:val="40"/>
          <w:szCs w:val="40"/>
        </w:rPr>
      </w:pPr>
    </w:p>
    <w:p w14:paraId="117BDE27" w14:textId="77777777" w:rsidR="00496F49" w:rsidRDefault="00496F49">
      <w:pPr>
        <w:rPr>
          <w:rFonts w:ascii="Arial" w:hAnsi="Arial" w:cs="Arial"/>
          <w:b/>
          <w:bCs/>
          <w:sz w:val="40"/>
          <w:szCs w:val="40"/>
        </w:rPr>
      </w:pPr>
    </w:p>
    <w:p w14:paraId="019CCDC1" w14:textId="77777777" w:rsidR="00496F49" w:rsidRDefault="00496F49">
      <w:pPr>
        <w:rPr>
          <w:rFonts w:ascii="Arial" w:hAnsi="Arial" w:cs="Arial"/>
          <w:b/>
          <w:bCs/>
          <w:sz w:val="40"/>
          <w:szCs w:val="40"/>
        </w:rPr>
      </w:pPr>
    </w:p>
    <w:p w14:paraId="07E1206A" w14:textId="77777777" w:rsidR="00496F49" w:rsidRDefault="00496F49" w:rsidP="003C38A2">
      <w:pPr>
        <w:rPr>
          <w:rFonts w:ascii="Arial" w:hAnsi="Arial" w:cs="Arial"/>
          <w:b/>
          <w:bCs/>
          <w:sz w:val="40"/>
          <w:szCs w:val="40"/>
        </w:rPr>
      </w:pPr>
    </w:p>
    <w:p w14:paraId="5E567BE7" w14:textId="31F4655B" w:rsidR="003C38A2" w:rsidRPr="003C38A2" w:rsidRDefault="003C38A2" w:rsidP="003C38A2">
      <w:pPr>
        <w:rPr>
          <w:rFonts w:ascii="Arial" w:hAnsi="Arial" w:cs="Arial"/>
          <w:b/>
          <w:bCs/>
          <w:sz w:val="24"/>
          <w:szCs w:val="24"/>
        </w:rPr>
      </w:pPr>
      <w:r w:rsidRPr="003C38A2">
        <w:rPr>
          <w:rFonts w:ascii="Arial" w:hAnsi="Arial" w:cs="Arial"/>
          <w:b/>
          <w:bCs/>
          <w:sz w:val="24"/>
          <w:szCs w:val="24"/>
        </w:rPr>
        <w:lastRenderedPageBreak/>
        <w:t>Introduction</w:t>
      </w:r>
    </w:p>
    <w:p w14:paraId="36DC3691" w14:textId="16A74119" w:rsidR="003C38A2" w:rsidRPr="003C38A2" w:rsidRDefault="005C1362" w:rsidP="003C38A2">
      <w:pPr>
        <w:rPr>
          <w:rFonts w:ascii="Arial" w:hAnsi="Arial" w:cs="Arial"/>
          <w:sz w:val="24"/>
          <w:szCs w:val="24"/>
        </w:rPr>
      </w:pPr>
      <w:r w:rsidRPr="005C1362">
        <w:rPr>
          <w:rFonts w:ascii="Arial" w:hAnsi="Arial" w:cs="Arial"/>
          <w:sz w:val="24"/>
          <w:szCs w:val="24"/>
        </w:rPr>
        <w:t>Delivering high-quality care while managing increasing demand has become one of the NHS's greatest challenges. Financial pressures, workforce shortages and growing waiting lists have increased the need for interventions that not only improve patient outcomes but also support the efficient use of healthcare resources</w:t>
      </w:r>
      <w:r w:rsidR="00433FFF">
        <w:rPr>
          <w:rFonts w:ascii="Arial" w:hAnsi="Arial" w:cs="Arial"/>
          <w:sz w:val="24"/>
          <w:szCs w:val="24"/>
        </w:rPr>
        <w:t>.</w:t>
      </w:r>
      <w:r w:rsidR="00433FFF" w:rsidRPr="00433FFF">
        <w:t xml:space="preserve"> </w:t>
      </w:r>
      <w:r w:rsidR="00433FFF" w:rsidRPr="00433FFF">
        <w:rPr>
          <w:rFonts w:ascii="Arial" w:hAnsi="Arial" w:cs="Arial"/>
          <w:sz w:val="24"/>
          <w:szCs w:val="24"/>
        </w:rPr>
        <w:t>In this context, there is growing interest in the wider contribution of healthcare professions to patient recovery and service delivery.</w:t>
      </w:r>
    </w:p>
    <w:p w14:paraId="3E2517D8" w14:textId="77777777" w:rsidR="0027409F" w:rsidRDefault="0027409F" w:rsidP="003C38A2">
      <w:pPr>
        <w:rPr>
          <w:rFonts w:ascii="Arial" w:hAnsi="Arial" w:cs="Arial"/>
          <w:sz w:val="24"/>
          <w:szCs w:val="24"/>
        </w:rPr>
      </w:pPr>
      <w:r w:rsidRPr="0027409F">
        <w:rPr>
          <w:rFonts w:ascii="Arial" w:hAnsi="Arial" w:cs="Arial"/>
          <w:sz w:val="24"/>
          <w:szCs w:val="24"/>
        </w:rPr>
        <w:t>Occupational therapy contributes to both patient recovery and the effective delivery of healthcare services. By helping individuals regain independence and participate in meaningful activities, occupational therapists can improve quality of life and functional ability. From a management perspective, these outcomes may also influence how healthcare resources are used and how effectively services are delivered across NHS settings.</w:t>
      </w:r>
    </w:p>
    <w:p w14:paraId="0A137C21" w14:textId="7D04D9D1" w:rsidR="003C38A2" w:rsidRPr="003C38A2" w:rsidRDefault="003C38A2" w:rsidP="003C38A2">
      <w:pPr>
        <w:rPr>
          <w:rFonts w:ascii="Arial" w:hAnsi="Arial" w:cs="Arial"/>
          <w:sz w:val="24"/>
          <w:szCs w:val="24"/>
        </w:rPr>
      </w:pPr>
      <w:r w:rsidRPr="003C38A2">
        <w:rPr>
          <w:rFonts w:ascii="Arial" w:hAnsi="Arial" w:cs="Arial"/>
          <w:sz w:val="24"/>
          <w:szCs w:val="24"/>
        </w:rPr>
        <w:t xml:space="preserve">However, the impact of occupational therapy may extend beyond the individual patient. When patients are able to regain independence and return safely to their homes and communities, hospitals may benefit from shorter lengths of stay, improved patient flow and reduced demand for ongoing services. In this sense, patient outcomes and operational efficiency should not necessarily be viewed as separate objectives. Rather, they may represent different outcomes of the same intervention. </w:t>
      </w:r>
      <w:r w:rsidR="00C6721B" w:rsidRPr="00C6721B">
        <w:rPr>
          <w:rFonts w:ascii="Arial" w:hAnsi="Arial" w:cs="Arial"/>
          <w:sz w:val="24"/>
          <w:szCs w:val="24"/>
        </w:rPr>
        <w:t>Despite this, much of the existing literature continues to focus on clinical effectiveness rather than examining how occupational therapy may contribute to wider organisational effectiveness within NHS services.</w:t>
      </w:r>
    </w:p>
    <w:p w14:paraId="288DA82D" w14:textId="77777777" w:rsidR="003C38A2" w:rsidRPr="003C38A2" w:rsidRDefault="003C38A2" w:rsidP="003C38A2">
      <w:pPr>
        <w:rPr>
          <w:rFonts w:ascii="Arial" w:hAnsi="Arial" w:cs="Arial"/>
          <w:sz w:val="24"/>
          <w:szCs w:val="24"/>
        </w:rPr>
      </w:pPr>
      <w:r w:rsidRPr="003C38A2">
        <w:rPr>
          <w:rFonts w:ascii="Arial" w:hAnsi="Arial" w:cs="Arial"/>
          <w:sz w:val="24"/>
          <w:szCs w:val="24"/>
        </w:rPr>
        <w:t>This proposal therefore explores how occupational therapy contributes to both patient outcomes and NHS operational efficiency. By examining the perspectives of healthcare professionals working within NHS services, the study aims to develop a deeper understanding of how occupational therapy is perceived, valued and integrated within contemporary healthcare practice.</w:t>
      </w:r>
    </w:p>
    <w:p w14:paraId="3F4AE30D" w14:textId="77777777" w:rsidR="00496F49" w:rsidRDefault="00496F49" w:rsidP="003C38A2">
      <w:pPr>
        <w:rPr>
          <w:rFonts w:ascii="Arial" w:hAnsi="Arial" w:cs="Arial"/>
          <w:b/>
          <w:bCs/>
          <w:sz w:val="24"/>
          <w:szCs w:val="24"/>
        </w:rPr>
      </w:pPr>
    </w:p>
    <w:p w14:paraId="54B83FE4" w14:textId="77777777" w:rsidR="00EA3192" w:rsidRDefault="00EA3192" w:rsidP="003C38A2">
      <w:pPr>
        <w:rPr>
          <w:rFonts w:ascii="Arial" w:hAnsi="Arial" w:cs="Arial"/>
          <w:b/>
          <w:bCs/>
          <w:sz w:val="24"/>
          <w:szCs w:val="24"/>
        </w:rPr>
      </w:pPr>
    </w:p>
    <w:p w14:paraId="02F691AD" w14:textId="77777777" w:rsidR="00EA3192" w:rsidRDefault="00EA3192" w:rsidP="003C38A2">
      <w:pPr>
        <w:rPr>
          <w:rFonts w:ascii="Arial" w:hAnsi="Arial" w:cs="Arial"/>
          <w:b/>
          <w:bCs/>
          <w:sz w:val="24"/>
          <w:szCs w:val="24"/>
        </w:rPr>
      </w:pPr>
    </w:p>
    <w:p w14:paraId="5D7983F0" w14:textId="3B77EE1D" w:rsidR="003C38A2" w:rsidRPr="003C38A2" w:rsidRDefault="003C38A2" w:rsidP="003C38A2">
      <w:pPr>
        <w:rPr>
          <w:rFonts w:ascii="Arial" w:hAnsi="Arial" w:cs="Arial"/>
          <w:b/>
          <w:bCs/>
          <w:sz w:val="24"/>
          <w:szCs w:val="24"/>
        </w:rPr>
      </w:pPr>
      <w:r w:rsidRPr="003C38A2">
        <w:rPr>
          <w:rFonts w:ascii="Arial" w:hAnsi="Arial" w:cs="Arial"/>
          <w:b/>
          <w:bCs/>
          <w:sz w:val="24"/>
          <w:szCs w:val="24"/>
        </w:rPr>
        <w:t>Research Aim</w:t>
      </w:r>
    </w:p>
    <w:p w14:paraId="19C773DE" w14:textId="77777777" w:rsidR="003C38A2" w:rsidRPr="003C38A2" w:rsidRDefault="003C38A2" w:rsidP="003C38A2">
      <w:pPr>
        <w:rPr>
          <w:rFonts w:ascii="Arial" w:hAnsi="Arial" w:cs="Arial"/>
          <w:sz w:val="24"/>
          <w:szCs w:val="24"/>
        </w:rPr>
      </w:pPr>
      <w:r w:rsidRPr="003C38A2">
        <w:rPr>
          <w:rFonts w:ascii="Arial" w:hAnsi="Arial" w:cs="Arial"/>
          <w:sz w:val="24"/>
          <w:szCs w:val="24"/>
        </w:rPr>
        <w:t>To explore how occupational therapy contributes to patient outcomes and NHS operational efficiency within NHS healthcare settings.</w:t>
      </w:r>
    </w:p>
    <w:p w14:paraId="0F071E78" w14:textId="77777777" w:rsidR="00496F49" w:rsidRDefault="00496F49" w:rsidP="003C38A2">
      <w:pPr>
        <w:rPr>
          <w:rFonts w:ascii="Arial" w:hAnsi="Arial" w:cs="Arial"/>
          <w:b/>
          <w:bCs/>
          <w:sz w:val="24"/>
          <w:szCs w:val="24"/>
        </w:rPr>
      </w:pPr>
    </w:p>
    <w:p w14:paraId="17AA00FD" w14:textId="77777777" w:rsidR="00496F49" w:rsidRDefault="00496F49" w:rsidP="003C38A2">
      <w:pPr>
        <w:rPr>
          <w:rFonts w:ascii="Arial" w:hAnsi="Arial" w:cs="Arial"/>
          <w:b/>
          <w:bCs/>
          <w:sz w:val="24"/>
          <w:szCs w:val="24"/>
        </w:rPr>
      </w:pPr>
    </w:p>
    <w:p w14:paraId="08D256D0" w14:textId="77777777" w:rsidR="0027628E" w:rsidRPr="00B20C55" w:rsidRDefault="0027628E" w:rsidP="0027628E">
      <w:pPr>
        <w:ind w:left="720"/>
        <w:rPr>
          <w:rFonts w:ascii="Arial" w:hAnsi="Arial" w:cs="Arial"/>
          <w:b/>
          <w:bCs/>
          <w:sz w:val="24"/>
          <w:szCs w:val="24"/>
        </w:rPr>
      </w:pPr>
    </w:p>
    <w:p w14:paraId="39465122" w14:textId="77777777" w:rsidR="00CC2ED8" w:rsidRDefault="00CC2ED8" w:rsidP="00B20C55">
      <w:pPr>
        <w:ind w:left="360"/>
        <w:rPr>
          <w:rFonts w:ascii="Arial" w:hAnsi="Arial" w:cs="Arial"/>
          <w:b/>
          <w:bCs/>
          <w:sz w:val="24"/>
          <w:szCs w:val="24"/>
        </w:rPr>
      </w:pPr>
    </w:p>
    <w:p w14:paraId="6B81ECBB" w14:textId="77777777" w:rsidR="00CC2ED8" w:rsidRDefault="00CC2ED8" w:rsidP="00B20C55">
      <w:pPr>
        <w:ind w:left="360"/>
        <w:rPr>
          <w:rFonts w:ascii="Arial" w:hAnsi="Arial" w:cs="Arial"/>
          <w:b/>
          <w:bCs/>
          <w:sz w:val="24"/>
          <w:szCs w:val="24"/>
        </w:rPr>
      </w:pPr>
    </w:p>
    <w:p w14:paraId="16EA8945" w14:textId="59A35F0A" w:rsidR="00496F49" w:rsidRPr="00B20C55" w:rsidRDefault="0027628E" w:rsidP="00B20C55">
      <w:pPr>
        <w:ind w:left="360"/>
        <w:rPr>
          <w:rFonts w:ascii="Arial" w:hAnsi="Arial" w:cs="Arial"/>
          <w:sz w:val="24"/>
          <w:szCs w:val="24"/>
        </w:rPr>
      </w:pPr>
      <w:r w:rsidRPr="00B20C55">
        <w:rPr>
          <w:rFonts w:ascii="Arial" w:hAnsi="Arial" w:cs="Arial"/>
          <w:b/>
          <w:bCs/>
          <w:sz w:val="24"/>
          <w:szCs w:val="24"/>
        </w:rPr>
        <w:lastRenderedPageBreak/>
        <w:t>Research Questions</w:t>
      </w:r>
      <w:r w:rsidRPr="00B20C55">
        <w:rPr>
          <w:rFonts w:ascii="Arial" w:hAnsi="Arial" w:cs="Arial"/>
          <w:sz w:val="24"/>
          <w:szCs w:val="24"/>
        </w:rPr>
        <w:br/>
      </w:r>
      <w:r w:rsidRPr="00B20C55">
        <w:rPr>
          <w:rFonts w:ascii="Arial" w:hAnsi="Arial" w:cs="Arial"/>
          <w:sz w:val="24"/>
          <w:szCs w:val="24"/>
        </w:rPr>
        <w:br/>
        <w:t>1.</w:t>
      </w:r>
      <w:r w:rsidR="00B20C55" w:rsidRPr="00B20C55">
        <w:rPr>
          <w:rFonts w:ascii="Arial" w:hAnsi="Arial" w:cs="Arial"/>
          <w:sz w:val="24"/>
          <w:szCs w:val="24"/>
        </w:rPr>
        <w:t xml:space="preserve"> </w:t>
      </w:r>
      <w:r w:rsidRPr="00B20C55">
        <w:rPr>
          <w:rFonts w:ascii="Arial" w:hAnsi="Arial" w:cs="Arial"/>
          <w:sz w:val="24"/>
          <w:szCs w:val="24"/>
        </w:rPr>
        <w:t xml:space="preserve"> How do occupational therapy interventions contribute to patient outcomes within NHS healthcare settings?</w:t>
      </w:r>
      <w:r w:rsidRPr="00B20C55">
        <w:rPr>
          <w:rFonts w:ascii="Arial" w:hAnsi="Arial" w:cs="Arial"/>
          <w:sz w:val="24"/>
          <w:szCs w:val="24"/>
        </w:rPr>
        <w:br/>
        <w:t xml:space="preserve">2. </w:t>
      </w:r>
      <w:r w:rsidR="00B20C55" w:rsidRPr="00B20C55">
        <w:rPr>
          <w:rFonts w:ascii="Arial" w:hAnsi="Arial" w:cs="Arial"/>
          <w:sz w:val="24"/>
          <w:szCs w:val="24"/>
        </w:rPr>
        <w:t xml:space="preserve"> </w:t>
      </w:r>
      <w:r w:rsidRPr="00B20C55">
        <w:rPr>
          <w:rFonts w:ascii="Arial" w:hAnsi="Arial" w:cs="Arial"/>
          <w:sz w:val="24"/>
          <w:szCs w:val="24"/>
        </w:rPr>
        <w:t>In what ways does occupational therapy support operational efficiency within NHS services?</w:t>
      </w:r>
      <w:r w:rsidRPr="00B20C55">
        <w:rPr>
          <w:rFonts w:ascii="Arial" w:hAnsi="Arial" w:cs="Arial"/>
          <w:sz w:val="24"/>
          <w:szCs w:val="24"/>
        </w:rPr>
        <w:br/>
        <w:t>3. How do healthcare professionals perceive the value and contribution of occupational therapy within multidisciplinary teams?</w:t>
      </w:r>
      <w:r w:rsidRPr="00B20C55">
        <w:rPr>
          <w:rFonts w:ascii="Arial" w:hAnsi="Arial" w:cs="Arial"/>
          <w:sz w:val="24"/>
          <w:szCs w:val="24"/>
        </w:rPr>
        <w:br/>
        <w:t>4.</w:t>
      </w:r>
      <w:r w:rsidR="00B20C55" w:rsidRPr="00B20C55">
        <w:rPr>
          <w:rFonts w:ascii="Arial" w:hAnsi="Arial" w:cs="Arial"/>
          <w:sz w:val="24"/>
          <w:szCs w:val="24"/>
        </w:rPr>
        <w:t xml:space="preserve"> </w:t>
      </w:r>
      <w:r w:rsidRPr="00B20C55">
        <w:rPr>
          <w:rFonts w:ascii="Arial" w:hAnsi="Arial" w:cs="Arial"/>
          <w:sz w:val="24"/>
          <w:szCs w:val="24"/>
        </w:rPr>
        <w:t xml:space="preserve"> What challenges affect the effectiveness and integration of occupational therapy within NHS settings?</w:t>
      </w:r>
      <w:r w:rsidRPr="00B20C55">
        <w:rPr>
          <w:rFonts w:ascii="Arial" w:hAnsi="Arial" w:cs="Arial"/>
          <w:sz w:val="24"/>
          <w:szCs w:val="24"/>
        </w:rPr>
        <w:br/>
        <w:t>5.</w:t>
      </w:r>
      <w:r w:rsidR="00B20C55" w:rsidRPr="00B20C55">
        <w:rPr>
          <w:rFonts w:ascii="Arial" w:hAnsi="Arial" w:cs="Arial"/>
          <w:sz w:val="24"/>
          <w:szCs w:val="24"/>
        </w:rPr>
        <w:t xml:space="preserve"> </w:t>
      </w:r>
      <w:r w:rsidRPr="00B20C55">
        <w:rPr>
          <w:rFonts w:ascii="Arial" w:hAnsi="Arial" w:cs="Arial"/>
          <w:sz w:val="24"/>
          <w:szCs w:val="24"/>
        </w:rPr>
        <w:t xml:space="preserve"> How could occupational therapy services be enhanced to better support both patient outcomes and NHS operational efficiency?</w:t>
      </w:r>
    </w:p>
    <w:p w14:paraId="3E164B61" w14:textId="77777777" w:rsidR="00EA3192" w:rsidRDefault="00EA3192" w:rsidP="003C38A2">
      <w:pPr>
        <w:rPr>
          <w:rFonts w:ascii="Arial" w:hAnsi="Arial" w:cs="Arial"/>
          <w:b/>
          <w:bCs/>
          <w:sz w:val="24"/>
          <w:szCs w:val="24"/>
        </w:rPr>
      </w:pPr>
    </w:p>
    <w:p w14:paraId="769298D4" w14:textId="483F43BB" w:rsidR="003C38A2" w:rsidRPr="003C38A2" w:rsidRDefault="003C38A2" w:rsidP="003C38A2">
      <w:pPr>
        <w:rPr>
          <w:rFonts w:ascii="Arial" w:hAnsi="Arial" w:cs="Arial"/>
          <w:b/>
          <w:bCs/>
          <w:sz w:val="24"/>
          <w:szCs w:val="24"/>
        </w:rPr>
      </w:pPr>
      <w:r w:rsidRPr="003C38A2">
        <w:rPr>
          <w:rFonts w:ascii="Arial" w:hAnsi="Arial" w:cs="Arial"/>
          <w:b/>
          <w:bCs/>
          <w:sz w:val="24"/>
          <w:szCs w:val="24"/>
        </w:rPr>
        <w:t>Literature Review</w:t>
      </w:r>
    </w:p>
    <w:p w14:paraId="70FDECE2" w14:textId="637C1FD2" w:rsidR="003C38A2" w:rsidRPr="003C38A2" w:rsidRDefault="00433FFF" w:rsidP="003C38A2">
      <w:pPr>
        <w:rPr>
          <w:rFonts w:ascii="Arial" w:hAnsi="Arial" w:cs="Arial"/>
          <w:sz w:val="24"/>
          <w:szCs w:val="24"/>
        </w:rPr>
      </w:pPr>
      <w:r w:rsidRPr="00433FFF">
        <w:rPr>
          <w:rFonts w:ascii="Arial" w:hAnsi="Arial" w:cs="Arial"/>
          <w:sz w:val="24"/>
          <w:szCs w:val="24"/>
        </w:rPr>
        <w:t>Occupational therapy is founded on the belief that participation in meaningful activities contributes to health, wellbeing and quality of life.</w:t>
      </w:r>
      <w:r w:rsidR="00DA50E3">
        <w:rPr>
          <w:rFonts w:ascii="Arial" w:hAnsi="Arial" w:cs="Arial"/>
          <w:sz w:val="24"/>
          <w:szCs w:val="24"/>
        </w:rPr>
        <w:t xml:space="preserve"> </w:t>
      </w:r>
      <w:r>
        <w:rPr>
          <w:rFonts w:ascii="Arial" w:hAnsi="Arial" w:cs="Arial"/>
          <w:sz w:val="24"/>
          <w:szCs w:val="24"/>
        </w:rPr>
        <w:t xml:space="preserve">This </w:t>
      </w:r>
      <w:r w:rsidR="003C38A2" w:rsidRPr="003C38A2">
        <w:rPr>
          <w:rFonts w:ascii="Arial" w:hAnsi="Arial" w:cs="Arial"/>
          <w:sz w:val="24"/>
          <w:szCs w:val="24"/>
        </w:rPr>
        <w:t xml:space="preserve">perspective is reflected in </w:t>
      </w:r>
      <w:proofErr w:type="spellStart"/>
      <w:r w:rsidR="003C38A2" w:rsidRPr="003C38A2">
        <w:rPr>
          <w:rFonts w:ascii="Arial" w:hAnsi="Arial" w:cs="Arial"/>
          <w:sz w:val="24"/>
          <w:szCs w:val="24"/>
        </w:rPr>
        <w:t>Kielhofner's</w:t>
      </w:r>
      <w:proofErr w:type="spellEnd"/>
      <w:r w:rsidR="003C38A2" w:rsidRPr="003C38A2">
        <w:rPr>
          <w:rFonts w:ascii="Arial" w:hAnsi="Arial" w:cs="Arial"/>
          <w:sz w:val="24"/>
          <w:szCs w:val="24"/>
        </w:rPr>
        <w:t xml:space="preserve"> (2008) Model of Human Occupation (MOHO), which suggests that occupational participation is influenced by motivation, habits, performance capacity and environmental factors. Similarly, the Person–Environment–Occupation model developed by Law et al. (1996) highlights the relationship between individuals, their environment and the activities they perform. Although these models were developed to explain occupational performance, they also provide a useful foundation for understanding how occupational therapy interventions may influence wider healthcare outcomes.</w:t>
      </w:r>
    </w:p>
    <w:p w14:paraId="58757B48" w14:textId="1FFE81B5" w:rsidR="003C38A2" w:rsidRDefault="0019341C" w:rsidP="003C38A2">
      <w:pPr>
        <w:rPr>
          <w:rFonts w:ascii="Arial" w:hAnsi="Arial" w:cs="Arial"/>
          <w:sz w:val="24"/>
          <w:szCs w:val="24"/>
        </w:rPr>
      </w:pPr>
      <w:r w:rsidRPr="0019341C">
        <w:rPr>
          <w:rFonts w:ascii="Arial" w:hAnsi="Arial" w:cs="Arial"/>
          <w:sz w:val="24"/>
          <w:szCs w:val="24"/>
        </w:rPr>
        <w:t>Although there is broad agreement that occupational therapy improves patient outcomes, there is less consensus regarding how these benefits translate into wider organisational gains for healthcare services.</w:t>
      </w:r>
      <w:r>
        <w:rPr>
          <w:rFonts w:ascii="Arial" w:hAnsi="Arial" w:cs="Arial"/>
          <w:sz w:val="24"/>
          <w:szCs w:val="24"/>
        </w:rPr>
        <w:t xml:space="preserve"> </w:t>
      </w:r>
      <w:r w:rsidR="003C38A2" w:rsidRPr="003C38A2">
        <w:rPr>
          <w:rFonts w:ascii="Arial" w:hAnsi="Arial" w:cs="Arial"/>
          <w:sz w:val="24"/>
          <w:szCs w:val="24"/>
        </w:rPr>
        <w:t>Occupational therapists support individuals experiencing physical, cognitive and psychosocial challenges by helping them overcome barriers that restrict participation in everyday life. Through rehabilitation programmes, functional assessments and environmental adaptations, occupational therapy aims to improve independence and reduce the long-term effects of illness or disability. García-Pérez et al. (2022) found that occupational therapy interventions during stroke rehabilitation and discharge planning contributed positively to patients' transition from hospital to home. Similarly, Provencher et al. (2020) reported that occupational therapist-led interventions reduced unplanned rehospitalisation among older adults while improving post-discharge outcomes.</w:t>
      </w:r>
      <w:r w:rsidR="007368AD" w:rsidRPr="007368AD">
        <w:t xml:space="preserve"> </w:t>
      </w:r>
      <w:r w:rsidR="007368AD" w:rsidRPr="007368AD">
        <w:rPr>
          <w:rFonts w:ascii="Arial" w:hAnsi="Arial" w:cs="Arial"/>
          <w:sz w:val="24"/>
          <w:szCs w:val="24"/>
        </w:rPr>
        <w:t>However, many of these studies focus on specific patient groups, such as stroke survivors or older adults, making it difficult to determine whether similar benefits are experienced across all NHS settings.</w:t>
      </w:r>
      <w:r w:rsidR="003C38A2" w:rsidRPr="003C38A2">
        <w:rPr>
          <w:rFonts w:ascii="Arial" w:hAnsi="Arial" w:cs="Arial"/>
          <w:sz w:val="24"/>
          <w:szCs w:val="24"/>
        </w:rPr>
        <w:t xml:space="preserve"> </w:t>
      </w:r>
      <w:r w:rsidR="005C1362" w:rsidRPr="005C1362">
        <w:rPr>
          <w:rFonts w:ascii="Arial" w:hAnsi="Arial" w:cs="Arial"/>
          <w:sz w:val="24"/>
          <w:szCs w:val="24"/>
        </w:rPr>
        <w:t>Furthermore, much of the evidence examining occupational therapy outcomes originates from rehabilitation-focused studies, making it difficult to isolate the specific contribution of occupational therapy from other members of the multidisciplinary team.</w:t>
      </w:r>
      <w:r w:rsidR="005C1362">
        <w:rPr>
          <w:rFonts w:ascii="Arial" w:hAnsi="Arial" w:cs="Arial"/>
          <w:sz w:val="24"/>
          <w:szCs w:val="24"/>
        </w:rPr>
        <w:t xml:space="preserve"> </w:t>
      </w:r>
      <w:r w:rsidR="003C38A2" w:rsidRPr="003C38A2">
        <w:rPr>
          <w:rFonts w:ascii="Arial" w:hAnsi="Arial" w:cs="Arial"/>
          <w:sz w:val="24"/>
          <w:szCs w:val="24"/>
        </w:rPr>
        <w:t>These findings suggest that occupational therapy contributes not only to immediate recovery but also to longer-term wellbeing and stability within the community.</w:t>
      </w:r>
    </w:p>
    <w:p w14:paraId="691CA9F1" w14:textId="7856AF09" w:rsidR="00F35CEE" w:rsidRDefault="00F35CEE" w:rsidP="003C38A2">
      <w:pPr>
        <w:rPr>
          <w:rFonts w:ascii="Arial" w:hAnsi="Arial" w:cs="Arial"/>
          <w:sz w:val="24"/>
          <w:szCs w:val="24"/>
        </w:rPr>
      </w:pPr>
      <w:r w:rsidRPr="00F35CEE">
        <w:rPr>
          <w:rFonts w:ascii="Arial" w:hAnsi="Arial" w:cs="Arial"/>
          <w:sz w:val="24"/>
          <w:szCs w:val="24"/>
        </w:rPr>
        <w:lastRenderedPageBreak/>
        <w:t>What makes occupational therapy particularly interesting from a management perspective is that improvements in patient outcomes may also generate organisational benefits. When patients regain independence and can be discharged safely, hospitals may experience improved patient flow, reduced bed occupancy and more efficient use of resources.</w:t>
      </w:r>
      <w:r w:rsidR="00B27088" w:rsidRPr="00B27088">
        <w:t xml:space="preserve"> </w:t>
      </w:r>
      <w:r w:rsidR="00B27088" w:rsidRPr="00B27088">
        <w:rPr>
          <w:rFonts w:ascii="Arial" w:hAnsi="Arial" w:cs="Arial"/>
          <w:sz w:val="24"/>
          <w:szCs w:val="24"/>
        </w:rPr>
        <w:t>Supporting this view, Jenkins et al. (2024) found that greater levels of physical and occupational therapy within intensive care settings were associated with improved functional outcomes and shorter hospital stays. These findings suggest that rehabilitation interventions may contribute not only to patient recovery but also to wider organisational objectives related to service performance and resource utilisation. However, as the study was conducted in a United States healthcare setting, the findings may not be fully transferable to NHS organisations.</w:t>
      </w:r>
      <w:r w:rsidR="00B27088">
        <w:rPr>
          <w:rFonts w:ascii="Arial" w:hAnsi="Arial" w:cs="Arial"/>
          <w:sz w:val="24"/>
          <w:szCs w:val="24"/>
        </w:rPr>
        <w:t xml:space="preserve"> </w:t>
      </w:r>
      <w:r w:rsidRPr="00F35CEE">
        <w:rPr>
          <w:rFonts w:ascii="Arial" w:hAnsi="Arial" w:cs="Arial"/>
          <w:sz w:val="24"/>
          <w:szCs w:val="24"/>
        </w:rPr>
        <w:t>Nevertheless, the study provides valuable evidence that rehabilitation interventions can generate benefits that extend beyond individual patient recovery and contribute to wider organisational outcomes.</w:t>
      </w:r>
    </w:p>
    <w:p w14:paraId="22D543A6" w14:textId="6684A7A0" w:rsidR="00810347" w:rsidRDefault="00B27088" w:rsidP="003C38A2">
      <w:pPr>
        <w:rPr>
          <w:rFonts w:ascii="Arial" w:hAnsi="Arial" w:cs="Arial"/>
          <w:sz w:val="24"/>
          <w:szCs w:val="24"/>
        </w:rPr>
      </w:pPr>
      <w:proofErr w:type="spellStart"/>
      <w:r w:rsidRPr="00B27088">
        <w:rPr>
          <w:rFonts w:ascii="Arial" w:hAnsi="Arial" w:cs="Arial"/>
          <w:sz w:val="24"/>
          <w:szCs w:val="24"/>
        </w:rPr>
        <w:t>Alkhawaldeh</w:t>
      </w:r>
      <w:proofErr w:type="spellEnd"/>
      <w:r w:rsidRPr="00B27088">
        <w:rPr>
          <w:rFonts w:ascii="Arial" w:hAnsi="Arial" w:cs="Arial"/>
          <w:sz w:val="24"/>
          <w:szCs w:val="24"/>
        </w:rPr>
        <w:t xml:space="preserve"> et al. (2022) similarly found that early occupational therapy intervention among patients with traumatic brain injury was associated with a reduced hospital length of stay. This suggests that timely rehabilitation may support both patient recovery and more efficient use of healthcare resources. However, because the study focused on a specific patient group, the findings may not be generalisable to all NHS populations</w:t>
      </w:r>
      <w:r w:rsidR="00810347" w:rsidRPr="00810347">
        <w:rPr>
          <w:rFonts w:ascii="Arial" w:hAnsi="Arial" w:cs="Arial"/>
          <w:sz w:val="24"/>
          <w:szCs w:val="24"/>
        </w:rPr>
        <w:t>. Nevertheless, the research provides further evidence that occupational therapy interventions may influence healthcare efficiency through their impact on recovery and discharge processes.</w:t>
      </w:r>
    </w:p>
    <w:p w14:paraId="6D6BEB40" w14:textId="4FDEBE96" w:rsidR="003C38A2" w:rsidRPr="003C38A2" w:rsidRDefault="003C38A2" w:rsidP="003C38A2">
      <w:pPr>
        <w:rPr>
          <w:rFonts w:ascii="Arial" w:hAnsi="Arial" w:cs="Arial"/>
          <w:sz w:val="24"/>
          <w:szCs w:val="24"/>
        </w:rPr>
      </w:pPr>
      <w:r w:rsidRPr="003C38A2">
        <w:rPr>
          <w:rFonts w:ascii="Arial" w:hAnsi="Arial" w:cs="Arial"/>
          <w:sz w:val="24"/>
          <w:szCs w:val="24"/>
        </w:rPr>
        <w:t>By assessing functional ability, identifying environmental barriers and coordinating support services,</w:t>
      </w:r>
      <w:r w:rsidR="004F270C">
        <w:rPr>
          <w:rFonts w:ascii="Arial" w:hAnsi="Arial" w:cs="Arial"/>
          <w:sz w:val="24"/>
          <w:szCs w:val="24"/>
        </w:rPr>
        <w:t xml:space="preserve"> occupational therapists</w:t>
      </w:r>
      <w:r w:rsidRPr="003C38A2">
        <w:rPr>
          <w:rFonts w:ascii="Arial" w:hAnsi="Arial" w:cs="Arial"/>
          <w:sz w:val="24"/>
          <w:szCs w:val="24"/>
        </w:rPr>
        <w:t xml:space="preserve"> help determine whether patients can safely return home and what support may be required after discharge. Wales et al. (2012) argued that occupational therapy discharge interventions have the potential to improve patient outcomes while also reducing healthcare costs. Likewise, Lannin et al. (2021) highlighted the importance of occupational therapy home-visit discharge planning in supporting participation and independence following stroke. These studies suggest that occupational therapists contribute to continuity of care by bridging the gap between hospital and community services.</w:t>
      </w:r>
    </w:p>
    <w:p w14:paraId="602CE511" w14:textId="70B00D1C" w:rsidR="003C38A2" w:rsidRDefault="003C38A2" w:rsidP="003C38A2">
      <w:pPr>
        <w:rPr>
          <w:rFonts w:ascii="Arial" w:hAnsi="Arial" w:cs="Arial"/>
          <w:sz w:val="24"/>
          <w:szCs w:val="24"/>
        </w:rPr>
      </w:pPr>
      <w:r w:rsidRPr="003C38A2">
        <w:rPr>
          <w:rFonts w:ascii="Arial" w:hAnsi="Arial" w:cs="Arial"/>
          <w:sz w:val="24"/>
          <w:szCs w:val="24"/>
        </w:rPr>
        <w:t>The organisational implications of this role should not be underestimated. Delayed discharge is associated with negative consequences for both patients and healthcare systems. Rojas-García et al. (2017) found that prolonged hospital stays can lead to reduced mobility, loss of independence and poorer overall wellbeing. From an organisational perspective, delayed discharge contributes to bed shortages, increased costs and reduced patient flow. Hendy et al. (2012) similarly highlighted the financial and operational pressures associated with discharge delays. Given their involvement in discharge planning and functional assessment, occupational therapists may therefore contribute to addressing challenges that extend beyond individual patient care.</w:t>
      </w:r>
    </w:p>
    <w:p w14:paraId="51B1A041" w14:textId="77777777" w:rsidR="00E4231F" w:rsidRDefault="00E4231F" w:rsidP="003C38A2">
      <w:pPr>
        <w:rPr>
          <w:rFonts w:ascii="Arial" w:hAnsi="Arial" w:cs="Arial"/>
          <w:sz w:val="24"/>
          <w:szCs w:val="24"/>
        </w:rPr>
      </w:pPr>
      <w:r w:rsidRPr="00E4231F">
        <w:rPr>
          <w:rFonts w:ascii="Arial" w:hAnsi="Arial" w:cs="Arial"/>
          <w:sz w:val="24"/>
          <w:szCs w:val="24"/>
        </w:rPr>
        <w:t xml:space="preserve">Existing research has largely examined occupational therapy through a clinical lens, focusing on rehabilitation outcomes, independence and quality of life. While these studies provide valuable evidence of effectiveness, they offer less insight into how </w:t>
      </w:r>
      <w:r w:rsidRPr="00E4231F">
        <w:rPr>
          <w:rFonts w:ascii="Arial" w:hAnsi="Arial" w:cs="Arial"/>
          <w:sz w:val="24"/>
          <w:szCs w:val="24"/>
        </w:rPr>
        <w:lastRenderedPageBreak/>
        <w:t>these outcomes contribute to wider organisational objectives such as patient flow, resource utilisation and operational performance. As a result, the relationship between occupational therapy and NHS efficiency remains insufficiently understood, particularly from the perspective of healthcare professionals working within NHS services.</w:t>
      </w:r>
    </w:p>
    <w:p w14:paraId="3FD49B30" w14:textId="69B36E92" w:rsidR="003C38A2" w:rsidRPr="003C38A2" w:rsidRDefault="005C1362" w:rsidP="003C38A2">
      <w:pPr>
        <w:rPr>
          <w:rFonts w:ascii="Arial" w:hAnsi="Arial" w:cs="Arial"/>
          <w:sz w:val="24"/>
          <w:szCs w:val="24"/>
        </w:rPr>
      </w:pPr>
      <w:r w:rsidRPr="005C1362">
        <w:rPr>
          <w:rFonts w:ascii="Arial" w:hAnsi="Arial" w:cs="Arial"/>
          <w:sz w:val="24"/>
          <w:szCs w:val="24"/>
        </w:rPr>
        <w:t>Understanding how occupational therapy contributes to both patient outcomes and operational efficiency may provide valuable insights for workforce planning, helping NHS organisations determine how allied health professionals can be deployed most effectively to meet increasing service demand.</w:t>
      </w:r>
      <w:r>
        <w:rPr>
          <w:rFonts w:ascii="Arial" w:hAnsi="Arial" w:cs="Arial"/>
          <w:sz w:val="24"/>
          <w:szCs w:val="24"/>
        </w:rPr>
        <w:t xml:space="preserve"> </w:t>
      </w:r>
      <w:r w:rsidR="003C38A2" w:rsidRPr="003C38A2">
        <w:rPr>
          <w:rFonts w:ascii="Arial" w:hAnsi="Arial" w:cs="Arial"/>
          <w:sz w:val="24"/>
          <w:szCs w:val="24"/>
        </w:rPr>
        <w:t>This study therefore seeks to explore these issues from the perspective of healthcare professionals working within NHS services.</w:t>
      </w:r>
      <w:r w:rsidR="00C6721B" w:rsidRPr="00C6721B">
        <w:t xml:space="preserve"> </w:t>
      </w:r>
      <w:r w:rsidR="00C6721B" w:rsidRPr="00C6721B">
        <w:rPr>
          <w:rFonts w:ascii="Arial" w:hAnsi="Arial" w:cs="Arial"/>
          <w:sz w:val="24"/>
          <w:szCs w:val="24"/>
        </w:rPr>
        <w:t>Such insights may also support workforce planning decisions by highlighting where occupational therapy can add value within multidisciplinary healthcare teams.</w:t>
      </w:r>
    </w:p>
    <w:p w14:paraId="3DE261F6" w14:textId="77777777" w:rsidR="00C4736E" w:rsidRDefault="00C4736E">
      <w:pPr>
        <w:rPr>
          <w:rFonts w:ascii="Arial" w:hAnsi="Arial" w:cs="Arial"/>
          <w:sz w:val="24"/>
          <w:szCs w:val="24"/>
        </w:rPr>
      </w:pPr>
    </w:p>
    <w:p w14:paraId="41DDAD60" w14:textId="77777777" w:rsidR="00582345" w:rsidRDefault="00582345" w:rsidP="003C38A2">
      <w:pPr>
        <w:rPr>
          <w:rFonts w:ascii="Arial" w:hAnsi="Arial" w:cs="Arial"/>
          <w:b/>
          <w:bCs/>
          <w:sz w:val="24"/>
          <w:szCs w:val="24"/>
        </w:rPr>
      </w:pPr>
    </w:p>
    <w:p w14:paraId="70CC49E2" w14:textId="77777777" w:rsidR="00582345" w:rsidRDefault="00582345" w:rsidP="003C38A2">
      <w:pPr>
        <w:rPr>
          <w:rFonts w:ascii="Arial" w:hAnsi="Arial" w:cs="Arial"/>
          <w:b/>
          <w:bCs/>
          <w:sz w:val="24"/>
          <w:szCs w:val="24"/>
        </w:rPr>
      </w:pPr>
    </w:p>
    <w:p w14:paraId="76096903" w14:textId="77777777" w:rsidR="00B20C55" w:rsidRDefault="00B20C55" w:rsidP="003C38A2">
      <w:pPr>
        <w:rPr>
          <w:rFonts w:ascii="Arial" w:hAnsi="Arial" w:cs="Arial"/>
          <w:b/>
          <w:bCs/>
          <w:sz w:val="24"/>
          <w:szCs w:val="24"/>
        </w:rPr>
      </w:pPr>
    </w:p>
    <w:p w14:paraId="61F2E9A7" w14:textId="77777777" w:rsidR="00B20C55" w:rsidRDefault="00B20C55" w:rsidP="003C38A2">
      <w:pPr>
        <w:rPr>
          <w:rFonts w:ascii="Arial" w:hAnsi="Arial" w:cs="Arial"/>
          <w:b/>
          <w:bCs/>
          <w:sz w:val="24"/>
          <w:szCs w:val="24"/>
        </w:rPr>
      </w:pPr>
    </w:p>
    <w:p w14:paraId="792D9CEB" w14:textId="77777777" w:rsidR="00FE1C0C" w:rsidRDefault="00FE1C0C" w:rsidP="003C38A2">
      <w:pPr>
        <w:rPr>
          <w:rFonts w:ascii="Arial" w:hAnsi="Arial" w:cs="Arial"/>
          <w:b/>
          <w:bCs/>
          <w:sz w:val="24"/>
          <w:szCs w:val="24"/>
        </w:rPr>
      </w:pPr>
    </w:p>
    <w:p w14:paraId="595649F1" w14:textId="77777777" w:rsidR="00FE1C0C" w:rsidRDefault="00FE1C0C" w:rsidP="003C38A2">
      <w:pPr>
        <w:rPr>
          <w:rFonts w:ascii="Arial" w:hAnsi="Arial" w:cs="Arial"/>
          <w:b/>
          <w:bCs/>
          <w:sz w:val="24"/>
          <w:szCs w:val="24"/>
        </w:rPr>
      </w:pPr>
    </w:p>
    <w:p w14:paraId="062AAA21" w14:textId="65E9E72B" w:rsidR="003C38A2" w:rsidRPr="003C38A2" w:rsidRDefault="003C38A2" w:rsidP="003C38A2">
      <w:pPr>
        <w:rPr>
          <w:rFonts w:ascii="Arial" w:hAnsi="Arial" w:cs="Arial"/>
          <w:b/>
          <w:bCs/>
          <w:sz w:val="24"/>
          <w:szCs w:val="24"/>
        </w:rPr>
      </w:pPr>
      <w:r w:rsidRPr="003C38A2">
        <w:rPr>
          <w:rFonts w:ascii="Arial" w:hAnsi="Arial" w:cs="Arial"/>
          <w:b/>
          <w:bCs/>
          <w:sz w:val="24"/>
          <w:szCs w:val="24"/>
        </w:rPr>
        <w:t>Research Methodology</w:t>
      </w:r>
    </w:p>
    <w:p w14:paraId="2DCD65F8" w14:textId="77777777" w:rsidR="003C38A2" w:rsidRPr="003C38A2" w:rsidRDefault="003C38A2" w:rsidP="003C38A2">
      <w:pPr>
        <w:rPr>
          <w:rFonts w:ascii="Arial" w:hAnsi="Arial" w:cs="Arial"/>
          <w:sz w:val="24"/>
          <w:szCs w:val="24"/>
        </w:rPr>
      </w:pPr>
      <w:r w:rsidRPr="003C38A2">
        <w:rPr>
          <w:rFonts w:ascii="Arial" w:hAnsi="Arial" w:cs="Arial"/>
          <w:sz w:val="24"/>
          <w:szCs w:val="24"/>
        </w:rPr>
        <w:t>The purpose of this study is to gain a deeper understanding of how occupational therapy is perceived to contribute to both patient outcomes and NHS operational efficiency. Given the exploratory nature of the research, a qualitative approach was considered the most appropriate. Rather than measuring specific variables or testing predetermined hypotheses, the study seeks to understand how healthcare professionals interpret and experience the contribution of occupational therapy within their everyday practice.</w:t>
      </w:r>
    </w:p>
    <w:p w14:paraId="3BCD947D" w14:textId="319074E4" w:rsidR="003C38A2" w:rsidRPr="003C38A2" w:rsidRDefault="003C38A2" w:rsidP="003C38A2">
      <w:pPr>
        <w:rPr>
          <w:rFonts w:ascii="Arial" w:hAnsi="Arial" w:cs="Arial"/>
          <w:sz w:val="24"/>
          <w:szCs w:val="24"/>
        </w:rPr>
      </w:pPr>
      <w:r w:rsidRPr="003C38A2">
        <w:rPr>
          <w:rFonts w:ascii="Arial" w:hAnsi="Arial" w:cs="Arial"/>
          <w:sz w:val="24"/>
          <w:szCs w:val="24"/>
        </w:rPr>
        <w:t>An interpretivist research philosophy underpins the study. Interpretivism is concerned with understanding how individuals make sense of their experiences and the meanings they attach to them (Saunders, Lewis and Thornhill, 2023). This philosophy aligns closely with the research aim because the study is interested in how healthcare professionals perceive the value of occupational therapy rather than attempting to establish objective cause-and-effect relationships</w:t>
      </w:r>
      <w:r w:rsidR="00DA50E3">
        <w:rPr>
          <w:rFonts w:ascii="Arial" w:hAnsi="Arial" w:cs="Arial"/>
          <w:sz w:val="24"/>
          <w:szCs w:val="24"/>
        </w:rPr>
        <w:t>.</w:t>
      </w:r>
    </w:p>
    <w:p w14:paraId="58C65E7E" w14:textId="77777777" w:rsidR="003C38A2" w:rsidRPr="003C38A2" w:rsidRDefault="003C38A2" w:rsidP="003C38A2">
      <w:pPr>
        <w:rPr>
          <w:rFonts w:ascii="Arial" w:hAnsi="Arial" w:cs="Arial"/>
          <w:sz w:val="24"/>
          <w:szCs w:val="24"/>
        </w:rPr>
      </w:pPr>
      <w:r w:rsidRPr="003C38A2">
        <w:rPr>
          <w:rFonts w:ascii="Arial" w:hAnsi="Arial" w:cs="Arial"/>
          <w:sz w:val="24"/>
          <w:szCs w:val="24"/>
        </w:rPr>
        <w:t xml:space="preserve">Consistent with this philosophical position, the research will adopt an inductive approach. An inductive approach allows patterns, themes and ideas to emerge from the data rather than being imposed in advance by the researcher (Bryman and Bell, 2023). As the relationship between occupational therapy, patient outcomes and operational efficiency remains relatively underexplored, an inductive approach offers </w:t>
      </w:r>
      <w:r w:rsidRPr="003C38A2">
        <w:rPr>
          <w:rFonts w:ascii="Arial" w:hAnsi="Arial" w:cs="Arial"/>
          <w:sz w:val="24"/>
          <w:szCs w:val="24"/>
        </w:rPr>
        <w:lastRenderedPageBreak/>
        <w:t>the flexibility needed to explore participants' experiences in depth and generate new insights.</w:t>
      </w:r>
    </w:p>
    <w:p w14:paraId="4D23F4DE" w14:textId="191F8A95" w:rsidR="003C38A2" w:rsidRPr="003C38A2" w:rsidRDefault="003C38A2" w:rsidP="003C38A2">
      <w:pPr>
        <w:rPr>
          <w:rFonts w:ascii="Arial" w:hAnsi="Arial" w:cs="Arial"/>
          <w:sz w:val="24"/>
          <w:szCs w:val="24"/>
        </w:rPr>
      </w:pPr>
      <w:r w:rsidRPr="003C38A2">
        <w:rPr>
          <w:rFonts w:ascii="Arial" w:hAnsi="Arial" w:cs="Arial"/>
          <w:sz w:val="24"/>
          <w:szCs w:val="24"/>
        </w:rPr>
        <w:t>Data will be collected through semi-structured interviews. While key topics can be explored across all interviews, participants are also given the opportunity to discuss issues that they consider important and relevant to their professional experiences (Silverman, 2024).</w:t>
      </w:r>
      <w:r w:rsidR="00DA50E3" w:rsidRPr="00DA50E3">
        <w:t xml:space="preserve"> </w:t>
      </w:r>
      <w:r w:rsidR="00DA50E3" w:rsidRPr="00DA50E3">
        <w:rPr>
          <w:rFonts w:ascii="Arial" w:hAnsi="Arial" w:cs="Arial"/>
          <w:sz w:val="24"/>
          <w:szCs w:val="24"/>
        </w:rPr>
        <w:t>This is valuable because participants may have different perspectives depending on their role and clinical setting.</w:t>
      </w:r>
    </w:p>
    <w:p w14:paraId="7775D478" w14:textId="3FF12F0C" w:rsidR="003C38A2" w:rsidRPr="003C38A2" w:rsidRDefault="003C38A2" w:rsidP="003C38A2">
      <w:pPr>
        <w:rPr>
          <w:rFonts w:ascii="Arial" w:hAnsi="Arial" w:cs="Arial"/>
          <w:sz w:val="24"/>
          <w:szCs w:val="24"/>
        </w:rPr>
      </w:pPr>
      <w:r w:rsidRPr="003C38A2">
        <w:rPr>
          <w:rFonts w:ascii="Arial" w:hAnsi="Arial" w:cs="Arial"/>
          <w:sz w:val="24"/>
          <w:szCs w:val="24"/>
        </w:rPr>
        <w:t>The study will use purposive sampling to recruit participants who can provide meaningful insights into the research topic. Participants will include occupational therapists as well as other healthcare professionals working within NHS services, such as nurses, physiotherapists, discharge coordinators and ward managers.</w:t>
      </w:r>
      <w:r w:rsidR="00433FFF" w:rsidRPr="00433FFF">
        <w:t xml:space="preserve"> </w:t>
      </w:r>
      <w:r w:rsidR="00433FFF" w:rsidRPr="00433FFF">
        <w:rPr>
          <w:rFonts w:ascii="Arial" w:hAnsi="Arial" w:cs="Arial"/>
          <w:sz w:val="24"/>
          <w:szCs w:val="24"/>
        </w:rPr>
        <w:t>These individuals can provide informed perspectives on the contribution of occupational therapy to patient care and service deliver</w:t>
      </w:r>
      <w:r w:rsidR="00433FFF">
        <w:rPr>
          <w:rFonts w:ascii="Arial" w:hAnsi="Arial" w:cs="Arial"/>
          <w:sz w:val="24"/>
          <w:szCs w:val="24"/>
        </w:rPr>
        <w:t>y</w:t>
      </w:r>
      <w:r w:rsidR="00433FFF" w:rsidRPr="00433FFF">
        <w:rPr>
          <w:rFonts w:ascii="Arial" w:hAnsi="Arial" w:cs="Arial"/>
          <w:sz w:val="24"/>
          <w:szCs w:val="24"/>
        </w:rPr>
        <w:t>.</w:t>
      </w:r>
    </w:p>
    <w:p w14:paraId="7E64E80A" w14:textId="77777777" w:rsidR="003C38A2" w:rsidRPr="003C38A2" w:rsidRDefault="003C38A2" w:rsidP="003C38A2">
      <w:pPr>
        <w:rPr>
          <w:rFonts w:ascii="Arial" w:hAnsi="Arial" w:cs="Arial"/>
          <w:sz w:val="24"/>
          <w:szCs w:val="24"/>
        </w:rPr>
      </w:pPr>
      <w:r w:rsidRPr="003C38A2">
        <w:rPr>
          <w:rFonts w:ascii="Arial" w:hAnsi="Arial" w:cs="Arial"/>
          <w:sz w:val="24"/>
          <w:szCs w:val="24"/>
        </w:rPr>
        <w:t>An initial sample of approximately eight to twelve participants is proposed. For a small-scale undergraduate study, this size is considered sufficient to generate detailed and information-rich accounts while remaining achievable within the available timeframe. Although data saturation is frequently used to justify sample size in qualitative research, Braun and Clarke (2022) argue that saturation is not always compatible with reflexive thematic analysis. Rather than focusing on reaching a fixed point where no new themes emerge, they suggest that researchers should prioritise the richness, relevance and depth of the data. Consequently, the adequacy of the sample will be assessed according to the extent to which it provides meaningful insights into the research questions and supports a detailed understanding of participants' experiences.</w:t>
      </w:r>
    </w:p>
    <w:p w14:paraId="1920D28D" w14:textId="257186E5" w:rsidR="007368AD" w:rsidRDefault="003C38A2" w:rsidP="003C38A2">
      <w:r w:rsidRPr="003C38A2">
        <w:rPr>
          <w:rFonts w:ascii="Arial" w:hAnsi="Arial" w:cs="Arial"/>
          <w:sz w:val="24"/>
          <w:szCs w:val="24"/>
        </w:rPr>
        <w:t>Interview data will be analysed using Braun and Clarke's (2022) reflexive thematic analysis. This approach was selected because it offers a flexible yet systematic method for identifying patterns across qualitative data. Following transcription, interview responses will be coded and organised into themes that capture participants' perspectives on occupational therapy, patient outcomes and NHS operational efficiency.</w:t>
      </w:r>
      <w:r w:rsidR="007368AD" w:rsidRPr="007368AD">
        <w:t xml:space="preserve"> </w:t>
      </w:r>
      <w:r w:rsidR="007368AD" w:rsidRPr="007368AD">
        <w:rPr>
          <w:rFonts w:ascii="Arial" w:hAnsi="Arial" w:cs="Arial"/>
          <w:sz w:val="24"/>
          <w:szCs w:val="24"/>
        </w:rPr>
        <w:t>As reflexive thematic analysis acknowledges the active role of the researcher in interpreting data, ongoing reflexivity will be maintained throughout the research process. This will involve reflecting on personal assumptions, professional perspectives and potential biases that may influence the interpretation of findings (Braun and Clarke, 2022).</w:t>
      </w:r>
      <w:r w:rsidR="007368AD" w:rsidRPr="007368AD">
        <w:t xml:space="preserve"> </w:t>
      </w:r>
    </w:p>
    <w:p w14:paraId="65C3ABC5" w14:textId="7DAC0744" w:rsidR="00DA50E3" w:rsidRDefault="00DA50E3" w:rsidP="003C38A2">
      <w:pPr>
        <w:rPr>
          <w:rFonts w:ascii="Arial" w:hAnsi="Arial" w:cs="Arial"/>
          <w:sz w:val="24"/>
          <w:szCs w:val="24"/>
        </w:rPr>
      </w:pPr>
      <w:r w:rsidRPr="00DA50E3">
        <w:rPr>
          <w:rFonts w:ascii="Arial" w:hAnsi="Arial" w:cs="Arial"/>
          <w:sz w:val="24"/>
          <w:szCs w:val="24"/>
        </w:rPr>
        <w:t>To enhance trustworthiness, an audit trail will be maintained throughout the analysis process.</w:t>
      </w:r>
    </w:p>
    <w:p w14:paraId="76594FC3" w14:textId="21FF9A00" w:rsidR="00B27088" w:rsidRPr="003C38A2" w:rsidRDefault="00B27088" w:rsidP="003C38A2">
      <w:pPr>
        <w:rPr>
          <w:rFonts w:ascii="Arial" w:hAnsi="Arial" w:cs="Arial"/>
          <w:sz w:val="24"/>
          <w:szCs w:val="24"/>
        </w:rPr>
      </w:pPr>
      <w:r w:rsidRPr="00B27088">
        <w:rPr>
          <w:rFonts w:ascii="Arial" w:hAnsi="Arial" w:cs="Arial"/>
          <w:sz w:val="24"/>
          <w:szCs w:val="24"/>
        </w:rPr>
        <w:t>Ethical approval will be sought through the university ethics process. Participation will be voluntary and informed consent obtained from all participants. Confidentiality and anonymity will be maintained throughout the study, and data will be stored securely in accordance with data protection requirements.</w:t>
      </w:r>
    </w:p>
    <w:p w14:paraId="6231FDF6" w14:textId="32543B90" w:rsidR="003C38A2" w:rsidRPr="003C38A2" w:rsidRDefault="003C38A2" w:rsidP="003C38A2">
      <w:pPr>
        <w:rPr>
          <w:rFonts w:ascii="Arial" w:hAnsi="Arial" w:cs="Arial"/>
          <w:sz w:val="24"/>
          <w:szCs w:val="24"/>
        </w:rPr>
      </w:pPr>
      <w:r w:rsidRPr="003C38A2">
        <w:rPr>
          <w:rFonts w:ascii="Arial" w:hAnsi="Arial" w:cs="Arial"/>
          <w:sz w:val="24"/>
          <w:szCs w:val="24"/>
        </w:rPr>
        <w:t xml:space="preserve">As with any research project, several limitations should be acknowledged. The relatively small sample size means that findings may not be representative of all NHS healthcare professionals. In addition, participants' views may be influenced by </w:t>
      </w:r>
      <w:r w:rsidRPr="003C38A2">
        <w:rPr>
          <w:rFonts w:ascii="Arial" w:hAnsi="Arial" w:cs="Arial"/>
          <w:sz w:val="24"/>
          <w:szCs w:val="24"/>
        </w:rPr>
        <w:lastRenderedPageBreak/>
        <w:t xml:space="preserve">their own experiences, professional backgrounds and organisational contexts. </w:t>
      </w:r>
      <w:r w:rsidR="007368AD" w:rsidRPr="007368AD">
        <w:rPr>
          <w:rFonts w:ascii="Arial" w:hAnsi="Arial" w:cs="Arial"/>
          <w:sz w:val="24"/>
          <w:szCs w:val="24"/>
        </w:rPr>
        <w:t>Furthermore, individuals who choose to participate may hold particularly positive or negative views regarding occupational therapy, creating the potential for self-selection bias.</w:t>
      </w:r>
      <w:r w:rsidR="007368AD">
        <w:rPr>
          <w:rFonts w:ascii="Arial" w:hAnsi="Arial" w:cs="Arial"/>
          <w:sz w:val="24"/>
          <w:szCs w:val="24"/>
        </w:rPr>
        <w:t xml:space="preserve"> </w:t>
      </w:r>
      <w:r w:rsidRPr="003C38A2">
        <w:rPr>
          <w:rFonts w:ascii="Arial" w:hAnsi="Arial" w:cs="Arial"/>
          <w:sz w:val="24"/>
          <w:szCs w:val="24"/>
        </w:rPr>
        <w:t>However, the purpose of the study is not to produce statistically generalisable findings but to develop a deeper understanding of how occupational therapy is perceived within healthcare practice</w:t>
      </w:r>
      <w:r w:rsidR="004C6BAF">
        <w:rPr>
          <w:rFonts w:ascii="Arial" w:hAnsi="Arial" w:cs="Arial"/>
          <w:sz w:val="24"/>
          <w:szCs w:val="24"/>
        </w:rPr>
        <w:t xml:space="preserve"> but to</w:t>
      </w:r>
      <w:r w:rsidRPr="003C38A2">
        <w:rPr>
          <w:rFonts w:ascii="Arial" w:hAnsi="Arial" w:cs="Arial"/>
          <w:sz w:val="24"/>
          <w:szCs w:val="24"/>
        </w:rPr>
        <w:t xml:space="preserve"> provide valuable insights into the contribution of occupational therapy and identify areas for future investigation.</w:t>
      </w:r>
    </w:p>
    <w:p w14:paraId="0E83CFAF" w14:textId="77777777" w:rsidR="003C38A2" w:rsidRDefault="003C38A2">
      <w:pPr>
        <w:rPr>
          <w:rFonts w:ascii="Arial" w:hAnsi="Arial" w:cs="Arial"/>
          <w:sz w:val="24"/>
          <w:szCs w:val="24"/>
        </w:rPr>
      </w:pPr>
    </w:p>
    <w:p w14:paraId="1F8F18F1" w14:textId="77777777" w:rsidR="00EA3192" w:rsidRDefault="00EA3192" w:rsidP="003C38A2">
      <w:pPr>
        <w:rPr>
          <w:rFonts w:ascii="Arial" w:hAnsi="Arial" w:cs="Arial"/>
          <w:b/>
          <w:bCs/>
          <w:sz w:val="24"/>
          <w:szCs w:val="24"/>
        </w:rPr>
      </w:pPr>
    </w:p>
    <w:p w14:paraId="3903E681" w14:textId="1E0421BD" w:rsidR="003C38A2" w:rsidRPr="003C38A2" w:rsidRDefault="003C38A2" w:rsidP="003C38A2">
      <w:pPr>
        <w:rPr>
          <w:rFonts w:ascii="Arial" w:hAnsi="Arial" w:cs="Arial"/>
          <w:b/>
          <w:bCs/>
          <w:sz w:val="24"/>
          <w:szCs w:val="24"/>
        </w:rPr>
      </w:pPr>
      <w:r w:rsidRPr="003C38A2">
        <w:rPr>
          <w:rFonts w:ascii="Arial" w:hAnsi="Arial" w:cs="Arial"/>
          <w:b/>
          <w:bCs/>
          <w:sz w:val="24"/>
          <w:szCs w:val="24"/>
        </w:rPr>
        <w:t>Project Plan and Timeline</w:t>
      </w:r>
    </w:p>
    <w:p w14:paraId="6BD0E827" w14:textId="3C5A1450" w:rsidR="003C38A2" w:rsidRPr="003C38A2" w:rsidRDefault="00B27088" w:rsidP="003C38A2">
      <w:pPr>
        <w:rPr>
          <w:rFonts w:ascii="Arial" w:hAnsi="Arial" w:cs="Arial"/>
          <w:sz w:val="24"/>
          <w:szCs w:val="24"/>
        </w:rPr>
      </w:pPr>
      <w:r w:rsidRPr="00B27088">
        <w:rPr>
          <w:rFonts w:ascii="Arial" w:hAnsi="Arial" w:cs="Arial"/>
          <w:sz w:val="24"/>
          <w:szCs w:val="24"/>
        </w:rPr>
        <w:t>The proposed study will be completed over a twelve-week period. The first four weeks will focus on the literature review and interview design.</w:t>
      </w:r>
      <w:r>
        <w:rPr>
          <w:rFonts w:ascii="Arial" w:hAnsi="Arial" w:cs="Arial"/>
          <w:sz w:val="24"/>
          <w:szCs w:val="24"/>
        </w:rPr>
        <w:t xml:space="preserve"> </w:t>
      </w:r>
      <w:r w:rsidR="003C38A2" w:rsidRPr="003C38A2">
        <w:rPr>
          <w:rFonts w:ascii="Arial" w:hAnsi="Arial" w:cs="Arial"/>
          <w:sz w:val="24"/>
          <w:szCs w:val="24"/>
        </w:rPr>
        <w:t>Ethical approval will be sought during weeks five and six, alongside participant recruitment. Once approval has been granted, semi-structured interviews will be conducted during weeks seven and eight. This will be followed by the transcription of interviews and an initial review of the data.</w:t>
      </w:r>
    </w:p>
    <w:p w14:paraId="486722C5" w14:textId="1D0A76BB" w:rsidR="003C38A2" w:rsidRPr="003C38A2" w:rsidRDefault="003C38A2" w:rsidP="003C38A2">
      <w:pPr>
        <w:rPr>
          <w:rFonts w:ascii="Arial" w:hAnsi="Arial" w:cs="Arial"/>
          <w:sz w:val="24"/>
          <w:szCs w:val="24"/>
        </w:rPr>
      </w:pPr>
      <w:r w:rsidRPr="003C38A2">
        <w:rPr>
          <w:rFonts w:ascii="Arial" w:hAnsi="Arial" w:cs="Arial"/>
          <w:sz w:val="24"/>
          <w:szCs w:val="24"/>
        </w:rPr>
        <w:t>Weeks nine and ten will be dedicated to data analysis using Braun and Clarke's (2022) reflexive thematic analysis. During this stage, interview transcripts will be coded, patterns will be identified and themes will be developed. The final two weeks</w:t>
      </w:r>
      <w:r w:rsidR="00B27088">
        <w:rPr>
          <w:rFonts w:ascii="Arial" w:hAnsi="Arial" w:cs="Arial"/>
          <w:sz w:val="24"/>
          <w:szCs w:val="24"/>
        </w:rPr>
        <w:t xml:space="preserve"> will be</w:t>
      </w:r>
      <w:r w:rsidR="00B27088" w:rsidRPr="00B27088">
        <w:rPr>
          <w:rFonts w:ascii="Arial" w:hAnsi="Arial" w:cs="Arial"/>
          <w:sz w:val="24"/>
          <w:szCs w:val="24"/>
        </w:rPr>
        <w:t xml:space="preserve"> dedicated to writing, editing and submission.</w:t>
      </w:r>
      <w:r w:rsidRPr="003C38A2">
        <w:rPr>
          <w:rFonts w:ascii="Arial" w:hAnsi="Arial" w:cs="Arial"/>
          <w:sz w:val="24"/>
          <w:szCs w:val="24"/>
        </w:rPr>
        <w:t>.</w:t>
      </w:r>
    </w:p>
    <w:p w14:paraId="02C1E641" w14:textId="77777777" w:rsidR="007368AD" w:rsidRDefault="007368AD" w:rsidP="007368AD">
      <w:pPr>
        <w:rPr>
          <w:rFonts w:ascii="Arial" w:hAnsi="Arial" w:cs="Arial"/>
          <w:sz w:val="24"/>
          <w:szCs w:val="24"/>
        </w:rPr>
      </w:pPr>
      <w:r w:rsidRPr="007368AD">
        <w:rPr>
          <w:rFonts w:ascii="Arial" w:hAnsi="Arial" w:cs="Arial"/>
          <w:sz w:val="24"/>
          <w:szCs w:val="24"/>
        </w:rPr>
        <w:t>The proposed timeline reflects the scale of the project while ensuring that sufficient time is allocated to data collection, analysis and critical reflection.</w:t>
      </w:r>
    </w:p>
    <w:p w14:paraId="565129EA" w14:textId="7CFF026F" w:rsidR="007368AD" w:rsidRDefault="008004C2" w:rsidP="003C38A2">
      <w:pPr>
        <w:rPr>
          <w:rFonts w:ascii="Arial" w:hAnsi="Arial" w:cs="Arial"/>
          <w:sz w:val="24"/>
          <w:szCs w:val="24"/>
        </w:rPr>
      </w:pPr>
      <w:r>
        <w:rPr>
          <w:rFonts w:ascii="Arial" w:hAnsi="Arial" w:cs="Arial"/>
          <w:noProof/>
          <w:sz w:val="24"/>
          <w:szCs w:val="24"/>
        </w:rPr>
        <w:drawing>
          <wp:inline distT="0" distB="0" distL="0" distR="0" wp14:anchorId="5E0D6A76" wp14:editId="5686AD67">
            <wp:extent cx="5397777" cy="3778444"/>
            <wp:effectExtent l="0" t="0" r="0" b="0"/>
            <wp:docPr id="5331913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191358" name="Picture 533191358"/>
                    <pic:cNvPicPr/>
                  </pic:nvPicPr>
                  <pic:blipFill>
                    <a:blip r:embed="rId5">
                      <a:extLst>
                        <a:ext uri="{28A0092B-C50C-407E-A947-70E740481C1C}">
                          <a14:useLocalDpi xmlns:a14="http://schemas.microsoft.com/office/drawing/2010/main" val="0"/>
                        </a:ext>
                      </a:extLst>
                    </a:blip>
                    <a:stretch>
                      <a:fillRect/>
                    </a:stretch>
                  </pic:blipFill>
                  <pic:spPr>
                    <a:xfrm>
                      <a:off x="0" y="0"/>
                      <a:ext cx="5397777" cy="3778444"/>
                    </a:xfrm>
                    <a:prstGeom prst="rect">
                      <a:avLst/>
                    </a:prstGeom>
                  </pic:spPr>
                </pic:pic>
              </a:graphicData>
            </a:graphic>
          </wp:inline>
        </w:drawing>
      </w:r>
    </w:p>
    <w:p w14:paraId="1BCBEFAD" w14:textId="70F437CB" w:rsidR="007368AD" w:rsidRPr="003C38A2" w:rsidRDefault="008004C2" w:rsidP="003C38A2">
      <w:pPr>
        <w:rPr>
          <w:rFonts w:ascii="Arial" w:hAnsi="Arial" w:cs="Arial"/>
          <w:sz w:val="24"/>
          <w:szCs w:val="24"/>
        </w:rPr>
      </w:pPr>
      <w:r>
        <w:rPr>
          <w:rFonts w:ascii="Arial" w:hAnsi="Arial" w:cs="Arial"/>
          <w:sz w:val="24"/>
          <w:szCs w:val="24"/>
        </w:rPr>
        <w:lastRenderedPageBreak/>
        <w:t>Figure 1 – Proposed Timeline</w:t>
      </w:r>
    </w:p>
    <w:p w14:paraId="4E562A46" w14:textId="77777777" w:rsidR="007368AD" w:rsidRDefault="007368AD" w:rsidP="003C38A2">
      <w:pPr>
        <w:rPr>
          <w:rFonts w:ascii="Arial" w:hAnsi="Arial" w:cs="Arial"/>
          <w:b/>
          <w:bCs/>
          <w:sz w:val="24"/>
          <w:szCs w:val="24"/>
        </w:rPr>
      </w:pPr>
    </w:p>
    <w:p w14:paraId="5FE249B1" w14:textId="77777777" w:rsidR="007368AD" w:rsidRDefault="007368AD" w:rsidP="003C38A2">
      <w:pPr>
        <w:rPr>
          <w:rFonts w:ascii="Arial" w:hAnsi="Arial" w:cs="Arial"/>
          <w:b/>
          <w:bCs/>
          <w:sz w:val="24"/>
          <w:szCs w:val="24"/>
        </w:rPr>
      </w:pPr>
    </w:p>
    <w:p w14:paraId="01E4159A" w14:textId="77777777" w:rsidR="007368AD" w:rsidRDefault="007368AD">
      <w:pPr>
        <w:rPr>
          <w:rFonts w:ascii="Arial" w:hAnsi="Arial" w:cs="Arial"/>
          <w:sz w:val="24"/>
          <w:szCs w:val="24"/>
        </w:rPr>
      </w:pPr>
    </w:p>
    <w:p w14:paraId="4F8ABAB8" w14:textId="7685424D" w:rsidR="003C38A2" w:rsidRDefault="0027409F">
      <w:pPr>
        <w:rPr>
          <w:rFonts w:ascii="Arial" w:hAnsi="Arial" w:cs="Arial"/>
          <w:sz w:val="24"/>
          <w:szCs w:val="24"/>
        </w:rPr>
      </w:pPr>
      <w:r w:rsidRPr="0027409F">
        <w:rPr>
          <w:rFonts w:ascii="Arial" w:hAnsi="Arial" w:cs="Arial"/>
          <w:sz w:val="24"/>
          <w:szCs w:val="24"/>
        </w:rPr>
        <w:t>Occupational therapy is often viewed through the lens of patient recovery, yet its wider contribution to healthcare services is less frequently explored. By examining healthcare professionals' perspectives, this study aims to develop a better understanding of how occupational therapy supports both effective patient care and the efficient delivery of NHS services.</w:t>
      </w:r>
    </w:p>
    <w:p w14:paraId="217AAA73" w14:textId="77777777" w:rsidR="003C38A2" w:rsidRDefault="003C38A2">
      <w:pPr>
        <w:rPr>
          <w:rFonts w:ascii="Arial" w:hAnsi="Arial" w:cs="Arial"/>
          <w:sz w:val="24"/>
          <w:szCs w:val="24"/>
        </w:rPr>
      </w:pPr>
    </w:p>
    <w:p w14:paraId="19A2E9DA" w14:textId="77777777" w:rsidR="003C38A2" w:rsidRDefault="003C38A2">
      <w:pPr>
        <w:rPr>
          <w:rFonts w:ascii="Arial" w:hAnsi="Arial" w:cs="Arial"/>
          <w:sz w:val="24"/>
          <w:szCs w:val="24"/>
        </w:rPr>
      </w:pPr>
    </w:p>
    <w:p w14:paraId="750DA8F2" w14:textId="77777777" w:rsidR="003C38A2" w:rsidRDefault="003C38A2">
      <w:pPr>
        <w:rPr>
          <w:rFonts w:ascii="Arial" w:hAnsi="Arial" w:cs="Arial"/>
          <w:sz w:val="24"/>
          <w:szCs w:val="24"/>
        </w:rPr>
      </w:pPr>
    </w:p>
    <w:p w14:paraId="1FD8B7C5" w14:textId="77777777" w:rsidR="003C38A2" w:rsidRDefault="003C38A2">
      <w:pPr>
        <w:rPr>
          <w:rFonts w:ascii="Arial" w:hAnsi="Arial" w:cs="Arial"/>
          <w:sz w:val="24"/>
          <w:szCs w:val="24"/>
        </w:rPr>
      </w:pPr>
    </w:p>
    <w:p w14:paraId="4976A0A3" w14:textId="77777777" w:rsidR="003C38A2" w:rsidRDefault="003C38A2">
      <w:pPr>
        <w:rPr>
          <w:rFonts w:ascii="Arial" w:hAnsi="Arial" w:cs="Arial"/>
          <w:sz w:val="24"/>
          <w:szCs w:val="24"/>
        </w:rPr>
      </w:pPr>
    </w:p>
    <w:p w14:paraId="257DD232" w14:textId="77777777" w:rsidR="003C38A2" w:rsidRDefault="003C38A2">
      <w:pPr>
        <w:rPr>
          <w:rFonts w:ascii="Arial" w:hAnsi="Arial" w:cs="Arial"/>
          <w:sz w:val="24"/>
          <w:szCs w:val="24"/>
        </w:rPr>
      </w:pPr>
    </w:p>
    <w:p w14:paraId="752756A2" w14:textId="77777777" w:rsidR="003C38A2" w:rsidRDefault="003C38A2">
      <w:pPr>
        <w:rPr>
          <w:rFonts w:ascii="Arial" w:hAnsi="Arial" w:cs="Arial"/>
          <w:sz w:val="24"/>
          <w:szCs w:val="24"/>
        </w:rPr>
      </w:pPr>
    </w:p>
    <w:p w14:paraId="2D008463" w14:textId="77777777" w:rsidR="003C38A2" w:rsidRDefault="003C38A2">
      <w:pPr>
        <w:rPr>
          <w:rFonts w:ascii="Arial" w:hAnsi="Arial" w:cs="Arial"/>
          <w:sz w:val="24"/>
          <w:szCs w:val="24"/>
        </w:rPr>
      </w:pPr>
    </w:p>
    <w:p w14:paraId="42EA94B1" w14:textId="77777777" w:rsidR="003C38A2" w:rsidRDefault="003C38A2">
      <w:pPr>
        <w:rPr>
          <w:rFonts w:ascii="Arial" w:hAnsi="Arial" w:cs="Arial"/>
          <w:sz w:val="24"/>
          <w:szCs w:val="24"/>
        </w:rPr>
      </w:pPr>
    </w:p>
    <w:p w14:paraId="74BACA2A" w14:textId="77777777" w:rsidR="003C38A2" w:rsidRDefault="003C38A2">
      <w:pPr>
        <w:rPr>
          <w:rFonts w:ascii="Arial" w:hAnsi="Arial" w:cs="Arial"/>
          <w:sz w:val="24"/>
          <w:szCs w:val="24"/>
        </w:rPr>
      </w:pPr>
    </w:p>
    <w:p w14:paraId="10866B35" w14:textId="77777777" w:rsidR="003C38A2" w:rsidRDefault="003C38A2">
      <w:pPr>
        <w:rPr>
          <w:rFonts w:ascii="Arial" w:hAnsi="Arial" w:cs="Arial"/>
          <w:sz w:val="24"/>
          <w:szCs w:val="24"/>
        </w:rPr>
      </w:pPr>
    </w:p>
    <w:p w14:paraId="0C449D39" w14:textId="77777777" w:rsidR="003C38A2" w:rsidRDefault="003C38A2">
      <w:pPr>
        <w:rPr>
          <w:rFonts w:ascii="Arial" w:hAnsi="Arial" w:cs="Arial"/>
          <w:sz w:val="24"/>
          <w:szCs w:val="24"/>
        </w:rPr>
      </w:pPr>
    </w:p>
    <w:p w14:paraId="06827F58" w14:textId="77777777" w:rsidR="003C38A2" w:rsidRDefault="003C38A2">
      <w:pPr>
        <w:rPr>
          <w:rFonts w:ascii="Arial" w:hAnsi="Arial" w:cs="Arial"/>
          <w:sz w:val="24"/>
          <w:szCs w:val="24"/>
        </w:rPr>
      </w:pPr>
    </w:p>
    <w:p w14:paraId="0078B4B4" w14:textId="77777777" w:rsidR="003C38A2" w:rsidRDefault="003C38A2">
      <w:pPr>
        <w:rPr>
          <w:rFonts w:ascii="Arial" w:hAnsi="Arial" w:cs="Arial"/>
          <w:sz w:val="24"/>
          <w:szCs w:val="24"/>
        </w:rPr>
      </w:pPr>
    </w:p>
    <w:p w14:paraId="21DD5C70" w14:textId="77777777" w:rsidR="003C38A2" w:rsidRDefault="003C38A2">
      <w:pPr>
        <w:rPr>
          <w:rFonts w:ascii="Arial" w:hAnsi="Arial" w:cs="Arial"/>
          <w:sz w:val="24"/>
          <w:szCs w:val="24"/>
        </w:rPr>
      </w:pPr>
    </w:p>
    <w:p w14:paraId="75F06862" w14:textId="507E2C19" w:rsidR="003C38A2" w:rsidRDefault="003C38A2" w:rsidP="003C38A2">
      <w:pPr>
        <w:rPr>
          <w:rFonts w:ascii="Arial" w:hAnsi="Arial" w:cs="Arial"/>
          <w:b/>
          <w:bCs/>
          <w:sz w:val="24"/>
          <w:szCs w:val="24"/>
        </w:rPr>
      </w:pPr>
      <w:r w:rsidRPr="003C38A2">
        <w:rPr>
          <w:rFonts w:ascii="Arial" w:hAnsi="Arial" w:cs="Arial"/>
          <w:b/>
          <w:bCs/>
          <w:sz w:val="24"/>
          <w:szCs w:val="24"/>
        </w:rPr>
        <w:t>Reference</w:t>
      </w:r>
      <w:r>
        <w:rPr>
          <w:rFonts w:ascii="Arial" w:hAnsi="Arial" w:cs="Arial"/>
          <w:b/>
          <w:bCs/>
          <w:sz w:val="24"/>
          <w:szCs w:val="24"/>
        </w:rPr>
        <w:t xml:space="preserve"> list :</w:t>
      </w:r>
    </w:p>
    <w:p w14:paraId="07E3026D" w14:textId="38EB5B68" w:rsidR="00810347" w:rsidRPr="00810347" w:rsidRDefault="00810347" w:rsidP="003C38A2">
      <w:pPr>
        <w:rPr>
          <w:rFonts w:ascii="Arial" w:hAnsi="Arial" w:cs="Arial"/>
          <w:sz w:val="24"/>
          <w:szCs w:val="24"/>
        </w:rPr>
      </w:pPr>
      <w:r w:rsidRPr="00810347">
        <w:rPr>
          <w:rFonts w:ascii="Arial" w:hAnsi="Arial" w:cs="Arial"/>
          <w:sz w:val="24"/>
          <w:szCs w:val="24"/>
        </w:rPr>
        <w:t xml:space="preserve">Alkhawaldeh, O.I., Obaid, W., Alshahrani, M., </w:t>
      </w:r>
      <w:proofErr w:type="spellStart"/>
      <w:r w:rsidRPr="00810347">
        <w:rPr>
          <w:rFonts w:ascii="Arial" w:hAnsi="Arial" w:cs="Arial"/>
          <w:sz w:val="24"/>
          <w:szCs w:val="24"/>
        </w:rPr>
        <w:t>Alnawfal</w:t>
      </w:r>
      <w:proofErr w:type="spellEnd"/>
      <w:r w:rsidRPr="00810347">
        <w:rPr>
          <w:rFonts w:ascii="Arial" w:hAnsi="Arial" w:cs="Arial"/>
          <w:sz w:val="24"/>
          <w:szCs w:val="24"/>
        </w:rPr>
        <w:t xml:space="preserve">, A., </w:t>
      </w:r>
      <w:proofErr w:type="spellStart"/>
      <w:r w:rsidRPr="00810347">
        <w:rPr>
          <w:rFonts w:ascii="Arial" w:hAnsi="Arial" w:cs="Arial"/>
          <w:sz w:val="24"/>
          <w:szCs w:val="24"/>
        </w:rPr>
        <w:t>Alobidan</w:t>
      </w:r>
      <w:proofErr w:type="spellEnd"/>
      <w:r w:rsidRPr="00810347">
        <w:rPr>
          <w:rFonts w:ascii="Arial" w:hAnsi="Arial" w:cs="Arial"/>
          <w:sz w:val="24"/>
          <w:szCs w:val="24"/>
        </w:rPr>
        <w:t xml:space="preserve">, R., </w:t>
      </w:r>
      <w:proofErr w:type="spellStart"/>
      <w:r w:rsidRPr="00810347">
        <w:rPr>
          <w:rFonts w:ascii="Arial" w:hAnsi="Arial" w:cs="Arial"/>
          <w:sz w:val="24"/>
          <w:szCs w:val="24"/>
        </w:rPr>
        <w:t>Alorf</w:t>
      </w:r>
      <w:proofErr w:type="spellEnd"/>
      <w:r w:rsidRPr="00810347">
        <w:rPr>
          <w:rFonts w:ascii="Arial" w:hAnsi="Arial" w:cs="Arial"/>
          <w:sz w:val="24"/>
          <w:szCs w:val="24"/>
        </w:rPr>
        <w:t xml:space="preserve">, A., </w:t>
      </w:r>
      <w:proofErr w:type="spellStart"/>
      <w:r w:rsidRPr="00810347">
        <w:rPr>
          <w:rFonts w:ascii="Arial" w:hAnsi="Arial" w:cs="Arial"/>
          <w:sz w:val="24"/>
          <w:szCs w:val="24"/>
        </w:rPr>
        <w:t>Alateeq</w:t>
      </w:r>
      <w:proofErr w:type="spellEnd"/>
      <w:r w:rsidRPr="00810347">
        <w:rPr>
          <w:rFonts w:ascii="Arial" w:hAnsi="Arial" w:cs="Arial"/>
          <w:sz w:val="24"/>
          <w:szCs w:val="24"/>
        </w:rPr>
        <w:t xml:space="preserve">, N. and Jaganathan, P.P. (2022) 'Effect of an early occupational therapy intervention on length of stay in moderate and severe traumatic brain injury patients', </w:t>
      </w:r>
      <w:r w:rsidRPr="00810347">
        <w:rPr>
          <w:rFonts w:ascii="Arial" w:hAnsi="Arial" w:cs="Arial"/>
          <w:i/>
          <w:iCs/>
          <w:sz w:val="24"/>
          <w:szCs w:val="24"/>
        </w:rPr>
        <w:t>Irish Journal of Medical Science</w:t>
      </w:r>
      <w:r w:rsidRPr="00810347">
        <w:rPr>
          <w:rFonts w:ascii="Arial" w:hAnsi="Arial" w:cs="Arial"/>
          <w:sz w:val="24"/>
          <w:szCs w:val="24"/>
        </w:rPr>
        <w:t xml:space="preserve">, 192(6), pp. 2821–2828. </w:t>
      </w:r>
      <w:proofErr w:type="spellStart"/>
      <w:r w:rsidRPr="00810347">
        <w:rPr>
          <w:rFonts w:ascii="Arial" w:hAnsi="Arial" w:cs="Arial"/>
          <w:sz w:val="24"/>
          <w:szCs w:val="24"/>
        </w:rPr>
        <w:t>doi</w:t>
      </w:r>
      <w:proofErr w:type="spellEnd"/>
      <w:r w:rsidRPr="00810347">
        <w:rPr>
          <w:rFonts w:ascii="Arial" w:hAnsi="Arial" w:cs="Arial"/>
          <w:sz w:val="24"/>
          <w:szCs w:val="24"/>
        </w:rPr>
        <w:t>: 10.1007/s11845-022-03226-0.</w:t>
      </w:r>
    </w:p>
    <w:p w14:paraId="22E15D0E" w14:textId="77777777" w:rsidR="003C38A2" w:rsidRPr="003C38A2" w:rsidRDefault="003C38A2" w:rsidP="003C38A2">
      <w:pPr>
        <w:rPr>
          <w:rFonts w:ascii="Arial" w:hAnsi="Arial" w:cs="Arial"/>
          <w:sz w:val="24"/>
          <w:szCs w:val="24"/>
        </w:rPr>
      </w:pPr>
      <w:r w:rsidRPr="003C38A2">
        <w:rPr>
          <w:rFonts w:ascii="Arial" w:hAnsi="Arial" w:cs="Arial"/>
          <w:sz w:val="24"/>
          <w:szCs w:val="24"/>
        </w:rPr>
        <w:t xml:space="preserve">Braun, V. and Clarke, V. (2022) </w:t>
      </w:r>
      <w:r w:rsidRPr="003C38A2">
        <w:rPr>
          <w:rFonts w:ascii="Arial" w:hAnsi="Arial" w:cs="Arial"/>
          <w:i/>
          <w:iCs/>
          <w:sz w:val="24"/>
          <w:szCs w:val="24"/>
        </w:rPr>
        <w:t>Thematic Analysis: A Practical Guide</w:t>
      </w:r>
      <w:r w:rsidRPr="003C38A2">
        <w:rPr>
          <w:rFonts w:ascii="Arial" w:hAnsi="Arial" w:cs="Arial"/>
          <w:sz w:val="24"/>
          <w:szCs w:val="24"/>
        </w:rPr>
        <w:t>. London: SAGE.</w:t>
      </w:r>
    </w:p>
    <w:p w14:paraId="3ABBB9D4" w14:textId="77777777" w:rsidR="003C38A2" w:rsidRPr="003C38A2" w:rsidRDefault="003C38A2" w:rsidP="003C38A2">
      <w:pPr>
        <w:rPr>
          <w:rFonts w:ascii="Arial" w:hAnsi="Arial" w:cs="Arial"/>
          <w:sz w:val="24"/>
          <w:szCs w:val="24"/>
        </w:rPr>
      </w:pPr>
      <w:r w:rsidRPr="003C38A2">
        <w:rPr>
          <w:rFonts w:ascii="Arial" w:hAnsi="Arial" w:cs="Arial"/>
          <w:sz w:val="24"/>
          <w:szCs w:val="24"/>
        </w:rPr>
        <w:t xml:space="preserve">Bryman, A. and Bell, E. (2023) </w:t>
      </w:r>
      <w:r w:rsidRPr="003C38A2">
        <w:rPr>
          <w:rFonts w:ascii="Arial" w:hAnsi="Arial" w:cs="Arial"/>
          <w:i/>
          <w:iCs/>
          <w:sz w:val="24"/>
          <w:szCs w:val="24"/>
        </w:rPr>
        <w:t>Business Research Methods</w:t>
      </w:r>
      <w:r w:rsidRPr="003C38A2">
        <w:rPr>
          <w:rFonts w:ascii="Arial" w:hAnsi="Arial" w:cs="Arial"/>
          <w:sz w:val="24"/>
          <w:szCs w:val="24"/>
        </w:rPr>
        <w:t xml:space="preserve">. 5th </w:t>
      </w:r>
      <w:proofErr w:type="spellStart"/>
      <w:r w:rsidRPr="003C38A2">
        <w:rPr>
          <w:rFonts w:ascii="Arial" w:hAnsi="Arial" w:cs="Arial"/>
          <w:sz w:val="24"/>
          <w:szCs w:val="24"/>
        </w:rPr>
        <w:t>edn</w:t>
      </w:r>
      <w:proofErr w:type="spellEnd"/>
      <w:r w:rsidRPr="003C38A2">
        <w:rPr>
          <w:rFonts w:ascii="Arial" w:hAnsi="Arial" w:cs="Arial"/>
          <w:sz w:val="24"/>
          <w:szCs w:val="24"/>
        </w:rPr>
        <w:t>. Oxford: Oxford University Press.</w:t>
      </w:r>
    </w:p>
    <w:p w14:paraId="54187E04" w14:textId="77777777" w:rsidR="003C38A2" w:rsidRPr="003C38A2" w:rsidRDefault="003C38A2" w:rsidP="003C38A2">
      <w:pPr>
        <w:rPr>
          <w:rFonts w:ascii="Arial" w:hAnsi="Arial" w:cs="Arial"/>
          <w:sz w:val="24"/>
          <w:szCs w:val="24"/>
        </w:rPr>
      </w:pPr>
      <w:r w:rsidRPr="003C38A2">
        <w:rPr>
          <w:rFonts w:ascii="Arial" w:hAnsi="Arial" w:cs="Arial"/>
          <w:sz w:val="24"/>
          <w:szCs w:val="24"/>
        </w:rPr>
        <w:lastRenderedPageBreak/>
        <w:t xml:space="preserve">Flick, U. (2023) </w:t>
      </w:r>
      <w:r w:rsidRPr="003C38A2">
        <w:rPr>
          <w:rFonts w:ascii="Arial" w:hAnsi="Arial" w:cs="Arial"/>
          <w:i/>
          <w:iCs/>
          <w:sz w:val="24"/>
          <w:szCs w:val="24"/>
        </w:rPr>
        <w:t>An Introduction to Qualitative Research</w:t>
      </w:r>
      <w:r w:rsidRPr="003C38A2">
        <w:rPr>
          <w:rFonts w:ascii="Arial" w:hAnsi="Arial" w:cs="Arial"/>
          <w:sz w:val="24"/>
          <w:szCs w:val="24"/>
        </w:rPr>
        <w:t xml:space="preserve">. 7th </w:t>
      </w:r>
      <w:proofErr w:type="spellStart"/>
      <w:r w:rsidRPr="003C38A2">
        <w:rPr>
          <w:rFonts w:ascii="Arial" w:hAnsi="Arial" w:cs="Arial"/>
          <w:sz w:val="24"/>
          <w:szCs w:val="24"/>
        </w:rPr>
        <w:t>edn</w:t>
      </w:r>
      <w:proofErr w:type="spellEnd"/>
      <w:r w:rsidRPr="003C38A2">
        <w:rPr>
          <w:rFonts w:ascii="Arial" w:hAnsi="Arial" w:cs="Arial"/>
          <w:sz w:val="24"/>
          <w:szCs w:val="24"/>
        </w:rPr>
        <w:t>. London: SAGE.</w:t>
      </w:r>
    </w:p>
    <w:p w14:paraId="4AA7498D" w14:textId="77777777" w:rsidR="003C38A2" w:rsidRPr="003C38A2" w:rsidRDefault="003C38A2" w:rsidP="003C38A2">
      <w:pPr>
        <w:rPr>
          <w:rFonts w:ascii="Arial" w:hAnsi="Arial" w:cs="Arial"/>
          <w:sz w:val="24"/>
          <w:szCs w:val="24"/>
        </w:rPr>
      </w:pPr>
      <w:r w:rsidRPr="003C38A2">
        <w:rPr>
          <w:rFonts w:ascii="Arial" w:hAnsi="Arial" w:cs="Arial"/>
          <w:sz w:val="24"/>
          <w:szCs w:val="24"/>
        </w:rPr>
        <w:t>García-Pérez, P., Sánchez-Herrera-Baeza, P., Cano-de-la-</w:t>
      </w:r>
      <w:proofErr w:type="spellStart"/>
      <w:r w:rsidRPr="003C38A2">
        <w:rPr>
          <w:rFonts w:ascii="Arial" w:hAnsi="Arial" w:cs="Arial"/>
          <w:sz w:val="24"/>
          <w:szCs w:val="24"/>
        </w:rPr>
        <w:t>Cuerda</w:t>
      </w:r>
      <w:proofErr w:type="spellEnd"/>
      <w:r w:rsidRPr="003C38A2">
        <w:rPr>
          <w:rFonts w:ascii="Arial" w:hAnsi="Arial" w:cs="Arial"/>
          <w:sz w:val="24"/>
          <w:szCs w:val="24"/>
        </w:rPr>
        <w:t xml:space="preserve">, R. and Pérez-Corrales, J. (2022) 'Interventions within the scope of occupational therapy in the home discharge process after stroke: A systematic review', </w:t>
      </w:r>
      <w:r w:rsidRPr="003C38A2">
        <w:rPr>
          <w:rFonts w:ascii="Arial" w:hAnsi="Arial" w:cs="Arial"/>
          <w:i/>
          <w:iCs/>
          <w:sz w:val="24"/>
          <w:szCs w:val="24"/>
        </w:rPr>
        <w:t>International Journal of Environmental Research and Public Health</w:t>
      </w:r>
      <w:r w:rsidRPr="003C38A2">
        <w:rPr>
          <w:rFonts w:ascii="Arial" w:hAnsi="Arial" w:cs="Arial"/>
          <w:sz w:val="24"/>
          <w:szCs w:val="24"/>
        </w:rPr>
        <w:t>, 19(18), 11504.</w:t>
      </w:r>
    </w:p>
    <w:p w14:paraId="1811AA0A" w14:textId="77777777" w:rsidR="003C38A2" w:rsidRDefault="003C38A2" w:rsidP="003C38A2">
      <w:pPr>
        <w:rPr>
          <w:rFonts w:ascii="Arial" w:hAnsi="Arial" w:cs="Arial"/>
          <w:sz w:val="24"/>
          <w:szCs w:val="24"/>
        </w:rPr>
      </w:pPr>
      <w:r w:rsidRPr="003C38A2">
        <w:rPr>
          <w:rFonts w:ascii="Arial" w:hAnsi="Arial" w:cs="Arial"/>
          <w:sz w:val="24"/>
          <w:szCs w:val="24"/>
        </w:rPr>
        <w:t xml:space="preserve">Hendy, P., Patel, J.H., </w:t>
      </w:r>
      <w:proofErr w:type="spellStart"/>
      <w:r w:rsidRPr="003C38A2">
        <w:rPr>
          <w:rFonts w:ascii="Arial" w:hAnsi="Arial" w:cs="Arial"/>
          <w:sz w:val="24"/>
          <w:szCs w:val="24"/>
        </w:rPr>
        <w:t>Kordbacheh</w:t>
      </w:r>
      <w:proofErr w:type="spellEnd"/>
      <w:r w:rsidRPr="003C38A2">
        <w:rPr>
          <w:rFonts w:ascii="Arial" w:hAnsi="Arial" w:cs="Arial"/>
          <w:sz w:val="24"/>
          <w:szCs w:val="24"/>
        </w:rPr>
        <w:t xml:space="preserve">, T., Laskar, N. and Harbord, M. (2012) 'In-depth analysis of delays to patient discharge: A metropolitan teaching hospital experience', </w:t>
      </w:r>
      <w:r w:rsidRPr="003C38A2">
        <w:rPr>
          <w:rFonts w:ascii="Arial" w:hAnsi="Arial" w:cs="Arial"/>
          <w:i/>
          <w:iCs/>
          <w:sz w:val="24"/>
          <w:szCs w:val="24"/>
        </w:rPr>
        <w:t>Clinical Medicine</w:t>
      </w:r>
      <w:r w:rsidRPr="003C38A2">
        <w:rPr>
          <w:rFonts w:ascii="Arial" w:hAnsi="Arial" w:cs="Arial"/>
          <w:sz w:val="24"/>
          <w:szCs w:val="24"/>
        </w:rPr>
        <w:t>, 12(4), pp. 320–323.</w:t>
      </w:r>
    </w:p>
    <w:p w14:paraId="78B4EE10" w14:textId="77777777" w:rsidR="003C38A2" w:rsidRDefault="003C38A2" w:rsidP="003C38A2">
      <w:pPr>
        <w:rPr>
          <w:rFonts w:ascii="Arial" w:hAnsi="Arial" w:cs="Arial"/>
          <w:sz w:val="24"/>
          <w:szCs w:val="24"/>
        </w:rPr>
      </w:pPr>
      <w:r w:rsidRPr="003C38A2">
        <w:rPr>
          <w:rFonts w:ascii="Arial" w:hAnsi="Arial" w:cs="Arial"/>
          <w:sz w:val="24"/>
          <w:szCs w:val="24"/>
        </w:rPr>
        <w:t xml:space="preserve">Jeffery, K., White, S., Ball, S. and Bell, D. (2023) 'Evaluation of the discharge to assess model within NHS services', </w:t>
      </w:r>
      <w:r w:rsidRPr="003C38A2">
        <w:rPr>
          <w:rFonts w:ascii="Arial" w:hAnsi="Arial" w:cs="Arial"/>
          <w:i/>
          <w:iCs/>
          <w:sz w:val="24"/>
          <w:szCs w:val="24"/>
        </w:rPr>
        <w:t>BMJ Open Quality</w:t>
      </w:r>
      <w:r w:rsidRPr="003C38A2">
        <w:rPr>
          <w:rFonts w:ascii="Arial" w:hAnsi="Arial" w:cs="Arial"/>
          <w:sz w:val="24"/>
          <w:szCs w:val="24"/>
        </w:rPr>
        <w:t>, 12(4).</w:t>
      </w:r>
    </w:p>
    <w:p w14:paraId="05919573" w14:textId="2D89A40C" w:rsidR="00F35CEE" w:rsidRPr="003C38A2" w:rsidRDefault="00F35CEE" w:rsidP="003C38A2">
      <w:pPr>
        <w:rPr>
          <w:rFonts w:ascii="Arial" w:hAnsi="Arial" w:cs="Arial"/>
          <w:sz w:val="24"/>
          <w:szCs w:val="24"/>
        </w:rPr>
      </w:pPr>
      <w:r w:rsidRPr="00F35CEE">
        <w:rPr>
          <w:rFonts w:ascii="Arial" w:hAnsi="Arial" w:cs="Arial"/>
          <w:sz w:val="24"/>
          <w:szCs w:val="24"/>
        </w:rPr>
        <w:t xml:space="preserve">Jenkins, A.S., Isha, S., Hanson, A.J., Kunze, K.L., Johnson, P.W., Sura, L., Cornelius, P.J., Hightower, J., Heise, K.J., Davis, O. and Sanghavi, D.K. (2024) 'Rehabilitation in the intensive care unit: How amount of physical and occupational therapy affects patients' function and hospital length of stay', </w:t>
      </w:r>
      <w:r w:rsidRPr="00F35CEE">
        <w:rPr>
          <w:rFonts w:ascii="Arial" w:hAnsi="Arial" w:cs="Arial"/>
          <w:i/>
          <w:iCs/>
          <w:sz w:val="24"/>
          <w:szCs w:val="24"/>
        </w:rPr>
        <w:t>PM&amp;R</w:t>
      </w:r>
      <w:r w:rsidRPr="00F35CEE">
        <w:rPr>
          <w:rFonts w:ascii="Arial" w:hAnsi="Arial" w:cs="Arial"/>
          <w:sz w:val="24"/>
          <w:szCs w:val="24"/>
        </w:rPr>
        <w:t>, 16(3), pp. 219–225. doi:10.1002/pmrj.13116.</w:t>
      </w:r>
    </w:p>
    <w:p w14:paraId="501DD100" w14:textId="77777777" w:rsidR="003C38A2" w:rsidRPr="003C38A2" w:rsidRDefault="003C38A2" w:rsidP="003C38A2">
      <w:pPr>
        <w:rPr>
          <w:rFonts w:ascii="Arial" w:hAnsi="Arial" w:cs="Arial"/>
          <w:sz w:val="24"/>
          <w:szCs w:val="24"/>
        </w:rPr>
      </w:pPr>
      <w:r w:rsidRPr="003C38A2">
        <w:rPr>
          <w:rFonts w:ascii="Arial" w:hAnsi="Arial" w:cs="Arial"/>
          <w:sz w:val="24"/>
          <w:szCs w:val="24"/>
        </w:rPr>
        <w:t xml:space="preserve">Kielhofner, G. (2008) </w:t>
      </w:r>
      <w:r w:rsidRPr="003C38A2">
        <w:rPr>
          <w:rFonts w:ascii="Arial" w:hAnsi="Arial" w:cs="Arial"/>
          <w:i/>
          <w:iCs/>
          <w:sz w:val="24"/>
          <w:szCs w:val="24"/>
        </w:rPr>
        <w:t>Model of Human Occupation: Theory and Application</w:t>
      </w:r>
      <w:r w:rsidRPr="003C38A2">
        <w:rPr>
          <w:rFonts w:ascii="Arial" w:hAnsi="Arial" w:cs="Arial"/>
          <w:sz w:val="24"/>
          <w:szCs w:val="24"/>
        </w:rPr>
        <w:t xml:space="preserve">. 4th </w:t>
      </w:r>
      <w:proofErr w:type="spellStart"/>
      <w:r w:rsidRPr="003C38A2">
        <w:rPr>
          <w:rFonts w:ascii="Arial" w:hAnsi="Arial" w:cs="Arial"/>
          <w:sz w:val="24"/>
          <w:szCs w:val="24"/>
        </w:rPr>
        <w:t>edn</w:t>
      </w:r>
      <w:proofErr w:type="spellEnd"/>
      <w:r w:rsidRPr="003C38A2">
        <w:rPr>
          <w:rFonts w:ascii="Arial" w:hAnsi="Arial" w:cs="Arial"/>
          <w:sz w:val="24"/>
          <w:szCs w:val="24"/>
        </w:rPr>
        <w:t>. Baltimore: Lippincott Williams &amp; Wilkins.</w:t>
      </w:r>
    </w:p>
    <w:p w14:paraId="22E7CA23" w14:textId="77777777" w:rsidR="003C38A2" w:rsidRPr="003C38A2" w:rsidRDefault="003C38A2" w:rsidP="003C38A2">
      <w:pPr>
        <w:rPr>
          <w:rFonts w:ascii="Arial" w:hAnsi="Arial" w:cs="Arial"/>
          <w:sz w:val="24"/>
          <w:szCs w:val="24"/>
        </w:rPr>
      </w:pPr>
      <w:r w:rsidRPr="003C38A2">
        <w:rPr>
          <w:rFonts w:ascii="Arial" w:hAnsi="Arial" w:cs="Arial"/>
          <w:sz w:val="24"/>
          <w:szCs w:val="24"/>
        </w:rPr>
        <w:t xml:space="preserve">Lannin, N.A., Clemson, L., McCluskey, A. and colleagues (2021) 'Effect of occupational therapy home visit discharge planning on participation after stroke: HOME Rehab trial protocol', </w:t>
      </w:r>
      <w:r w:rsidRPr="003C38A2">
        <w:rPr>
          <w:rFonts w:ascii="Arial" w:hAnsi="Arial" w:cs="Arial"/>
          <w:i/>
          <w:iCs/>
          <w:sz w:val="24"/>
          <w:szCs w:val="24"/>
        </w:rPr>
        <w:t>BMJ Open</w:t>
      </w:r>
      <w:r w:rsidRPr="003C38A2">
        <w:rPr>
          <w:rFonts w:ascii="Arial" w:hAnsi="Arial" w:cs="Arial"/>
          <w:sz w:val="24"/>
          <w:szCs w:val="24"/>
        </w:rPr>
        <w:t>, 11(7).</w:t>
      </w:r>
    </w:p>
    <w:p w14:paraId="31427217" w14:textId="77777777" w:rsidR="003C38A2" w:rsidRPr="003C38A2" w:rsidRDefault="003C38A2" w:rsidP="003C38A2">
      <w:pPr>
        <w:rPr>
          <w:rFonts w:ascii="Arial" w:hAnsi="Arial" w:cs="Arial"/>
          <w:sz w:val="24"/>
          <w:szCs w:val="24"/>
        </w:rPr>
      </w:pPr>
      <w:r w:rsidRPr="003C38A2">
        <w:rPr>
          <w:rFonts w:ascii="Arial" w:hAnsi="Arial" w:cs="Arial"/>
          <w:sz w:val="24"/>
          <w:szCs w:val="24"/>
        </w:rPr>
        <w:t xml:space="preserve">Law, M., Cooper, B., Strong, S., Stewart, D., Rigby, P. and Letts, L. (1996) 'The Person–Environment–Occupation model: A transactive approach to occupational performance', </w:t>
      </w:r>
      <w:r w:rsidRPr="003C38A2">
        <w:rPr>
          <w:rFonts w:ascii="Arial" w:hAnsi="Arial" w:cs="Arial"/>
          <w:i/>
          <w:iCs/>
          <w:sz w:val="24"/>
          <w:szCs w:val="24"/>
        </w:rPr>
        <w:t>Canadian Journal of Occupational Therapy</w:t>
      </w:r>
      <w:r w:rsidRPr="003C38A2">
        <w:rPr>
          <w:rFonts w:ascii="Arial" w:hAnsi="Arial" w:cs="Arial"/>
          <w:sz w:val="24"/>
          <w:szCs w:val="24"/>
        </w:rPr>
        <w:t>, 63(1), pp. 9–23.</w:t>
      </w:r>
    </w:p>
    <w:p w14:paraId="5D1F99DF" w14:textId="77777777" w:rsidR="003C38A2" w:rsidRPr="003C38A2" w:rsidRDefault="003C38A2" w:rsidP="003C38A2">
      <w:pPr>
        <w:rPr>
          <w:rFonts w:ascii="Arial" w:hAnsi="Arial" w:cs="Arial"/>
          <w:sz w:val="24"/>
          <w:szCs w:val="24"/>
        </w:rPr>
      </w:pPr>
      <w:r w:rsidRPr="003C38A2">
        <w:rPr>
          <w:rFonts w:ascii="Arial" w:hAnsi="Arial" w:cs="Arial"/>
          <w:sz w:val="24"/>
          <w:szCs w:val="24"/>
        </w:rPr>
        <w:t xml:space="preserve">NHS England (2023) </w:t>
      </w:r>
      <w:r w:rsidRPr="003C38A2">
        <w:rPr>
          <w:rFonts w:ascii="Arial" w:hAnsi="Arial" w:cs="Arial"/>
          <w:i/>
          <w:iCs/>
          <w:sz w:val="24"/>
          <w:szCs w:val="24"/>
        </w:rPr>
        <w:t>NHS Long Term Workforce Plan</w:t>
      </w:r>
      <w:r w:rsidRPr="003C38A2">
        <w:rPr>
          <w:rFonts w:ascii="Arial" w:hAnsi="Arial" w:cs="Arial"/>
          <w:sz w:val="24"/>
          <w:szCs w:val="24"/>
        </w:rPr>
        <w:t>. London: NHS England.</w:t>
      </w:r>
    </w:p>
    <w:p w14:paraId="205EDEB9" w14:textId="77777777" w:rsidR="003C38A2" w:rsidRPr="003C38A2" w:rsidRDefault="003C38A2" w:rsidP="003C38A2">
      <w:pPr>
        <w:rPr>
          <w:rFonts w:ascii="Arial" w:hAnsi="Arial" w:cs="Arial"/>
          <w:sz w:val="24"/>
          <w:szCs w:val="24"/>
        </w:rPr>
      </w:pPr>
      <w:r w:rsidRPr="003C38A2">
        <w:rPr>
          <w:rFonts w:ascii="Arial" w:hAnsi="Arial" w:cs="Arial"/>
          <w:sz w:val="24"/>
          <w:szCs w:val="24"/>
        </w:rPr>
        <w:t xml:space="preserve">Provencher, V., Clemson, L., Wales, K. and colleagues (2020) 'Supporting at-risk older adults transitioning from hospital to home: Who benefits from an occupational therapy intervention?', </w:t>
      </w:r>
      <w:r w:rsidRPr="003C38A2">
        <w:rPr>
          <w:rFonts w:ascii="Arial" w:hAnsi="Arial" w:cs="Arial"/>
          <w:i/>
          <w:iCs/>
          <w:sz w:val="24"/>
          <w:szCs w:val="24"/>
        </w:rPr>
        <w:t>BMC Geriatrics</w:t>
      </w:r>
      <w:r w:rsidRPr="003C38A2">
        <w:rPr>
          <w:rFonts w:ascii="Arial" w:hAnsi="Arial" w:cs="Arial"/>
          <w:sz w:val="24"/>
          <w:szCs w:val="24"/>
        </w:rPr>
        <w:t>, 20, pp. 1–12.</w:t>
      </w:r>
    </w:p>
    <w:p w14:paraId="72932975" w14:textId="77777777" w:rsidR="003C38A2" w:rsidRPr="003C38A2" w:rsidRDefault="003C38A2" w:rsidP="003C38A2">
      <w:pPr>
        <w:rPr>
          <w:rFonts w:ascii="Arial" w:hAnsi="Arial" w:cs="Arial"/>
          <w:sz w:val="24"/>
          <w:szCs w:val="24"/>
        </w:rPr>
      </w:pPr>
      <w:r w:rsidRPr="003C38A2">
        <w:rPr>
          <w:rFonts w:ascii="Arial" w:hAnsi="Arial" w:cs="Arial"/>
          <w:sz w:val="24"/>
          <w:szCs w:val="24"/>
        </w:rPr>
        <w:t xml:space="preserve">Royal College of Occupational Therapists (2024) </w:t>
      </w:r>
      <w:r w:rsidRPr="003C38A2">
        <w:rPr>
          <w:rFonts w:ascii="Arial" w:hAnsi="Arial" w:cs="Arial"/>
          <w:i/>
          <w:iCs/>
          <w:sz w:val="24"/>
          <w:szCs w:val="24"/>
        </w:rPr>
        <w:t>Occupational Therapy Workforce Strategy Action Plan 2024–2027</w:t>
      </w:r>
      <w:r w:rsidRPr="003C38A2">
        <w:rPr>
          <w:rFonts w:ascii="Arial" w:hAnsi="Arial" w:cs="Arial"/>
          <w:sz w:val="24"/>
          <w:szCs w:val="24"/>
        </w:rPr>
        <w:t>. London: RCOT.</w:t>
      </w:r>
    </w:p>
    <w:p w14:paraId="12AA6DEF" w14:textId="77777777" w:rsidR="003C38A2" w:rsidRPr="003C38A2" w:rsidRDefault="003C38A2" w:rsidP="003C38A2">
      <w:pPr>
        <w:rPr>
          <w:rFonts w:ascii="Arial" w:hAnsi="Arial" w:cs="Arial"/>
          <w:sz w:val="24"/>
          <w:szCs w:val="24"/>
        </w:rPr>
      </w:pPr>
      <w:r w:rsidRPr="003C38A2">
        <w:rPr>
          <w:rFonts w:ascii="Arial" w:hAnsi="Arial" w:cs="Arial"/>
          <w:sz w:val="24"/>
          <w:szCs w:val="24"/>
        </w:rPr>
        <w:t xml:space="preserve">Rojas-García, A., Turner, S., Pizzo, E., Hudson, E., Thomas, J. and Raine, R. (2017) 'Impact and experiences of delayed discharge: A mixed-studies systematic review', </w:t>
      </w:r>
      <w:r w:rsidRPr="003C38A2">
        <w:rPr>
          <w:rFonts w:ascii="Arial" w:hAnsi="Arial" w:cs="Arial"/>
          <w:i/>
          <w:iCs/>
          <w:sz w:val="24"/>
          <w:szCs w:val="24"/>
        </w:rPr>
        <w:t>Health Expectations</w:t>
      </w:r>
      <w:r w:rsidRPr="003C38A2">
        <w:rPr>
          <w:rFonts w:ascii="Arial" w:hAnsi="Arial" w:cs="Arial"/>
          <w:sz w:val="24"/>
          <w:szCs w:val="24"/>
        </w:rPr>
        <w:t>, 21(1), pp. 41–56.</w:t>
      </w:r>
    </w:p>
    <w:p w14:paraId="2F482A30" w14:textId="77777777" w:rsidR="003C38A2" w:rsidRPr="003C38A2" w:rsidRDefault="003C38A2" w:rsidP="003C38A2">
      <w:pPr>
        <w:rPr>
          <w:rFonts w:ascii="Arial" w:hAnsi="Arial" w:cs="Arial"/>
          <w:sz w:val="24"/>
          <w:szCs w:val="24"/>
        </w:rPr>
      </w:pPr>
      <w:r w:rsidRPr="003C38A2">
        <w:rPr>
          <w:rFonts w:ascii="Arial" w:hAnsi="Arial" w:cs="Arial"/>
          <w:sz w:val="24"/>
          <w:szCs w:val="24"/>
        </w:rPr>
        <w:t xml:space="preserve">Saunders, M.N.K., Lewis, P. and Thornhill, A. (2023) </w:t>
      </w:r>
      <w:r w:rsidRPr="003C38A2">
        <w:rPr>
          <w:rFonts w:ascii="Arial" w:hAnsi="Arial" w:cs="Arial"/>
          <w:i/>
          <w:iCs/>
          <w:sz w:val="24"/>
          <w:szCs w:val="24"/>
        </w:rPr>
        <w:t>Research Methods for Business Students</w:t>
      </w:r>
      <w:r w:rsidRPr="003C38A2">
        <w:rPr>
          <w:rFonts w:ascii="Arial" w:hAnsi="Arial" w:cs="Arial"/>
          <w:sz w:val="24"/>
          <w:szCs w:val="24"/>
        </w:rPr>
        <w:t xml:space="preserve">. 9th </w:t>
      </w:r>
      <w:proofErr w:type="spellStart"/>
      <w:r w:rsidRPr="003C38A2">
        <w:rPr>
          <w:rFonts w:ascii="Arial" w:hAnsi="Arial" w:cs="Arial"/>
          <w:sz w:val="24"/>
          <w:szCs w:val="24"/>
        </w:rPr>
        <w:t>edn</w:t>
      </w:r>
      <w:proofErr w:type="spellEnd"/>
      <w:r w:rsidRPr="003C38A2">
        <w:rPr>
          <w:rFonts w:ascii="Arial" w:hAnsi="Arial" w:cs="Arial"/>
          <w:sz w:val="24"/>
          <w:szCs w:val="24"/>
        </w:rPr>
        <w:t>. Harlow: Pearson.</w:t>
      </w:r>
    </w:p>
    <w:p w14:paraId="7E874E66" w14:textId="77777777" w:rsidR="003C38A2" w:rsidRPr="003C38A2" w:rsidRDefault="003C38A2" w:rsidP="003C38A2">
      <w:pPr>
        <w:rPr>
          <w:rFonts w:ascii="Arial" w:hAnsi="Arial" w:cs="Arial"/>
          <w:sz w:val="24"/>
          <w:szCs w:val="24"/>
        </w:rPr>
      </w:pPr>
      <w:r w:rsidRPr="003C38A2">
        <w:rPr>
          <w:rFonts w:ascii="Arial" w:hAnsi="Arial" w:cs="Arial"/>
          <w:sz w:val="24"/>
          <w:szCs w:val="24"/>
        </w:rPr>
        <w:t xml:space="preserve">Silverman, D. (2024) </w:t>
      </w:r>
      <w:r w:rsidRPr="003C38A2">
        <w:rPr>
          <w:rFonts w:ascii="Arial" w:hAnsi="Arial" w:cs="Arial"/>
          <w:i/>
          <w:iCs/>
          <w:sz w:val="24"/>
          <w:szCs w:val="24"/>
        </w:rPr>
        <w:t>Doing Qualitative Research: A Practical Handbook</w:t>
      </w:r>
      <w:r w:rsidRPr="003C38A2">
        <w:rPr>
          <w:rFonts w:ascii="Arial" w:hAnsi="Arial" w:cs="Arial"/>
          <w:sz w:val="24"/>
          <w:szCs w:val="24"/>
        </w:rPr>
        <w:t xml:space="preserve">. 6th </w:t>
      </w:r>
      <w:proofErr w:type="spellStart"/>
      <w:r w:rsidRPr="003C38A2">
        <w:rPr>
          <w:rFonts w:ascii="Arial" w:hAnsi="Arial" w:cs="Arial"/>
          <w:sz w:val="24"/>
          <w:szCs w:val="24"/>
        </w:rPr>
        <w:t>edn</w:t>
      </w:r>
      <w:proofErr w:type="spellEnd"/>
      <w:r w:rsidRPr="003C38A2">
        <w:rPr>
          <w:rFonts w:ascii="Arial" w:hAnsi="Arial" w:cs="Arial"/>
          <w:sz w:val="24"/>
          <w:szCs w:val="24"/>
        </w:rPr>
        <w:t>. London: SAGE.</w:t>
      </w:r>
    </w:p>
    <w:p w14:paraId="27D78C87" w14:textId="77777777" w:rsidR="003C38A2" w:rsidRPr="003C38A2" w:rsidRDefault="003C38A2" w:rsidP="003C38A2">
      <w:pPr>
        <w:rPr>
          <w:rFonts w:ascii="Arial" w:hAnsi="Arial" w:cs="Arial"/>
          <w:sz w:val="24"/>
          <w:szCs w:val="24"/>
        </w:rPr>
      </w:pPr>
      <w:r w:rsidRPr="003C38A2">
        <w:rPr>
          <w:rFonts w:ascii="Arial" w:hAnsi="Arial" w:cs="Arial"/>
          <w:sz w:val="24"/>
          <w:szCs w:val="24"/>
        </w:rPr>
        <w:t xml:space="preserve">Wales, K., Clemson, L., Lannin, N.A., Cameron, I.D. and colleagues (2012) 'Occupational therapy discharge planning for older adults: A protocol for a randomised controlled trial and economic evaluation', </w:t>
      </w:r>
      <w:r w:rsidRPr="003C38A2">
        <w:rPr>
          <w:rFonts w:ascii="Arial" w:hAnsi="Arial" w:cs="Arial"/>
          <w:i/>
          <w:iCs/>
          <w:sz w:val="24"/>
          <w:szCs w:val="24"/>
        </w:rPr>
        <w:t>BMC Geriatrics</w:t>
      </w:r>
      <w:r w:rsidRPr="003C38A2">
        <w:rPr>
          <w:rFonts w:ascii="Arial" w:hAnsi="Arial" w:cs="Arial"/>
          <w:sz w:val="24"/>
          <w:szCs w:val="24"/>
        </w:rPr>
        <w:t>, 12(34).</w:t>
      </w:r>
    </w:p>
    <w:p w14:paraId="00EC7098" w14:textId="77777777" w:rsidR="003C38A2" w:rsidRPr="003C38A2" w:rsidRDefault="003C38A2">
      <w:pPr>
        <w:rPr>
          <w:rFonts w:ascii="Arial" w:hAnsi="Arial" w:cs="Arial"/>
          <w:sz w:val="24"/>
          <w:szCs w:val="24"/>
        </w:rPr>
      </w:pPr>
    </w:p>
    <w:sectPr w:rsidR="003C38A2" w:rsidRPr="003C38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B34772"/>
    <w:multiLevelType w:val="multilevel"/>
    <w:tmpl w:val="2CF873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1D0803"/>
    <w:multiLevelType w:val="hybridMultilevel"/>
    <w:tmpl w:val="816A4D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383135"/>
    <w:multiLevelType w:val="hybridMultilevel"/>
    <w:tmpl w:val="E2A803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6D24AB"/>
    <w:multiLevelType w:val="hybridMultilevel"/>
    <w:tmpl w:val="D56874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0469762">
    <w:abstractNumId w:val="0"/>
  </w:num>
  <w:num w:numId="2" w16cid:durableId="163278146">
    <w:abstractNumId w:val="3"/>
  </w:num>
  <w:num w:numId="3" w16cid:durableId="1286277217">
    <w:abstractNumId w:val="2"/>
  </w:num>
  <w:num w:numId="4" w16cid:durableId="11549509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36E"/>
    <w:rsid w:val="0019341C"/>
    <w:rsid w:val="0027409F"/>
    <w:rsid w:val="0027628E"/>
    <w:rsid w:val="002F7D50"/>
    <w:rsid w:val="003C38A2"/>
    <w:rsid w:val="00433FFF"/>
    <w:rsid w:val="00496F49"/>
    <w:rsid w:val="004C6BAF"/>
    <w:rsid w:val="004F270C"/>
    <w:rsid w:val="00582345"/>
    <w:rsid w:val="005C1362"/>
    <w:rsid w:val="005C6D88"/>
    <w:rsid w:val="0071554E"/>
    <w:rsid w:val="007368AD"/>
    <w:rsid w:val="007E2B49"/>
    <w:rsid w:val="007F7814"/>
    <w:rsid w:val="008004C2"/>
    <w:rsid w:val="00810347"/>
    <w:rsid w:val="00895FD9"/>
    <w:rsid w:val="008D5F11"/>
    <w:rsid w:val="009E5B24"/>
    <w:rsid w:val="00A15DFE"/>
    <w:rsid w:val="00AA7506"/>
    <w:rsid w:val="00B00F66"/>
    <w:rsid w:val="00B20C55"/>
    <w:rsid w:val="00B27088"/>
    <w:rsid w:val="00BC7591"/>
    <w:rsid w:val="00C4736E"/>
    <w:rsid w:val="00C6721B"/>
    <w:rsid w:val="00CC2ED8"/>
    <w:rsid w:val="00CE6168"/>
    <w:rsid w:val="00D87410"/>
    <w:rsid w:val="00DA50E3"/>
    <w:rsid w:val="00E4231F"/>
    <w:rsid w:val="00EA3192"/>
    <w:rsid w:val="00EE7F98"/>
    <w:rsid w:val="00F35CEE"/>
    <w:rsid w:val="00FD7DF6"/>
    <w:rsid w:val="00FE1C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2EFE2"/>
  <w15:chartTrackingRefBased/>
  <w15:docId w15:val="{F35B6CE4-98D1-4DC8-896D-2925CBD36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73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73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73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73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73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73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73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73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73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73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73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73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73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73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73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73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73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736E"/>
    <w:rPr>
      <w:rFonts w:eastAsiaTheme="majorEastAsia" w:cstheme="majorBidi"/>
      <w:color w:val="272727" w:themeColor="text1" w:themeTint="D8"/>
    </w:rPr>
  </w:style>
  <w:style w:type="paragraph" w:styleId="Title">
    <w:name w:val="Title"/>
    <w:basedOn w:val="Normal"/>
    <w:next w:val="Normal"/>
    <w:link w:val="TitleChar"/>
    <w:uiPriority w:val="10"/>
    <w:qFormat/>
    <w:rsid w:val="00C473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73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73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73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736E"/>
    <w:pPr>
      <w:spacing w:before="160"/>
      <w:jc w:val="center"/>
    </w:pPr>
    <w:rPr>
      <w:i/>
      <w:iCs/>
      <w:color w:val="404040" w:themeColor="text1" w:themeTint="BF"/>
    </w:rPr>
  </w:style>
  <w:style w:type="character" w:customStyle="1" w:styleId="QuoteChar">
    <w:name w:val="Quote Char"/>
    <w:basedOn w:val="DefaultParagraphFont"/>
    <w:link w:val="Quote"/>
    <w:uiPriority w:val="29"/>
    <w:rsid w:val="00C4736E"/>
    <w:rPr>
      <w:i/>
      <w:iCs/>
      <w:color w:val="404040" w:themeColor="text1" w:themeTint="BF"/>
    </w:rPr>
  </w:style>
  <w:style w:type="paragraph" w:styleId="ListParagraph">
    <w:name w:val="List Paragraph"/>
    <w:basedOn w:val="Normal"/>
    <w:uiPriority w:val="34"/>
    <w:qFormat/>
    <w:rsid w:val="00C4736E"/>
    <w:pPr>
      <w:ind w:left="720"/>
      <w:contextualSpacing/>
    </w:pPr>
  </w:style>
  <w:style w:type="character" w:styleId="IntenseEmphasis">
    <w:name w:val="Intense Emphasis"/>
    <w:basedOn w:val="DefaultParagraphFont"/>
    <w:uiPriority w:val="21"/>
    <w:qFormat/>
    <w:rsid w:val="00C4736E"/>
    <w:rPr>
      <w:i/>
      <w:iCs/>
      <w:color w:val="0F4761" w:themeColor="accent1" w:themeShade="BF"/>
    </w:rPr>
  </w:style>
  <w:style w:type="paragraph" w:styleId="IntenseQuote">
    <w:name w:val="Intense Quote"/>
    <w:basedOn w:val="Normal"/>
    <w:next w:val="Normal"/>
    <w:link w:val="IntenseQuoteChar"/>
    <w:uiPriority w:val="30"/>
    <w:qFormat/>
    <w:rsid w:val="00C473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736E"/>
    <w:rPr>
      <w:i/>
      <w:iCs/>
      <w:color w:val="0F4761" w:themeColor="accent1" w:themeShade="BF"/>
    </w:rPr>
  </w:style>
  <w:style w:type="character" w:styleId="IntenseReference">
    <w:name w:val="Intense Reference"/>
    <w:basedOn w:val="DefaultParagraphFont"/>
    <w:uiPriority w:val="32"/>
    <w:qFormat/>
    <w:rsid w:val="00C4736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235</TotalTime>
  <Pages>10</Pages>
  <Words>2904</Words>
  <Characters>16554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Ionela-Catalina Simion (2227035)</dc:creator>
  <cp:keywords/>
  <dc:description/>
  <cp:lastModifiedBy>Ionela-Catalina Simion (2227035)</cp:lastModifiedBy>
  <cp:revision>16</cp:revision>
  <dcterms:created xsi:type="dcterms:W3CDTF">2026-06-05T11:12:00Z</dcterms:created>
  <dcterms:modified xsi:type="dcterms:W3CDTF">2026-06-19T12:35:00Z</dcterms:modified>
</cp:coreProperties>
</file>