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05F04" w14:textId="22D7CDE1" w:rsidR="004D4984" w:rsidRDefault="00352C5A">
      <w:pPr>
        <w:pStyle w:val="Title"/>
        <w:spacing w:before="0" w:after="200" w:line="360" w:lineRule="auto"/>
        <w:jc w:val="center"/>
        <w:rPr>
          <w:rFonts w:ascii="Arial" w:eastAsia="Arial" w:hAnsi="Arial" w:cs="Arial"/>
          <w:b w:val="0"/>
          <w:sz w:val="48"/>
          <w:szCs w:val="48"/>
        </w:rPr>
      </w:pPr>
      <w:r>
        <w:rPr>
          <w:rFonts w:ascii="Arial" w:eastAsia="Arial" w:hAnsi="Arial" w:cs="Arial"/>
          <w:b w:val="0"/>
          <w:sz w:val="48"/>
          <w:szCs w:val="48"/>
        </w:rPr>
        <w:t>The Seaview Resort</w:t>
      </w:r>
    </w:p>
    <w:p w14:paraId="7E811099" w14:textId="77777777" w:rsidR="00D5201E" w:rsidRDefault="00D5201E" w:rsidP="00D5201E"/>
    <w:p w14:paraId="58EA756C" w14:textId="77777777" w:rsidR="00D5201E" w:rsidRDefault="00D5201E" w:rsidP="00D5201E"/>
    <w:p w14:paraId="79F54F37" w14:textId="77777777" w:rsidR="00D5201E" w:rsidRDefault="00D5201E" w:rsidP="00D5201E"/>
    <w:p w14:paraId="64A5E3FF" w14:textId="77777777" w:rsidR="00D5201E" w:rsidRDefault="00D5201E" w:rsidP="00D5201E"/>
    <w:p w14:paraId="7174105B" w14:textId="77777777" w:rsidR="00D5201E" w:rsidRPr="00D5201E" w:rsidRDefault="00D5201E" w:rsidP="00D5201E"/>
    <w:p w14:paraId="0445CDFC" w14:textId="0BCC2216" w:rsidR="00DA238B" w:rsidRDefault="00DA238B" w:rsidP="00D5201E">
      <w:pPr>
        <w:jc w:val="center"/>
        <w:rPr>
          <w:rFonts w:ascii="Times New Roman" w:hAnsi="Times New Roman" w:cs="Times New Roman"/>
          <w:b/>
          <w:bCs/>
          <w:sz w:val="24"/>
          <w:szCs w:val="24"/>
        </w:rPr>
      </w:pPr>
      <w:r w:rsidRPr="00DA238B">
        <w:rPr>
          <w:rFonts w:ascii="Times New Roman" w:hAnsi="Times New Roman" w:cs="Times New Roman"/>
          <w:b/>
          <w:bCs/>
          <w:sz w:val="24"/>
          <w:szCs w:val="24"/>
        </w:rPr>
        <w:t>Student Name:</w:t>
      </w:r>
      <w:r>
        <w:rPr>
          <w:rFonts w:ascii="Times New Roman" w:hAnsi="Times New Roman" w:cs="Times New Roman"/>
          <w:b/>
          <w:bCs/>
          <w:sz w:val="24"/>
          <w:szCs w:val="24"/>
        </w:rPr>
        <w:t xml:space="preserve"> Ahmed Reza Helal</w:t>
      </w:r>
    </w:p>
    <w:p w14:paraId="37EAFD3D" w14:textId="77777777" w:rsidR="00EB5438" w:rsidRPr="00DA238B" w:rsidRDefault="00452A9B" w:rsidP="00D5201E">
      <w:pPr>
        <w:jc w:val="center"/>
        <w:rPr>
          <w:rFonts w:ascii="Times New Roman" w:hAnsi="Times New Roman" w:cs="Times New Roman"/>
          <w:b/>
          <w:bCs/>
          <w:sz w:val="24"/>
          <w:szCs w:val="24"/>
        </w:rPr>
      </w:pPr>
      <w:r>
        <w:rPr>
          <w:rFonts w:ascii="Times New Roman" w:hAnsi="Times New Roman" w:cs="Times New Roman"/>
          <w:b/>
          <w:bCs/>
          <w:sz w:val="24"/>
          <w:szCs w:val="24"/>
        </w:rPr>
        <w:t xml:space="preserve">Student ID: </w:t>
      </w:r>
      <w:r w:rsidR="00EB5438">
        <w:rPr>
          <w:rFonts w:ascii="Times New Roman" w:hAnsi="Times New Roman" w:cs="Times New Roman"/>
          <w:b/>
          <w:bCs/>
          <w:sz w:val="24"/>
          <w:szCs w:val="24"/>
        </w:rPr>
        <w:t>2021309701</w:t>
      </w:r>
    </w:p>
    <w:p w14:paraId="318D10D9" w14:textId="5ADD0ED2" w:rsidR="00452A9B" w:rsidRDefault="00351D56" w:rsidP="00D5201E">
      <w:pPr>
        <w:jc w:val="center"/>
        <w:rPr>
          <w:rFonts w:ascii="Times New Roman" w:hAnsi="Times New Roman" w:cs="Times New Roman"/>
          <w:b/>
          <w:bCs/>
          <w:sz w:val="24"/>
          <w:szCs w:val="24"/>
        </w:rPr>
      </w:pPr>
      <w:r>
        <w:rPr>
          <w:rFonts w:ascii="Times New Roman" w:hAnsi="Times New Roman" w:cs="Times New Roman"/>
          <w:b/>
          <w:bCs/>
          <w:sz w:val="24"/>
          <w:szCs w:val="24"/>
        </w:rPr>
        <w:t>Lec</w:t>
      </w:r>
      <w:r w:rsidR="00976ABE">
        <w:rPr>
          <w:rFonts w:ascii="Times New Roman" w:hAnsi="Times New Roman" w:cs="Times New Roman"/>
          <w:b/>
          <w:bCs/>
          <w:sz w:val="24"/>
          <w:szCs w:val="24"/>
        </w:rPr>
        <w:t>turer Name:</w:t>
      </w:r>
      <w:r w:rsidR="00EB5438">
        <w:rPr>
          <w:rFonts w:ascii="Times New Roman" w:hAnsi="Times New Roman" w:cs="Times New Roman"/>
          <w:b/>
          <w:bCs/>
          <w:sz w:val="24"/>
          <w:szCs w:val="24"/>
        </w:rPr>
        <w:t xml:space="preserve"> </w:t>
      </w:r>
      <w:r w:rsidR="0000520F">
        <w:rPr>
          <w:rFonts w:ascii="Times New Roman" w:hAnsi="Times New Roman" w:cs="Times New Roman"/>
          <w:b/>
          <w:bCs/>
          <w:sz w:val="24"/>
          <w:szCs w:val="24"/>
        </w:rPr>
        <w:t xml:space="preserve">Tristan </w:t>
      </w:r>
      <w:r w:rsidR="00D5201E">
        <w:rPr>
          <w:rFonts w:ascii="Times New Roman" w:hAnsi="Times New Roman" w:cs="Times New Roman"/>
          <w:b/>
          <w:bCs/>
          <w:sz w:val="24"/>
          <w:szCs w:val="24"/>
        </w:rPr>
        <w:t>Hawkins</w:t>
      </w:r>
    </w:p>
    <w:p w14:paraId="33305F07" w14:textId="22F99DBF" w:rsidR="004D4984" w:rsidRPr="00DA238B" w:rsidRDefault="00352C5A" w:rsidP="00D5201E">
      <w:pPr>
        <w:spacing w:after="200"/>
        <w:jc w:val="center"/>
        <w:rPr>
          <w:rFonts w:ascii="Times New Roman" w:eastAsia="Arial" w:hAnsi="Times New Roman" w:cs="Times New Roman"/>
          <w:b/>
          <w:bCs/>
          <w:sz w:val="24"/>
          <w:szCs w:val="24"/>
        </w:rPr>
      </w:pPr>
      <w:r w:rsidRPr="00DA238B">
        <w:rPr>
          <w:rFonts w:ascii="Times New Roman" w:eastAsia="Arial" w:hAnsi="Times New Roman" w:cs="Times New Roman"/>
          <w:b/>
          <w:bCs/>
          <w:sz w:val="24"/>
          <w:szCs w:val="24"/>
        </w:rPr>
        <w:t>Word Count: 1730</w:t>
      </w:r>
    </w:p>
    <w:p w14:paraId="33305F08" w14:textId="77777777" w:rsidR="004D4984" w:rsidRDefault="00352C5A">
      <w:pPr>
        <w:spacing w:after="200" w:line="360" w:lineRule="auto"/>
        <w:jc w:val="both"/>
        <w:rPr>
          <w:rFonts w:ascii="Arial" w:eastAsia="Arial" w:hAnsi="Arial" w:cs="Arial"/>
          <w:sz w:val="24"/>
          <w:szCs w:val="24"/>
        </w:rPr>
      </w:pPr>
      <w:r>
        <w:br w:type="page"/>
      </w:r>
    </w:p>
    <w:p w14:paraId="33305F09" w14:textId="77777777" w:rsidR="004D4984" w:rsidRDefault="00352C5A">
      <w:pPr>
        <w:pStyle w:val="Heading1"/>
        <w:spacing w:after="200" w:line="360" w:lineRule="auto"/>
        <w:jc w:val="both"/>
        <w:rPr>
          <w:rFonts w:ascii="Arial" w:eastAsia="Arial" w:hAnsi="Arial" w:cs="Arial"/>
          <w:b w:val="0"/>
        </w:rPr>
      </w:pPr>
      <w:bookmarkStart w:id="0" w:name="_heading=h.ioagsi6ejcas" w:colFirst="0" w:colLast="0"/>
      <w:bookmarkEnd w:id="0"/>
      <w:r>
        <w:rPr>
          <w:rFonts w:ascii="Arial" w:eastAsia="Arial" w:hAnsi="Arial" w:cs="Arial"/>
          <w:b w:val="0"/>
        </w:rPr>
        <w:lastRenderedPageBreak/>
        <w:t>Introduction</w:t>
      </w:r>
    </w:p>
    <w:p w14:paraId="33305F0A"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 xml:space="preserve">Seaview Resort faces declining income and visitor satisfaction, while Long Branch, a small city, has seen a significant comeback due to rising real estate and waterfront property demand. Developers are revitalizing Long Branch with the $100 million Pier Village despite property owners protesting the city's use of eminent domain. </w:t>
      </w:r>
    </w:p>
    <w:p w14:paraId="33305F0B" w14:textId="77777777" w:rsidR="004D4984" w:rsidRDefault="00352C5A">
      <w:pPr>
        <w:pStyle w:val="Heading1"/>
        <w:spacing w:after="200" w:line="360" w:lineRule="auto"/>
        <w:jc w:val="both"/>
        <w:rPr>
          <w:b w:val="0"/>
        </w:rPr>
      </w:pPr>
      <w:bookmarkStart w:id="1" w:name="_heading=h.nxb5utiz1ouc" w:colFirst="0" w:colLast="0"/>
      <w:bookmarkEnd w:id="1"/>
      <w:r>
        <w:rPr>
          <w:b w:val="0"/>
        </w:rPr>
        <w:t>Market Analysis</w:t>
      </w:r>
    </w:p>
    <w:p w14:paraId="33305F0C"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The Seaview Resort faces challenges in a competitive coastal resort market, with outdated amenities and declining service quality, indicating a failure to adapt to evolving customer expectations. Market analysis closely examines an organization's target market and the competitive landscape of a given sector. Quantitative and qualitative data are used to track performance, identify market trends, set the company apart from rivals, lower risks, improve marketing, and reach new customer segments. The process has six primary steps: market research, competitor analysis, target market definition, entry barrier identification, industry research, and sales forecasting. This helps create a comprehensive strategy for success in the industry.</w:t>
      </w:r>
    </w:p>
    <w:p w14:paraId="33305F0D" w14:textId="77777777" w:rsidR="004D4984" w:rsidRDefault="00352C5A">
      <w:pPr>
        <w:pStyle w:val="Heading1"/>
        <w:spacing w:after="200" w:line="360" w:lineRule="auto"/>
        <w:jc w:val="both"/>
        <w:rPr>
          <w:rFonts w:ascii="Arial" w:eastAsia="Arial" w:hAnsi="Arial" w:cs="Arial"/>
          <w:b w:val="0"/>
        </w:rPr>
      </w:pPr>
      <w:bookmarkStart w:id="2" w:name="_heading=h.lp68rdlbc6d8" w:colFirst="0" w:colLast="0"/>
      <w:bookmarkEnd w:id="2"/>
      <w:r>
        <w:rPr>
          <w:rFonts w:ascii="Arial" w:eastAsia="Arial" w:hAnsi="Arial" w:cs="Arial"/>
          <w:b w:val="0"/>
        </w:rPr>
        <w:t>Scope and Objectives</w:t>
      </w:r>
    </w:p>
    <w:p w14:paraId="33305F0E" w14:textId="77777777" w:rsidR="004D4984" w:rsidRDefault="00352C5A">
      <w:pPr>
        <w:pStyle w:val="Heading2"/>
        <w:spacing w:after="200" w:line="360" w:lineRule="auto"/>
        <w:jc w:val="both"/>
        <w:rPr>
          <w:rFonts w:ascii="Arial" w:eastAsia="Arial" w:hAnsi="Arial" w:cs="Arial"/>
          <w:b w:val="0"/>
        </w:rPr>
      </w:pPr>
      <w:bookmarkStart w:id="3" w:name="_heading=h.205piihqrwyx" w:colFirst="0" w:colLast="0"/>
      <w:bookmarkEnd w:id="3"/>
      <w:r>
        <w:rPr>
          <w:rFonts w:ascii="Arial" w:eastAsia="Arial" w:hAnsi="Arial" w:cs="Arial"/>
          <w:b w:val="0"/>
        </w:rPr>
        <w:t>The primary objectives of this assessment are threefold</w:t>
      </w:r>
    </w:p>
    <w:p w14:paraId="33305F0F" w14:textId="77777777" w:rsidR="004D4984" w:rsidRDefault="00352C5A">
      <w:pPr>
        <w:pStyle w:val="Heading3"/>
        <w:numPr>
          <w:ilvl w:val="0"/>
          <w:numId w:val="6"/>
        </w:numPr>
        <w:spacing w:after="200" w:line="360" w:lineRule="auto"/>
        <w:jc w:val="both"/>
        <w:rPr>
          <w:rFonts w:ascii="Arial" w:eastAsia="Arial" w:hAnsi="Arial" w:cs="Arial"/>
          <w:b w:val="0"/>
        </w:rPr>
      </w:pPr>
      <w:bookmarkStart w:id="4" w:name="_heading=h.pc4eyjbaegam" w:colFirst="0" w:colLast="0"/>
      <w:bookmarkEnd w:id="4"/>
      <w:r>
        <w:rPr>
          <w:rFonts w:ascii="Arial" w:eastAsia="Arial" w:hAnsi="Arial" w:cs="Arial"/>
          <w:b w:val="0"/>
        </w:rPr>
        <w:t>Financial Performance Analysis:</w:t>
      </w:r>
    </w:p>
    <w:p w14:paraId="33305F10"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 xml:space="preserve">With an emphasis on essential indicators like total revenue, operational expenses, gross profit, net profit, and net profit margin, the study examines Seaview Resort's financial performance during the previous three years. A Financial Performance Analysis is a crucial process that examines a company's financial statements to understand its </w:t>
      </w:r>
      <w:r>
        <w:rPr>
          <w:rFonts w:ascii="Arial" w:eastAsia="Arial" w:hAnsi="Arial" w:cs="Arial"/>
          <w:sz w:val="24"/>
          <w:szCs w:val="24"/>
        </w:rPr>
        <w:lastRenderedPageBreak/>
        <w:t>business model, profitability, and spending habits. It can be improved through identifying roadblocks, improving cash flow, and professional analysis.</w:t>
      </w:r>
    </w:p>
    <w:p w14:paraId="33305F11" w14:textId="77777777" w:rsidR="004D4984" w:rsidRDefault="00352C5A">
      <w:pPr>
        <w:pStyle w:val="Heading3"/>
        <w:numPr>
          <w:ilvl w:val="0"/>
          <w:numId w:val="6"/>
        </w:numPr>
        <w:spacing w:after="200" w:line="360" w:lineRule="auto"/>
        <w:jc w:val="both"/>
        <w:rPr>
          <w:rFonts w:ascii="Arial" w:eastAsia="Arial" w:hAnsi="Arial" w:cs="Arial"/>
          <w:b w:val="0"/>
        </w:rPr>
      </w:pPr>
      <w:bookmarkStart w:id="5" w:name="_heading=h.wyl4kr7hhsxo" w:colFirst="0" w:colLast="0"/>
      <w:bookmarkEnd w:id="5"/>
      <w:r>
        <w:rPr>
          <w:rFonts w:ascii="Arial" w:eastAsia="Arial" w:hAnsi="Arial" w:cs="Arial"/>
          <w:b w:val="0"/>
        </w:rPr>
        <w:t xml:space="preserve">Identification of Key Issues: </w:t>
      </w:r>
    </w:p>
    <w:p w14:paraId="33305F12"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Determine the primary causes of the reduction in profitability by considering client preferences, operational difficulties, market dynamics, and financial mismanagement. Public policy development starts with identifying a problem influenced by ideology, life experiences, and societal values. Understanding social, economic, and environmental issues is crucial for coordinating policy measures. Identifying and defining issues involves description, impacts, public input, data collection, government role, and stakeholder engagement.</w:t>
      </w:r>
    </w:p>
    <w:p w14:paraId="33305F13" w14:textId="77777777" w:rsidR="004D4984" w:rsidRDefault="00352C5A">
      <w:pPr>
        <w:pStyle w:val="Heading3"/>
        <w:numPr>
          <w:ilvl w:val="0"/>
          <w:numId w:val="6"/>
        </w:numPr>
        <w:spacing w:after="200" w:line="360" w:lineRule="auto"/>
        <w:jc w:val="both"/>
        <w:rPr>
          <w:rFonts w:ascii="Arial" w:eastAsia="Arial" w:hAnsi="Arial" w:cs="Arial"/>
          <w:b w:val="0"/>
        </w:rPr>
      </w:pPr>
      <w:bookmarkStart w:id="6" w:name="_heading=h.86i5jidsitrh" w:colFirst="0" w:colLast="0"/>
      <w:bookmarkEnd w:id="6"/>
      <w:r>
        <w:rPr>
          <w:rFonts w:ascii="Arial" w:eastAsia="Arial" w:hAnsi="Arial" w:cs="Arial"/>
          <w:b w:val="0"/>
        </w:rPr>
        <w:t xml:space="preserve">Development of Turnaround Strategy: </w:t>
      </w:r>
    </w:p>
    <w:p w14:paraId="33305F14"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 xml:space="preserve">Propose a comprehensive turnaround strategy to revitalize the resort's financial health and restore its reputation as a top vacation destination, outlining expected financial outcomes. A turnaround strategy is a structured plan for a struggling business, focusing on financial stability and growth. Regular cash position reviews and prioritization of activities are crucial. Focusing on healthy, profitable, stable, and growing activities is essential. Tools like Start Stop Continue can help businesses identify critical areas for improvement. Focusing on higher-value activities and driving results can lead to success. </w:t>
      </w:r>
    </w:p>
    <w:p w14:paraId="33305F15" w14:textId="77777777" w:rsidR="004D4984" w:rsidRDefault="00352C5A">
      <w:pPr>
        <w:pStyle w:val="Heading2"/>
        <w:spacing w:after="200" w:line="360" w:lineRule="auto"/>
        <w:jc w:val="both"/>
        <w:rPr>
          <w:rFonts w:ascii="Arial" w:eastAsia="Arial" w:hAnsi="Arial" w:cs="Arial"/>
          <w:b w:val="0"/>
        </w:rPr>
      </w:pPr>
      <w:bookmarkStart w:id="7" w:name="_heading=h.eu5e1e19wmkd" w:colFirst="0" w:colLast="0"/>
      <w:bookmarkEnd w:id="7"/>
      <w:r>
        <w:rPr>
          <w:rFonts w:ascii="Arial" w:eastAsia="Arial" w:hAnsi="Arial" w:cs="Arial"/>
          <w:b w:val="0"/>
        </w:rPr>
        <w:t>Financial Performance Analysis</w:t>
      </w:r>
    </w:p>
    <w:p w14:paraId="33305F16" w14:textId="77777777" w:rsidR="004D4984" w:rsidRDefault="00352C5A">
      <w:pPr>
        <w:pStyle w:val="Heading3"/>
        <w:spacing w:after="200" w:line="360" w:lineRule="auto"/>
        <w:jc w:val="both"/>
        <w:rPr>
          <w:rFonts w:ascii="Arial" w:eastAsia="Arial" w:hAnsi="Arial" w:cs="Arial"/>
          <w:b w:val="0"/>
        </w:rPr>
      </w:pPr>
      <w:bookmarkStart w:id="8" w:name="_heading=h.jx7ipev5dd0s" w:colFirst="0" w:colLast="0"/>
      <w:bookmarkEnd w:id="8"/>
      <w:r>
        <w:rPr>
          <w:rFonts w:ascii="Arial" w:eastAsia="Arial" w:hAnsi="Arial" w:cs="Arial"/>
          <w:b w:val="0"/>
        </w:rPr>
        <w:t>Income Statement:</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3443"/>
        <w:gridCol w:w="1968"/>
        <w:gridCol w:w="1968"/>
        <w:gridCol w:w="1981"/>
      </w:tblGrid>
      <w:tr w:rsidR="004D4984" w14:paraId="33305F1B" w14:textId="77777777">
        <w:trPr>
          <w:trHeight w:val="710"/>
        </w:trPr>
        <w:tc>
          <w:tcPr>
            <w:tcW w:w="3441" w:type="dxa"/>
            <w:tcBorders>
              <w:top w:val="single" w:sz="5" w:space="0" w:color="D9D9E3"/>
              <w:left w:val="single" w:sz="5" w:space="0" w:color="D9D9E3"/>
              <w:bottom w:val="single" w:sz="5" w:space="0" w:color="D9D9E3"/>
              <w:right w:val="nil"/>
            </w:tcBorders>
            <w:tcMar>
              <w:top w:w="100" w:type="dxa"/>
              <w:left w:w="100" w:type="dxa"/>
              <w:bottom w:w="100" w:type="dxa"/>
              <w:right w:w="100" w:type="dxa"/>
            </w:tcMar>
            <w:vAlign w:val="bottom"/>
          </w:tcPr>
          <w:p w14:paraId="33305F17"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b/>
                <w:sz w:val="24"/>
                <w:szCs w:val="24"/>
              </w:rPr>
              <w:t>Item</w:t>
            </w:r>
          </w:p>
        </w:tc>
        <w:tc>
          <w:tcPr>
            <w:tcW w:w="1968" w:type="dxa"/>
            <w:tcBorders>
              <w:top w:val="single" w:sz="5" w:space="0" w:color="D9D9E3"/>
              <w:left w:val="single" w:sz="5" w:space="0" w:color="D9D9E3"/>
              <w:bottom w:val="single" w:sz="5" w:space="0" w:color="D9D9E3"/>
              <w:right w:val="nil"/>
            </w:tcBorders>
            <w:tcMar>
              <w:top w:w="100" w:type="dxa"/>
              <w:left w:w="100" w:type="dxa"/>
              <w:bottom w:w="100" w:type="dxa"/>
              <w:right w:w="100" w:type="dxa"/>
            </w:tcMar>
            <w:vAlign w:val="bottom"/>
          </w:tcPr>
          <w:p w14:paraId="33305F18"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b/>
                <w:sz w:val="24"/>
                <w:szCs w:val="24"/>
              </w:rPr>
              <w:t>2020</w:t>
            </w:r>
          </w:p>
        </w:tc>
        <w:tc>
          <w:tcPr>
            <w:tcW w:w="1968" w:type="dxa"/>
            <w:tcBorders>
              <w:top w:val="single" w:sz="5" w:space="0" w:color="D9D9E3"/>
              <w:left w:val="single" w:sz="5" w:space="0" w:color="D9D9E3"/>
              <w:bottom w:val="single" w:sz="5" w:space="0" w:color="D9D9E3"/>
              <w:right w:val="nil"/>
            </w:tcBorders>
            <w:tcMar>
              <w:top w:w="100" w:type="dxa"/>
              <w:left w:w="100" w:type="dxa"/>
              <w:bottom w:w="100" w:type="dxa"/>
              <w:right w:w="100" w:type="dxa"/>
            </w:tcMar>
            <w:vAlign w:val="bottom"/>
          </w:tcPr>
          <w:p w14:paraId="33305F19"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b/>
                <w:sz w:val="24"/>
                <w:szCs w:val="24"/>
              </w:rPr>
              <w:t>2021</w:t>
            </w:r>
          </w:p>
        </w:tc>
        <w:tc>
          <w:tcPr>
            <w:tcW w:w="1981" w:type="dxa"/>
            <w:tcBorders>
              <w:top w:val="single" w:sz="5" w:space="0" w:color="D9D9E3"/>
              <w:left w:val="single" w:sz="5" w:space="0" w:color="D9D9E3"/>
              <w:bottom w:val="single" w:sz="5" w:space="0" w:color="D9D9E3"/>
              <w:right w:val="single" w:sz="5" w:space="0" w:color="D9D9E3"/>
            </w:tcBorders>
            <w:tcMar>
              <w:top w:w="100" w:type="dxa"/>
              <w:left w:w="100" w:type="dxa"/>
              <w:bottom w:w="100" w:type="dxa"/>
              <w:right w:w="100" w:type="dxa"/>
            </w:tcMar>
            <w:vAlign w:val="bottom"/>
          </w:tcPr>
          <w:p w14:paraId="33305F1A"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b/>
                <w:sz w:val="24"/>
                <w:szCs w:val="24"/>
              </w:rPr>
              <w:t>2022</w:t>
            </w:r>
          </w:p>
        </w:tc>
      </w:tr>
      <w:tr w:rsidR="004D4984" w14:paraId="33305F20" w14:textId="77777777">
        <w:trPr>
          <w:trHeight w:val="695"/>
        </w:trPr>
        <w:tc>
          <w:tcPr>
            <w:tcW w:w="3441"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1C"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Total Revenue</w:t>
            </w:r>
          </w:p>
        </w:tc>
        <w:tc>
          <w:tcPr>
            <w:tcW w:w="1968"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1D"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£520,000</w:t>
            </w:r>
          </w:p>
        </w:tc>
        <w:tc>
          <w:tcPr>
            <w:tcW w:w="1968"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1E"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£480,000</w:t>
            </w:r>
          </w:p>
        </w:tc>
        <w:tc>
          <w:tcPr>
            <w:tcW w:w="1981"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33305F1F"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£430,000</w:t>
            </w:r>
          </w:p>
        </w:tc>
      </w:tr>
      <w:tr w:rsidR="004D4984" w14:paraId="33305F25" w14:textId="77777777">
        <w:trPr>
          <w:trHeight w:val="695"/>
        </w:trPr>
        <w:tc>
          <w:tcPr>
            <w:tcW w:w="3441"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21"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Operating Expenses</w:t>
            </w:r>
          </w:p>
        </w:tc>
        <w:tc>
          <w:tcPr>
            <w:tcW w:w="1968"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22"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£390,000</w:t>
            </w:r>
          </w:p>
        </w:tc>
        <w:tc>
          <w:tcPr>
            <w:tcW w:w="1968"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23"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£400,000</w:t>
            </w:r>
          </w:p>
        </w:tc>
        <w:tc>
          <w:tcPr>
            <w:tcW w:w="1981"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33305F24"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£450,000</w:t>
            </w:r>
          </w:p>
        </w:tc>
      </w:tr>
      <w:tr w:rsidR="004D4984" w14:paraId="33305F2A" w14:textId="77777777">
        <w:trPr>
          <w:trHeight w:val="695"/>
        </w:trPr>
        <w:tc>
          <w:tcPr>
            <w:tcW w:w="3441"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26"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Gross Profit</w:t>
            </w:r>
          </w:p>
        </w:tc>
        <w:tc>
          <w:tcPr>
            <w:tcW w:w="1968"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27"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£130,000</w:t>
            </w:r>
          </w:p>
        </w:tc>
        <w:tc>
          <w:tcPr>
            <w:tcW w:w="1968"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28"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£80,000</w:t>
            </w:r>
          </w:p>
        </w:tc>
        <w:tc>
          <w:tcPr>
            <w:tcW w:w="1981"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33305F29"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£80,000</w:t>
            </w:r>
          </w:p>
        </w:tc>
      </w:tr>
      <w:tr w:rsidR="004D4984" w14:paraId="33305F2F" w14:textId="77777777">
        <w:trPr>
          <w:trHeight w:val="695"/>
        </w:trPr>
        <w:tc>
          <w:tcPr>
            <w:tcW w:w="3441"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2B"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Net Profit (Loss)</w:t>
            </w:r>
          </w:p>
        </w:tc>
        <w:tc>
          <w:tcPr>
            <w:tcW w:w="1968"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2C"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£78,000</w:t>
            </w:r>
          </w:p>
        </w:tc>
        <w:tc>
          <w:tcPr>
            <w:tcW w:w="1968"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2D"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£40,000</w:t>
            </w:r>
          </w:p>
        </w:tc>
        <w:tc>
          <w:tcPr>
            <w:tcW w:w="1981"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33305F2E"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£17,500</w:t>
            </w:r>
          </w:p>
        </w:tc>
      </w:tr>
      <w:tr w:rsidR="004D4984" w14:paraId="33305F34" w14:textId="77777777">
        <w:trPr>
          <w:trHeight w:val="1055"/>
        </w:trPr>
        <w:tc>
          <w:tcPr>
            <w:tcW w:w="3441"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30"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Net Profit Margin</w:t>
            </w:r>
          </w:p>
        </w:tc>
        <w:tc>
          <w:tcPr>
            <w:tcW w:w="1968"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31"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15%</w:t>
            </w:r>
          </w:p>
        </w:tc>
        <w:tc>
          <w:tcPr>
            <w:tcW w:w="1968"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32" w14:textId="77777777" w:rsidR="004D4984" w:rsidRDefault="00352C5A">
            <w:pPr>
              <w:spacing w:before="380" w:after="200" w:line="360" w:lineRule="auto"/>
              <w:jc w:val="both"/>
              <w:rPr>
                <w:rFonts w:ascii="Arial" w:eastAsia="Arial" w:hAnsi="Arial" w:cs="Arial"/>
                <w:sz w:val="24"/>
                <w:szCs w:val="24"/>
              </w:rPr>
            </w:pPr>
            <w:r>
              <w:rPr>
                <w:rFonts w:ascii="Arial" w:eastAsia="Arial" w:hAnsi="Arial" w:cs="Arial"/>
                <w:sz w:val="24"/>
                <w:szCs w:val="24"/>
              </w:rPr>
              <w:t>8%</w:t>
            </w:r>
          </w:p>
        </w:tc>
        <w:tc>
          <w:tcPr>
            <w:tcW w:w="1981"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33305F33" w14:textId="77777777" w:rsidR="004D4984" w:rsidRDefault="00352C5A">
            <w:pPr>
              <w:widowControl w:val="0"/>
              <w:pBdr>
                <w:top w:val="nil"/>
                <w:left w:val="nil"/>
                <w:bottom w:val="nil"/>
                <w:right w:val="nil"/>
                <w:between w:val="nil"/>
              </w:pBdr>
              <w:spacing w:after="200" w:line="360" w:lineRule="auto"/>
              <w:jc w:val="both"/>
              <w:rPr>
                <w:rFonts w:ascii="Arial" w:eastAsia="Arial" w:hAnsi="Arial" w:cs="Arial"/>
                <w:sz w:val="24"/>
                <w:szCs w:val="24"/>
              </w:rPr>
            </w:pPr>
            <w:r>
              <w:rPr>
                <w:rFonts w:ascii="Arial" w:eastAsia="Arial" w:hAnsi="Arial" w:cs="Arial"/>
                <w:sz w:val="24"/>
                <w:szCs w:val="24"/>
              </w:rPr>
              <w:t>4%</w:t>
            </w:r>
          </w:p>
        </w:tc>
      </w:tr>
    </w:tbl>
    <w:p w14:paraId="33305F35" w14:textId="77777777" w:rsidR="004D4984" w:rsidRDefault="00352C5A">
      <w:pPr>
        <w:pStyle w:val="Heading3"/>
        <w:spacing w:after="200" w:line="360" w:lineRule="auto"/>
        <w:jc w:val="both"/>
        <w:rPr>
          <w:rFonts w:ascii="Arial" w:eastAsia="Arial" w:hAnsi="Arial" w:cs="Arial"/>
          <w:b w:val="0"/>
        </w:rPr>
      </w:pPr>
      <w:bookmarkStart w:id="9" w:name="_heading=h.8shbkqfiaq14" w:colFirst="0" w:colLast="0"/>
      <w:bookmarkEnd w:id="9"/>
      <w:r>
        <w:rPr>
          <w:rFonts w:ascii="Arial" w:eastAsia="Arial" w:hAnsi="Arial" w:cs="Arial"/>
          <w:b w:val="0"/>
        </w:rPr>
        <w:t>Balance Sheet (End of 2022):</w:t>
      </w:r>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5665"/>
        <w:gridCol w:w="3695"/>
      </w:tblGrid>
      <w:tr w:rsidR="004D4984" w14:paraId="33305F38" w14:textId="77777777">
        <w:trPr>
          <w:trHeight w:val="710"/>
        </w:trPr>
        <w:tc>
          <w:tcPr>
            <w:tcW w:w="5664" w:type="dxa"/>
            <w:tcBorders>
              <w:top w:val="single" w:sz="5" w:space="0" w:color="D9D9E3"/>
              <w:left w:val="single" w:sz="5" w:space="0" w:color="D9D9E3"/>
              <w:bottom w:val="single" w:sz="5" w:space="0" w:color="D9D9E3"/>
              <w:right w:val="nil"/>
            </w:tcBorders>
            <w:tcMar>
              <w:top w:w="100" w:type="dxa"/>
              <w:left w:w="100" w:type="dxa"/>
              <w:bottom w:w="100" w:type="dxa"/>
              <w:right w:w="100" w:type="dxa"/>
            </w:tcMar>
            <w:vAlign w:val="bottom"/>
          </w:tcPr>
          <w:p w14:paraId="33305F36"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Item</w:t>
            </w:r>
          </w:p>
        </w:tc>
        <w:tc>
          <w:tcPr>
            <w:tcW w:w="3695" w:type="dxa"/>
            <w:tcBorders>
              <w:top w:val="single" w:sz="5" w:space="0" w:color="D9D9E3"/>
              <w:left w:val="single" w:sz="5" w:space="0" w:color="D9D9E3"/>
              <w:bottom w:val="single" w:sz="5" w:space="0" w:color="D9D9E3"/>
              <w:right w:val="single" w:sz="5" w:space="0" w:color="D9D9E3"/>
            </w:tcBorders>
            <w:tcMar>
              <w:top w:w="100" w:type="dxa"/>
              <w:left w:w="100" w:type="dxa"/>
              <w:bottom w:w="100" w:type="dxa"/>
              <w:right w:w="100" w:type="dxa"/>
            </w:tcMar>
            <w:vAlign w:val="bottom"/>
          </w:tcPr>
          <w:p w14:paraId="33305F37"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Amount</w:t>
            </w:r>
          </w:p>
        </w:tc>
      </w:tr>
      <w:tr w:rsidR="004D4984" w14:paraId="33305F3B" w14:textId="77777777">
        <w:trPr>
          <w:trHeight w:val="695"/>
        </w:trPr>
        <w:tc>
          <w:tcPr>
            <w:tcW w:w="5664"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39"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Total Assets</w:t>
            </w:r>
          </w:p>
        </w:tc>
        <w:tc>
          <w:tcPr>
            <w:tcW w:w="3695"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33305F3A"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£1,200,000</w:t>
            </w:r>
          </w:p>
        </w:tc>
      </w:tr>
      <w:tr w:rsidR="004D4984" w14:paraId="33305F3E" w14:textId="77777777">
        <w:trPr>
          <w:trHeight w:val="695"/>
        </w:trPr>
        <w:tc>
          <w:tcPr>
            <w:tcW w:w="5664"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3C"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 Current Assets</w:t>
            </w:r>
          </w:p>
        </w:tc>
        <w:tc>
          <w:tcPr>
            <w:tcW w:w="3695"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33305F3D"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£250,000</w:t>
            </w:r>
          </w:p>
        </w:tc>
      </w:tr>
      <w:tr w:rsidR="004D4984" w14:paraId="33305F41" w14:textId="77777777">
        <w:trPr>
          <w:trHeight w:val="695"/>
        </w:trPr>
        <w:tc>
          <w:tcPr>
            <w:tcW w:w="5664"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3F"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 Property &amp; Equip.</w:t>
            </w:r>
          </w:p>
        </w:tc>
        <w:tc>
          <w:tcPr>
            <w:tcW w:w="3695"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33305F40"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£800,000</w:t>
            </w:r>
          </w:p>
        </w:tc>
      </w:tr>
      <w:tr w:rsidR="004D4984" w14:paraId="33305F44" w14:textId="77777777">
        <w:trPr>
          <w:trHeight w:val="695"/>
        </w:trPr>
        <w:tc>
          <w:tcPr>
            <w:tcW w:w="5664"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42"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 Other Assets</w:t>
            </w:r>
          </w:p>
        </w:tc>
        <w:tc>
          <w:tcPr>
            <w:tcW w:w="3695"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33305F43"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£150,000</w:t>
            </w:r>
          </w:p>
        </w:tc>
      </w:tr>
      <w:tr w:rsidR="004D4984" w14:paraId="33305F47" w14:textId="77777777">
        <w:trPr>
          <w:trHeight w:val="695"/>
        </w:trPr>
        <w:tc>
          <w:tcPr>
            <w:tcW w:w="5664"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45"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Total Liabilities</w:t>
            </w:r>
          </w:p>
        </w:tc>
        <w:tc>
          <w:tcPr>
            <w:tcW w:w="3695"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33305F46"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£750,000</w:t>
            </w:r>
          </w:p>
        </w:tc>
      </w:tr>
      <w:tr w:rsidR="004D4984" w14:paraId="33305F4A" w14:textId="77777777">
        <w:trPr>
          <w:trHeight w:val="695"/>
        </w:trPr>
        <w:tc>
          <w:tcPr>
            <w:tcW w:w="5664"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48"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 Current Liabilities</w:t>
            </w:r>
          </w:p>
        </w:tc>
        <w:tc>
          <w:tcPr>
            <w:tcW w:w="3695"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33305F49"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£180,000</w:t>
            </w:r>
          </w:p>
        </w:tc>
      </w:tr>
      <w:tr w:rsidR="004D4984" w14:paraId="33305F4D" w14:textId="77777777">
        <w:trPr>
          <w:trHeight w:val="695"/>
        </w:trPr>
        <w:tc>
          <w:tcPr>
            <w:tcW w:w="5664"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4B"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 Long-term Debt</w:t>
            </w:r>
          </w:p>
        </w:tc>
        <w:tc>
          <w:tcPr>
            <w:tcW w:w="3695"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33305F4C"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£500,000</w:t>
            </w:r>
          </w:p>
        </w:tc>
      </w:tr>
      <w:tr w:rsidR="004D4984" w14:paraId="33305F50" w14:textId="77777777">
        <w:trPr>
          <w:trHeight w:val="695"/>
        </w:trPr>
        <w:tc>
          <w:tcPr>
            <w:tcW w:w="5664"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4E"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Equity</w:t>
            </w:r>
          </w:p>
        </w:tc>
        <w:tc>
          <w:tcPr>
            <w:tcW w:w="3695"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33305F4F"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£450,000</w:t>
            </w:r>
          </w:p>
        </w:tc>
      </w:tr>
    </w:tbl>
    <w:p w14:paraId="33305F51" w14:textId="77777777" w:rsidR="004D4984" w:rsidRDefault="004D4984">
      <w:pPr>
        <w:spacing w:after="200" w:line="360" w:lineRule="auto"/>
        <w:jc w:val="both"/>
        <w:rPr>
          <w:rFonts w:ascii="Arial" w:eastAsia="Arial" w:hAnsi="Arial" w:cs="Arial"/>
          <w:sz w:val="24"/>
          <w:szCs w:val="24"/>
        </w:rPr>
      </w:pPr>
    </w:p>
    <w:p w14:paraId="33305F52" w14:textId="77777777" w:rsidR="004D4984" w:rsidRDefault="00352C5A">
      <w:pPr>
        <w:pStyle w:val="Heading3"/>
        <w:spacing w:after="200" w:line="360" w:lineRule="auto"/>
        <w:jc w:val="both"/>
        <w:rPr>
          <w:rFonts w:ascii="Arial" w:eastAsia="Arial" w:hAnsi="Arial" w:cs="Arial"/>
          <w:b w:val="0"/>
        </w:rPr>
      </w:pPr>
      <w:bookmarkStart w:id="10" w:name="_heading=h.25l5xa3wpkxc" w:colFirst="0" w:colLast="0"/>
      <w:bookmarkEnd w:id="10"/>
      <w:r>
        <w:rPr>
          <w:rFonts w:ascii="Arial" w:eastAsia="Arial" w:hAnsi="Arial" w:cs="Arial"/>
          <w:b w:val="0"/>
        </w:rPr>
        <w:t>Cash Flow Analysis (2021):</w:t>
      </w:r>
    </w:p>
    <w:tbl>
      <w:tblPr>
        <w:tblStyle w:val="a1"/>
        <w:tblW w:w="9360" w:type="dxa"/>
        <w:tblBorders>
          <w:top w:val="nil"/>
          <w:left w:val="nil"/>
          <w:bottom w:val="nil"/>
          <w:right w:val="nil"/>
          <w:insideH w:val="nil"/>
          <w:insideV w:val="nil"/>
        </w:tblBorders>
        <w:tblLayout w:type="fixed"/>
        <w:tblLook w:val="0600" w:firstRow="0" w:lastRow="0" w:firstColumn="0" w:lastColumn="0" w:noHBand="1" w:noVBand="1"/>
      </w:tblPr>
      <w:tblGrid>
        <w:gridCol w:w="6615"/>
        <w:gridCol w:w="2745"/>
      </w:tblGrid>
      <w:tr w:rsidR="004D4984" w14:paraId="33305F55" w14:textId="77777777">
        <w:trPr>
          <w:trHeight w:val="710"/>
        </w:trPr>
        <w:tc>
          <w:tcPr>
            <w:tcW w:w="6614" w:type="dxa"/>
            <w:tcBorders>
              <w:top w:val="single" w:sz="5" w:space="0" w:color="D9D9E3"/>
              <w:left w:val="single" w:sz="5" w:space="0" w:color="D9D9E3"/>
              <w:bottom w:val="single" w:sz="5" w:space="0" w:color="D9D9E3"/>
              <w:right w:val="nil"/>
            </w:tcBorders>
            <w:tcMar>
              <w:top w:w="100" w:type="dxa"/>
              <w:left w:w="100" w:type="dxa"/>
              <w:bottom w:w="100" w:type="dxa"/>
              <w:right w:w="100" w:type="dxa"/>
            </w:tcMar>
            <w:vAlign w:val="bottom"/>
          </w:tcPr>
          <w:p w14:paraId="33305F53"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Item</w:t>
            </w:r>
          </w:p>
        </w:tc>
        <w:tc>
          <w:tcPr>
            <w:tcW w:w="2745" w:type="dxa"/>
            <w:tcBorders>
              <w:top w:val="single" w:sz="5" w:space="0" w:color="D9D9E3"/>
              <w:left w:val="single" w:sz="5" w:space="0" w:color="D9D9E3"/>
              <w:bottom w:val="single" w:sz="5" w:space="0" w:color="D9D9E3"/>
              <w:right w:val="single" w:sz="5" w:space="0" w:color="D9D9E3"/>
            </w:tcBorders>
            <w:tcMar>
              <w:top w:w="100" w:type="dxa"/>
              <w:left w:w="100" w:type="dxa"/>
              <w:bottom w:w="100" w:type="dxa"/>
              <w:right w:w="100" w:type="dxa"/>
            </w:tcMar>
            <w:vAlign w:val="bottom"/>
          </w:tcPr>
          <w:p w14:paraId="33305F54"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Amount</w:t>
            </w:r>
          </w:p>
        </w:tc>
      </w:tr>
      <w:tr w:rsidR="004D4984" w14:paraId="33305F58" w14:textId="77777777">
        <w:trPr>
          <w:trHeight w:val="695"/>
        </w:trPr>
        <w:tc>
          <w:tcPr>
            <w:tcW w:w="6614"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56"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Net Cash Flow from Operations</w:t>
            </w:r>
          </w:p>
        </w:tc>
        <w:tc>
          <w:tcPr>
            <w:tcW w:w="2745"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33305F57"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-£80,000</w:t>
            </w:r>
          </w:p>
        </w:tc>
      </w:tr>
      <w:tr w:rsidR="004D4984" w14:paraId="33305F5B" w14:textId="77777777">
        <w:trPr>
          <w:trHeight w:val="695"/>
        </w:trPr>
        <w:tc>
          <w:tcPr>
            <w:tcW w:w="6614"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59"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Capital Expenditures</w:t>
            </w:r>
          </w:p>
        </w:tc>
        <w:tc>
          <w:tcPr>
            <w:tcW w:w="2745"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33305F5A"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£30,000</w:t>
            </w:r>
          </w:p>
        </w:tc>
      </w:tr>
      <w:tr w:rsidR="004D4984" w14:paraId="33305F5E" w14:textId="77777777">
        <w:trPr>
          <w:trHeight w:val="695"/>
        </w:trPr>
        <w:tc>
          <w:tcPr>
            <w:tcW w:w="6614" w:type="dxa"/>
            <w:tcBorders>
              <w:top w:val="nil"/>
              <w:left w:val="single" w:sz="5" w:space="0" w:color="D9D9E3"/>
              <w:bottom w:val="single" w:sz="5" w:space="0" w:color="D9D9E3"/>
              <w:right w:val="nil"/>
            </w:tcBorders>
            <w:tcMar>
              <w:top w:w="100" w:type="dxa"/>
              <w:left w:w="100" w:type="dxa"/>
              <w:bottom w:w="100" w:type="dxa"/>
              <w:right w:w="100" w:type="dxa"/>
            </w:tcMar>
            <w:vAlign w:val="center"/>
          </w:tcPr>
          <w:p w14:paraId="33305F5C"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Net Cash Flow</w:t>
            </w:r>
          </w:p>
        </w:tc>
        <w:tc>
          <w:tcPr>
            <w:tcW w:w="2745" w:type="dxa"/>
            <w:tcBorders>
              <w:top w:val="nil"/>
              <w:left w:val="single" w:sz="5" w:space="0" w:color="D9D9E3"/>
              <w:bottom w:val="single" w:sz="5" w:space="0" w:color="D9D9E3"/>
              <w:right w:val="single" w:sz="5" w:space="0" w:color="D9D9E3"/>
            </w:tcBorders>
            <w:tcMar>
              <w:top w:w="100" w:type="dxa"/>
              <w:left w:w="100" w:type="dxa"/>
              <w:bottom w:w="100" w:type="dxa"/>
              <w:right w:w="100" w:type="dxa"/>
            </w:tcMar>
            <w:vAlign w:val="center"/>
          </w:tcPr>
          <w:p w14:paraId="33305F5D"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-£110,000</w:t>
            </w:r>
          </w:p>
        </w:tc>
      </w:tr>
    </w:tbl>
    <w:p w14:paraId="33305F5F" w14:textId="77777777" w:rsidR="004D4984" w:rsidRDefault="00352C5A">
      <w:pPr>
        <w:pStyle w:val="Heading3"/>
        <w:spacing w:after="200" w:line="360" w:lineRule="auto"/>
        <w:jc w:val="both"/>
        <w:rPr>
          <w:rFonts w:ascii="Arial" w:eastAsia="Arial" w:hAnsi="Arial" w:cs="Arial"/>
          <w:b w:val="0"/>
        </w:rPr>
      </w:pPr>
      <w:bookmarkStart w:id="11" w:name="_heading=h.n7wtjcq2r1nc" w:colFirst="0" w:colLast="0"/>
      <w:bookmarkEnd w:id="11"/>
      <w:r>
        <w:rPr>
          <w:rFonts w:ascii="Arial" w:eastAsia="Arial" w:hAnsi="Arial" w:cs="Arial"/>
          <w:b w:val="0"/>
        </w:rPr>
        <w:t>Additional Financial Information:</w:t>
      </w:r>
    </w:p>
    <w:p w14:paraId="33305F60"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Further financial measures offer more information.</w:t>
      </w:r>
    </w:p>
    <w:p w14:paraId="33305F61" w14:textId="77777777" w:rsidR="004D4984" w:rsidRDefault="00352C5A">
      <w:pPr>
        <w:numPr>
          <w:ilvl w:val="0"/>
          <w:numId w:val="4"/>
        </w:numPr>
        <w:spacing w:after="0" w:line="360" w:lineRule="auto"/>
        <w:jc w:val="both"/>
        <w:rPr>
          <w:rFonts w:ascii="Arial" w:eastAsia="Arial" w:hAnsi="Arial" w:cs="Arial"/>
          <w:sz w:val="24"/>
          <w:szCs w:val="24"/>
        </w:rPr>
      </w:pPr>
      <w:r>
        <w:rPr>
          <w:rFonts w:ascii="Arial" w:eastAsia="Arial" w:hAnsi="Arial" w:cs="Arial"/>
          <w:sz w:val="24"/>
          <w:szCs w:val="24"/>
        </w:rPr>
        <w:t>In 2022, the Average Room Rate (ARR) decreased to £210 from £250 in 2020.</w:t>
      </w:r>
    </w:p>
    <w:p w14:paraId="33305F62" w14:textId="77777777" w:rsidR="004D4984" w:rsidRDefault="00352C5A">
      <w:pPr>
        <w:numPr>
          <w:ilvl w:val="0"/>
          <w:numId w:val="4"/>
        </w:numPr>
        <w:spacing w:after="200" w:line="360" w:lineRule="auto"/>
        <w:jc w:val="both"/>
        <w:rPr>
          <w:rFonts w:ascii="Arial" w:eastAsia="Arial" w:hAnsi="Arial" w:cs="Arial"/>
          <w:sz w:val="24"/>
          <w:szCs w:val="24"/>
        </w:rPr>
      </w:pPr>
      <w:r>
        <w:rPr>
          <w:rFonts w:ascii="Arial" w:eastAsia="Arial" w:hAnsi="Arial" w:cs="Arial"/>
          <w:sz w:val="24"/>
          <w:szCs w:val="24"/>
        </w:rPr>
        <w:t>Occupancy rates decreased from 70% in 2020 to 60% in 2022, suggesting a dwindling clientele.</w:t>
      </w:r>
    </w:p>
    <w:p w14:paraId="33305F63" w14:textId="77777777" w:rsidR="004D4984" w:rsidRDefault="00352C5A">
      <w:pPr>
        <w:pStyle w:val="Heading2"/>
        <w:spacing w:after="200" w:line="360" w:lineRule="auto"/>
        <w:jc w:val="both"/>
        <w:rPr>
          <w:rFonts w:ascii="Arial" w:eastAsia="Arial" w:hAnsi="Arial" w:cs="Arial"/>
          <w:b w:val="0"/>
        </w:rPr>
      </w:pPr>
      <w:bookmarkStart w:id="12" w:name="_heading=h.si1lmw43dc9e" w:colFirst="0" w:colLast="0"/>
      <w:bookmarkEnd w:id="12"/>
      <w:r>
        <w:rPr>
          <w:rFonts w:ascii="Arial" w:eastAsia="Arial" w:hAnsi="Arial" w:cs="Arial"/>
          <w:b w:val="0"/>
        </w:rPr>
        <w:t>Key Reasons for Decline:</w:t>
      </w:r>
    </w:p>
    <w:p w14:paraId="33305F64" w14:textId="77777777" w:rsidR="004D4984" w:rsidRDefault="00352C5A">
      <w:pPr>
        <w:pStyle w:val="Heading3"/>
        <w:numPr>
          <w:ilvl w:val="0"/>
          <w:numId w:val="1"/>
        </w:numPr>
        <w:spacing w:after="200" w:line="360" w:lineRule="auto"/>
        <w:jc w:val="both"/>
        <w:rPr>
          <w:rFonts w:ascii="Arial" w:eastAsia="Arial" w:hAnsi="Arial" w:cs="Arial"/>
          <w:b w:val="0"/>
        </w:rPr>
      </w:pPr>
      <w:bookmarkStart w:id="13" w:name="_heading=h.6auno0b8jfp5" w:colFirst="0" w:colLast="0"/>
      <w:bookmarkEnd w:id="13"/>
      <w:r>
        <w:rPr>
          <w:rFonts w:ascii="Arial" w:eastAsia="Arial" w:hAnsi="Arial" w:cs="Arial"/>
          <w:b w:val="0"/>
        </w:rPr>
        <w:t xml:space="preserve">Competitive Landscape: </w:t>
      </w:r>
    </w:p>
    <w:p w14:paraId="33305F65"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The Seaview Resort's market share and competitiveness have been significantly impacted by the rise of modern resorts in the area. A competitive landscape analysis is crucial for product teams to understand all alternatives to their product. It involves following competitors, creating a comparison matrix, and adding alternative solutions. This helps identify market goals, frustrations, and problems and considers alternative solutions like market surveys.</w:t>
      </w:r>
    </w:p>
    <w:p w14:paraId="33305F66" w14:textId="77777777" w:rsidR="004D4984" w:rsidRDefault="00352C5A">
      <w:pPr>
        <w:pStyle w:val="Heading3"/>
        <w:numPr>
          <w:ilvl w:val="0"/>
          <w:numId w:val="1"/>
        </w:numPr>
        <w:spacing w:after="200" w:line="360" w:lineRule="auto"/>
        <w:jc w:val="both"/>
        <w:rPr>
          <w:b w:val="0"/>
        </w:rPr>
      </w:pPr>
      <w:bookmarkStart w:id="14" w:name="_heading=h.rix3a3ql4e3" w:colFirst="0" w:colLast="0"/>
      <w:bookmarkEnd w:id="14"/>
      <w:r>
        <w:rPr>
          <w:rFonts w:ascii="Arial" w:eastAsia="Arial" w:hAnsi="Arial" w:cs="Arial"/>
          <w:b w:val="0"/>
        </w:rPr>
        <w:t>Outdated Amenities:</w:t>
      </w:r>
      <w:r>
        <w:rPr>
          <w:b w:val="0"/>
        </w:rPr>
        <w:t xml:space="preserve"> </w:t>
      </w:r>
    </w:p>
    <w:p w14:paraId="33305F67"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The Seaview Resort's outdated facilities are a significant issue, indicating a lack of adaptability to industry standards and modern travelers' expectations. Condo communities should repurpose outdated amenities to stay competitive and maintain value. Tips include reviewing documents and insurance policies, creating project plans, communicating with residents, and maintaining transparency.</w:t>
      </w:r>
    </w:p>
    <w:p w14:paraId="33305F68" w14:textId="77777777" w:rsidR="004D4984" w:rsidRDefault="00352C5A">
      <w:pPr>
        <w:pStyle w:val="Heading3"/>
        <w:numPr>
          <w:ilvl w:val="0"/>
          <w:numId w:val="1"/>
        </w:numPr>
        <w:spacing w:after="200" w:line="360" w:lineRule="auto"/>
        <w:jc w:val="both"/>
        <w:rPr>
          <w:rFonts w:ascii="Arial" w:eastAsia="Arial" w:hAnsi="Arial" w:cs="Arial"/>
          <w:b w:val="0"/>
        </w:rPr>
      </w:pPr>
      <w:bookmarkStart w:id="15" w:name="_heading=h.p7jdhy9xe0g3" w:colFirst="0" w:colLast="0"/>
      <w:bookmarkEnd w:id="15"/>
      <w:r>
        <w:rPr>
          <w:rFonts w:ascii="Arial" w:eastAsia="Arial" w:hAnsi="Arial" w:cs="Arial"/>
          <w:b w:val="0"/>
        </w:rPr>
        <w:t>Financial Mismanagement</w:t>
      </w:r>
    </w:p>
    <w:p w14:paraId="33305F69"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The negative cash flow and declining net profit margins suggest potential financial mismanagement, possibly due to cost control, pricing strategies, or investment decisions. Financial mismanagement can harm a company or individual's financial situation. To avoid financial difficulties, prioritize saving over spending and adopt a 'pay yourself first strategy .'This involves setting aside money each month and avoiding unnecessary payments. Living within a budget can potentially result in increased debt and stress. Experts recommend keeping three months' expenses in a bank account to avoid a vicious cycle and maintain a healthy financial situation.</w:t>
      </w:r>
    </w:p>
    <w:p w14:paraId="33305F6A" w14:textId="77777777" w:rsidR="004D4984" w:rsidRDefault="00352C5A">
      <w:pPr>
        <w:pStyle w:val="Heading2"/>
        <w:spacing w:after="200" w:line="360" w:lineRule="auto"/>
        <w:jc w:val="both"/>
        <w:rPr>
          <w:rFonts w:ascii="Arial" w:eastAsia="Arial" w:hAnsi="Arial" w:cs="Arial"/>
          <w:b w:val="0"/>
        </w:rPr>
      </w:pPr>
      <w:bookmarkStart w:id="16" w:name="_heading=h.hvl5aqeiu0ba" w:colFirst="0" w:colLast="0"/>
      <w:bookmarkEnd w:id="16"/>
      <w:r>
        <w:rPr>
          <w:rFonts w:ascii="Arial" w:eastAsia="Arial" w:hAnsi="Arial" w:cs="Arial"/>
          <w:b w:val="0"/>
        </w:rPr>
        <w:t>Comprehensive Turnaround Strategy</w:t>
      </w:r>
    </w:p>
    <w:p w14:paraId="33305F6B" w14:textId="77777777" w:rsidR="004D4984" w:rsidRDefault="00352C5A">
      <w:pPr>
        <w:pStyle w:val="Heading3"/>
        <w:numPr>
          <w:ilvl w:val="0"/>
          <w:numId w:val="2"/>
        </w:numPr>
        <w:spacing w:after="200" w:line="360" w:lineRule="auto"/>
        <w:jc w:val="both"/>
        <w:rPr>
          <w:rFonts w:ascii="Arial" w:eastAsia="Arial" w:hAnsi="Arial" w:cs="Arial"/>
          <w:b w:val="0"/>
        </w:rPr>
      </w:pPr>
      <w:bookmarkStart w:id="17" w:name="_heading=h.60iyip8v9gcv" w:colFirst="0" w:colLast="0"/>
      <w:bookmarkEnd w:id="17"/>
      <w:r>
        <w:rPr>
          <w:rFonts w:ascii="Arial" w:eastAsia="Arial" w:hAnsi="Arial" w:cs="Arial"/>
          <w:b w:val="0"/>
        </w:rPr>
        <w:t>Market Positioning and Differentiation:</w:t>
      </w:r>
    </w:p>
    <w:p w14:paraId="33305F6C"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 xml:space="preserve">The company is reevaluating its target market, adjusting services to current trends, and investing in amenities to improve guest experience, using brand differentiation and positioning strategies to gain a competitive advantage. Positioning is a crucial marketing strategy that affects a company's profitability and long-term survival. As Michael Porter suggests, it involves acquiring a customer's mind based on product and brand attributes and differentiates products to stand out from competitors. </w:t>
      </w:r>
    </w:p>
    <w:p w14:paraId="33305F6D" w14:textId="77777777" w:rsidR="004D4984" w:rsidRDefault="00352C5A">
      <w:pPr>
        <w:pStyle w:val="Heading3"/>
        <w:numPr>
          <w:ilvl w:val="0"/>
          <w:numId w:val="2"/>
        </w:numPr>
        <w:spacing w:after="200" w:line="360" w:lineRule="auto"/>
        <w:jc w:val="both"/>
        <w:rPr>
          <w:rFonts w:ascii="Arial" w:eastAsia="Arial" w:hAnsi="Arial" w:cs="Arial"/>
          <w:b w:val="0"/>
        </w:rPr>
      </w:pPr>
      <w:bookmarkStart w:id="18" w:name="_heading=h.d9vim8mv8x6f" w:colFirst="0" w:colLast="0"/>
      <w:bookmarkEnd w:id="18"/>
      <w:r>
        <w:rPr>
          <w:rFonts w:ascii="Arial" w:eastAsia="Arial" w:hAnsi="Arial" w:cs="Arial"/>
          <w:b w:val="0"/>
        </w:rPr>
        <w:t>Financial Restructuring:</w:t>
      </w:r>
    </w:p>
    <w:p w14:paraId="33305F6E"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Negotiate with creditors to restructure current liabilities and explore refinancing options for long-term debt to reduce interest burdens and improve debt management. Financial restructuring is crucial for businesses to prevent losses and manage cash flow. It involves cost reduction or asset sales, analyzing short- and long-term financial needs, identifying stakeholders, creating multiple plans, and proposing effective processes. Debt restructuring involves rearranging assets or liabilities, replacing high-cost debt with lower-cost borrowings, addressing liquidity issues, or improving working capital.</w:t>
      </w:r>
    </w:p>
    <w:p w14:paraId="33305F6F" w14:textId="77777777" w:rsidR="004D4984" w:rsidRDefault="00352C5A">
      <w:pPr>
        <w:pStyle w:val="Heading3"/>
        <w:numPr>
          <w:ilvl w:val="0"/>
          <w:numId w:val="2"/>
        </w:numPr>
        <w:spacing w:after="200" w:line="360" w:lineRule="auto"/>
        <w:jc w:val="both"/>
        <w:rPr>
          <w:rFonts w:ascii="Arial" w:eastAsia="Arial" w:hAnsi="Arial" w:cs="Arial"/>
          <w:b w:val="0"/>
        </w:rPr>
      </w:pPr>
      <w:bookmarkStart w:id="19" w:name="_heading=h.8g5p5zm8j4ml" w:colFirst="0" w:colLast="0"/>
      <w:bookmarkEnd w:id="19"/>
      <w:r>
        <w:rPr>
          <w:rFonts w:ascii="Arial" w:eastAsia="Arial" w:hAnsi="Arial" w:cs="Arial"/>
          <w:b w:val="0"/>
        </w:rPr>
        <w:t>Operational Efficiency:</w:t>
      </w:r>
    </w:p>
    <w:p w14:paraId="33305F70"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Perform a comprehensive operational audit to identify inefficiencies and implement cost-saving measures while introducing technology solutions like modern reservation systems and mobile check-ins for enhanced customer service. Operational efficiency is an organization's ability to reduce waste while producing high-quality services or products. It's determined by streamlining processes, focusing on resource utilization, and minimizing waste. Companies should adjust inputs and outputs, monitor performance, and create benchmarks to improve efficiency. Measuring efficiency involves tracking metrics like automation accuracy and customer satisfaction.</w:t>
      </w:r>
    </w:p>
    <w:p w14:paraId="33305F71" w14:textId="77777777" w:rsidR="004D4984" w:rsidRDefault="00352C5A">
      <w:pPr>
        <w:pStyle w:val="Heading3"/>
        <w:numPr>
          <w:ilvl w:val="0"/>
          <w:numId w:val="2"/>
        </w:numPr>
        <w:spacing w:after="200" w:line="360" w:lineRule="auto"/>
        <w:jc w:val="both"/>
        <w:rPr>
          <w:rFonts w:ascii="Arial" w:eastAsia="Arial" w:hAnsi="Arial" w:cs="Arial"/>
          <w:b w:val="0"/>
        </w:rPr>
      </w:pPr>
      <w:bookmarkStart w:id="20" w:name="_heading=h.3xi480xk91sq" w:colFirst="0" w:colLast="0"/>
      <w:bookmarkEnd w:id="20"/>
      <w:r>
        <w:rPr>
          <w:rFonts w:ascii="Arial" w:eastAsia="Arial" w:hAnsi="Arial" w:cs="Arial"/>
          <w:b w:val="0"/>
        </w:rPr>
        <w:t>Marketing and Branding:</w:t>
      </w:r>
    </w:p>
    <w:p w14:paraId="33305F72"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 xml:space="preserve">Create a solid online presence, utilize social media and digital marketing strategies to expand the resort's reach, leveraging positive customer reviews and proactively managing online reviews. Branding and marketing are often confused but are powerful business concepts. Branding defines a company's values, mission, and identity through logos, colors, and thematic designs, while marketing uses this identity to promote and monetize products or services. Brand equity is the boosted value a company's products receive due to a recognizable name, generated through marketing actions and consistent delivery of the brand experience. </w:t>
      </w:r>
    </w:p>
    <w:p w14:paraId="33305F73" w14:textId="77777777" w:rsidR="004D4984" w:rsidRDefault="00352C5A">
      <w:pPr>
        <w:pStyle w:val="Heading3"/>
        <w:numPr>
          <w:ilvl w:val="0"/>
          <w:numId w:val="2"/>
        </w:numPr>
        <w:spacing w:after="200" w:line="360" w:lineRule="auto"/>
        <w:jc w:val="both"/>
        <w:rPr>
          <w:rFonts w:ascii="Arial" w:eastAsia="Arial" w:hAnsi="Arial" w:cs="Arial"/>
          <w:b w:val="0"/>
        </w:rPr>
      </w:pPr>
      <w:bookmarkStart w:id="21" w:name="_heading=h.d9tn82a5nxxd" w:colFirst="0" w:colLast="0"/>
      <w:bookmarkEnd w:id="21"/>
      <w:r>
        <w:rPr>
          <w:rFonts w:ascii="Arial" w:eastAsia="Arial" w:hAnsi="Arial" w:cs="Arial"/>
          <w:b w:val="0"/>
        </w:rPr>
        <w:t>Revenue Diversification:</w:t>
      </w:r>
    </w:p>
    <w:p w14:paraId="33305F74"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Introduce experiential packages, partnerships with local attractions, wellness programs, and curated experiences to attract a wider audience, and collaborate with local businesses for mutually beneficial deals. Revenue diversification is a strategy used by companies such as Uber, Amazon, and Netflix to create new product lines, enter new markets, and offer extra services to stay competitive. This makes it possible for companies to embrace new technology, adjust to shifting customer needs, and maintain their competitiveness. Increased cash flow, higher net revenue retention, better customer retention, lower acquisition costs, a stronger brand presence, higher customer lifetime value, and the possibility of new product development and expansion are all advantages of revenue diversification.</w:t>
      </w:r>
    </w:p>
    <w:p w14:paraId="33305F75" w14:textId="77777777" w:rsidR="004D4984" w:rsidRDefault="00352C5A">
      <w:pPr>
        <w:pStyle w:val="Heading3"/>
        <w:numPr>
          <w:ilvl w:val="0"/>
          <w:numId w:val="2"/>
        </w:numPr>
        <w:spacing w:after="200" w:line="360" w:lineRule="auto"/>
        <w:jc w:val="both"/>
        <w:rPr>
          <w:rFonts w:ascii="Arial" w:eastAsia="Arial" w:hAnsi="Arial" w:cs="Arial"/>
          <w:b w:val="0"/>
        </w:rPr>
      </w:pPr>
      <w:bookmarkStart w:id="22" w:name="_heading=h.h6ya6l8ruu9o" w:colFirst="0" w:colLast="0"/>
      <w:bookmarkEnd w:id="22"/>
      <w:r>
        <w:rPr>
          <w:rFonts w:ascii="Arial" w:eastAsia="Arial" w:hAnsi="Arial" w:cs="Arial"/>
          <w:b w:val="0"/>
        </w:rPr>
        <w:t>Staff Training and Engagement:</w:t>
      </w:r>
    </w:p>
    <w:p w14:paraId="33305F76"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Invest in staff training programs to raise the caliber of services and satisfy the needs of contemporary travelers while creating a happy workplace environment that promotes worker engagement and happiness. Employee engagement is crucial for organizations to deliver better customer service and secure their future. Factors influencing engagement include value, communication, wealth, wellness, workspace, roles, relationships, recognition, incentives, and personal growth. Employers must tap into emotional attachment to retain staff and provide a meaningful work experience. Staff training is essential for personal and professional growth. A study found that 80% of surveyed employees felt more engaged at work, and a more engaged workforce leads to better customer service.</w:t>
      </w:r>
    </w:p>
    <w:p w14:paraId="33305F77" w14:textId="77777777" w:rsidR="004D4984" w:rsidRDefault="00352C5A">
      <w:pPr>
        <w:pStyle w:val="Heading3"/>
        <w:numPr>
          <w:ilvl w:val="0"/>
          <w:numId w:val="2"/>
        </w:numPr>
        <w:spacing w:after="200" w:line="360" w:lineRule="auto"/>
        <w:jc w:val="both"/>
        <w:rPr>
          <w:rFonts w:ascii="Arial" w:eastAsia="Arial" w:hAnsi="Arial" w:cs="Arial"/>
          <w:b w:val="0"/>
        </w:rPr>
      </w:pPr>
      <w:bookmarkStart w:id="23" w:name="_heading=h.edn3tvz7gcfu" w:colFirst="0" w:colLast="0"/>
      <w:bookmarkEnd w:id="23"/>
      <w:r>
        <w:rPr>
          <w:rFonts w:ascii="Arial" w:eastAsia="Arial" w:hAnsi="Arial" w:cs="Arial"/>
          <w:b w:val="0"/>
        </w:rPr>
        <w:t>Financial Monitoring and Reporting:</w:t>
      </w:r>
    </w:p>
    <w:p w14:paraId="33305F78"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Implement a robust financial monitoring system to track KPIs, analyze revenue, expense categories, and occupancy rates, and review reports regularly to identify potential issues and make informed decisions.</w:t>
      </w:r>
    </w:p>
    <w:p w14:paraId="33305F79" w14:textId="77777777" w:rsidR="004D4984" w:rsidRDefault="00352C5A">
      <w:pPr>
        <w:pStyle w:val="Heading2"/>
        <w:spacing w:after="200" w:line="360" w:lineRule="auto"/>
        <w:jc w:val="both"/>
        <w:rPr>
          <w:rFonts w:ascii="Arial" w:eastAsia="Arial" w:hAnsi="Arial" w:cs="Arial"/>
          <w:b w:val="0"/>
        </w:rPr>
      </w:pPr>
      <w:bookmarkStart w:id="24" w:name="_heading=h.jyv0xh3an7gj" w:colFirst="0" w:colLast="0"/>
      <w:bookmarkEnd w:id="24"/>
      <w:r>
        <w:rPr>
          <w:rFonts w:ascii="Arial" w:eastAsia="Arial" w:hAnsi="Arial" w:cs="Arial"/>
          <w:b w:val="0"/>
        </w:rPr>
        <w:t>Expected Financial Outcomes</w:t>
      </w:r>
    </w:p>
    <w:p w14:paraId="33305F7A" w14:textId="77777777" w:rsidR="004D4984" w:rsidRDefault="00352C5A">
      <w:pPr>
        <w:spacing w:after="200" w:line="360" w:lineRule="auto"/>
        <w:jc w:val="both"/>
        <w:rPr>
          <w:rFonts w:ascii="Arial" w:eastAsia="Arial" w:hAnsi="Arial" w:cs="Arial"/>
          <w:sz w:val="24"/>
          <w:szCs w:val="24"/>
        </w:rPr>
      </w:pPr>
      <w:r>
        <w:rPr>
          <w:rFonts w:ascii="Arial" w:eastAsia="Arial" w:hAnsi="Arial" w:cs="Arial"/>
          <w:sz w:val="24"/>
          <w:szCs w:val="24"/>
        </w:rPr>
        <w:t>Expected value (EV) is an investment's future average value, calculated by multiplying possible outcomes by likelihood, helping investors choose the most likely scenario. A financial plan is a strategic plan that outlines steps to generate future income and cover expenses, helping a company meet growth or profit goals. It covers various aspects of an individual's financial life, from investing to taxes. Financial forecasting is crucial for business success, while for individuals, it helps create a financial plan that includes saving, investing, or planning for additional income. Implementing the proposed turnaround strategy is anticipated to yield several positive financial outcomes:</w:t>
      </w:r>
    </w:p>
    <w:p w14:paraId="33305F7B" w14:textId="77777777" w:rsidR="004D4984" w:rsidRDefault="00352C5A">
      <w:pPr>
        <w:numPr>
          <w:ilvl w:val="0"/>
          <w:numId w:val="3"/>
        </w:numPr>
        <w:spacing w:after="0" w:line="360" w:lineRule="auto"/>
        <w:jc w:val="both"/>
        <w:rPr>
          <w:rFonts w:ascii="Arial" w:eastAsia="Arial" w:hAnsi="Arial" w:cs="Arial"/>
          <w:sz w:val="24"/>
          <w:szCs w:val="24"/>
        </w:rPr>
      </w:pPr>
      <w:r>
        <w:rPr>
          <w:rFonts w:ascii="Arial" w:eastAsia="Arial" w:hAnsi="Arial" w:cs="Arial"/>
          <w:b/>
          <w:sz w:val="24"/>
          <w:szCs w:val="24"/>
        </w:rPr>
        <w:t>Revenue Growth:</w:t>
      </w:r>
      <w:r>
        <w:rPr>
          <w:rFonts w:ascii="Arial" w:eastAsia="Arial" w:hAnsi="Arial" w:cs="Arial"/>
          <w:sz w:val="24"/>
          <w:szCs w:val="24"/>
        </w:rPr>
        <w:t xml:space="preserve"> Realigning services with current trends, upgrading amenities, and adopting effective marketing strategies, the resort is expected to arrest the decline in revenue and gradually achieve growth. Revenue growth is a crucial metric for small businesses, guiding strategies in customer acquisition, retention, human resources, marketing, pricing, professional development, and sales to identify challenges and improve earnings. </w:t>
      </w:r>
    </w:p>
    <w:p w14:paraId="33305F7C" w14:textId="77777777" w:rsidR="004D4984" w:rsidRDefault="00352C5A">
      <w:pPr>
        <w:numPr>
          <w:ilvl w:val="0"/>
          <w:numId w:val="3"/>
        </w:numPr>
        <w:spacing w:after="0" w:line="360" w:lineRule="auto"/>
        <w:jc w:val="both"/>
        <w:rPr>
          <w:rFonts w:ascii="Arial" w:eastAsia="Arial" w:hAnsi="Arial" w:cs="Arial"/>
          <w:sz w:val="24"/>
          <w:szCs w:val="24"/>
        </w:rPr>
      </w:pPr>
      <w:r>
        <w:rPr>
          <w:rFonts w:ascii="Arial" w:eastAsia="Arial" w:hAnsi="Arial" w:cs="Arial"/>
          <w:b/>
          <w:sz w:val="24"/>
          <w:szCs w:val="24"/>
        </w:rPr>
        <w:t xml:space="preserve">Improved Profitability: </w:t>
      </w:r>
      <w:r>
        <w:rPr>
          <w:rFonts w:ascii="Arial" w:eastAsia="Arial" w:hAnsi="Arial" w:cs="Arial"/>
          <w:sz w:val="24"/>
          <w:szCs w:val="24"/>
        </w:rPr>
        <w:t xml:space="preserve">Operational efficiency measures and strategic initiatives should increase net profit margins. Cost savings and revenue growth will lead to improved overall profitability. This guide suggests four strategies to boost business profitability: reducing costs, increasing turnover, increasing productivity, and increasing efficiency. It suggests managing costs, reviewing offerings, focusing on the Pareto principle, selling more to profitable customers, negotiating with suppliers, and expanding markets. </w:t>
      </w:r>
    </w:p>
    <w:p w14:paraId="33305F7D" w14:textId="77777777" w:rsidR="004D4984" w:rsidRDefault="00352C5A">
      <w:pPr>
        <w:numPr>
          <w:ilvl w:val="0"/>
          <w:numId w:val="3"/>
        </w:numPr>
        <w:spacing w:after="200" w:line="360" w:lineRule="auto"/>
        <w:jc w:val="both"/>
        <w:rPr>
          <w:rFonts w:ascii="Arial" w:eastAsia="Arial" w:hAnsi="Arial" w:cs="Arial"/>
          <w:sz w:val="24"/>
          <w:szCs w:val="24"/>
        </w:rPr>
      </w:pPr>
      <w:r>
        <w:rPr>
          <w:rFonts w:ascii="Arial" w:eastAsia="Arial" w:hAnsi="Arial" w:cs="Arial"/>
          <w:b/>
          <w:sz w:val="24"/>
          <w:szCs w:val="24"/>
        </w:rPr>
        <w:t>Enhanced Reputation:</w:t>
      </w:r>
      <w:r>
        <w:rPr>
          <w:rFonts w:ascii="Arial" w:eastAsia="Arial" w:hAnsi="Arial" w:cs="Arial"/>
          <w:sz w:val="24"/>
          <w:szCs w:val="24"/>
        </w:rPr>
        <w:t xml:space="preserve"> Investments in customer experience, upgraded facilities, and proactive online reputation management are anticipated to elevate The Seaview Resort's reputation. Positive word-of-mouth and online reviews will attract a more discerning clientele, contributing to sustained success. Igniyte, a global online reputation management company, reports that one in three UK businesses is losing over £500,000 due to hostile content, including bad press, poor reviews, and social media posts. To maintain a strong reputation, businesses should focus on customer service, transparency, and fair responses.</w:t>
      </w:r>
    </w:p>
    <w:p w14:paraId="33305F7E" w14:textId="77777777" w:rsidR="004D4984" w:rsidRDefault="00352C5A">
      <w:pPr>
        <w:pStyle w:val="Heading2"/>
        <w:spacing w:after="200" w:line="360" w:lineRule="auto"/>
        <w:jc w:val="both"/>
        <w:rPr>
          <w:rFonts w:ascii="Arial" w:eastAsia="Arial" w:hAnsi="Arial" w:cs="Arial"/>
          <w:b w:val="0"/>
        </w:rPr>
      </w:pPr>
      <w:bookmarkStart w:id="25" w:name="_heading=h.sradjzl8nbk7" w:colFirst="0" w:colLast="0"/>
      <w:bookmarkEnd w:id="25"/>
      <w:r>
        <w:rPr>
          <w:rFonts w:ascii="Arial" w:eastAsia="Arial" w:hAnsi="Arial" w:cs="Arial"/>
          <w:b w:val="0"/>
        </w:rPr>
        <w:t>Conclusion</w:t>
      </w:r>
    </w:p>
    <w:p w14:paraId="33305F7F" w14:textId="77777777" w:rsidR="004D4984" w:rsidRDefault="00352C5A">
      <w:pPr>
        <w:spacing w:after="200" w:line="360" w:lineRule="auto"/>
        <w:jc w:val="both"/>
      </w:pPr>
      <w:r>
        <w:rPr>
          <w:rFonts w:ascii="Arial" w:eastAsia="Arial" w:hAnsi="Arial" w:cs="Arial"/>
          <w:sz w:val="24"/>
          <w:szCs w:val="24"/>
        </w:rPr>
        <w:t>The Seaview Resort faces challenges in a competitive market, changing customer preferences, and operational issues. A comprehensive turnaround strategy can revitalize financial health and reclaim its position as a luxury retreat. Addressing outdated amenities, financial mismanagement, and adapting to market trends will ensure success. This handout discusses the importance of conclusions in a reader's experience, offers strategies for writing effective ones, evaluates conclusions, and suggests avoidances. Practical conclusions include the "So What" Game, revisiting themes and presenting provocative insights, while ineffective ones include "That's My Story."</w:t>
      </w:r>
      <w:r>
        <w:rPr>
          <w:rFonts w:ascii="Arial" w:eastAsia="Arial" w:hAnsi="Arial" w:cs="Arial"/>
          <w:sz w:val="24"/>
          <w:szCs w:val="24"/>
        </w:rPr>
        <w:br/>
      </w:r>
      <w:r>
        <w:br w:type="page"/>
      </w:r>
    </w:p>
    <w:p w14:paraId="33305F80" w14:textId="77777777" w:rsidR="004D4984" w:rsidRDefault="00352C5A">
      <w:pPr>
        <w:pStyle w:val="Heading2"/>
        <w:spacing w:after="200" w:line="360" w:lineRule="auto"/>
        <w:jc w:val="both"/>
        <w:rPr>
          <w:rFonts w:ascii="Arial" w:eastAsia="Arial" w:hAnsi="Arial" w:cs="Arial"/>
          <w:b w:val="0"/>
        </w:rPr>
      </w:pPr>
      <w:bookmarkStart w:id="26" w:name="_heading=h.6m8wg8lehyya" w:colFirst="0" w:colLast="0"/>
      <w:bookmarkEnd w:id="26"/>
      <w:r>
        <w:rPr>
          <w:rFonts w:ascii="Arial" w:eastAsia="Arial" w:hAnsi="Arial" w:cs="Arial"/>
          <w:b w:val="0"/>
        </w:rPr>
        <w:t xml:space="preserve">Reference: </w:t>
      </w:r>
    </w:p>
    <w:p w14:paraId="33305F81" w14:textId="77777777" w:rsidR="004D4984" w:rsidRDefault="00352C5A">
      <w:pPr>
        <w:numPr>
          <w:ilvl w:val="0"/>
          <w:numId w:val="5"/>
        </w:numPr>
        <w:spacing w:after="0" w:line="360" w:lineRule="auto"/>
        <w:jc w:val="both"/>
        <w:rPr>
          <w:rFonts w:ascii="Arial" w:eastAsia="Arial" w:hAnsi="Arial" w:cs="Arial"/>
        </w:rPr>
      </w:pPr>
      <w:r>
        <w:rPr>
          <w:rFonts w:ascii="Arial" w:eastAsia="Arial" w:hAnsi="Arial" w:cs="Arial"/>
        </w:rPr>
        <w:t xml:space="preserve">Coursera (2023). ’Market Analysis: What It Is and How to Conduct One.’ </w:t>
      </w:r>
      <w:r>
        <w:rPr>
          <w:rFonts w:ascii="Arial" w:eastAsia="Arial" w:hAnsi="Arial" w:cs="Arial"/>
          <w:i/>
        </w:rPr>
        <w:t xml:space="preserve">Coursera </w:t>
      </w:r>
      <w:r>
        <w:rPr>
          <w:rFonts w:ascii="Arial" w:eastAsia="Arial" w:hAnsi="Arial" w:cs="Arial"/>
        </w:rPr>
        <w:t xml:space="preserve">[Articles] 21st June. Available at: </w:t>
      </w:r>
      <w:hyperlink r:id="rId6">
        <w:r>
          <w:rPr>
            <w:rFonts w:ascii="Arial" w:eastAsia="Arial" w:hAnsi="Arial" w:cs="Arial"/>
            <w:color w:val="0563C1"/>
            <w:u w:val="single"/>
          </w:rPr>
          <w:t>https://www.coursera.org/articles/market-analysis</w:t>
        </w:r>
      </w:hyperlink>
      <w:r>
        <w:rPr>
          <w:sz w:val="27"/>
          <w:szCs w:val="27"/>
        </w:rPr>
        <w:t xml:space="preserve"> (Accessed: 14 November 2023)</w:t>
      </w:r>
    </w:p>
    <w:p w14:paraId="33305F82" w14:textId="77777777" w:rsidR="004D4984" w:rsidRDefault="00352C5A">
      <w:pPr>
        <w:numPr>
          <w:ilvl w:val="0"/>
          <w:numId w:val="5"/>
        </w:numPr>
        <w:spacing w:after="0" w:line="360" w:lineRule="auto"/>
        <w:jc w:val="both"/>
        <w:rPr>
          <w:rFonts w:ascii="Arial" w:eastAsia="Arial" w:hAnsi="Arial" w:cs="Arial"/>
        </w:rPr>
      </w:pPr>
      <w:r>
        <w:rPr>
          <w:sz w:val="27"/>
          <w:szCs w:val="27"/>
        </w:rPr>
        <w:t xml:space="preserve">KENTON W. </w:t>
      </w:r>
      <w:r>
        <w:rPr>
          <w:color w:val="000000"/>
          <w:sz w:val="27"/>
          <w:szCs w:val="27"/>
        </w:rPr>
        <w:t>(</w:t>
      </w:r>
      <w:r>
        <w:rPr>
          <w:sz w:val="27"/>
          <w:szCs w:val="27"/>
        </w:rPr>
        <w:t>2023</w:t>
      </w:r>
      <w:r>
        <w:rPr>
          <w:color w:val="000000"/>
          <w:sz w:val="27"/>
          <w:szCs w:val="27"/>
        </w:rPr>
        <w:t>). </w:t>
      </w:r>
      <w:r>
        <w:rPr>
          <w:sz w:val="27"/>
          <w:szCs w:val="27"/>
        </w:rPr>
        <w:t xml:space="preserve">’Financial Performance: Definition, How it Works, and Example.’ </w:t>
      </w:r>
      <w:r>
        <w:rPr>
          <w:i/>
          <w:sz w:val="27"/>
          <w:szCs w:val="27"/>
        </w:rPr>
        <w:t>Inverstopedia</w:t>
      </w:r>
      <w:r>
        <w:rPr>
          <w:color w:val="000000"/>
          <w:sz w:val="27"/>
          <w:szCs w:val="27"/>
        </w:rPr>
        <w:t xml:space="preserve"> [</w:t>
      </w:r>
      <w:r>
        <w:rPr>
          <w:sz w:val="27"/>
          <w:szCs w:val="27"/>
        </w:rPr>
        <w:t>Terms</w:t>
      </w:r>
      <w:r>
        <w:rPr>
          <w:color w:val="000000"/>
          <w:sz w:val="27"/>
          <w:szCs w:val="27"/>
        </w:rPr>
        <w:t xml:space="preserve">] Available at: </w:t>
      </w:r>
      <w:hyperlink r:id="rId7" w:anchor=":~:text=A%20financial%20performance%20analysis%20examines">
        <w:r>
          <w:rPr>
            <w:color w:val="0563C1"/>
            <w:sz w:val="27"/>
            <w:szCs w:val="27"/>
            <w:u w:val="single"/>
          </w:rPr>
          <w:t>https://www.investopedia.com/terms/f/financialperformance.asp</w:t>
        </w:r>
      </w:hyperlink>
      <w:r>
        <w:rPr>
          <w:sz w:val="27"/>
          <w:szCs w:val="27"/>
        </w:rPr>
        <w:t xml:space="preserve"> (Accessed: 14 November 2023)</w:t>
      </w:r>
    </w:p>
    <w:p w14:paraId="33305F83" w14:textId="77777777" w:rsidR="004D4984" w:rsidRDefault="00352C5A">
      <w:pPr>
        <w:numPr>
          <w:ilvl w:val="0"/>
          <w:numId w:val="5"/>
        </w:numPr>
        <w:spacing w:after="0" w:line="360" w:lineRule="auto"/>
        <w:jc w:val="both"/>
        <w:rPr>
          <w:rFonts w:ascii="Arial" w:eastAsia="Arial" w:hAnsi="Arial" w:cs="Arial"/>
        </w:rPr>
      </w:pPr>
      <w:r>
        <w:rPr>
          <w:sz w:val="27"/>
          <w:szCs w:val="27"/>
        </w:rPr>
        <w:t>Lucidity</w:t>
      </w:r>
      <w:r>
        <w:rPr>
          <w:color w:val="000000"/>
          <w:sz w:val="27"/>
          <w:szCs w:val="27"/>
        </w:rPr>
        <w:t xml:space="preserve"> (n.d.). </w:t>
      </w:r>
      <w:r>
        <w:rPr>
          <w:sz w:val="27"/>
          <w:szCs w:val="27"/>
        </w:rPr>
        <w:t>’</w:t>
      </w:r>
      <w:r>
        <w:rPr>
          <w:color w:val="000000"/>
          <w:sz w:val="27"/>
          <w:szCs w:val="27"/>
        </w:rPr>
        <w:t>Building A Turnaround Strategy: Objectives, Goals &amp; Initiatives</w:t>
      </w:r>
      <w:r>
        <w:rPr>
          <w:sz w:val="27"/>
          <w:szCs w:val="27"/>
        </w:rPr>
        <w:t xml:space="preserve">’ </w:t>
      </w:r>
      <w:r>
        <w:rPr>
          <w:i/>
          <w:color w:val="000000"/>
          <w:sz w:val="27"/>
          <w:szCs w:val="27"/>
        </w:rPr>
        <w:t>Lucidity</w:t>
      </w:r>
      <w:r>
        <w:rPr>
          <w:color w:val="000000"/>
          <w:sz w:val="27"/>
          <w:szCs w:val="27"/>
        </w:rPr>
        <w:t>. [</w:t>
      </w:r>
      <w:r>
        <w:rPr>
          <w:sz w:val="27"/>
          <w:szCs w:val="27"/>
        </w:rPr>
        <w:t>Strategy Resources</w:t>
      </w:r>
      <w:r>
        <w:rPr>
          <w:color w:val="000000"/>
          <w:sz w:val="27"/>
          <w:szCs w:val="27"/>
        </w:rPr>
        <w:t xml:space="preserve">] Available at: </w:t>
      </w:r>
      <w:hyperlink r:id="rId8">
        <w:r>
          <w:rPr>
            <w:color w:val="0563C1"/>
            <w:sz w:val="27"/>
            <w:szCs w:val="27"/>
            <w:u w:val="single"/>
          </w:rPr>
          <w:t>https://getlucidity.com/strategy-resources/building-a-turnaround-strategy</w:t>
        </w:r>
      </w:hyperlink>
      <w:r>
        <w:rPr>
          <w:sz w:val="27"/>
          <w:szCs w:val="27"/>
        </w:rPr>
        <w:t xml:space="preserve"> (Accessed: 14 November 2023)</w:t>
      </w:r>
    </w:p>
    <w:p w14:paraId="33305F84" w14:textId="77777777" w:rsidR="004D4984" w:rsidRDefault="00352C5A">
      <w:pPr>
        <w:numPr>
          <w:ilvl w:val="0"/>
          <w:numId w:val="5"/>
        </w:numPr>
        <w:spacing w:after="0" w:line="360" w:lineRule="auto"/>
        <w:jc w:val="both"/>
        <w:rPr>
          <w:rFonts w:ascii="Arial" w:eastAsia="Arial" w:hAnsi="Arial" w:cs="Arial"/>
        </w:rPr>
      </w:pPr>
      <w:r>
        <w:rPr>
          <w:color w:val="000000"/>
          <w:sz w:val="27"/>
          <w:szCs w:val="27"/>
        </w:rPr>
        <w:t>Krishnan, V. (2019). </w:t>
      </w:r>
      <w:r>
        <w:rPr>
          <w:sz w:val="27"/>
          <w:szCs w:val="27"/>
        </w:rPr>
        <w:t xml:space="preserve"> ‘Income statement – Definition, Importance and Example’</w:t>
      </w:r>
      <w:r>
        <w:rPr>
          <w:i/>
          <w:sz w:val="27"/>
          <w:szCs w:val="27"/>
        </w:rPr>
        <w:t xml:space="preserve"> </w:t>
      </w:r>
      <w:r>
        <w:rPr>
          <w:i/>
          <w:color w:val="000000"/>
          <w:sz w:val="27"/>
          <w:szCs w:val="27"/>
        </w:rPr>
        <w:t>Zoho books</w:t>
      </w:r>
      <w:r>
        <w:rPr>
          <w:color w:val="000000"/>
          <w:sz w:val="27"/>
          <w:szCs w:val="27"/>
        </w:rPr>
        <w:t>. [</w:t>
      </w:r>
      <w:r>
        <w:rPr>
          <w:sz w:val="27"/>
          <w:szCs w:val="27"/>
        </w:rPr>
        <w:t>Guide</w:t>
      </w:r>
      <w:r>
        <w:rPr>
          <w:color w:val="000000"/>
          <w:sz w:val="27"/>
          <w:szCs w:val="27"/>
        </w:rPr>
        <w:t xml:space="preserve">] Available at: </w:t>
      </w:r>
      <w:hyperlink r:id="rId9" w:anchor=":~:text=An%20income%20statement%20is%20a">
        <w:r>
          <w:rPr>
            <w:color w:val="0563C1"/>
            <w:sz w:val="27"/>
            <w:szCs w:val="27"/>
            <w:u w:val="single"/>
          </w:rPr>
          <w:t>https://www.zoho.com/books/guides/what-is-an-income-statement.html</w:t>
        </w:r>
      </w:hyperlink>
      <w:r>
        <w:rPr>
          <w:sz w:val="27"/>
          <w:szCs w:val="27"/>
        </w:rPr>
        <w:t xml:space="preserve"> (Accessed: 14 November 2023)</w:t>
      </w:r>
    </w:p>
    <w:p w14:paraId="33305F85" w14:textId="77777777" w:rsidR="004D4984" w:rsidRDefault="00352C5A">
      <w:pPr>
        <w:numPr>
          <w:ilvl w:val="0"/>
          <w:numId w:val="5"/>
        </w:numPr>
        <w:spacing w:after="0" w:line="360" w:lineRule="auto"/>
        <w:jc w:val="both"/>
        <w:rPr>
          <w:rFonts w:ascii="Arial" w:eastAsia="Arial" w:hAnsi="Arial" w:cs="Arial"/>
        </w:rPr>
      </w:pPr>
      <w:r>
        <w:rPr>
          <w:sz w:val="27"/>
          <w:szCs w:val="27"/>
        </w:rPr>
        <w:t>Fernando J.</w:t>
      </w:r>
      <w:r>
        <w:rPr>
          <w:color w:val="000000"/>
          <w:sz w:val="27"/>
          <w:szCs w:val="27"/>
        </w:rPr>
        <w:t xml:space="preserve"> (202</w:t>
      </w:r>
      <w:r>
        <w:rPr>
          <w:sz w:val="27"/>
          <w:szCs w:val="27"/>
        </w:rPr>
        <w:t>3</w:t>
      </w:r>
      <w:r>
        <w:rPr>
          <w:color w:val="000000"/>
          <w:sz w:val="27"/>
          <w:szCs w:val="27"/>
        </w:rPr>
        <w:t>).</w:t>
      </w:r>
      <w:r>
        <w:rPr>
          <w:sz w:val="27"/>
          <w:szCs w:val="27"/>
        </w:rPr>
        <w:t xml:space="preserve"> ‘Balance Sheet: Explanation, Components, and Examples’ </w:t>
      </w:r>
      <w:r>
        <w:rPr>
          <w:i/>
          <w:sz w:val="27"/>
          <w:szCs w:val="27"/>
        </w:rPr>
        <w:t>Investopedia</w:t>
      </w:r>
      <w:r>
        <w:rPr>
          <w:color w:val="000000"/>
          <w:sz w:val="27"/>
          <w:szCs w:val="27"/>
        </w:rPr>
        <w:t xml:space="preserve"> [</w:t>
      </w:r>
      <w:r>
        <w:rPr>
          <w:sz w:val="27"/>
          <w:szCs w:val="27"/>
        </w:rPr>
        <w:t>Terms</w:t>
      </w:r>
      <w:r>
        <w:rPr>
          <w:color w:val="000000"/>
          <w:sz w:val="27"/>
          <w:szCs w:val="27"/>
        </w:rPr>
        <w:t>] 4th Ma</w:t>
      </w:r>
      <w:r>
        <w:rPr>
          <w:sz w:val="27"/>
          <w:szCs w:val="27"/>
        </w:rPr>
        <w:t>y.</w:t>
      </w:r>
      <w:r>
        <w:rPr>
          <w:color w:val="000000"/>
          <w:sz w:val="27"/>
          <w:szCs w:val="27"/>
        </w:rPr>
        <w:t xml:space="preserve"> Available at: </w:t>
      </w:r>
      <w:hyperlink r:id="rId10" w:anchor=":~:text=A%20balance%20sheet%20is%20a">
        <w:r>
          <w:rPr>
            <w:color w:val="0563C1"/>
            <w:sz w:val="27"/>
            <w:szCs w:val="27"/>
            <w:u w:val="single"/>
          </w:rPr>
          <w:t>https://www.investopedia.com/terms/b/balancesheet.asp</w:t>
        </w:r>
      </w:hyperlink>
      <w:r>
        <w:rPr>
          <w:sz w:val="27"/>
          <w:szCs w:val="27"/>
        </w:rPr>
        <w:t xml:space="preserve"> (Accessed: 14 November 2023)</w:t>
      </w:r>
    </w:p>
    <w:p w14:paraId="33305F86" w14:textId="77777777" w:rsidR="004D4984" w:rsidRDefault="00352C5A">
      <w:pPr>
        <w:numPr>
          <w:ilvl w:val="0"/>
          <w:numId w:val="5"/>
        </w:numPr>
        <w:spacing w:after="0" w:line="360" w:lineRule="auto"/>
        <w:jc w:val="both"/>
        <w:rPr>
          <w:rFonts w:ascii="Arial" w:eastAsia="Arial" w:hAnsi="Arial" w:cs="Arial"/>
        </w:rPr>
      </w:pPr>
      <w:r>
        <w:rPr>
          <w:color w:val="000000"/>
          <w:sz w:val="27"/>
          <w:szCs w:val="27"/>
        </w:rPr>
        <w:t>Loth, R. (2023).</w:t>
      </w:r>
      <w:r>
        <w:rPr>
          <w:sz w:val="27"/>
          <w:szCs w:val="27"/>
        </w:rPr>
        <w:t xml:space="preserve"> ‘Cash Flow Analysis: The Basics’ </w:t>
      </w:r>
      <w:r>
        <w:rPr>
          <w:i/>
          <w:sz w:val="27"/>
          <w:szCs w:val="27"/>
        </w:rPr>
        <w:t>Investopedia</w:t>
      </w:r>
      <w:r>
        <w:rPr>
          <w:color w:val="000000"/>
          <w:sz w:val="27"/>
          <w:szCs w:val="27"/>
        </w:rPr>
        <w:t xml:space="preserve"> [</w:t>
      </w:r>
      <w:r>
        <w:rPr>
          <w:sz w:val="27"/>
          <w:szCs w:val="27"/>
        </w:rPr>
        <w:t>Article</w:t>
      </w:r>
      <w:r>
        <w:rPr>
          <w:color w:val="000000"/>
          <w:sz w:val="27"/>
          <w:szCs w:val="27"/>
        </w:rPr>
        <w:t>]. 3</w:t>
      </w:r>
      <w:r>
        <w:rPr>
          <w:sz w:val="27"/>
          <w:szCs w:val="27"/>
        </w:rPr>
        <w:t>0th Aug.</w:t>
      </w:r>
      <w:r>
        <w:rPr>
          <w:color w:val="000000"/>
          <w:sz w:val="27"/>
          <w:szCs w:val="27"/>
        </w:rPr>
        <w:t xml:space="preserve"> Available at: </w:t>
      </w:r>
      <w:hyperlink r:id="rId11">
        <w:r>
          <w:rPr>
            <w:color w:val="0563C1"/>
            <w:sz w:val="27"/>
            <w:szCs w:val="27"/>
            <w:u w:val="single"/>
          </w:rPr>
          <w:t>https://www.investopedia.com/articles/stocks/07/easycashflow.asp</w:t>
        </w:r>
      </w:hyperlink>
      <w:r>
        <w:rPr>
          <w:sz w:val="27"/>
          <w:szCs w:val="27"/>
        </w:rPr>
        <w:t xml:space="preserve"> (Accessed: 14 November 2023)</w:t>
      </w:r>
    </w:p>
    <w:p w14:paraId="33305F87" w14:textId="77777777" w:rsidR="004D4984" w:rsidRDefault="00352C5A">
      <w:pPr>
        <w:numPr>
          <w:ilvl w:val="0"/>
          <w:numId w:val="5"/>
        </w:numPr>
        <w:spacing w:after="0" w:line="360" w:lineRule="auto"/>
        <w:jc w:val="both"/>
        <w:rPr>
          <w:rFonts w:ascii="Arial" w:eastAsia="Arial" w:hAnsi="Arial" w:cs="Arial"/>
        </w:rPr>
      </w:pPr>
      <w:r>
        <w:rPr>
          <w:sz w:val="27"/>
          <w:szCs w:val="27"/>
        </w:rPr>
        <w:t>Khatri R.</w:t>
      </w:r>
      <w:r>
        <w:rPr>
          <w:color w:val="000000"/>
          <w:sz w:val="27"/>
          <w:szCs w:val="27"/>
        </w:rPr>
        <w:t xml:space="preserve"> (</w:t>
      </w:r>
      <w:r>
        <w:rPr>
          <w:sz w:val="27"/>
          <w:szCs w:val="27"/>
        </w:rPr>
        <w:t>2022</w:t>
      </w:r>
      <w:r>
        <w:rPr>
          <w:color w:val="000000"/>
          <w:sz w:val="27"/>
          <w:szCs w:val="27"/>
        </w:rPr>
        <w:t>).</w:t>
      </w:r>
      <w:r>
        <w:rPr>
          <w:sz w:val="27"/>
          <w:szCs w:val="27"/>
        </w:rPr>
        <w:t xml:space="preserve"> ‘Financial Restructuring: A Brief Guide’</w:t>
      </w:r>
      <w:r>
        <w:rPr>
          <w:color w:val="000000"/>
          <w:sz w:val="27"/>
          <w:szCs w:val="27"/>
        </w:rPr>
        <w:t xml:space="preserve"> </w:t>
      </w:r>
      <w:r>
        <w:rPr>
          <w:i/>
          <w:color w:val="000000"/>
          <w:sz w:val="27"/>
          <w:szCs w:val="27"/>
        </w:rPr>
        <w:t xml:space="preserve">Open Growth. </w:t>
      </w:r>
      <w:r>
        <w:rPr>
          <w:color w:val="000000"/>
          <w:sz w:val="27"/>
          <w:szCs w:val="27"/>
        </w:rPr>
        <w:t>[</w:t>
      </w:r>
      <w:r>
        <w:rPr>
          <w:sz w:val="27"/>
          <w:szCs w:val="27"/>
        </w:rPr>
        <w:t>Resources</w:t>
      </w:r>
      <w:r>
        <w:rPr>
          <w:color w:val="000000"/>
          <w:sz w:val="27"/>
          <w:szCs w:val="27"/>
        </w:rPr>
        <w:t xml:space="preserve">] 14th Oct. Available at: </w:t>
      </w:r>
      <w:hyperlink r:id="rId12" w:anchor=":~:text=Financial%20restructuring%20involves%20substantially%20altering">
        <w:r>
          <w:rPr>
            <w:color w:val="0563C1"/>
            <w:sz w:val="27"/>
            <w:szCs w:val="27"/>
            <w:u w:val="single"/>
          </w:rPr>
          <w:t>https://www.opengrowth.com/resources/financial-restructuring-a-brief-guide</w:t>
        </w:r>
      </w:hyperlink>
      <w:r>
        <w:rPr>
          <w:sz w:val="27"/>
          <w:szCs w:val="27"/>
        </w:rPr>
        <w:t xml:space="preserve"> (Accessed: 14 November 2023)</w:t>
      </w:r>
    </w:p>
    <w:p w14:paraId="33305F88" w14:textId="77777777" w:rsidR="004D4984" w:rsidRDefault="00352C5A">
      <w:pPr>
        <w:numPr>
          <w:ilvl w:val="0"/>
          <w:numId w:val="5"/>
        </w:numPr>
        <w:spacing w:after="0" w:line="360" w:lineRule="auto"/>
        <w:jc w:val="both"/>
        <w:rPr>
          <w:rFonts w:ascii="Arial" w:eastAsia="Arial" w:hAnsi="Arial" w:cs="Arial"/>
        </w:rPr>
      </w:pPr>
      <w:r>
        <w:rPr>
          <w:color w:val="000000"/>
          <w:sz w:val="27"/>
          <w:szCs w:val="27"/>
        </w:rPr>
        <w:t>Alberdi, R. (2020). </w:t>
      </w:r>
      <w:r>
        <w:rPr>
          <w:sz w:val="27"/>
          <w:szCs w:val="27"/>
        </w:rPr>
        <w:t>’</w:t>
      </w:r>
      <w:r>
        <w:rPr>
          <w:color w:val="000000"/>
          <w:sz w:val="27"/>
          <w:szCs w:val="27"/>
        </w:rPr>
        <w:t>Branding vs Marketing: What are the Major Differences?</w:t>
      </w:r>
      <w:r>
        <w:rPr>
          <w:sz w:val="27"/>
          <w:szCs w:val="27"/>
        </w:rPr>
        <w:t xml:space="preserve">’ </w:t>
      </w:r>
      <w:r>
        <w:rPr>
          <w:i/>
          <w:sz w:val="27"/>
          <w:szCs w:val="27"/>
        </w:rPr>
        <w:t xml:space="preserve">The Power Business School. </w:t>
      </w:r>
      <w:r>
        <w:rPr>
          <w:color w:val="000000"/>
          <w:sz w:val="27"/>
          <w:szCs w:val="27"/>
        </w:rPr>
        <w:t> [</w:t>
      </w:r>
      <w:r>
        <w:rPr>
          <w:sz w:val="27"/>
          <w:szCs w:val="27"/>
        </w:rPr>
        <w:t>Blog</w:t>
      </w:r>
      <w:r>
        <w:rPr>
          <w:color w:val="000000"/>
          <w:sz w:val="27"/>
          <w:szCs w:val="27"/>
        </w:rPr>
        <w:t xml:space="preserve">]. Available at: </w:t>
      </w:r>
      <w:hyperlink r:id="rId13" w:anchor=":~:text=While%20the%20two%20concepts%20undoubtedly">
        <w:r>
          <w:rPr>
            <w:color w:val="0563C1"/>
            <w:sz w:val="27"/>
            <w:szCs w:val="27"/>
            <w:u w:val="single"/>
          </w:rPr>
          <w:t>https://www.thepowermba.com/en/blog/branding-vs-marketing</w:t>
        </w:r>
      </w:hyperlink>
      <w:r>
        <w:rPr>
          <w:sz w:val="27"/>
          <w:szCs w:val="27"/>
        </w:rPr>
        <w:t xml:space="preserve"> (Accessed: 14 November 2023)</w:t>
      </w:r>
    </w:p>
    <w:p w14:paraId="33305F89" w14:textId="77777777" w:rsidR="004D4984" w:rsidRDefault="00352C5A">
      <w:pPr>
        <w:numPr>
          <w:ilvl w:val="0"/>
          <w:numId w:val="5"/>
        </w:numPr>
        <w:spacing w:after="0" w:line="360" w:lineRule="auto"/>
        <w:jc w:val="both"/>
        <w:rPr>
          <w:rFonts w:ascii="Arial" w:eastAsia="Arial" w:hAnsi="Arial" w:cs="Arial"/>
        </w:rPr>
      </w:pPr>
      <w:r>
        <w:rPr>
          <w:sz w:val="27"/>
          <w:szCs w:val="27"/>
        </w:rPr>
        <w:t>Gillis A. S.</w:t>
      </w:r>
      <w:r>
        <w:rPr>
          <w:color w:val="000000"/>
          <w:sz w:val="27"/>
          <w:szCs w:val="27"/>
        </w:rPr>
        <w:t xml:space="preserve"> (</w:t>
      </w:r>
      <w:r>
        <w:rPr>
          <w:sz w:val="27"/>
          <w:szCs w:val="27"/>
        </w:rPr>
        <w:t>2021</w:t>
      </w:r>
      <w:r>
        <w:rPr>
          <w:color w:val="000000"/>
          <w:sz w:val="27"/>
          <w:szCs w:val="27"/>
        </w:rPr>
        <w:t>).</w:t>
      </w:r>
      <w:r>
        <w:rPr>
          <w:sz w:val="27"/>
          <w:szCs w:val="27"/>
        </w:rPr>
        <w:t xml:space="preserve"> ‘operational efficiency’</w:t>
      </w:r>
      <w:r>
        <w:rPr>
          <w:i/>
          <w:color w:val="000000"/>
          <w:sz w:val="27"/>
          <w:szCs w:val="27"/>
        </w:rPr>
        <w:t xml:space="preserve"> Search Business Analytics</w:t>
      </w:r>
      <w:r>
        <w:rPr>
          <w:color w:val="000000"/>
          <w:sz w:val="27"/>
          <w:szCs w:val="27"/>
        </w:rPr>
        <w:t>. [</w:t>
      </w:r>
      <w:r>
        <w:rPr>
          <w:sz w:val="27"/>
          <w:szCs w:val="27"/>
        </w:rPr>
        <w:t>Definition</w:t>
      </w:r>
      <w:r>
        <w:rPr>
          <w:color w:val="000000"/>
          <w:sz w:val="27"/>
          <w:szCs w:val="27"/>
        </w:rPr>
        <w:t xml:space="preserve">] </w:t>
      </w:r>
      <w:r>
        <w:rPr>
          <w:sz w:val="27"/>
          <w:szCs w:val="27"/>
        </w:rPr>
        <w:t>Oct.</w:t>
      </w:r>
      <w:r>
        <w:rPr>
          <w:color w:val="000000"/>
          <w:sz w:val="27"/>
          <w:szCs w:val="27"/>
        </w:rPr>
        <w:t xml:space="preserve"> Available at: </w:t>
      </w:r>
      <w:hyperlink r:id="rId14" w:anchor=":~:text=Operational%20efficiency%20is%20the%20ability">
        <w:r>
          <w:rPr>
            <w:color w:val="0563C1"/>
            <w:sz w:val="27"/>
            <w:szCs w:val="27"/>
            <w:u w:val="single"/>
          </w:rPr>
          <w:t>https://www.techtarget.com/searchbusinessanalytics/definition/operational-efficiency</w:t>
        </w:r>
      </w:hyperlink>
      <w:r>
        <w:rPr>
          <w:sz w:val="27"/>
          <w:szCs w:val="27"/>
        </w:rPr>
        <w:t xml:space="preserve"> (Accessed: 14 November 2023)</w:t>
      </w:r>
    </w:p>
    <w:p w14:paraId="33305F8A" w14:textId="77777777" w:rsidR="004D4984" w:rsidRDefault="00352C5A">
      <w:pPr>
        <w:numPr>
          <w:ilvl w:val="0"/>
          <w:numId w:val="5"/>
        </w:numPr>
        <w:spacing w:after="0" w:line="360" w:lineRule="auto"/>
        <w:jc w:val="both"/>
        <w:rPr>
          <w:rFonts w:ascii="Arial" w:eastAsia="Arial" w:hAnsi="Arial" w:cs="Arial"/>
        </w:rPr>
      </w:pPr>
      <w:r>
        <w:rPr>
          <w:sz w:val="27"/>
          <w:szCs w:val="27"/>
        </w:rPr>
        <w:t>Hasa.</w:t>
      </w:r>
      <w:r>
        <w:rPr>
          <w:color w:val="000000"/>
          <w:sz w:val="27"/>
          <w:szCs w:val="27"/>
        </w:rPr>
        <w:t xml:space="preserve"> (2017). </w:t>
      </w:r>
      <w:r>
        <w:rPr>
          <w:sz w:val="27"/>
          <w:szCs w:val="27"/>
        </w:rPr>
        <w:t>’</w:t>
      </w:r>
      <w:r>
        <w:rPr>
          <w:color w:val="000000"/>
          <w:sz w:val="27"/>
          <w:szCs w:val="27"/>
        </w:rPr>
        <w:t>Difference Between Positioning and Differentiation.</w:t>
      </w:r>
      <w:r>
        <w:rPr>
          <w:sz w:val="27"/>
          <w:szCs w:val="27"/>
        </w:rPr>
        <w:t xml:space="preserve">’ </w:t>
      </w:r>
      <w:r>
        <w:rPr>
          <w:i/>
          <w:sz w:val="27"/>
          <w:szCs w:val="27"/>
        </w:rPr>
        <w:t>Difference Between.</w:t>
      </w:r>
      <w:r>
        <w:rPr>
          <w:color w:val="000000"/>
          <w:sz w:val="27"/>
          <w:szCs w:val="27"/>
        </w:rPr>
        <w:t xml:space="preserve"> [</w:t>
      </w:r>
      <w:r>
        <w:rPr>
          <w:sz w:val="27"/>
          <w:szCs w:val="27"/>
        </w:rPr>
        <w:t>Blog</w:t>
      </w:r>
      <w:r>
        <w:rPr>
          <w:color w:val="000000"/>
          <w:sz w:val="27"/>
          <w:szCs w:val="27"/>
        </w:rPr>
        <w:t xml:space="preserve">] 24th Apr. Available at: </w:t>
      </w:r>
      <w:hyperlink r:id="rId15">
        <w:r>
          <w:rPr>
            <w:color w:val="0563C1"/>
            <w:sz w:val="27"/>
            <w:szCs w:val="27"/>
            <w:u w:val="single"/>
          </w:rPr>
          <w:t>https://www.differencebetween.com/difference-between-positioning-and-vs-differentiation</w:t>
        </w:r>
      </w:hyperlink>
      <w:r>
        <w:rPr>
          <w:sz w:val="27"/>
          <w:szCs w:val="27"/>
        </w:rPr>
        <w:t xml:space="preserve"> (Accessed: 14 November 2023)</w:t>
      </w:r>
    </w:p>
    <w:p w14:paraId="33305F8B" w14:textId="77777777" w:rsidR="004D4984" w:rsidRDefault="00352C5A">
      <w:pPr>
        <w:numPr>
          <w:ilvl w:val="0"/>
          <w:numId w:val="5"/>
        </w:numPr>
        <w:spacing w:after="0" w:line="360" w:lineRule="auto"/>
        <w:jc w:val="both"/>
        <w:rPr>
          <w:rFonts w:ascii="Arial" w:eastAsia="Arial" w:hAnsi="Arial" w:cs="Arial"/>
        </w:rPr>
      </w:pPr>
      <w:r>
        <w:rPr>
          <w:sz w:val="27"/>
          <w:szCs w:val="27"/>
        </w:rPr>
        <w:t>Product</w:t>
      </w:r>
      <w:r>
        <w:rPr>
          <w:color w:val="000000"/>
          <w:sz w:val="27"/>
          <w:szCs w:val="27"/>
        </w:rPr>
        <w:t xml:space="preserve"> </w:t>
      </w:r>
      <w:r>
        <w:rPr>
          <w:sz w:val="27"/>
          <w:szCs w:val="27"/>
        </w:rPr>
        <w:t>P</w:t>
      </w:r>
      <w:r>
        <w:rPr>
          <w:color w:val="000000"/>
          <w:sz w:val="27"/>
          <w:szCs w:val="27"/>
        </w:rPr>
        <w:t>lan. (n.d.). </w:t>
      </w:r>
      <w:r>
        <w:rPr>
          <w:sz w:val="27"/>
          <w:szCs w:val="27"/>
        </w:rPr>
        <w:t>’</w:t>
      </w:r>
      <w:r>
        <w:rPr>
          <w:color w:val="000000"/>
          <w:sz w:val="27"/>
          <w:szCs w:val="27"/>
        </w:rPr>
        <w:t>Competitive Landscape.</w:t>
      </w:r>
      <w:r>
        <w:rPr>
          <w:sz w:val="27"/>
          <w:szCs w:val="27"/>
        </w:rPr>
        <w:t xml:space="preserve">’ </w:t>
      </w:r>
      <w:r>
        <w:rPr>
          <w:i/>
          <w:sz w:val="27"/>
          <w:szCs w:val="27"/>
        </w:rPr>
        <w:t>Product Plan.</w:t>
      </w:r>
      <w:r>
        <w:rPr>
          <w:color w:val="000000"/>
          <w:sz w:val="27"/>
          <w:szCs w:val="27"/>
        </w:rPr>
        <w:t xml:space="preserve"> [</w:t>
      </w:r>
      <w:r>
        <w:rPr>
          <w:sz w:val="27"/>
          <w:szCs w:val="27"/>
        </w:rPr>
        <w:t>Blog</w:t>
      </w:r>
      <w:r>
        <w:rPr>
          <w:color w:val="000000"/>
          <w:sz w:val="27"/>
          <w:szCs w:val="27"/>
        </w:rPr>
        <w:t xml:space="preserve">] Available at: </w:t>
      </w:r>
      <w:hyperlink r:id="rId16" w:anchor=":~:text=What%20Does%20Competitive%20Landscape%20Mean">
        <w:r>
          <w:rPr>
            <w:color w:val="0563C1"/>
            <w:sz w:val="27"/>
            <w:szCs w:val="27"/>
            <w:u w:val="single"/>
          </w:rPr>
          <w:t>https://www.productplan.com/glossary/competitive-landscape/</w:t>
        </w:r>
      </w:hyperlink>
      <w:r>
        <w:rPr>
          <w:sz w:val="27"/>
          <w:szCs w:val="27"/>
        </w:rPr>
        <w:t xml:space="preserve"> (Accessed: 14 November 2023)</w:t>
      </w:r>
    </w:p>
    <w:p w14:paraId="33305F8C" w14:textId="77777777" w:rsidR="004D4984" w:rsidRDefault="00352C5A">
      <w:pPr>
        <w:numPr>
          <w:ilvl w:val="0"/>
          <w:numId w:val="5"/>
        </w:numPr>
        <w:spacing w:after="0" w:line="360" w:lineRule="auto"/>
        <w:jc w:val="both"/>
        <w:rPr>
          <w:rFonts w:ascii="Arial" w:eastAsia="Arial" w:hAnsi="Arial" w:cs="Arial"/>
        </w:rPr>
      </w:pPr>
      <w:r>
        <w:rPr>
          <w:color w:val="000000"/>
          <w:sz w:val="27"/>
          <w:szCs w:val="27"/>
        </w:rPr>
        <w:t xml:space="preserve">Business Gateway (n.d.). </w:t>
      </w:r>
      <w:r>
        <w:rPr>
          <w:sz w:val="27"/>
          <w:szCs w:val="27"/>
        </w:rPr>
        <w:t xml:space="preserve">‘Increase your profitability’ </w:t>
      </w:r>
      <w:r>
        <w:rPr>
          <w:i/>
          <w:color w:val="000000"/>
          <w:sz w:val="27"/>
          <w:szCs w:val="27"/>
        </w:rPr>
        <w:t>Business Gateway.</w:t>
      </w:r>
      <w:r>
        <w:rPr>
          <w:color w:val="000000"/>
          <w:sz w:val="27"/>
          <w:szCs w:val="27"/>
        </w:rPr>
        <w:t xml:space="preserve"> [</w:t>
      </w:r>
      <w:r>
        <w:rPr>
          <w:sz w:val="27"/>
          <w:szCs w:val="27"/>
        </w:rPr>
        <w:t>Guide</w:t>
      </w:r>
      <w:r>
        <w:rPr>
          <w:color w:val="000000"/>
          <w:sz w:val="27"/>
          <w:szCs w:val="27"/>
        </w:rPr>
        <w:t xml:space="preserve">] Available at: </w:t>
      </w:r>
      <w:hyperlink r:id="rId17" w:anchor=":~:text=1">
        <w:r>
          <w:rPr>
            <w:color w:val="0563C1"/>
            <w:sz w:val="27"/>
            <w:szCs w:val="27"/>
            <w:u w:val="single"/>
          </w:rPr>
          <w:t>https://www.bgateway.com/resources/increase-your-profitability</w:t>
        </w:r>
      </w:hyperlink>
      <w:r>
        <w:rPr>
          <w:sz w:val="27"/>
          <w:szCs w:val="27"/>
        </w:rPr>
        <w:t xml:space="preserve"> (Accessed: 14 November 2023)</w:t>
      </w:r>
    </w:p>
    <w:p w14:paraId="33305F8D" w14:textId="77777777" w:rsidR="004D4984" w:rsidRDefault="00352C5A">
      <w:pPr>
        <w:numPr>
          <w:ilvl w:val="0"/>
          <w:numId w:val="5"/>
        </w:numPr>
        <w:spacing w:after="0" w:line="360" w:lineRule="auto"/>
        <w:jc w:val="both"/>
        <w:rPr>
          <w:rFonts w:ascii="Arial" w:eastAsia="Arial" w:hAnsi="Arial" w:cs="Arial"/>
        </w:rPr>
      </w:pPr>
      <w:r>
        <w:rPr>
          <w:color w:val="000000"/>
          <w:sz w:val="27"/>
          <w:szCs w:val="27"/>
        </w:rPr>
        <w:t>Igniyte (2018). </w:t>
      </w:r>
      <w:r>
        <w:rPr>
          <w:sz w:val="27"/>
          <w:szCs w:val="27"/>
        </w:rPr>
        <w:t>’</w:t>
      </w:r>
      <w:r>
        <w:rPr>
          <w:color w:val="000000"/>
          <w:sz w:val="27"/>
          <w:szCs w:val="27"/>
        </w:rPr>
        <w:t>11 simple ways to enhance your company reputation.</w:t>
      </w:r>
      <w:r>
        <w:rPr>
          <w:sz w:val="27"/>
          <w:szCs w:val="27"/>
        </w:rPr>
        <w:t xml:space="preserve">’ </w:t>
      </w:r>
      <w:r>
        <w:rPr>
          <w:i/>
          <w:sz w:val="27"/>
          <w:szCs w:val="27"/>
        </w:rPr>
        <w:t>Igniyte.</w:t>
      </w:r>
      <w:r>
        <w:rPr>
          <w:i/>
          <w:color w:val="000000"/>
          <w:sz w:val="27"/>
          <w:szCs w:val="27"/>
        </w:rPr>
        <w:t xml:space="preserve"> </w:t>
      </w:r>
      <w:r>
        <w:rPr>
          <w:color w:val="000000"/>
          <w:sz w:val="27"/>
          <w:szCs w:val="27"/>
        </w:rPr>
        <w:t>[</w:t>
      </w:r>
      <w:r>
        <w:rPr>
          <w:sz w:val="27"/>
          <w:szCs w:val="27"/>
        </w:rPr>
        <w:t>Blog</w:t>
      </w:r>
      <w:r>
        <w:rPr>
          <w:color w:val="000000"/>
          <w:sz w:val="27"/>
          <w:szCs w:val="27"/>
        </w:rPr>
        <w:t xml:space="preserve">] 9th July. Available at: </w:t>
      </w:r>
      <w:hyperlink r:id="rId18">
        <w:r>
          <w:rPr>
            <w:color w:val="0563C1"/>
            <w:sz w:val="27"/>
            <w:szCs w:val="27"/>
            <w:u w:val="single"/>
          </w:rPr>
          <w:t>https://www.igniyte.co.uk/blog/11-simple-ways-to-enhance-your-company-reputation</w:t>
        </w:r>
      </w:hyperlink>
      <w:r>
        <w:rPr>
          <w:sz w:val="27"/>
          <w:szCs w:val="27"/>
        </w:rPr>
        <w:t xml:space="preserve"> (Accessed: 14 November 2023)</w:t>
      </w:r>
    </w:p>
    <w:p w14:paraId="33305F8E" w14:textId="77777777" w:rsidR="004D4984" w:rsidRDefault="00352C5A">
      <w:pPr>
        <w:numPr>
          <w:ilvl w:val="0"/>
          <w:numId w:val="5"/>
        </w:numPr>
        <w:spacing w:after="0" w:line="360" w:lineRule="auto"/>
        <w:jc w:val="both"/>
        <w:rPr>
          <w:rFonts w:ascii="Arial" w:eastAsia="Arial" w:hAnsi="Arial" w:cs="Arial"/>
        </w:rPr>
      </w:pPr>
      <w:r>
        <w:rPr>
          <w:color w:val="000000"/>
          <w:sz w:val="27"/>
          <w:szCs w:val="27"/>
        </w:rPr>
        <w:t>Maverick, J.B. (2021). </w:t>
      </w:r>
      <w:r>
        <w:rPr>
          <w:sz w:val="27"/>
          <w:szCs w:val="27"/>
        </w:rPr>
        <w:t>’</w:t>
      </w:r>
      <w:r>
        <w:rPr>
          <w:color w:val="000000"/>
          <w:sz w:val="27"/>
          <w:szCs w:val="27"/>
        </w:rPr>
        <w:t>Financial Plan vs. Financial Forecast: What’s the Difference?</w:t>
      </w:r>
      <w:r>
        <w:rPr>
          <w:sz w:val="27"/>
          <w:szCs w:val="27"/>
        </w:rPr>
        <w:t>’</w:t>
      </w:r>
      <w:r>
        <w:rPr>
          <w:color w:val="000000"/>
          <w:sz w:val="27"/>
          <w:szCs w:val="27"/>
        </w:rPr>
        <w:t> </w:t>
      </w:r>
      <w:r>
        <w:rPr>
          <w:i/>
          <w:color w:val="000000"/>
          <w:sz w:val="27"/>
          <w:szCs w:val="27"/>
        </w:rPr>
        <w:t>Investopedia.</w:t>
      </w:r>
      <w:r>
        <w:rPr>
          <w:color w:val="000000"/>
          <w:sz w:val="27"/>
          <w:szCs w:val="27"/>
        </w:rPr>
        <w:t xml:space="preserve"> [</w:t>
      </w:r>
      <w:r>
        <w:rPr>
          <w:sz w:val="27"/>
          <w:szCs w:val="27"/>
        </w:rPr>
        <w:t>Blog</w:t>
      </w:r>
      <w:r>
        <w:rPr>
          <w:color w:val="000000"/>
          <w:sz w:val="27"/>
          <w:szCs w:val="27"/>
        </w:rPr>
        <w:t>]</w:t>
      </w:r>
      <w:r>
        <w:rPr>
          <w:sz w:val="27"/>
          <w:szCs w:val="27"/>
        </w:rPr>
        <w:t xml:space="preserve"> 20th Sept</w:t>
      </w:r>
      <w:r>
        <w:rPr>
          <w:color w:val="000000"/>
          <w:sz w:val="27"/>
          <w:szCs w:val="27"/>
        </w:rPr>
        <w:t xml:space="preserve">. Available at: </w:t>
      </w:r>
      <w:hyperlink r:id="rId19">
        <w:r>
          <w:rPr>
            <w:color w:val="0563C1"/>
            <w:sz w:val="27"/>
            <w:szCs w:val="27"/>
            <w:u w:val="single"/>
          </w:rPr>
          <w:t>https://www.investopedia.com/ask/answers/051315/whats-difference-between-financial-plan-and-financial-forecast.asp</w:t>
        </w:r>
      </w:hyperlink>
      <w:r>
        <w:rPr>
          <w:sz w:val="27"/>
          <w:szCs w:val="27"/>
        </w:rPr>
        <w:t xml:space="preserve"> (Accessed: 14 November 2023)</w:t>
      </w:r>
    </w:p>
    <w:p w14:paraId="33305F8F" w14:textId="77777777" w:rsidR="004D4984" w:rsidRDefault="00352C5A">
      <w:pPr>
        <w:numPr>
          <w:ilvl w:val="0"/>
          <w:numId w:val="5"/>
        </w:numPr>
        <w:spacing w:after="0" w:line="360" w:lineRule="auto"/>
        <w:jc w:val="both"/>
        <w:rPr>
          <w:rFonts w:ascii="Arial" w:eastAsia="Arial" w:hAnsi="Arial" w:cs="Arial"/>
        </w:rPr>
      </w:pPr>
      <w:r>
        <w:rPr>
          <w:color w:val="000000"/>
          <w:sz w:val="27"/>
          <w:szCs w:val="27"/>
        </w:rPr>
        <w:t>Kenton, W. (2019). </w:t>
      </w:r>
      <w:r>
        <w:rPr>
          <w:sz w:val="27"/>
          <w:szCs w:val="27"/>
        </w:rPr>
        <w:t xml:space="preserve">’Expected Value Definition, Formula, and Examples’ </w:t>
      </w:r>
      <w:r>
        <w:rPr>
          <w:i/>
          <w:sz w:val="27"/>
          <w:szCs w:val="27"/>
        </w:rPr>
        <w:t>Investopedia.</w:t>
      </w:r>
      <w:r>
        <w:rPr>
          <w:color w:val="000000"/>
          <w:sz w:val="27"/>
          <w:szCs w:val="27"/>
        </w:rPr>
        <w:t xml:space="preserve"> [</w:t>
      </w:r>
      <w:r>
        <w:rPr>
          <w:sz w:val="27"/>
          <w:szCs w:val="27"/>
        </w:rPr>
        <w:t>Terms</w:t>
      </w:r>
      <w:r>
        <w:rPr>
          <w:color w:val="000000"/>
          <w:sz w:val="27"/>
          <w:szCs w:val="27"/>
        </w:rPr>
        <w:t xml:space="preserve">] </w:t>
      </w:r>
      <w:r>
        <w:rPr>
          <w:sz w:val="27"/>
          <w:szCs w:val="27"/>
        </w:rPr>
        <w:t>25th Aug</w:t>
      </w:r>
      <w:r>
        <w:rPr>
          <w:color w:val="000000"/>
          <w:sz w:val="27"/>
          <w:szCs w:val="27"/>
        </w:rPr>
        <w:t xml:space="preserve">. Available at: </w:t>
      </w:r>
      <w:hyperlink r:id="rId20">
        <w:r>
          <w:rPr>
            <w:color w:val="0563C1"/>
            <w:sz w:val="27"/>
            <w:szCs w:val="27"/>
            <w:u w:val="single"/>
          </w:rPr>
          <w:t>https://www.investopedia.com/terms/e/expected-value.asp</w:t>
        </w:r>
      </w:hyperlink>
      <w:r>
        <w:rPr>
          <w:sz w:val="27"/>
          <w:szCs w:val="27"/>
        </w:rPr>
        <w:t xml:space="preserve"> (Accessed: 14 November 2023)</w:t>
      </w:r>
    </w:p>
    <w:p w14:paraId="33305F90" w14:textId="77777777" w:rsidR="004D4984" w:rsidRDefault="00352C5A">
      <w:pPr>
        <w:numPr>
          <w:ilvl w:val="0"/>
          <w:numId w:val="5"/>
        </w:numPr>
        <w:spacing w:after="0" w:line="360" w:lineRule="auto"/>
        <w:jc w:val="both"/>
        <w:rPr>
          <w:rFonts w:ascii="Arial" w:eastAsia="Arial" w:hAnsi="Arial" w:cs="Arial"/>
        </w:rPr>
      </w:pPr>
      <w:r>
        <w:rPr>
          <w:sz w:val="27"/>
          <w:szCs w:val="27"/>
        </w:rPr>
        <w:t>W</w:t>
      </w:r>
      <w:r>
        <w:rPr>
          <w:color w:val="000000"/>
          <w:sz w:val="27"/>
          <w:szCs w:val="27"/>
        </w:rPr>
        <w:t xml:space="preserve">ilson </w:t>
      </w:r>
      <w:r>
        <w:rPr>
          <w:sz w:val="27"/>
          <w:szCs w:val="27"/>
        </w:rPr>
        <w:t>B</w:t>
      </w:r>
      <w:r>
        <w:rPr>
          <w:color w:val="000000"/>
          <w:sz w:val="27"/>
          <w:szCs w:val="27"/>
        </w:rPr>
        <w:t>lanchard (2023). </w:t>
      </w:r>
      <w:r>
        <w:rPr>
          <w:sz w:val="27"/>
          <w:szCs w:val="27"/>
        </w:rPr>
        <w:t>’</w:t>
      </w:r>
      <w:r>
        <w:rPr>
          <w:color w:val="000000"/>
          <w:sz w:val="27"/>
          <w:szCs w:val="27"/>
        </w:rPr>
        <w:t>Tips For Repurposing Your Community’s Outdated Amenities.</w:t>
      </w:r>
      <w:r>
        <w:rPr>
          <w:sz w:val="27"/>
          <w:szCs w:val="27"/>
        </w:rPr>
        <w:t>’</w:t>
      </w:r>
      <w:r>
        <w:rPr>
          <w:color w:val="000000"/>
          <w:sz w:val="27"/>
          <w:szCs w:val="27"/>
        </w:rPr>
        <w:t xml:space="preserve"> </w:t>
      </w:r>
      <w:r>
        <w:rPr>
          <w:i/>
          <w:color w:val="000000"/>
          <w:sz w:val="27"/>
          <w:szCs w:val="27"/>
        </w:rPr>
        <w:t>Wi</w:t>
      </w:r>
      <w:r>
        <w:rPr>
          <w:i/>
          <w:sz w:val="27"/>
          <w:szCs w:val="27"/>
        </w:rPr>
        <w:t>lson Blanchard Management</w:t>
      </w:r>
      <w:r>
        <w:rPr>
          <w:sz w:val="27"/>
          <w:szCs w:val="27"/>
        </w:rPr>
        <w:t xml:space="preserve"> </w:t>
      </w:r>
      <w:r>
        <w:rPr>
          <w:color w:val="000000"/>
          <w:sz w:val="27"/>
          <w:szCs w:val="27"/>
        </w:rPr>
        <w:t>[</w:t>
      </w:r>
      <w:r>
        <w:rPr>
          <w:sz w:val="27"/>
          <w:szCs w:val="27"/>
        </w:rPr>
        <w:t>Blog</w:t>
      </w:r>
      <w:r>
        <w:rPr>
          <w:color w:val="000000"/>
          <w:sz w:val="27"/>
          <w:szCs w:val="27"/>
        </w:rPr>
        <w:t>] 23</w:t>
      </w:r>
      <w:r>
        <w:rPr>
          <w:sz w:val="27"/>
          <w:szCs w:val="27"/>
        </w:rPr>
        <w:t xml:space="preserve">rd Feb. </w:t>
      </w:r>
      <w:r>
        <w:rPr>
          <w:color w:val="000000"/>
          <w:sz w:val="27"/>
          <w:szCs w:val="27"/>
        </w:rPr>
        <w:t xml:space="preserve">Available at: </w:t>
      </w:r>
      <w:hyperlink r:id="rId21">
        <w:r>
          <w:rPr>
            <w:color w:val="0563C1"/>
            <w:sz w:val="27"/>
            <w:szCs w:val="27"/>
            <w:u w:val="single"/>
          </w:rPr>
          <w:t>https://www.wilsonblanchard.com/blog/tips-for-repurposing-your-communitys-outdated-amenities</w:t>
        </w:r>
      </w:hyperlink>
      <w:r>
        <w:rPr>
          <w:sz w:val="27"/>
          <w:szCs w:val="27"/>
        </w:rPr>
        <w:t xml:space="preserve"> (Accessed: 14 November 2023)</w:t>
      </w:r>
    </w:p>
    <w:p w14:paraId="33305F91" w14:textId="77777777" w:rsidR="004D4984" w:rsidRDefault="00352C5A">
      <w:pPr>
        <w:numPr>
          <w:ilvl w:val="0"/>
          <w:numId w:val="5"/>
        </w:numPr>
        <w:spacing w:after="0" w:line="360" w:lineRule="auto"/>
        <w:jc w:val="both"/>
        <w:rPr>
          <w:rFonts w:ascii="Arial" w:eastAsia="Arial" w:hAnsi="Arial" w:cs="Arial"/>
        </w:rPr>
      </w:pPr>
      <w:r>
        <w:rPr>
          <w:color w:val="000000"/>
          <w:sz w:val="27"/>
          <w:szCs w:val="27"/>
        </w:rPr>
        <w:t>Anon, (2022). </w:t>
      </w:r>
      <w:r>
        <w:rPr>
          <w:sz w:val="27"/>
          <w:szCs w:val="27"/>
        </w:rPr>
        <w:t>’What is Financial Mismanagement? 13 Handy Tips to Improve Personal Finances.’</w:t>
      </w:r>
      <w:r>
        <w:rPr>
          <w:i/>
          <w:sz w:val="27"/>
          <w:szCs w:val="27"/>
        </w:rPr>
        <w:t xml:space="preserve"> Money Patrol. </w:t>
      </w:r>
      <w:r>
        <w:rPr>
          <w:color w:val="000000"/>
          <w:sz w:val="27"/>
          <w:szCs w:val="27"/>
        </w:rPr>
        <w:t>[</w:t>
      </w:r>
      <w:r>
        <w:rPr>
          <w:sz w:val="27"/>
          <w:szCs w:val="27"/>
        </w:rPr>
        <w:t>Blog</w:t>
      </w:r>
      <w:r>
        <w:rPr>
          <w:color w:val="000000"/>
          <w:sz w:val="27"/>
          <w:szCs w:val="27"/>
        </w:rPr>
        <w:t xml:space="preserve">] Available at: </w:t>
      </w:r>
      <w:hyperlink r:id="rId22">
        <w:r>
          <w:rPr>
            <w:color w:val="0563C1"/>
            <w:sz w:val="27"/>
            <w:szCs w:val="27"/>
            <w:u w:val="single"/>
          </w:rPr>
          <w:t>https://www.moneypatrol.com/moneytalk/budgeting/financial-mismanagement</w:t>
        </w:r>
      </w:hyperlink>
      <w:r>
        <w:rPr>
          <w:sz w:val="27"/>
          <w:szCs w:val="27"/>
        </w:rPr>
        <w:t xml:space="preserve"> (Accessed: 14 November 2023)</w:t>
      </w:r>
    </w:p>
    <w:p w14:paraId="33305F92" w14:textId="77777777" w:rsidR="004D4984" w:rsidRDefault="00352C5A">
      <w:pPr>
        <w:numPr>
          <w:ilvl w:val="0"/>
          <w:numId w:val="5"/>
        </w:numPr>
        <w:spacing w:after="0" w:line="360" w:lineRule="auto"/>
        <w:jc w:val="both"/>
        <w:rPr>
          <w:rFonts w:ascii="Arial" w:eastAsia="Arial" w:hAnsi="Arial" w:cs="Arial"/>
        </w:rPr>
      </w:pPr>
      <w:r>
        <w:rPr>
          <w:sz w:val="27"/>
          <w:szCs w:val="27"/>
        </w:rPr>
        <w:t>The Writing Center.</w:t>
      </w:r>
      <w:r>
        <w:rPr>
          <w:color w:val="000000"/>
          <w:sz w:val="27"/>
          <w:szCs w:val="27"/>
        </w:rPr>
        <w:t xml:space="preserve"> (2000).  </w:t>
      </w:r>
      <w:r>
        <w:rPr>
          <w:sz w:val="27"/>
          <w:szCs w:val="27"/>
        </w:rPr>
        <w:t>’</w:t>
      </w:r>
      <w:r>
        <w:rPr>
          <w:color w:val="000000"/>
          <w:sz w:val="27"/>
          <w:szCs w:val="27"/>
        </w:rPr>
        <w:t>Conclusions.</w:t>
      </w:r>
      <w:r>
        <w:rPr>
          <w:sz w:val="27"/>
          <w:szCs w:val="27"/>
        </w:rPr>
        <w:t>’</w:t>
      </w:r>
      <w:r>
        <w:rPr>
          <w:color w:val="000000"/>
          <w:sz w:val="27"/>
          <w:szCs w:val="27"/>
        </w:rPr>
        <w:t xml:space="preserve"> [</w:t>
      </w:r>
      <w:r>
        <w:rPr>
          <w:sz w:val="27"/>
          <w:szCs w:val="27"/>
        </w:rPr>
        <w:t>Blog</w:t>
      </w:r>
      <w:r>
        <w:rPr>
          <w:color w:val="000000"/>
          <w:sz w:val="27"/>
          <w:szCs w:val="27"/>
        </w:rPr>
        <w:t xml:space="preserve">] Available at: </w:t>
      </w:r>
      <w:hyperlink r:id="rId23">
        <w:r>
          <w:rPr>
            <w:color w:val="0563C1"/>
            <w:sz w:val="27"/>
            <w:szCs w:val="27"/>
            <w:u w:val="single"/>
          </w:rPr>
          <w:t>https://writingcenter.unc.edu/tips-and-tools/conclusions</w:t>
        </w:r>
      </w:hyperlink>
      <w:r>
        <w:rPr>
          <w:sz w:val="27"/>
          <w:szCs w:val="27"/>
        </w:rPr>
        <w:t xml:space="preserve"> (Accessed: 14 November 2023)</w:t>
      </w:r>
    </w:p>
    <w:p w14:paraId="33305F93" w14:textId="77777777" w:rsidR="004D4984" w:rsidRDefault="00352C5A">
      <w:pPr>
        <w:numPr>
          <w:ilvl w:val="0"/>
          <w:numId w:val="5"/>
        </w:numPr>
        <w:spacing w:after="0" w:line="360" w:lineRule="auto"/>
        <w:jc w:val="both"/>
        <w:rPr>
          <w:rFonts w:ascii="Arial" w:eastAsia="Arial" w:hAnsi="Arial" w:cs="Arial"/>
        </w:rPr>
      </w:pPr>
      <w:r>
        <w:rPr>
          <w:sz w:val="27"/>
          <w:szCs w:val="27"/>
        </w:rPr>
        <w:t xml:space="preserve">Choi J.G. (2013) ‘A Review of Current Financial Issues Facing the International Hotel Industry’ </w:t>
      </w:r>
      <w:r>
        <w:rPr>
          <w:i/>
          <w:sz w:val="27"/>
          <w:szCs w:val="27"/>
        </w:rPr>
        <w:t xml:space="preserve">The Journal of Hospitality Financial Management. </w:t>
      </w:r>
      <w:r>
        <w:rPr>
          <w:sz w:val="27"/>
          <w:szCs w:val="27"/>
        </w:rPr>
        <w:t xml:space="preserve">5(1), PP 1-9. </w:t>
      </w:r>
      <w:hyperlink r:id="rId24">
        <w:r>
          <w:rPr>
            <w:color w:val="1155CC"/>
            <w:sz w:val="27"/>
            <w:szCs w:val="27"/>
            <w:u w:val="single"/>
          </w:rPr>
          <w:t>https://doi.org/10.1080/10913211.1997.10653689</w:t>
        </w:r>
      </w:hyperlink>
      <w:r>
        <w:rPr>
          <w:sz w:val="27"/>
          <w:szCs w:val="27"/>
        </w:rPr>
        <w:t>.</w:t>
      </w:r>
    </w:p>
    <w:p w14:paraId="33305F94" w14:textId="77777777" w:rsidR="004D4984" w:rsidRDefault="00352C5A">
      <w:pPr>
        <w:numPr>
          <w:ilvl w:val="0"/>
          <w:numId w:val="5"/>
        </w:numPr>
        <w:spacing w:after="200" w:line="360" w:lineRule="auto"/>
        <w:jc w:val="both"/>
        <w:rPr>
          <w:rFonts w:ascii="Arial" w:eastAsia="Arial" w:hAnsi="Arial" w:cs="Arial"/>
        </w:rPr>
      </w:pPr>
      <w:r>
        <w:rPr>
          <w:sz w:val="27"/>
          <w:szCs w:val="27"/>
        </w:rPr>
        <w:t xml:space="preserve">Hales J. Hales J. (2006). </w:t>
      </w:r>
      <w:r>
        <w:rPr>
          <w:i/>
          <w:sz w:val="27"/>
          <w:szCs w:val="27"/>
        </w:rPr>
        <w:t xml:space="preserve">Accounting and Financial Analysis in the Hospitality Industry. </w:t>
      </w:r>
      <w:r>
        <w:rPr>
          <w:sz w:val="27"/>
          <w:szCs w:val="27"/>
        </w:rPr>
        <w:t xml:space="preserve">Routledge. </w:t>
      </w:r>
    </w:p>
    <w:p w14:paraId="33305F95" w14:textId="77777777" w:rsidR="004D4984" w:rsidRDefault="004D4984">
      <w:pPr>
        <w:pBdr>
          <w:top w:val="nil"/>
          <w:left w:val="nil"/>
          <w:bottom w:val="nil"/>
          <w:right w:val="nil"/>
          <w:between w:val="nil"/>
        </w:pBdr>
        <w:spacing w:after="0" w:line="240" w:lineRule="auto"/>
        <w:jc w:val="center"/>
        <w:rPr>
          <w:sz w:val="120"/>
          <w:szCs w:val="120"/>
        </w:rPr>
      </w:pPr>
    </w:p>
    <w:p w14:paraId="33305F96" w14:textId="77777777" w:rsidR="004D4984" w:rsidRDefault="004D4984">
      <w:pPr>
        <w:pBdr>
          <w:top w:val="nil"/>
          <w:left w:val="nil"/>
          <w:bottom w:val="nil"/>
          <w:right w:val="nil"/>
          <w:between w:val="nil"/>
        </w:pBdr>
        <w:spacing w:after="0" w:line="240" w:lineRule="auto"/>
        <w:jc w:val="center"/>
        <w:rPr>
          <w:sz w:val="24"/>
          <w:szCs w:val="24"/>
        </w:rPr>
      </w:pPr>
    </w:p>
    <w:p w14:paraId="33305F97" w14:textId="77777777" w:rsidR="004D4984" w:rsidRDefault="004D4984">
      <w:pPr>
        <w:pBdr>
          <w:top w:val="nil"/>
          <w:left w:val="nil"/>
          <w:bottom w:val="nil"/>
          <w:right w:val="nil"/>
          <w:between w:val="nil"/>
        </w:pBdr>
        <w:spacing w:after="0" w:line="240" w:lineRule="auto"/>
        <w:jc w:val="center"/>
        <w:rPr>
          <w:sz w:val="24"/>
          <w:szCs w:val="24"/>
        </w:rPr>
      </w:pPr>
    </w:p>
    <w:p w14:paraId="33305FA6" w14:textId="77777777" w:rsidR="004D4984" w:rsidRDefault="00352C5A" w:rsidP="007D4F7F">
      <w:pPr>
        <w:pBdr>
          <w:top w:val="nil"/>
          <w:left w:val="nil"/>
          <w:bottom w:val="nil"/>
          <w:right w:val="nil"/>
          <w:between w:val="nil"/>
        </w:pBdr>
        <w:spacing w:after="0" w:line="240" w:lineRule="auto"/>
        <w:ind w:left="3600"/>
      </w:pPr>
      <w:r>
        <w:rPr>
          <w:rFonts w:ascii="Arial" w:eastAsia="Arial" w:hAnsi="Arial" w:cs="Arial"/>
          <w:sz w:val="24"/>
          <w:szCs w:val="24"/>
        </w:rPr>
        <w:t>END OF REPORT</w:t>
      </w:r>
      <w:r>
        <w:rPr>
          <w:color w:val="000000"/>
          <w:sz w:val="144"/>
          <w:szCs w:val="144"/>
        </w:rPr>
        <w:br/>
      </w:r>
    </w:p>
    <w:sectPr w:rsidR="004D498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77EEF"/>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66A6EE7"/>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6DB012C"/>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04C205C"/>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6CD2711F"/>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78E8270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95547152">
    <w:abstractNumId w:val="2"/>
  </w:num>
  <w:num w:numId="2" w16cid:durableId="770734593">
    <w:abstractNumId w:val="0"/>
  </w:num>
  <w:num w:numId="3" w16cid:durableId="682171971">
    <w:abstractNumId w:val="4"/>
  </w:num>
  <w:num w:numId="4" w16cid:durableId="1158381333">
    <w:abstractNumId w:val="5"/>
  </w:num>
  <w:num w:numId="5" w16cid:durableId="2052533114">
    <w:abstractNumId w:val="1"/>
  </w:num>
  <w:num w:numId="6" w16cid:durableId="4784961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4984"/>
    <w:rsid w:val="0000520F"/>
    <w:rsid w:val="00351D56"/>
    <w:rsid w:val="00352C5A"/>
    <w:rsid w:val="00452A9B"/>
    <w:rsid w:val="004D4984"/>
    <w:rsid w:val="007D4F7F"/>
    <w:rsid w:val="00976ABE"/>
    <w:rsid w:val="00B2700A"/>
    <w:rsid w:val="00D5201E"/>
    <w:rsid w:val="00DA238B"/>
    <w:rsid w:val="00E25EDE"/>
    <w:rsid w:val="00EB5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05F04"/>
  <w15:docId w15:val="{429A29F1-505C-E146-9194-108BC8317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unhideWhenUsed/>
    <w:rsid w:val="00D074B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074B1"/>
    <w:rPr>
      <w:color w:val="0563C1" w:themeColor="hyperlink"/>
      <w:u w:val="single"/>
    </w:rPr>
  </w:style>
  <w:style w:type="character" w:styleId="UnresolvedMention">
    <w:name w:val="Unresolved Mention"/>
    <w:basedOn w:val="DefaultParagraphFont"/>
    <w:uiPriority w:val="99"/>
    <w:semiHidden/>
    <w:unhideWhenUsed/>
    <w:rsid w:val="00D074B1"/>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F7F7F8"/>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getlucidity.com/strategy-resources/building-a-turnaround-strategy" TargetMode="External"/><Relationship Id="rId13" Type="http://schemas.openxmlformats.org/officeDocument/2006/relationships/hyperlink" Target="https://www.thepowermba.com/en/blog/branding-vs-marketing" TargetMode="External"/><Relationship Id="rId18" Type="http://schemas.openxmlformats.org/officeDocument/2006/relationships/hyperlink" Target="https://www.igniyte.co.uk/blog/11-simple-ways-to-enhance-your-company-reputatio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wilsonblanchard.com/blog/tips-for-repurposing-your-communitys-outdated-amenities" TargetMode="External"/><Relationship Id="rId7" Type="http://schemas.openxmlformats.org/officeDocument/2006/relationships/hyperlink" Target="https://www.investopedia.com/terms/f/financialperformance.asp" TargetMode="External"/><Relationship Id="rId12" Type="http://schemas.openxmlformats.org/officeDocument/2006/relationships/hyperlink" Target="https://www.opengrowth.com/resources/financial-restructuring-a-brief-guide" TargetMode="External"/><Relationship Id="rId17" Type="http://schemas.openxmlformats.org/officeDocument/2006/relationships/hyperlink" Target="https://www.bgateway.com/resources/increase-your-profitability"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roductplan.com/glossary/competitive-landscape/" TargetMode="External"/><Relationship Id="rId20" Type="http://schemas.openxmlformats.org/officeDocument/2006/relationships/hyperlink" Target="https://www.investopedia.com/terms/e/expected-value.asp" TargetMode="External"/><Relationship Id="rId1" Type="http://schemas.openxmlformats.org/officeDocument/2006/relationships/customXml" Target="../customXml/item1.xml"/><Relationship Id="rId6" Type="http://schemas.openxmlformats.org/officeDocument/2006/relationships/hyperlink" Target="https://www.coursera.org/articles/market-analysis" TargetMode="External"/><Relationship Id="rId11" Type="http://schemas.openxmlformats.org/officeDocument/2006/relationships/hyperlink" Target="https://www.investopedia.com/articles/stocks/07/easycashflow.asp" TargetMode="External"/><Relationship Id="rId24" Type="http://schemas.openxmlformats.org/officeDocument/2006/relationships/hyperlink" Target="https://doi.org/10.1080/10913211.1997.10653689" TargetMode="External"/><Relationship Id="rId5" Type="http://schemas.openxmlformats.org/officeDocument/2006/relationships/webSettings" Target="webSettings.xml"/><Relationship Id="rId15" Type="http://schemas.openxmlformats.org/officeDocument/2006/relationships/hyperlink" Target="https://www.differencebetween.com/difference-between-positioning-and-vs-differentiation" TargetMode="External"/><Relationship Id="rId23" Type="http://schemas.openxmlformats.org/officeDocument/2006/relationships/hyperlink" Target="https://writingcenter.unc.edu/tips-and-tools/conclusions" TargetMode="External"/><Relationship Id="rId10" Type="http://schemas.openxmlformats.org/officeDocument/2006/relationships/hyperlink" Target="https://www.investopedia.com/terms/b/balancesheet.asp" TargetMode="External"/><Relationship Id="rId19" Type="http://schemas.openxmlformats.org/officeDocument/2006/relationships/hyperlink" Target="https://www.investopedia.com/ask/answers/051315/whats-difference-between-financial-plan-and-financial-forecast.asp" TargetMode="External"/><Relationship Id="rId4" Type="http://schemas.openxmlformats.org/officeDocument/2006/relationships/settings" Target="settings.xml"/><Relationship Id="rId9" Type="http://schemas.openxmlformats.org/officeDocument/2006/relationships/hyperlink" Target="https://www.zoho.com/books/guides/what-is-an-income-statement.html" TargetMode="External"/><Relationship Id="rId14" Type="http://schemas.openxmlformats.org/officeDocument/2006/relationships/hyperlink" Target="https://www.techtarget.com/searchbusinessanalytics/definition/operational-efficiency" TargetMode="External"/><Relationship Id="rId22" Type="http://schemas.openxmlformats.org/officeDocument/2006/relationships/hyperlink" Target="https://www.moneypatrol.com/moneytalk/budgeting/financial-mis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u/0Ty1VfdRwqZyaXZKqDGW++Dg==">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2866</Words>
  <Characters>16342</Characters>
  <DocSecurity>0</DocSecurity>
  <Lines>136</Lines>
  <Paragraphs>38</Paragraphs>
  <ScaleCrop>false</ScaleCrop>
  <Company/>
  <LinksUpToDate>false</LinksUpToDate>
  <CharactersWithSpaces>19170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Ahmed Reza Helal</dc:creator>
  <dcterms:created xsi:type="dcterms:W3CDTF">2023-11-16T09:21:00Z</dcterms:created>
  <dcterms:modified xsi:type="dcterms:W3CDTF">2023-11-16T11:03:00Z</dcterms:modified>
</cp:coreProperties>
</file>