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Default Extension="odttf" ContentType="application/vnd.openxmlformats-officedocument.obfuscatedFont"/>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header4.xml" ContentType="application/vnd.openxmlformats-officedocument.wordprocessingml.header+xml"/>
  <Override PartName="/word/header5.xml" ContentType="application/vnd.openxmlformats-officedocument.wordprocessingml.header+xml"/>
  <Override PartName="/word/footer4.xml" ContentType="application/vnd.openxmlformats-officedocument.wordprocessingml.footer+xml"/>
  <Override PartName="/word/footer5.xml" ContentType="application/vnd.openxmlformats-officedocument.wordprocessingml.footer+xml"/>
  <Override PartName="/word/header6.xml" ContentType="application/vnd.openxmlformats-officedocument.wordprocessingml.header+xml"/>
  <Override PartName="/word/footer6.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14:paraId="10830EB6" w14:textId="77777777" w:rsidR="00955984" w:rsidRPr="001E722E" w:rsidRDefault="00161751">
      <w:pPr>
        <w:spacing w:line="360" w:lineRule="auto"/>
        <w:jc w:val="center"/>
        <w:rPr>
          <w:rFonts w:ascii="Arial" w:eastAsia="Arial" w:hAnsi="Arial" w:cs="Arial"/>
          <w:b/>
          <w:bCs/>
          <w:sz w:val="32"/>
          <w:szCs w:val="32"/>
        </w:rPr>
      </w:pPr>
      <w:r w:rsidRPr="001E722E">
        <w:rPr>
          <w:noProof/>
        </w:rPr>
        <w:drawing>
          <wp:anchor distT="0" distB="0" distL="114300" distR="114300" simplePos="0" relativeHeight="251658240" behindDoc="0" locked="0" layoutInCell="1" hidden="0" allowOverlap="1" wp14:anchorId="5BA7E60F" wp14:editId="5331B021">
            <wp:simplePos x="0" y="0"/>
            <wp:positionH relativeFrom="column">
              <wp:posOffset>1138554</wp:posOffset>
            </wp:positionH>
            <wp:positionV relativeFrom="paragraph">
              <wp:posOffset>0</wp:posOffset>
            </wp:positionV>
            <wp:extent cx="3454400" cy="1145540"/>
            <wp:effectExtent l="0" t="0" r="0" b="0"/>
            <wp:wrapTopAndBottom distT="0" distB="0"/>
            <wp:docPr id="1"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8"/>
                    <a:srcRect/>
                    <a:stretch>
                      <a:fillRect/>
                    </a:stretch>
                  </pic:blipFill>
                  <pic:spPr>
                    <a:xfrm>
                      <a:off x="0" y="0"/>
                      <a:ext cx="3454400" cy="1145540"/>
                    </a:xfrm>
                    <a:prstGeom prst="rect">
                      <a:avLst/>
                    </a:prstGeom>
                    <a:ln/>
                  </pic:spPr>
                </pic:pic>
              </a:graphicData>
            </a:graphic>
          </wp:anchor>
        </w:drawing>
      </w:r>
    </w:p>
    <w:p w14:paraId="0ED80A6D" w14:textId="77777777" w:rsidR="00955984" w:rsidRPr="001E722E" w:rsidRDefault="00161751">
      <w:pPr>
        <w:spacing w:line="360" w:lineRule="auto"/>
        <w:jc w:val="center"/>
        <w:rPr>
          <w:rFonts w:ascii="Arial" w:eastAsia="Arial" w:hAnsi="Arial" w:cs="Arial"/>
          <w:b/>
          <w:bCs/>
          <w:sz w:val="32"/>
          <w:szCs w:val="32"/>
        </w:rPr>
      </w:pPr>
      <w:r w:rsidRPr="001E722E">
        <w:rPr>
          <w:rFonts w:ascii="Arial" w:eastAsia="Arial" w:hAnsi="Arial" w:cs="Arial"/>
          <w:b/>
          <w:bCs/>
          <w:sz w:val="32"/>
          <w:szCs w:val="32"/>
        </w:rPr>
        <w:t>Master of Science in Public Health and Social Care in Practice</w:t>
      </w:r>
    </w:p>
    <w:p w14:paraId="1114B4D1" w14:textId="77777777" w:rsidR="00955984" w:rsidRPr="001E722E" w:rsidRDefault="00955984">
      <w:pPr>
        <w:spacing w:line="360" w:lineRule="auto"/>
        <w:jc w:val="center"/>
        <w:rPr>
          <w:rFonts w:ascii="Arial" w:eastAsia="Arial" w:hAnsi="Arial" w:cs="Arial"/>
          <w:b/>
          <w:bCs/>
          <w:sz w:val="32"/>
          <w:szCs w:val="32"/>
        </w:rPr>
      </w:pPr>
    </w:p>
    <w:p w14:paraId="626978C3" w14:textId="77777777" w:rsidR="00955984" w:rsidRPr="00ED35EF" w:rsidRDefault="00161751">
      <w:pPr>
        <w:spacing w:line="360" w:lineRule="auto"/>
        <w:jc w:val="center"/>
        <w:rPr>
          <w:rFonts w:ascii="Arial" w:eastAsia="Arial" w:hAnsi="Arial" w:cs="Arial"/>
          <w:b/>
          <w:bCs/>
          <w:sz w:val="24"/>
        </w:rPr>
      </w:pPr>
      <w:r w:rsidRPr="00ED35EF">
        <w:rPr>
          <w:rFonts w:ascii="Arial" w:eastAsia="Arial" w:hAnsi="Arial" w:cs="Arial"/>
          <w:b/>
          <w:bCs/>
          <w:sz w:val="24"/>
        </w:rPr>
        <w:t>Student Name:</w:t>
      </w:r>
      <w:r w:rsidRPr="00ED35EF">
        <w:rPr>
          <w:rFonts w:ascii="Arial" w:eastAsia="Arial" w:hAnsi="Arial" w:cs="Arial"/>
          <w:sz w:val="24"/>
        </w:rPr>
        <w:t xml:space="preserve"> </w:t>
      </w:r>
      <w:r w:rsidRPr="00ED35EF">
        <w:rPr>
          <w:rFonts w:ascii="Arial" w:eastAsia="Arial" w:hAnsi="Arial" w:cs="Arial"/>
          <w:b/>
          <w:bCs/>
          <w:sz w:val="24"/>
        </w:rPr>
        <w:t>Md Sizan</w:t>
      </w:r>
    </w:p>
    <w:p w14:paraId="034AAB95" w14:textId="77777777" w:rsidR="00955984" w:rsidRPr="00ED35EF" w:rsidRDefault="00161751">
      <w:pPr>
        <w:spacing w:line="360" w:lineRule="auto"/>
        <w:jc w:val="center"/>
        <w:rPr>
          <w:rFonts w:ascii="Arial" w:eastAsia="Arial" w:hAnsi="Arial" w:cs="Arial"/>
          <w:sz w:val="24"/>
        </w:rPr>
      </w:pPr>
      <w:r w:rsidRPr="00ED35EF">
        <w:rPr>
          <w:rFonts w:ascii="Arial" w:eastAsia="Arial" w:hAnsi="Arial" w:cs="Arial"/>
          <w:b/>
          <w:bCs/>
          <w:sz w:val="24"/>
        </w:rPr>
        <w:t>Student Number:</w:t>
      </w:r>
      <w:r w:rsidRPr="00ED35EF">
        <w:rPr>
          <w:rFonts w:ascii="Arial" w:eastAsia="Arial" w:hAnsi="Arial" w:cs="Arial"/>
          <w:sz w:val="22"/>
          <w:szCs w:val="18"/>
        </w:rPr>
        <w:t xml:space="preserve"> </w:t>
      </w:r>
      <w:r w:rsidRPr="00ED35EF">
        <w:rPr>
          <w:rFonts w:ascii="Arial" w:eastAsia="Arial" w:hAnsi="Arial" w:cs="Arial"/>
          <w:b/>
          <w:bCs/>
          <w:sz w:val="24"/>
        </w:rPr>
        <w:t>2510690</w:t>
      </w:r>
    </w:p>
    <w:p w14:paraId="62A52554" w14:textId="77777777" w:rsidR="00955984" w:rsidRPr="001E722E" w:rsidRDefault="00955984">
      <w:pPr>
        <w:spacing w:line="360" w:lineRule="auto"/>
        <w:jc w:val="center"/>
        <w:rPr>
          <w:rFonts w:ascii="Arial" w:eastAsia="Arial" w:hAnsi="Arial" w:cs="Arial"/>
          <w:b/>
          <w:bCs/>
          <w:sz w:val="32"/>
          <w:szCs w:val="32"/>
        </w:rPr>
      </w:pPr>
    </w:p>
    <w:p w14:paraId="2C431057" w14:textId="5597CA77" w:rsidR="001E722E" w:rsidRPr="001E722E" w:rsidRDefault="00161751">
      <w:pPr>
        <w:spacing w:line="360" w:lineRule="auto"/>
        <w:jc w:val="center"/>
        <w:rPr>
          <w:rFonts w:ascii="Arial" w:eastAsia="Arial" w:hAnsi="Arial" w:cs="Arial"/>
          <w:b/>
          <w:bCs/>
          <w:sz w:val="24"/>
          <w:szCs w:val="24"/>
        </w:rPr>
      </w:pPr>
      <w:r w:rsidRPr="001E722E">
        <w:rPr>
          <w:rFonts w:ascii="Arial" w:eastAsia="Arial" w:hAnsi="Arial" w:cs="Arial"/>
          <w:b/>
          <w:bCs/>
          <w:sz w:val="24"/>
          <w:szCs w:val="24"/>
        </w:rPr>
        <w:t>Module code:</w:t>
      </w:r>
      <w:r w:rsidRPr="001E722E">
        <w:rPr>
          <w:rFonts w:ascii="Arial" w:eastAsia="Arial" w:hAnsi="Arial" w:cs="Arial"/>
        </w:rPr>
        <w:t xml:space="preserve"> </w:t>
      </w:r>
      <w:r w:rsidRPr="00161751">
        <w:rPr>
          <w:rFonts w:ascii="Arial" w:eastAsia="Arial" w:hAnsi="Arial" w:cs="Arial"/>
          <w:b/>
          <w:sz w:val="24"/>
        </w:rPr>
        <w:t>LCHS7004</w:t>
      </w:r>
    </w:p>
    <w:p w14:paraId="38F85A6F" w14:textId="7B0CEC9A" w:rsidR="00955984" w:rsidRPr="001E722E" w:rsidRDefault="00161751">
      <w:pPr>
        <w:spacing w:line="360" w:lineRule="auto"/>
        <w:jc w:val="center"/>
        <w:rPr>
          <w:rFonts w:ascii="Arial" w:eastAsia="Arial" w:hAnsi="Arial" w:cs="Arial"/>
          <w:b/>
          <w:bCs/>
          <w:sz w:val="24"/>
          <w:szCs w:val="24"/>
        </w:rPr>
      </w:pPr>
      <w:r w:rsidRPr="001E722E">
        <w:rPr>
          <w:rFonts w:ascii="Arial" w:eastAsia="Arial" w:hAnsi="Arial" w:cs="Arial"/>
          <w:b/>
          <w:bCs/>
          <w:sz w:val="24"/>
          <w:szCs w:val="24"/>
        </w:rPr>
        <w:t xml:space="preserve">Module Name: </w:t>
      </w:r>
      <w:r>
        <w:rPr>
          <w:rFonts w:ascii="Arial" w:eastAsia="Arial" w:hAnsi="Arial" w:cs="Arial"/>
          <w:b/>
          <w:bCs/>
          <w:sz w:val="24"/>
          <w:szCs w:val="24"/>
        </w:rPr>
        <w:t xml:space="preserve">Public Health and Social Care in Practice </w:t>
      </w:r>
      <w:r w:rsidRPr="001E722E">
        <w:rPr>
          <w:rFonts w:ascii="Arial" w:eastAsia="Arial" w:hAnsi="Arial" w:cs="Arial"/>
          <w:b/>
          <w:bCs/>
          <w:sz w:val="24"/>
          <w:szCs w:val="24"/>
        </w:rPr>
        <w:t xml:space="preserve">Dissertation </w:t>
      </w:r>
    </w:p>
    <w:p w14:paraId="2AB2398E" w14:textId="77777777" w:rsidR="00955984" w:rsidRPr="001E722E" w:rsidRDefault="00955984">
      <w:pPr>
        <w:spacing w:line="360" w:lineRule="auto"/>
        <w:jc w:val="center"/>
        <w:rPr>
          <w:rFonts w:ascii="Arial" w:eastAsia="Arial" w:hAnsi="Arial" w:cs="Arial"/>
          <w:b/>
          <w:bCs/>
          <w:sz w:val="32"/>
          <w:szCs w:val="32"/>
        </w:rPr>
      </w:pPr>
    </w:p>
    <w:p w14:paraId="1256BF46" w14:textId="77777777" w:rsidR="00955984" w:rsidRPr="001E722E" w:rsidRDefault="00161751">
      <w:pPr>
        <w:spacing w:line="360" w:lineRule="auto"/>
        <w:jc w:val="center"/>
        <w:rPr>
          <w:rFonts w:ascii="Arial" w:eastAsia="Arial" w:hAnsi="Arial" w:cs="Arial"/>
          <w:b/>
          <w:bCs/>
          <w:sz w:val="24"/>
          <w:szCs w:val="24"/>
        </w:rPr>
      </w:pPr>
      <w:r w:rsidRPr="001E722E">
        <w:rPr>
          <w:rFonts w:ascii="Arial" w:eastAsia="Arial" w:hAnsi="Arial" w:cs="Arial"/>
          <w:b/>
          <w:bCs/>
          <w:sz w:val="24"/>
          <w:szCs w:val="24"/>
        </w:rPr>
        <w:t>Title: "</w:t>
      </w:r>
      <w:r w:rsidRPr="001E722E">
        <w:rPr>
          <w:rFonts w:ascii="Arial" w:eastAsia="Arial" w:hAnsi="Arial" w:cs="Arial"/>
        </w:rPr>
        <w:t xml:space="preserve"> </w:t>
      </w:r>
      <w:r w:rsidRPr="001E722E">
        <w:rPr>
          <w:rFonts w:ascii="Arial" w:eastAsia="Arial" w:hAnsi="Arial" w:cs="Arial"/>
          <w:b/>
          <w:bCs/>
          <w:sz w:val="24"/>
          <w:szCs w:val="24"/>
        </w:rPr>
        <w:t>Strategies to Improve Public Awareness and Promotion of Early Screening for Coronary Heart Disease Prevention in the United Kingdom"</w:t>
      </w:r>
    </w:p>
    <w:p w14:paraId="24F4AD3C" w14:textId="77777777" w:rsidR="00955984" w:rsidRPr="001E722E" w:rsidRDefault="00955984">
      <w:pPr>
        <w:spacing w:line="360" w:lineRule="auto"/>
        <w:jc w:val="center"/>
        <w:rPr>
          <w:rFonts w:ascii="Arial" w:eastAsia="Arial" w:hAnsi="Arial" w:cs="Arial"/>
          <w:b/>
          <w:bCs/>
          <w:sz w:val="32"/>
          <w:szCs w:val="32"/>
        </w:rPr>
      </w:pPr>
    </w:p>
    <w:p w14:paraId="11F14F2A" w14:textId="77777777" w:rsidR="00ED35EF" w:rsidRDefault="00161751">
      <w:pPr>
        <w:spacing w:line="360" w:lineRule="auto"/>
        <w:jc w:val="center"/>
        <w:rPr>
          <w:rFonts w:ascii="Arial" w:eastAsia="Arial" w:hAnsi="Arial" w:cs="Arial"/>
          <w:b/>
          <w:bCs/>
          <w:sz w:val="32"/>
          <w:szCs w:val="32"/>
        </w:rPr>
      </w:pPr>
      <w:r w:rsidRPr="001E722E">
        <w:rPr>
          <w:rFonts w:ascii="Arial" w:eastAsia="Arial" w:hAnsi="Arial" w:cs="Arial"/>
          <w:b/>
          <w:bCs/>
          <w:sz w:val="32"/>
          <w:szCs w:val="32"/>
        </w:rPr>
        <w:t>Supervisor:</w:t>
      </w:r>
    </w:p>
    <w:p w14:paraId="59A6913D" w14:textId="3FAEAF3A" w:rsidR="00955984" w:rsidRPr="001E722E" w:rsidRDefault="00ED35EF">
      <w:pPr>
        <w:spacing w:line="360" w:lineRule="auto"/>
        <w:jc w:val="center"/>
        <w:rPr>
          <w:rFonts w:ascii="Arial" w:eastAsia="Arial" w:hAnsi="Arial" w:cs="Arial"/>
          <w:b/>
          <w:bCs/>
          <w:sz w:val="32"/>
          <w:szCs w:val="32"/>
        </w:rPr>
      </w:pPr>
      <w:r>
        <w:rPr>
          <w:rFonts w:ascii="Arial" w:eastAsia="Arial" w:hAnsi="Arial" w:cs="Arial"/>
          <w:b/>
          <w:bCs/>
          <w:sz w:val="32"/>
          <w:szCs w:val="32"/>
        </w:rPr>
        <w:t>Shaila Huss</w:t>
      </w:r>
      <w:bookmarkStart w:id="0" w:name="_GoBack"/>
      <w:bookmarkEnd w:id="0"/>
      <w:r>
        <w:rPr>
          <w:rFonts w:ascii="Arial" w:eastAsia="Arial" w:hAnsi="Arial" w:cs="Arial"/>
          <w:b/>
          <w:bCs/>
          <w:sz w:val="32"/>
          <w:szCs w:val="32"/>
        </w:rPr>
        <w:t>ain</w:t>
      </w:r>
      <w:r w:rsidR="00161751" w:rsidRPr="001E722E">
        <w:rPr>
          <w:rFonts w:ascii="Arial" w:eastAsia="Arial" w:hAnsi="Arial" w:cs="Arial"/>
          <w:b/>
          <w:bCs/>
          <w:sz w:val="32"/>
          <w:szCs w:val="32"/>
        </w:rPr>
        <w:t xml:space="preserve"> </w:t>
      </w:r>
    </w:p>
    <w:p w14:paraId="457B43AB" w14:textId="7B233D3D" w:rsidR="00955984" w:rsidRPr="001E722E" w:rsidRDefault="00161751">
      <w:pPr>
        <w:spacing w:line="278" w:lineRule="auto"/>
        <w:rPr>
          <w:rFonts w:ascii="Arial" w:eastAsia="Arial" w:hAnsi="Arial" w:cs="Arial"/>
          <w:b/>
          <w:bCs/>
          <w:sz w:val="32"/>
          <w:szCs w:val="32"/>
        </w:rPr>
        <w:sectPr w:rsidR="00955984" w:rsidRPr="001E722E">
          <w:pgSz w:w="11906" w:h="16838"/>
          <w:pgMar w:top="1440" w:right="1440" w:bottom="1440" w:left="1440" w:header="708" w:footer="708" w:gutter="0"/>
          <w:pgNumType w:start="1"/>
          <w:cols w:space="720"/>
        </w:sectPr>
      </w:pPr>
      <w:r w:rsidRPr="001E722E">
        <w:br w:type="page"/>
      </w:r>
    </w:p>
    <w:p w14:paraId="24DFC1D4" w14:textId="77777777" w:rsidR="00955984" w:rsidRPr="001E722E" w:rsidRDefault="00161751">
      <w:pPr>
        <w:pBdr>
          <w:top w:val="single" w:sz="4" w:space="1" w:color="000000"/>
          <w:left w:val="single" w:sz="4" w:space="4" w:color="000000"/>
          <w:bottom w:val="single" w:sz="4" w:space="31" w:color="000000"/>
          <w:right w:val="single" w:sz="4" w:space="4" w:color="000000"/>
        </w:pBdr>
        <w:spacing w:after="120"/>
        <w:jc w:val="center"/>
        <w:rPr>
          <w:rFonts w:ascii="Arial" w:eastAsia="Arial" w:hAnsi="Arial" w:cs="Arial"/>
          <w:sz w:val="24"/>
          <w:szCs w:val="24"/>
        </w:rPr>
      </w:pPr>
      <w:r w:rsidRPr="001E722E">
        <w:rPr>
          <w:rFonts w:ascii="Arial" w:eastAsia="Arial" w:hAnsi="Arial" w:cs="Arial"/>
          <w:noProof/>
          <w:sz w:val="24"/>
          <w:szCs w:val="24"/>
        </w:rPr>
        <w:lastRenderedPageBreak/>
        <w:drawing>
          <wp:inline distT="0" distB="0" distL="0" distR="0" wp14:anchorId="343EC44C" wp14:editId="66FD5712">
            <wp:extent cx="2844800" cy="1168400"/>
            <wp:effectExtent l="0" t="0" r="0" b="0"/>
            <wp:docPr id="3" name="image3.png"/>
            <wp:cNvGraphicFramePr/>
            <a:graphic xmlns:a="http://schemas.openxmlformats.org/drawingml/2006/main">
              <a:graphicData uri="http://schemas.openxmlformats.org/drawingml/2006/picture">
                <pic:pic xmlns:pic="http://schemas.openxmlformats.org/drawingml/2006/picture">
                  <pic:nvPicPr>
                    <pic:cNvPr id="0" name="image3.png"/>
                    <pic:cNvPicPr preferRelativeResize="0"/>
                  </pic:nvPicPr>
                  <pic:blipFill>
                    <a:blip r:embed="rId9"/>
                    <a:srcRect/>
                    <a:stretch>
                      <a:fillRect/>
                    </a:stretch>
                  </pic:blipFill>
                  <pic:spPr>
                    <a:xfrm>
                      <a:off x="0" y="0"/>
                      <a:ext cx="2844800" cy="1168400"/>
                    </a:xfrm>
                    <a:prstGeom prst="rect">
                      <a:avLst/>
                    </a:prstGeom>
                    <a:ln/>
                  </pic:spPr>
                </pic:pic>
              </a:graphicData>
            </a:graphic>
          </wp:inline>
        </w:drawing>
      </w:r>
    </w:p>
    <w:p w14:paraId="371B992A" w14:textId="77777777" w:rsidR="00955984" w:rsidRPr="001E722E" w:rsidRDefault="00955984">
      <w:pPr>
        <w:pBdr>
          <w:top w:val="single" w:sz="4" w:space="1" w:color="000000"/>
          <w:left w:val="single" w:sz="4" w:space="4" w:color="000000"/>
          <w:bottom w:val="single" w:sz="4" w:space="31" w:color="000000"/>
          <w:right w:val="single" w:sz="4" w:space="4" w:color="000000"/>
        </w:pBdr>
        <w:spacing w:after="120"/>
        <w:jc w:val="center"/>
        <w:rPr>
          <w:rFonts w:ascii="Arial" w:eastAsia="Arial" w:hAnsi="Arial" w:cs="Arial"/>
          <w:b/>
          <w:bCs/>
          <w:sz w:val="32"/>
          <w:szCs w:val="32"/>
        </w:rPr>
      </w:pPr>
    </w:p>
    <w:p w14:paraId="38CFAE1C" w14:textId="77777777" w:rsidR="00955984" w:rsidRPr="001E722E" w:rsidRDefault="00161751">
      <w:pPr>
        <w:pBdr>
          <w:top w:val="single" w:sz="4" w:space="1" w:color="000000"/>
          <w:left w:val="single" w:sz="4" w:space="4" w:color="000000"/>
          <w:bottom w:val="single" w:sz="4" w:space="31" w:color="000000"/>
          <w:right w:val="single" w:sz="4" w:space="4" w:color="000000"/>
        </w:pBdr>
        <w:spacing w:after="120"/>
        <w:jc w:val="center"/>
        <w:rPr>
          <w:rFonts w:ascii="Arial" w:eastAsia="Arial" w:hAnsi="Arial" w:cs="Arial"/>
          <w:b/>
          <w:bCs/>
          <w:sz w:val="32"/>
          <w:szCs w:val="32"/>
        </w:rPr>
      </w:pPr>
      <w:r w:rsidRPr="001E722E">
        <w:rPr>
          <w:rFonts w:ascii="Arial" w:eastAsia="Arial" w:hAnsi="Arial" w:cs="Arial"/>
          <w:b/>
          <w:bCs/>
          <w:sz w:val="32"/>
          <w:szCs w:val="32"/>
        </w:rPr>
        <w:t>MASTER'S DEGREES BY EXAMINATION AND DISSERTATION</w:t>
      </w:r>
    </w:p>
    <w:p w14:paraId="12573773" w14:textId="77777777" w:rsidR="00955984" w:rsidRPr="001E722E" w:rsidRDefault="00161751">
      <w:pPr>
        <w:pBdr>
          <w:top w:val="single" w:sz="4" w:space="1" w:color="000000"/>
          <w:left w:val="single" w:sz="4" w:space="4" w:color="000000"/>
          <w:bottom w:val="single" w:sz="4" w:space="31" w:color="000000"/>
          <w:right w:val="single" w:sz="4" w:space="4" w:color="000000"/>
        </w:pBdr>
        <w:spacing w:after="120" w:line="360" w:lineRule="auto"/>
        <w:jc w:val="both"/>
        <w:rPr>
          <w:rFonts w:ascii="Arial" w:eastAsia="Arial" w:hAnsi="Arial" w:cs="Arial"/>
          <w:sz w:val="24"/>
          <w:szCs w:val="24"/>
        </w:rPr>
      </w:pPr>
      <w:r w:rsidRPr="001E722E">
        <w:rPr>
          <w:rFonts w:ascii="Arial" w:eastAsia="Arial" w:hAnsi="Arial" w:cs="Arial"/>
          <w:sz w:val="24"/>
          <w:szCs w:val="24"/>
        </w:rPr>
        <w:t>Declaration Form</w:t>
      </w:r>
    </w:p>
    <w:p w14:paraId="36F6F0FF" w14:textId="77777777" w:rsidR="00955984" w:rsidRPr="001E722E" w:rsidRDefault="00161751">
      <w:pPr>
        <w:pBdr>
          <w:top w:val="single" w:sz="4" w:space="1" w:color="000000"/>
          <w:left w:val="single" w:sz="4" w:space="4" w:color="000000"/>
          <w:bottom w:val="single" w:sz="4" w:space="31" w:color="000000"/>
          <w:right w:val="single" w:sz="4" w:space="4" w:color="000000"/>
        </w:pBdr>
        <w:spacing w:after="120" w:line="360" w:lineRule="auto"/>
        <w:jc w:val="both"/>
        <w:rPr>
          <w:rFonts w:ascii="Arial" w:eastAsia="Arial" w:hAnsi="Arial" w:cs="Arial"/>
          <w:sz w:val="24"/>
          <w:szCs w:val="24"/>
        </w:rPr>
      </w:pPr>
      <w:r w:rsidRPr="001E722E">
        <w:rPr>
          <w:rFonts w:ascii="Arial" w:eastAsia="Arial" w:hAnsi="Arial" w:cs="Arial"/>
          <w:sz w:val="24"/>
          <w:szCs w:val="24"/>
        </w:rPr>
        <w:t>I, Md Sizan, hereby state that this dissertation is wholly written by me, and all ideas expressed herein are entirely my own except as stated otherwise in the dissertation itself. Furthermore, I state that the dissertation has not been submitted to receive any other degree or qualifications either wholly or in part.</w:t>
      </w:r>
    </w:p>
    <w:p w14:paraId="3A8845A5" w14:textId="77777777" w:rsidR="00955984" w:rsidRPr="001E722E" w:rsidRDefault="00955984">
      <w:pPr>
        <w:pBdr>
          <w:top w:val="single" w:sz="4" w:space="1" w:color="000000"/>
          <w:left w:val="single" w:sz="4" w:space="4" w:color="000000"/>
          <w:bottom w:val="single" w:sz="4" w:space="31" w:color="000000"/>
          <w:right w:val="single" w:sz="4" w:space="4" w:color="000000"/>
        </w:pBdr>
        <w:spacing w:after="120" w:line="360" w:lineRule="auto"/>
        <w:jc w:val="both"/>
        <w:rPr>
          <w:rFonts w:ascii="Arial" w:eastAsia="Arial" w:hAnsi="Arial" w:cs="Arial"/>
          <w:sz w:val="24"/>
          <w:szCs w:val="24"/>
        </w:rPr>
      </w:pPr>
    </w:p>
    <w:p w14:paraId="18E4B112" w14:textId="77777777" w:rsidR="00955984" w:rsidRPr="001E722E" w:rsidRDefault="00955984">
      <w:pPr>
        <w:pBdr>
          <w:top w:val="single" w:sz="4" w:space="1" w:color="000000"/>
          <w:left w:val="single" w:sz="4" w:space="4" w:color="000000"/>
          <w:bottom w:val="single" w:sz="4" w:space="31" w:color="000000"/>
          <w:right w:val="single" w:sz="4" w:space="4" w:color="000000"/>
        </w:pBdr>
        <w:spacing w:after="120" w:line="360" w:lineRule="auto"/>
        <w:jc w:val="both"/>
        <w:rPr>
          <w:rFonts w:ascii="Arial" w:eastAsia="Arial" w:hAnsi="Arial" w:cs="Arial"/>
          <w:sz w:val="24"/>
          <w:szCs w:val="24"/>
        </w:rPr>
      </w:pPr>
    </w:p>
    <w:p w14:paraId="1869C91F" w14:textId="77777777" w:rsidR="00955984" w:rsidRPr="001E722E" w:rsidRDefault="00955984">
      <w:pPr>
        <w:pBdr>
          <w:top w:val="single" w:sz="4" w:space="1" w:color="000000"/>
          <w:left w:val="single" w:sz="4" w:space="4" w:color="000000"/>
          <w:bottom w:val="single" w:sz="4" w:space="31" w:color="000000"/>
          <w:right w:val="single" w:sz="4" w:space="4" w:color="000000"/>
        </w:pBdr>
        <w:spacing w:after="120" w:line="360" w:lineRule="auto"/>
        <w:jc w:val="both"/>
        <w:rPr>
          <w:rFonts w:ascii="Arial" w:eastAsia="Arial" w:hAnsi="Arial" w:cs="Arial"/>
          <w:sz w:val="24"/>
          <w:szCs w:val="24"/>
        </w:rPr>
      </w:pPr>
    </w:p>
    <w:p w14:paraId="2D556BFA" w14:textId="77777777" w:rsidR="00955984" w:rsidRPr="001E722E" w:rsidRDefault="00955984">
      <w:pPr>
        <w:pBdr>
          <w:top w:val="single" w:sz="4" w:space="1" w:color="000000"/>
          <w:left w:val="single" w:sz="4" w:space="4" w:color="000000"/>
          <w:bottom w:val="single" w:sz="4" w:space="31" w:color="000000"/>
          <w:right w:val="single" w:sz="4" w:space="4" w:color="000000"/>
        </w:pBdr>
        <w:spacing w:after="120" w:line="360" w:lineRule="auto"/>
        <w:jc w:val="both"/>
        <w:rPr>
          <w:rFonts w:ascii="Arial" w:eastAsia="Arial" w:hAnsi="Arial" w:cs="Arial"/>
          <w:sz w:val="24"/>
          <w:szCs w:val="24"/>
        </w:rPr>
      </w:pPr>
    </w:p>
    <w:p w14:paraId="411C14C3" w14:textId="77777777" w:rsidR="00955984" w:rsidRPr="001E722E" w:rsidRDefault="00161751">
      <w:pPr>
        <w:pBdr>
          <w:top w:val="single" w:sz="4" w:space="1" w:color="000000"/>
          <w:left w:val="single" w:sz="4" w:space="4" w:color="000000"/>
          <w:bottom w:val="single" w:sz="4" w:space="31" w:color="000000"/>
          <w:right w:val="single" w:sz="4" w:space="4" w:color="000000"/>
        </w:pBdr>
        <w:spacing w:after="120" w:line="360" w:lineRule="auto"/>
        <w:jc w:val="both"/>
        <w:rPr>
          <w:rFonts w:ascii="Arial" w:eastAsia="Arial" w:hAnsi="Arial" w:cs="Arial"/>
          <w:sz w:val="24"/>
          <w:szCs w:val="24"/>
        </w:rPr>
      </w:pPr>
      <w:r w:rsidRPr="001E722E">
        <w:rPr>
          <w:rFonts w:ascii="Arial" w:eastAsia="Arial" w:hAnsi="Arial" w:cs="Arial"/>
          <w:sz w:val="24"/>
          <w:szCs w:val="24"/>
        </w:rPr>
        <w:t>Signature: Md Sizan</w:t>
      </w:r>
    </w:p>
    <w:p w14:paraId="6D55467E" w14:textId="47CD1634" w:rsidR="00955984" w:rsidRPr="001E722E" w:rsidRDefault="00161751">
      <w:pPr>
        <w:pBdr>
          <w:top w:val="single" w:sz="4" w:space="1" w:color="000000"/>
          <w:left w:val="single" w:sz="4" w:space="4" w:color="000000"/>
          <w:bottom w:val="single" w:sz="4" w:space="31" w:color="000000"/>
          <w:right w:val="single" w:sz="4" w:space="4" w:color="000000"/>
        </w:pBdr>
        <w:spacing w:after="120" w:line="360" w:lineRule="auto"/>
        <w:jc w:val="both"/>
        <w:rPr>
          <w:rFonts w:ascii="Arial" w:eastAsia="Arial" w:hAnsi="Arial" w:cs="Arial"/>
          <w:sz w:val="24"/>
          <w:szCs w:val="24"/>
        </w:rPr>
      </w:pPr>
      <w:r w:rsidRPr="001E722E">
        <w:rPr>
          <w:rFonts w:ascii="Arial" w:eastAsia="Arial" w:hAnsi="Arial" w:cs="Arial"/>
          <w:sz w:val="24"/>
          <w:szCs w:val="24"/>
        </w:rPr>
        <w:t xml:space="preserve">Date: </w:t>
      </w:r>
      <w:r w:rsidR="001E722E">
        <w:rPr>
          <w:rFonts w:ascii="Arial" w:eastAsia="Arial" w:hAnsi="Arial" w:cs="Arial"/>
          <w:sz w:val="24"/>
          <w:szCs w:val="24"/>
        </w:rPr>
        <w:t>25/ 09/ 2026</w:t>
      </w:r>
    </w:p>
    <w:p w14:paraId="7B7E3ED0" w14:textId="77777777" w:rsidR="00955984" w:rsidRPr="001E722E" w:rsidRDefault="00161751">
      <w:pPr>
        <w:spacing w:line="360" w:lineRule="auto"/>
        <w:rPr>
          <w:rFonts w:ascii="Arial" w:eastAsia="Arial" w:hAnsi="Arial" w:cs="Arial"/>
          <w:b/>
          <w:bCs/>
          <w:sz w:val="24"/>
          <w:szCs w:val="24"/>
        </w:rPr>
      </w:pPr>
      <w:r w:rsidRPr="001E722E">
        <w:br w:type="page"/>
      </w:r>
    </w:p>
    <w:p w14:paraId="353CB942" w14:textId="77777777" w:rsidR="00955984" w:rsidRPr="001E722E" w:rsidRDefault="00161751">
      <w:pPr>
        <w:pBdr>
          <w:top w:val="single" w:sz="4" w:space="1" w:color="000000"/>
          <w:left w:val="single" w:sz="4" w:space="4" w:color="000000"/>
          <w:bottom w:val="single" w:sz="4" w:space="31" w:color="000000"/>
          <w:right w:val="single" w:sz="4" w:space="4" w:color="000000"/>
        </w:pBdr>
        <w:spacing w:after="120" w:line="360" w:lineRule="auto"/>
        <w:jc w:val="center"/>
        <w:rPr>
          <w:rFonts w:ascii="Arial" w:eastAsia="Arial" w:hAnsi="Arial" w:cs="Arial"/>
          <w:b/>
          <w:bCs/>
          <w:sz w:val="32"/>
          <w:szCs w:val="32"/>
        </w:rPr>
      </w:pPr>
      <w:r w:rsidRPr="001E722E">
        <w:rPr>
          <w:rFonts w:ascii="Arial" w:eastAsia="Arial" w:hAnsi="Arial" w:cs="Arial"/>
          <w:b/>
          <w:bCs/>
          <w:sz w:val="32"/>
          <w:szCs w:val="32"/>
        </w:rPr>
        <w:lastRenderedPageBreak/>
        <w:t>MASTER'S DEGREES BY EXAMINATION AND DISSERTATION</w:t>
      </w:r>
    </w:p>
    <w:p w14:paraId="759BF104" w14:textId="77777777" w:rsidR="00955984" w:rsidRPr="001E722E" w:rsidRDefault="00161751">
      <w:pPr>
        <w:pBdr>
          <w:top w:val="single" w:sz="4" w:space="1" w:color="000000"/>
          <w:left w:val="single" w:sz="4" w:space="4" w:color="000000"/>
          <w:bottom w:val="single" w:sz="4" w:space="31" w:color="000000"/>
          <w:right w:val="single" w:sz="4" w:space="4" w:color="000000"/>
        </w:pBdr>
        <w:spacing w:after="120" w:line="360" w:lineRule="auto"/>
        <w:jc w:val="both"/>
        <w:rPr>
          <w:rFonts w:ascii="Arial" w:eastAsia="Arial" w:hAnsi="Arial" w:cs="Arial"/>
          <w:sz w:val="24"/>
          <w:szCs w:val="24"/>
        </w:rPr>
      </w:pPr>
      <w:r w:rsidRPr="001E722E">
        <w:rPr>
          <w:rFonts w:ascii="Arial" w:eastAsia="Arial" w:hAnsi="Arial" w:cs="Arial"/>
          <w:sz w:val="24"/>
          <w:szCs w:val="24"/>
        </w:rPr>
        <w:t>Declaration on the Use of Artificial Intelligence (AI) Tools</w:t>
      </w:r>
    </w:p>
    <w:p w14:paraId="7A7A10B3" w14:textId="77777777" w:rsidR="00955984" w:rsidRPr="001E722E" w:rsidRDefault="00161751">
      <w:pPr>
        <w:pBdr>
          <w:top w:val="single" w:sz="4" w:space="1" w:color="000000"/>
          <w:left w:val="single" w:sz="4" w:space="4" w:color="000000"/>
          <w:bottom w:val="single" w:sz="4" w:space="31" w:color="000000"/>
          <w:right w:val="single" w:sz="4" w:space="4" w:color="000000"/>
        </w:pBdr>
        <w:spacing w:after="120" w:line="360" w:lineRule="auto"/>
        <w:jc w:val="both"/>
        <w:rPr>
          <w:rFonts w:ascii="Arial" w:eastAsia="Arial" w:hAnsi="Arial" w:cs="Arial"/>
          <w:sz w:val="24"/>
          <w:szCs w:val="24"/>
        </w:rPr>
      </w:pPr>
      <w:r w:rsidRPr="001E722E">
        <w:rPr>
          <w:rFonts w:ascii="Arial" w:eastAsia="Arial" w:hAnsi="Arial" w:cs="Arial"/>
          <w:sz w:val="24"/>
          <w:szCs w:val="24"/>
        </w:rPr>
        <w:t>I, Md Sizan, confirm that the research question, search strategy, study selection, quality appraisal, synthesis, interpretation of findings and the arguments presented in this dissertation are my own work.</w:t>
      </w:r>
    </w:p>
    <w:p w14:paraId="170D7CA3" w14:textId="77777777" w:rsidR="00955984" w:rsidRPr="001E722E" w:rsidRDefault="00161751">
      <w:pPr>
        <w:pBdr>
          <w:top w:val="single" w:sz="4" w:space="1" w:color="000000"/>
          <w:left w:val="single" w:sz="4" w:space="4" w:color="000000"/>
          <w:bottom w:val="single" w:sz="4" w:space="31" w:color="000000"/>
          <w:right w:val="single" w:sz="4" w:space="4" w:color="000000"/>
        </w:pBdr>
        <w:spacing w:after="120" w:line="360" w:lineRule="auto"/>
        <w:jc w:val="both"/>
        <w:rPr>
          <w:rFonts w:ascii="Arial" w:eastAsia="Arial" w:hAnsi="Arial" w:cs="Arial"/>
          <w:sz w:val="24"/>
          <w:szCs w:val="24"/>
        </w:rPr>
      </w:pPr>
      <w:r w:rsidRPr="001E722E">
        <w:rPr>
          <w:rFonts w:ascii="Arial" w:eastAsia="Arial" w:hAnsi="Arial" w:cs="Arial"/>
          <w:sz w:val="24"/>
          <w:szCs w:val="24"/>
        </w:rPr>
        <w:t>I take full responsibility for the content, accuracy and academic integrity of this dissertation and confirm compliance with the University of Wales Trinity Saint David's academic integrity policies.</w:t>
      </w:r>
    </w:p>
    <w:p w14:paraId="7B73251F" w14:textId="77777777" w:rsidR="00955984" w:rsidRPr="001E722E" w:rsidRDefault="00955984">
      <w:pPr>
        <w:pBdr>
          <w:top w:val="single" w:sz="4" w:space="1" w:color="000000"/>
          <w:left w:val="single" w:sz="4" w:space="4" w:color="000000"/>
          <w:bottom w:val="single" w:sz="4" w:space="31" w:color="000000"/>
          <w:right w:val="single" w:sz="4" w:space="4" w:color="000000"/>
        </w:pBdr>
        <w:spacing w:after="120" w:line="360" w:lineRule="auto"/>
        <w:jc w:val="both"/>
        <w:rPr>
          <w:rFonts w:ascii="Arial" w:eastAsia="Arial" w:hAnsi="Arial" w:cs="Arial"/>
          <w:sz w:val="24"/>
          <w:szCs w:val="24"/>
        </w:rPr>
      </w:pPr>
    </w:p>
    <w:p w14:paraId="0B64010A" w14:textId="77777777" w:rsidR="00955984" w:rsidRPr="001E722E" w:rsidRDefault="00161751">
      <w:pPr>
        <w:pBdr>
          <w:top w:val="single" w:sz="4" w:space="1" w:color="000000"/>
          <w:left w:val="single" w:sz="4" w:space="4" w:color="000000"/>
          <w:bottom w:val="single" w:sz="4" w:space="31" w:color="000000"/>
          <w:right w:val="single" w:sz="4" w:space="4" w:color="000000"/>
        </w:pBdr>
        <w:spacing w:after="120" w:line="360" w:lineRule="auto"/>
        <w:rPr>
          <w:rFonts w:ascii="Arial" w:eastAsia="Arial" w:hAnsi="Arial" w:cs="Arial"/>
          <w:sz w:val="24"/>
          <w:szCs w:val="24"/>
        </w:rPr>
      </w:pPr>
      <w:r w:rsidRPr="001E722E">
        <w:rPr>
          <w:rFonts w:ascii="Arial" w:eastAsia="Arial" w:hAnsi="Arial" w:cs="Arial"/>
          <w:sz w:val="24"/>
          <w:szCs w:val="24"/>
        </w:rPr>
        <w:t>Signature:</w:t>
      </w:r>
    </w:p>
    <w:p w14:paraId="168889F8" w14:textId="77777777" w:rsidR="00955984" w:rsidRPr="001E722E" w:rsidRDefault="00161751">
      <w:pPr>
        <w:pBdr>
          <w:top w:val="single" w:sz="4" w:space="1" w:color="000000"/>
          <w:left w:val="single" w:sz="4" w:space="4" w:color="000000"/>
          <w:bottom w:val="single" w:sz="4" w:space="31" w:color="000000"/>
          <w:right w:val="single" w:sz="4" w:space="4" w:color="000000"/>
        </w:pBdr>
        <w:spacing w:after="120" w:line="360" w:lineRule="auto"/>
        <w:rPr>
          <w:rFonts w:ascii="Arial" w:eastAsia="Arial" w:hAnsi="Arial" w:cs="Arial"/>
          <w:sz w:val="24"/>
          <w:szCs w:val="24"/>
        </w:rPr>
      </w:pPr>
      <w:r w:rsidRPr="001E722E">
        <w:rPr>
          <w:rFonts w:ascii="Arial" w:eastAsia="Arial" w:hAnsi="Arial" w:cs="Arial"/>
          <w:sz w:val="24"/>
          <w:szCs w:val="24"/>
        </w:rPr>
        <w:t>Name: Md Sizan</w:t>
      </w:r>
    </w:p>
    <w:p w14:paraId="0F219E74" w14:textId="27CCDED8" w:rsidR="00955984" w:rsidRPr="001E722E" w:rsidRDefault="00161751">
      <w:pPr>
        <w:pBdr>
          <w:top w:val="single" w:sz="4" w:space="1" w:color="000000"/>
          <w:left w:val="single" w:sz="4" w:space="4" w:color="000000"/>
          <w:bottom w:val="single" w:sz="4" w:space="31" w:color="000000"/>
          <w:right w:val="single" w:sz="4" w:space="4" w:color="000000"/>
        </w:pBdr>
        <w:spacing w:after="120" w:line="360" w:lineRule="auto"/>
        <w:rPr>
          <w:rFonts w:ascii="Arial" w:eastAsia="Arial" w:hAnsi="Arial" w:cs="Arial"/>
          <w:sz w:val="24"/>
          <w:szCs w:val="24"/>
        </w:rPr>
      </w:pPr>
      <w:r w:rsidRPr="001E722E">
        <w:rPr>
          <w:rFonts w:ascii="Arial" w:eastAsia="Arial" w:hAnsi="Arial" w:cs="Arial"/>
          <w:sz w:val="24"/>
          <w:szCs w:val="24"/>
        </w:rPr>
        <w:t xml:space="preserve">Date: </w:t>
      </w:r>
      <w:r w:rsidR="001E722E" w:rsidRPr="001E722E">
        <w:rPr>
          <w:rFonts w:ascii="Arial" w:eastAsia="Arial" w:hAnsi="Arial" w:cs="Arial"/>
          <w:sz w:val="24"/>
          <w:szCs w:val="24"/>
        </w:rPr>
        <w:t>25 September 2026</w:t>
      </w:r>
    </w:p>
    <w:p w14:paraId="17C873D4" w14:textId="77777777" w:rsidR="00955984" w:rsidRPr="001E722E" w:rsidRDefault="00161751">
      <w:pPr>
        <w:spacing w:line="360" w:lineRule="auto"/>
        <w:rPr>
          <w:rFonts w:ascii="Arial" w:eastAsia="Arial" w:hAnsi="Arial" w:cs="Arial"/>
          <w:sz w:val="24"/>
          <w:szCs w:val="24"/>
        </w:rPr>
      </w:pPr>
      <w:r w:rsidRPr="001E722E">
        <w:br w:type="page"/>
      </w:r>
    </w:p>
    <w:p w14:paraId="00103B86" w14:textId="77777777" w:rsidR="00955984" w:rsidRPr="001E722E" w:rsidRDefault="00161751">
      <w:pPr>
        <w:pStyle w:val="Heading1"/>
        <w:pageBreakBefore/>
      </w:pPr>
      <w:r w:rsidRPr="001E722E">
        <w:lastRenderedPageBreak/>
        <w:t>ACKNOWLEDGEMENTS</w:t>
      </w:r>
    </w:p>
    <w:p w14:paraId="09C83D4E" w14:textId="77777777" w:rsidR="00955984" w:rsidRPr="001E722E" w:rsidRDefault="00161751">
      <w:pPr>
        <w:spacing w:after="400" w:line="360" w:lineRule="auto"/>
        <w:jc w:val="both"/>
        <w:rPr>
          <w:rFonts w:ascii="Arial" w:eastAsia="Arial" w:hAnsi="Arial" w:cs="Arial"/>
          <w:sz w:val="24"/>
          <w:szCs w:val="24"/>
        </w:rPr>
      </w:pPr>
      <w:r w:rsidRPr="001E722E">
        <w:rPr>
          <w:rFonts w:ascii="Arial" w:eastAsia="Arial" w:hAnsi="Arial" w:cs="Arial"/>
          <w:sz w:val="24"/>
          <w:szCs w:val="24"/>
        </w:rPr>
        <w:t>I greatly appreciate the guidance, patience and constant support provided by my supervisor during this research work. They contributed their knowledge and helpful comments to this dissertation.</w:t>
      </w:r>
    </w:p>
    <w:p w14:paraId="61E48099" w14:textId="77777777" w:rsidR="00955984" w:rsidRPr="001E722E" w:rsidRDefault="00161751">
      <w:pPr>
        <w:spacing w:after="400" w:line="360" w:lineRule="auto"/>
        <w:jc w:val="both"/>
        <w:rPr>
          <w:rFonts w:ascii="Arial" w:eastAsia="Arial" w:hAnsi="Arial" w:cs="Arial"/>
          <w:sz w:val="24"/>
          <w:szCs w:val="24"/>
        </w:rPr>
      </w:pPr>
      <w:r w:rsidRPr="001E722E">
        <w:rPr>
          <w:rFonts w:ascii="Arial" w:eastAsia="Arial" w:hAnsi="Arial" w:cs="Arial"/>
          <w:sz w:val="24"/>
          <w:szCs w:val="24"/>
        </w:rPr>
        <w:t>I also extend my gratitude to the academic staff of University of Wales Trinity Saint David – London Campus for providing a learning environment where I was able to develop and the tools to do this work.</w:t>
      </w:r>
    </w:p>
    <w:p w14:paraId="16265BF9" w14:textId="77777777" w:rsidR="00955984" w:rsidRPr="001E722E" w:rsidRDefault="00161751">
      <w:pPr>
        <w:spacing w:after="400" w:line="360" w:lineRule="auto"/>
        <w:jc w:val="both"/>
        <w:rPr>
          <w:rFonts w:ascii="Arial" w:eastAsia="Arial" w:hAnsi="Arial" w:cs="Arial"/>
          <w:sz w:val="24"/>
          <w:szCs w:val="24"/>
        </w:rPr>
      </w:pPr>
      <w:r w:rsidRPr="001E722E">
        <w:rPr>
          <w:rFonts w:ascii="Arial" w:eastAsia="Arial" w:hAnsi="Arial" w:cs="Arial"/>
          <w:sz w:val="24"/>
          <w:szCs w:val="24"/>
        </w:rPr>
        <w:t>Last but not least thanks to my family and friends for their constant encouragement and support throughout this process. They have been a great source of motivated energy for me.</w:t>
      </w:r>
    </w:p>
    <w:p w14:paraId="23950B6E" w14:textId="77777777" w:rsidR="00955984" w:rsidRPr="001E722E" w:rsidRDefault="00161751">
      <w:pPr>
        <w:keepNext/>
        <w:keepLines/>
        <w:pageBreakBefore/>
        <w:spacing w:before="240" w:line="360" w:lineRule="auto"/>
        <w:rPr>
          <w:rFonts w:ascii="Arial" w:eastAsia="Arial" w:hAnsi="Arial" w:cs="Arial"/>
          <w:sz w:val="40"/>
          <w:szCs w:val="40"/>
        </w:rPr>
      </w:pPr>
      <w:r w:rsidRPr="001E722E">
        <w:rPr>
          <w:rFonts w:ascii="Arial" w:eastAsia="Arial" w:hAnsi="Arial" w:cs="Arial"/>
          <w:sz w:val="40"/>
          <w:szCs w:val="40"/>
        </w:rPr>
        <w:lastRenderedPageBreak/>
        <w:t>Contents</w:t>
      </w:r>
    </w:p>
    <w:p w14:paraId="27E42D64" w14:textId="77777777" w:rsidR="00955984" w:rsidRPr="001E722E" w:rsidRDefault="00955984">
      <w:pPr>
        <w:pBdr>
          <w:top w:val="nil"/>
          <w:left w:val="nil"/>
          <w:bottom w:val="nil"/>
          <w:right w:val="nil"/>
          <w:between w:val="nil"/>
        </w:pBdr>
        <w:tabs>
          <w:tab w:val="right" w:pos="9016"/>
        </w:tabs>
        <w:rPr>
          <w:rFonts w:ascii="Arial" w:eastAsia="Arial" w:hAnsi="Arial" w:cs="Arial"/>
          <w:sz w:val="22"/>
          <w:szCs w:val="22"/>
        </w:rPr>
      </w:pPr>
    </w:p>
    <w:sdt>
      <w:sdtPr>
        <w:id w:val="-445308351"/>
        <w:docPartObj>
          <w:docPartGallery w:val="Table of Contents"/>
          <w:docPartUnique/>
        </w:docPartObj>
      </w:sdtPr>
      <w:sdtContent>
        <w:p w14:paraId="77AE1DAB" w14:textId="77777777" w:rsidR="00955984" w:rsidRPr="001E722E" w:rsidRDefault="00161751">
          <w:pPr>
            <w:pBdr>
              <w:top w:val="nil"/>
              <w:left w:val="nil"/>
              <w:bottom w:val="nil"/>
              <w:right w:val="nil"/>
              <w:between w:val="nil"/>
            </w:pBdr>
            <w:tabs>
              <w:tab w:val="right" w:pos="9016"/>
            </w:tabs>
            <w:spacing w:after="100"/>
            <w:rPr>
              <w:rFonts w:ascii="Arial" w:eastAsia="Arial" w:hAnsi="Arial" w:cs="Arial"/>
              <w:color w:val="000000"/>
              <w:sz w:val="28"/>
              <w:szCs w:val="28"/>
            </w:rPr>
          </w:pPr>
          <w:r w:rsidRPr="001E722E">
            <w:fldChar w:fldCharType="begin"/>
          </w:r>
          <w:r w:rsidRPr="001E722E">
            <w:instrText xml:space="preserve"> TOC \h \u \z \t "Heading 1,1,Heading 2,2,Heading 3,3,"</w:instrText>
          </w:r>
          <w:r w:rsidRPr="001E722E">
            <w:fldChar w:fldCharType="separate"/>
          </w:r>
          <w:hyperlink w:anchor="_6gajnxlr6sgb">
            <w:r w:rsidRPr="001E722E">
              <w:rPr>
                <w:rFonts w:ascii="Arial" w:eastAsia="Arial" w:hAnsi="Arial" w:cs="Arial"/>
                <w:color w:val="000000"/>
                <w:sz w:val="22"/>
                <w:szCs w:val="22"/>
              </w:rPr>
              <w:t>LIST OF FIGURES</w:t>
            </w:r>
            <w:r w:rsidRPr="001E722E">
              <w:rPr>
                <w:rFonts w:ascii="Arial" w:eastAsia="Arial" w:hAnsi="Arial" w:cs="Arial"/>
                <w:color w:val="000000"/>
                <w:sz w:val="22"/>
                <w:szCs w:val="22"/>
              </w:rPr>
              <w:tab/>
              <w:t>8</w:t>
            </w:r>
          </w:hyperlink>
        </w:p>
        <w:p w14:paraId="6DB5247D" w14:textId="77777777" w:rsidR="00955984" w:rsidRPr="001E722E" w:rsidRDefault="00161751">
          <w:pPr>
            <w:pBdr>
              <w:top w:val="nil"/>
              <w:left w:val="nil"/>
              <w:bottom w:val="nil"/>
              <w:right w:val="nil"/>
              <w:between w:val="nil"/>
            </w:pBdr>
            <w:tabs>
              <w:tab w:val="right" w:pos="9016"/>
            </w:tabs>
            <w:spacing w:after="100"/>
            <w:rPr>
              <w:rFonts w:ascii="Arial" w:eastAsia="Arial" w:hAnsi="Arial" w:cs="Arial"/>
              <w:color w:val="000000"/>
              <w:sz w:val="28"/>
              <w:szCs w:val="28"/>
            </w:rPr>
          </w:pPr>
          <w:hyperlink w:anchor="_tjqu6n1j86hi">
            <w:r w:rsidRPr="001E722E">
              <w:rPr>
                <w:rFonts w:ascii="Arial" w:eastAsia="Arial" w:hAnsi="Arial" w:cs="Arial"/>
                <w:color w:val="000000"/>
                <w:sz w:val="22"/>
                <w:szCs w:val="22"/>
              </w:rPr>
              <w:t>LIST OF TABLES</w:t>
            </w:r>
            <w:r w:rsidRPr="001E722E">
              <w:rPr>
                <w:rFonts w:ascii="Arial" w:eastAsia="Arial" w:hAnsi="Arial" w:cs="Arial"/>
                <w:color w:val="000000"/>
                <w:sz w:val="22"/>
                <w:szCs w:val="22"/>
              </w:rPr>
              <w:tab/>
              <w:t>9</w:t>
            </w:r>
          </w:hyperlink>
        </w:p>
        <w:p w14:paraId="5945BF47" w14:textId="77777777" w:rsidR="00955984" w:rsidRPr="001E722E" w:rsidRDefault="00161751">
          <w:pPr>
            <w:pBdr>
              <w:top w:val="nil"/>
              <w:left w:val="nil"/>
              <w:bottom w:val="nil"/>
              <w:right w:val="nil"/>
              <w:between w:val="nil"/>
            </w:pBdr>
            <w:tabs>
              <w:tab w:val="right" w:pos="9016"/>
            </w:tabs>
            <w:spacing w:after="100"/>
            <w:rPr>
              <w:rFonts w:ascii="Arial" w:eastAsia="Arial" w:hAnsi="Arial" w:cs="Arial"/>
              <w:color w:val="000000"/>
              <w:sz w:val="28"/>
              <w:szCs w:val="28"/>
            </w:rPr>
          </w:pPr>
          <w:hyperlink w:anchor="_b2gxn4s77wc0">
            <w:r w:rsidRPr="001E722E">
              <w:rPr>
                <w:rFonts w:ascii="Arial" w:eastAsia="Arial" w:hAnsi="Arial" w:cs="Arial"/>
                <w:color w:val="000000"/>
                <w:sz w:val="22"/>
                <w:szCs w:val="22"/>
              </w:rPr>
              <w:t>LIST OF ABBREVIATIONS</w:t>
            </w:r>
            <w:r w:rsidRPr="001E722E">
              <w:rPr>
                <w:rFonts w:ascii="Arial" w:eastAsia="Arial" w:hAnsi="Arial" w:cs="Arial"/>
                <w:color w:val="000000"/>
                <w:sz w:val="22"/>
                <w:szCs w:val="22"/>
              </w:rPr>
              <w:tab/>
              <w:t>10</w:t>
            </w:r>
          </w:hyperlink>
        </w:p>
        <w:p w14:paraId="63C7E7F9" w14:textId="77777777" w:rsidR="00955984" w:rsidRPr="001E722E" w:rsidRDefault="00161751">
          <w:pPr>
            <w:pBdr>
              <w:top w:val="nil"/>
              <w:left w:val="nil"/>
              <w:bottom w:val="nil"/>
              <w:right w:val="nil"/>
              <w:between w:val="nil"/>
            </w:pBdr>
            <w:tabs>
              <w:tab w:val="right" w:pos="9016"/>
            </w:tabs>
            <w:spacing w:after="100"/>
            <w:rPr>
              <w:rFonts w:ascii="Arial" w:eastAsia="Arial" w:hAnsi="Arial" w:cs="Arial"/>
              <w:color w:val="000000"/>
              <w:sz w:val="28"/>
              <w:szCs w:val="28"/>
            </w:rPr>
          </w:pPr>
          <w:hyperlink w:anchor="_5op4mtwyn0y5">
            <w:r w:rsidRPr="001E722E">
              <w:rPr>
                <w:rFonts w:ascii="Arial" w:eastAsia="Arial" w:hAnsi="Arial" w:cs="Arial"/>
                <w:color w:val="000000"/>
                <w:sz w:val="22"/>
                <w:szCs w:val="22"/>
              </w:rPr>
              <w:t>CHAPTER 1: INTRODUCTION</w:t>
            </w:r>
            <w:r w:rsidRPr="001E722E">
              <w:rPr>
                <w:rFonts w:ascii="Arial" w:eastAsia="Arial" w:hAnsi="Arial" w:cs="Arial"/>
                <w:color w:val="000000"/>
                <w:sz w:val="22"/>
                <w:szCs w:val="22"/>
              </w:rPr>
              <w:tab/>
              <w:t>10</w:t>
            </w:r>
          </w:hyperlink>
        </w:p>
        <w:p w14:paraId="071B2BDA" w14:textId="77777777" w:rsidR="00955984" w:rsidRPr="001E722E" w:rsidRDefault="00161751">
          <w:pPr>
            <w:pBdr>
              <w:top w:val="nil"/>
              <w:left w:val="nil"/>
              <w:bottom w:val="nil"/>
              <w:right w:val="nil"/>
              <w:between w:val="nil"/>
            </w:pBdr>
            <w:tabs>
              <w:tab w:val="right" w:pos="9016"/>
            </w:tabs>
            <w:spacing w:after="100"/>
            <w:ind w:left="200"/>
            <w:rPr>
              <w:rFonts w:ascii="Arial" w:eastAsia="Arial" w:hAnsi="Arial" w:cs="Arial"/>
              <w:color w:val="000000"/>
              <w:sz w:val="22"/>
              <w:szCs w:val="22"/>
            </w:rPr>
          </w:pPr>
          <w:hyperlink w:anchor="_1wv3xr8ge9ks">
            <w:r w:rsidRPr="001E722E">
              <w:rPr>
                <w:rFonts w:ascii="Arial" w:eastAsia="Arial" w:hAnsi="Arial" w:cs="Arial"/>
                <w:color w:val="000000"/>
                <w:sz w:val="22"/>
                <w:szCs w:val="22"/>
              </w:rPr>
              <w:t>1.1 Background to the Study</w:t>
            </w:r>
            <w:r w:rsidRPr="001E722E">
              <w:rPr>
                <w:rFonts w:ascii="Arial" w:eastAsia="Arial" w:hAnsi="Arial" w:cs="Arial"/>
                <w:color w:val="000000"/>
                <w:sz w:val="22"/>
                <w:szCs w:val="22"/>
              </w:rPr>
              <w:tab/>
              <w:t>10</w:t>
            </w:r>
          </w:hyperlink>
        </w:p>
        <w:p w14:paraId="386E0F5B" w14:textId="77777777" w:rsidR="00955984" w:rsidRPr="001E722E" w:rsidRDefault="00161751">
          <w:pPr>
            <w:pBdr>
              <w:top w:val="nil"/>
              <w:left w:val="nil"/>
              <w:bottom w:val="nil"/>
              <w:right w:val="nil"/>
              <w:between w:val="nil"/>
            </w:pBdr>
            <w:tabs>
              <w:tab w:val="right" w:pos="9016"/>
            </w:tabs>
            <w:spacing w:after="100"/>
            <w:ind w:left="200"/>
            <w:rPr>
              <w:rFonts w:ascii="Arial" w:eastAsia="Arial" w:hAnsi="Arial" w:cs="Arial"/>
              <w:color w:val="000000"/>
              <w:sz w:val="22"/>
              <w:szCs w:val="22"/>
            </w:rPr>
          </w:pPr>
          <w:hyperlink w:anchor="_6ggyqk7idlyl">
            <w:r w:rsidRPr="001E722E">
              <w:rPr>
                <w:rFonts w:ascii="Arial" w:eastAsia="Arial" w:hAnsi="Arial" w:cs="Arial"/>
                <w:color w:val="000000"/>
                <w:sz w:val="22"/>
                <w:szCs w:val="22"/>
              </w:rPr>
              <w:t>1.2 Problem Statement and Rationale</w:t>
            </w:r>
            <w:r w:rsidRPr="001E722E">
              <w:rPr>
                <w:rFonts w:ascii="Arial" w:eastAsia="Arial" w:hAnsi="Arial" w:cs="Arial"/>
                <w:color w:val="000000"/>
                <w:sz w:val="22"/>
                <w:szCs w:val="22"/>
              </w:rPr>
              <w:tab/>
              <w:t>11</w:t>
            </w:r>
          </w:hyperlink>
        </w:p>
        <w:p w14:paraId="714FE2A2" w14:textId="77777777" w:rsidR="00955984" w:rsidRPr="001E722E" w:rsidRDefault="00161751">
          <w:pPr>
            <w:pBdr>
              <w:top w:val="nil"/>
              <w:left w:val="nil"/>
              <w:bottom w:val="nil"/>
              <w:right w:val="nil"/>
              <w:between w:val="nil"/>
            </w:pBdr>
            <w:tabs>
              <w:tab w:val="right" w:pos="9016"/>
            </w:tabs>
            <w:spacing w:after="100"/>
            <w:ind w:left="200"/>
            <w:rPr>
              <w:rFonts w:ascii="Arial" w:eastAsia="Arial" w:hAnsi="Arial" w:cs="Arial"/>
              <w:color w:val="000000"/>
              <w:sz w:val="22"/>
              <w:szCs w:val="22"/>
            </w:rPr>
          </w:pPr>
          <w:hyperlink w:anchor="_4f88jcypm4ja">
            <w:r w:rsidRPr="001E722E">
              <w:rPr>
                <w:rFonts w:ascii="Arial" w:eastAsia="Arial" w:hAnsi="Arial" w:cs="Arial"/>
                <w:color w:val="000000"/>
                <w:sz w:val="22"/>
                <w:szCs w:val="22"/>
              </w:rPr>
              <w:t>1.3 Aim, Objectives and Research Question</w:t>
            </w:r>
            <w:r w:rsidRPr="001E722E">
              <w:rPr>
                <w:rFonts w:ascii="Arial" w:eastAsia="Arial" w:hAnsi="Arial" w:cs="Arial"/>
                <w:color w:val="000000"/>
                <w:sz w:val="22"/>
                <w:szCs w:val="22"/>
              </w:rPr>
              <w:tab/>
              <w:t>12</w:t>
            </w:r>
          </w:hyperlink>
        </w:p>
        <w:p w14:paraId="20B6531F" w14:textId="77777777" w:rsidR="00955984" w:rsidRPr="001E722E" w:rsidRDefault="00161751">
          <w:pPr>
            <w:pBdr>
              <w:top w:val="nil"/>
              <w:left w:val="nil"/>
              <w:bottom w:val="nil"/>
              <w:right w:val="nil"/>
              <w:between w:val="nil"/>
            </w:pBdr>
            <w:tabs>
              <w:tab w:val="right" w:pos="9016"/>
            </w:tabs>
            <w:spacing w:after="100"/>
            <w:ind w:left="200"/>
            <w:rPr>
              <w:rFonts w:ascii="Arial" w:eastAsia="Arial" w:hAnsi="Arial" w:cs="Arial"/>
              <w:color w:val="000000"/>
              <w:sz w:val="22"/>
              <w:szCs w:val="22"/>
            </w:rPr>
          </w:pPr>
          <w:hyperlink w:anchor="_ikrongtivyhn">
            <w:r w:rsidRPr="001E722E">
              <w:rPr>
                <w:rFonts w:ascii="Arial" w:eastAsia="Arial" w:hAnsi="Arial" w:cs="Arial"/>
                <w:color w:val="000000"/>
                <w:sz w:val="22"/>
                <w:szCs w:val="22"/>
              </w:rPr>
              <w:t>1.4 Significance of the Study</w:t>
            </w:r>
            <w:r w:rsidRPr="001E722E">
              <w:rPr>
                <w:rFonts w:ascii="Arial" w:eastAsia="Arial" w:hAnsi="Arial" w:cs="Arial"/>
                <w:color w:val="000000"/>
                <w:sz w:val="22"/>
                <w:szCs w:val="22"/>
              </w:rPr>
              <w:tab/>
              <w:t>13</w:t>
            </w:r>
          </w:hyperlink>
        </w:p>
        <w:p w14:paraId="0D9F7FE4" w14:textId="77777777" w:rsidR="00955984" w:rsidRPr="001E722E" w:rsidRDefault="00161751">
          <w:pPr>
            <w:pBdr>
              <w:top w:val="nil"/>
              <w:left w:val="nil"/>
              <w:bottom w:val="nil"/>
              <w:right w:val="nil"/>
              <w:between w:val="nil"/>
            </w:pBdr>
            <w:tabs>
              <w:tab w:val="right" w:pos="9016"/>
            </w:tabs>
            <w:spacing w:after="100"/>
            <w:ind w:left="200"/>
            <w:rPr>
              <w:rFonts w:ascii="Arial" w:eastAsia="Arial" w:hAnsi="Arial" w:cs="Arial"/>
              <w:color w:val="000000"/>
              <w:sz w:val="22"/>
              <w:szCs w:val="22"/>
            </w:rPr>
          </w:pPr>
          <w:hyperlink w:anchor="_ctbpty81boji">
            <w:r w:rsidRPr="001E722E">
              <w:rPr>
                <w:rFonts w:ascii="Arial" w:eastAsia="Arial" w:hAnsi="Arial" w:cs="Arial"/>
                <w:color w:val="000000"/>
                <w:sz w:val="22"/>
                <w:szCs w:val="22"/>
              </w:rPr>
              <w:t>1.5 Structure of the Dissertation</w:t>
            </w:r>
            <w:r w:rsidRPr="001E722E">
              <w:rPr>
                <w:rFonts w:ascii="Arial" w:eastAsia="Arial" w:hAnsi="Arial" w:cs="Arial"/>
                <w:color w:val="000000"/>
                <w:sz w:val="22"/>
                <w:szCs w:val="22"/>
              </w:rPr>
              <w:tab/>
              <w:t>14</w:t>
            </w:r>
          </w:hyperlink>
        </w:p>
        <w:p w14:paraId="3AFA0713" w14:textId="77777777" w:rsidR="00955984" w:rsidRPr="001E722E" w:rsidRDefault="00161751">
          <w:pPr>
            <w:pBdr>
              <w:top w:val="nil"/>
              <w:left w:val="nil"/>
              <w:bottom w:val="nil"/>
              <w:right w:val="nil"/>
              <w:between w:val="nil"/>
            </w:pBdr>
            <w:tabs>
              <w:tab w:val="right" w:pos="9016"/>
            </w:tabs>
            <w:spacing w:after="100"/>
            <w:rPr>
              <w:rFonts w:ascii="Arial" w:eastAsia="Arial" w:hAnsi="Arial" w:cs="Arial"/>
              <w:color w:val="000000"/>
              <w:sz w:val="28"/>
              <w:szCs w:val="28"/>
            </w:rPr>
          </w:pPr>
          <w:hyperlink w:anchor="_b788tgcyofjx">
            <w:r w:rsidRPr="001E722E">
              <w:rPr>
                <w:rFonts w:ascii="Arial" w:eastAsia="Arial" w:hAnsi="Arial" w:cs="Arial"/>
                <w:color w:val="000000"/>
                <w:sz w:val="22"/>
                <w:szCs w:val="22"/>
              </w:rPr>
              <w:t>CHAPTER 2: LITERATURE REVIEW</w:t>
            </w:r>
            <w:r w:rsidRPr="001E722E">
              <w:rPr>
                <w:rFonts w:ascii="Arial" w:eastAsia="Arial" w:hAnsi="Arial" w:cs="Arial"/>
                <w:color w:val="000000"/>
                <w:sz w:val="22"/>
                <w:szCs w:val="22"/>
              </w:rPr>
              <w:tab/>
              <w:t>15</w:t>
            </w:r>
          </w:hyperlink>
        </w:p>
        <w:p w14:paraId="24EE350D" w14:textId="77777777" w:rsidR="00955984" w:rsidRPr="001E722E" w:rsidRDefault="00161751">
          <w:pPr>
            <w:pBdr>
              <w:top w:val="nil"/>
              <w:left w:val="nil"/>
              <w:bottom w:val="nil"/>
              <w:right w:val="nil"/>
              <w:between w:val="nil"/>
            </w:pBdr>
            <w:tabs>
              <w:tab w:val="right" w:pos="9016"/>
            </w:tabs>
            <w:spacing w:after="100"/>
            <w:ind w:left="200"/>
            <w:rPr>
              <w:rFonts w:ascii="Arial" w:eastAsia="Arial" w:hAnsi="Arial" w:cs="Arial"/>
              <w:color w:val="000000"/>
              <w:sz w:val="22"/>
              <w:szCs w:val="22"/>
            </w:rPr>
          </w:pPr>
          <w:hyperlink w:anchor="_xfu0z6pxvc1u">
            <w:r w:rsidRPr="001E722E">
              <w:rPr>
                <w:rFonts w:ascii="Arial" w:eastAsia="Arial" w:hAnsi="Arial" w:cs="Arial"/>
                <w:color w:val="000000"/>
                <w:sz w:val="22"/>
                <w:szCs w:val="22"/>
              </w:rPr>
              <w:t>2.1 Introduction</w:t>
            </w:r>
            <w:r w:rsidRPr="001E722E">
              <w:rPr>
                <w:rFonts w:ascii="Arial" w:eastAsia="Arial" w:hAnsi="Arial" w:cs="Arial"/>
                <w:color w:val="000000"/>
                <w:sz w:val="22"/>
                <w:szCs w:val="22"/>
              </w:rPr>
              <w:tab/>
              <w:t>15</w:t>
            </w:r>
          </w:hyperlink>
        </w:p>
        <w:p w14:paraId="617602B2" w14:textId="77777777" w:rsidR="00955984" w:rsidRPr="001E722E" w:rsidRDefault="00161751">
          <w:pPr>
            <w:pBdr>
              <w:top w:val="nil"/>
              <w:left w:val="nil"/>
              <w:bottom w:val="nil"/>
              <w:right w:val="nil"/>
              <w:between w:val="nil"/>
            </w:pBdr>
            <w:tabs>
              <w:tab w:val="right" w:pos="9016"/>
            </w:tabs>
            <w:spacing w:after="100"/>
            <w:ind w:left="200"/>
            <w:rPr>
              <w:rFonts w:ascii="Arial" w:eastAsia="Arial" w:hAnsi="Arial" w:cs="Arial"/>
              <w:color w:val="000000"/>
              <w:sz w:val="22"/>
              <w:szCs w:val="22"/>
            </w:rPr>
          </w:pPr>
          <w:hyperlink w:anchor="_xqv9pfvazw9g">
            <w:r w:rsidRPr="001E722E">
              <w:rPr>
                <w:rFonts w:ascii="Arial" w:eastAsia="Arial" w:hAnsi="Arial" w:cs="Arial"/>
                <w:color w:val="000000"/>
                <w:sz w:val="22"/>
                <w:szCs w:val="22"/>
              </w:rPr>
              <w:t>2.2 The Burden of Coronary Heart Disease in the UK</w:t>
            </w:r>
            <w:r w:rsidRPr="001E722E">
              <w:rPr>
                <w:rFonts w:ascii="Arial" w:eastAsia="Arial" w:hAnsi="Arial" w:cs="Arial"/>
                <w:color w:val="000000"/>
                <w:sz w:val="22"/>
                <w:szCs w:val="22"/>
              </w:rPr>
              <w:tab/>
              <w:t>15</w:t>
            </w:r>
          </w:hyperlink>
        </w:p>
        <w:p w14:paraId="075251BE" w14:textId="77777777" w:rsidR="00955984" w:rsidRPr="001E722E" w:rsidRDefault="00161751">
          <w:pPr>
            <w:pBdr>
              <w:top w:val="nil"/>
              <w:left w:val="nil"/>
              <w:bottom w:val="nil"/>
              <w:right w:val="nil"/>
              <w:between w:val="nil"/>
            </w:pBdr>
            <w:tabs>
              <w:tab w:val="right" w:pos="9016"/>
            </w:tabs>
            <w:spacing w:after="100"/>
            <w:ind w:left="200"/>
            <w:rPr>
              <w:rFonts w:ascii="Arial" w:eastAsia="Arial" w:hAnsi="Arial" w:cs="Arial"/>
              <w:color w:val="000000"/>
              <w:sz w:val="22"/>
              <w:szCs w:val="22"/>
            </w:rPr>
          </w:pPr>
          <w:hyperlink w:anchor="_9z8j7rcbrudf">
            <w:r w:rsidRPr="001E722E">
              <w:rPr>
                <w:rFonts w:ascii="Arial" w:eastAsia="Arial" w:hAnsi="Arial" w:cs="Arial"/>
                <w:color w:val="000000"/>
                <w:sz w:val="22"/>
                <w:szCs w:val="22"/>
              </w:rPr>
              <w:t>2.3 Public Awareness and Understanding of CHD Risk Factors and Symptoms</w:t>
            </w:r>
            <w:r w:rsidRPr="001E722E">
              <w:rPr>
                <w:rFonts w:ascii="Arial" w:eastAsia="Arial" w:hAnsi="Arial" w:cs="Arial"/>
                <w:color w:val="000000"/>
                <w:sz w:val="22"/>
                <w:szCs w:val="22"/>
              </w:rPr>
              <w:tab/>
              <w:t>16</w:t>
            </w:r>
          </w:hyperlink>
        </w:p>
        <w:p w14:paraId="7C1688C9" w14:textId="77777777" w:rsidR="00955984" w:rsidRPr="001E722E" w:rsidRDefault="00161751">
          <w:pPr>
            <w:pBdr>
              <w:top w:val="nil"/>
              <w:left w:val="nil"/>
              <w:bottom w:val="nil"/>
              <w:right w:val="nil"/>
              <w:between w:val="nil"/>
            </w:pBdr>
            <w:tabs>
              <w:tab w:val="right" w:pos="9016"/>
            </w:tabs>
            <w:spacing w:after="100"/>
            <w:ind w:left="200"/>
            <w:rPr>
              <w:rFonts w:ascii="Arial" w:eastAsia="Arial" w:hAnsi="Arial" w:cs="Arial"/>
              <w:color w:val="000000"/>
              <w:sz w:val="22"/>
              <w:szCs w:val="22"/>
            </w:rPr>
          </w:pPr>
          <w:hyperlink w:anchor="_7orm15vunodv">
            <w:r w:rsidRPr="001E722E">
              <w:rPr>
                <w:rFonts w:ascii="Arial" w:eastAsia="Arial" w:hAnsi="Arial" w:cs="Arial"/>
                <w:color w:val="000000"/>
                <w:sz w:val="22"/>
                <w:szCs w:val="22"/>
              </w:rPr>
              <w:t>2.4 Theoretical Framework: The Health Belief Model</w:t>
            </w:r>
            <w:r w:rsidRPr="001E722E">
              <w:rPr>
                <w:rFonts w:ascii="Arial" w:eastAsia="Arial" w:hAnsi="Arial" w:cs="Arial"/>
                <w:color w:val="000000"/>
                <w:sz w:val="22"/>
                <w:szCs w:val="22"/>
              </w:rPr>
              <w:tab/>
              <w:t>16</w:t>
            </w:r>
          </w:hyperlink>
        </w:p>
        <w:p w14:paraId="078A9204" w14:textId="77777777" w:rsidR="00955984" w:rsidRPr="001E722E" w:rsidRDefault="00161751">
          <w:pPr>
            <w:pBdr>
              <w:top w:val="nil"/>
              <w:left w:val="nil"/>
              <w:bottom w:val="nil"/>
              <w:right w:val="nil"/>
              <w:between w:val="nil"/>
            </w:pBdr>
            <w:tabs>
              <w:tab w:val="right" w:pos="9016"/>
            </w:tabs>
            <w:spacing w:after="100"/>
            <w:ind w:left="200"/>
            <w:rPr>
              <w:rFonts w:ascii="Arial" w:eastAsia="Arial" w:hAnsi="Arial" w:cs="Arial"/>
              <w:color w:val="000000"/>
              <w:sz w:val="22"/>
              <w:szCs w:val="22"/>
            </w:rPr>
          </w:pPr>
          <w:hyperlink w:anchor="_bxhlqya4msvr">
            <w:r w:rsidRPr="001E722E">
              <w:rPr>
                <w:rFonts w:ascii="Arial" w:eastAsia="Arial" w:hAnsi="Arial" w:cs="Arial"/>
                <w:color w:val="000000"/>
                <w:sz w:val="22"/>
                <w:szCs w:val="22"/>
              </w:rPr>
              <w:t>2.5 Barriers to Early Screening and Preventive Health Checks</w:t>
            </w:r>
            <w:r w:rsidRPr="001E722E">
              <w:rPr>
                <w:rFonts w:ascii="Arial" w:eastAsia="Arial" w:hAnsi="Arial" w:cs="Arial"/>
                <w:color w:val="000000"/>
                <w:sz w:val="22"/>
                <w:szCs w:val="22"/>
              </w:rPr>
              <w:tab/>
              <w:t>18</w:t>
            </w:r>
          </w:hyperlink>
        </w:p>
        <w:p w14:paraId="6A1054D4" w14:textId="77777777" w:rsidR="00955984" w:rsidRPr="001E722E" w:rsidRDefault="00161751">
          <w:pPr>
            <w:pBdr>
              <w:top w:val="nil"/>
              <w:left w:val="nil"/>
              <w:bottom w:val="nil"/>
              <w:right w:val="nil"/>
              <w:between w:val="nil"/>
            </w:pBdr>
            <w:tabs>
              <w:tab w:val="right" w:pos="9016"/>
            </w:tabs>
            <w:spacing w:after="100"/>
            <w:ind w:left="200"/>
            <w:rPr>
              <w:rFonts w:ascii="Arial" w:eastAsia="Arial" w:hAnsi="Arial" w:cs="Arial"/>
              <w:color w:val="000000"/>
              <w:sz w:val="22"/>
              <w:szCs w:val="22"/>
            </w:rPr>
          </w:pPr>
          <w:hyperlink w:anchor="_huop35oejam3">
            <w:r w:rsidRPr="001E722E">
              <w:rPr>
                <w:rFonts w:ascii="Arial" w:eastAsia="Arial" w:hAnsi="Arial" w:cs="Arial"/>
                <w:color w:val="000000"/>
                <w:sz w:val="22"/>
                <w:szCs w:val="22"/>
              </w:rPr>
              <w:t>2.5.1 Individual and Psychological Barriers</w:t>
            </w:r>
            <w:r w:rsidRPr="001E722E">
              <w:rPr>
                <w:rFonts w:ascii="Arial" w:eastAsia="Arial" w:hAnsi="Arial" w:cs="Arial"/>
                <w:color w:val="000000"/>
                <w:sz w:val="22"/>
                <w:szCs w:val="22"/>
              </w:rPr>
              <w:tab/>
              <w:t>18</w:t>
            </w:r>
          </w:hyperlink>
        </w:p>
        <w:p w14:paraId="0F933DC2" w14:textId="77777777" w:rsidR="00955984" w:rsidRPr="001E722E" w:rsidRDefault="00161751">
          <w:pPr>
            <w:pBdr>
              <w:top w:val="nil"/>
              <w:left w:val="nil"/>
              <w:bottom w:val="nil"/>
              <w:right w:val="nil"/>
              <w:between w:val="nil"/>
            </w:pBdr>
            <w:tabs>
              <w:tab w:val="right" w:pos="9016"/>
            </w:tabs>
            <w:spacing w:after="100"/>
            <w:ind w:left="200"/>
            <w:rPr>
              <w:rFonts w:ascii="Arial" w:eastAsia="Arial" w:hAnsi="Arial" w:cs="Arial"/>
              <w:color w:val="000000"/>
              <w:sz w:val="22"/>
              <w:szCs w:val="22"/>
            </w:rPr>
          </w:pPr>
          <w:hyperlink w:anchor="_cuf6emo6vjvb">
            <w:r w:rsidRPr="001E722E">
              <w:rPr>
                <w:rFonts w:ascii="Arial" w:eastAsia="Arial" w:hAnsi="Arial" w:cs="Arial"/>
                <w:color w:val="000000"/>
                <w:sz w:val="22"/>
                <w:szCs w:val="22"/>
              </w:rPr>
              <w:t>2.5.2 Practical and Access-Related Barriers</w:t>
            </w:r>
            <w:r w:rsidRPr="001E722E">
              <w:rPr>
                <w:rFonts w:ascii="Arial" w:eastAsia="Arial" w:hAnsi="Arial" w:cs="Arial"/>
                <w:color w:val="000000"/>
                <w:sz w:val="22"/>
                <w:szCs w:val="22"/>
              </w:rPr>
              <w:tab/>
              <w:t>19</w:t>
            </w:r>
          </w:hyperlink>
        </w:p>
        <w:p w14:paraId="1EB4EECE" w14:textId="77777777" w:rsidR="00955984" w:rsidRPr="001E722E" w:rsidRDefault="00161751">
          <w:pPr>
            <w:pBdr>
              <w:top w:val="nil"/>
              <w:left w:val="nil"/>
              <w:bottom w:val="nil"/>
              <w:right w:val="nil"/>
              <w:between w:val="nil"/>
            </w:pBdr>
            <w:tabs>
              <w:tab w:val="right" w:pos="9016"/>
            </w:tabs>
            <w:spacing w:after="100"/>
            <w:ind w:left="200"/>
            <w:rPr>
              <w:rFonts w:ascii="Arial" w:eastAsia="Arial" w:hAnsi="Arial" w:cs="Arial"/>
              <w:color w:val="000000"/>
              <w:sz w:val="22"/>
              <w:szCs w:val="22"/>
            </w:rPr>
          </w:pPr>
          <w:hyperlink w:anchor="_hfgknovz9uv0">
            <w:r w:rsidRPr="001E722E">
              <w:rPr>
                <w:rFonts w:ascii="Arial" w:eastAsia="Arial" w:hAnsi="Arial" w:cs="Arial"/>
                <w:color w:val="000000"/>
                <w:sz w:val="22"/>
                <w:szCs w:val="22"/>
              </w:rPr>
              <w:t>2.5.3 Cultural, Trust and Communication Barriers</w:t>
            </w:r>
            <w:r w:rsidRPr="001E722E">
              <w:rPr>
                <w:rFonts w:ascii="Arial" w:eastAsia="Arial" w:hAnsi="Arial" w:cs="Arial"/>
                <w:color w:val="000000"/>
                <w:sz w:val="22"/>
                <w:szCs w:val="22"/>
              </w:rPr>
              <w:tab/>
              <w:t>19</w:t>
            </w:r>
          </w:hyperlink>
        </w:p>
        <w:p w14:paraId="1E3A1893" w14:textId="77777777" w:rsidR="00955984" w:rsidRPr="001E722E" w:rsidRDefault="00161751">
          <w:pPr>
            <w:pBdr>
              <w:top w:val="nil"/>
              <w:left w:val="nil"/>
              <w:bottom w:val="nil"/>
              <w:right w:val="nil"/>
              <w:between w:val="nil"/>
            </w:pBdr>
            <w:tabs>
              <w:tab w:val="right" w:pos="9016"/>
            </w:tabs>
            <w:spacing w:after="100"/>
            <w:ind w:left="200"/>
            <w:rPr>
              <w:rFonts w:ascii="Arial" w:eastAsia="Arial" w:hAnsi="Arial" w:cs="Arial"/>
              <w:color w:val="000000"/>
              <w:sz w:val="22"/>
              <w:szCs w:val="22"/>
            </w:rPr>
          </w:pPr>
          <w:hyperlink w:anchor="_lcoqc7bejcyy">
            <w:r w:rsidRPr="001E722E">
              <w:rPr>
                <w:rFonts w:ascii="Arial" w:eastAsia="Arial" w:hAnsi="Arial" w:cs="Arial"/>
                <w:color w:val="000000"/>
                <w:sz w:val="22"/>
                <w:szCs w:val="22"/>
              </w:rPr>
              <w:t>2.6 Effectiveness of NHS and Community-Based Prevention Campaigns</w:t>
            </w:r>
            <w:r w:rsidRPr="001E722E">
              <w:rPr>
                <w:rFonts w:ascii="Arial" w:eastAsia="Arial" w:hAnsi="Arial" w:cs="Arial"/>
                <w:color w:val="000000"/>
                <w:sz w:val="22"/>
                <w:szCs w:val="22"/>
              </w:rPr>
              <w:tab/>
              <w:t>21</w:t>
            </w:r>
          </w:hyperlink>
        </w:p>
        <w:p w14:paraId="35CD7AAC" w14:textId="77777777" w:rsidR="00955984" w:rsidRPr="001E722E" w:rsidRDefault="00161751">
          <w:pPr>
            <w:pBdr>
              <w:top w:val="nil"/>
              <w:left w:val="nil"/>
              <w:bottom w:val="nil"/>
              <w:right w:val="nil"/>
              <w:between w:val="nil"/>
            </w:pBdr>
            <w:tabs>
              <w:tab w:val="right" w:pos="9016"/>
            </w:tabs>
            <w:spacing w:after="100"/>
            <w:ind w:left="200"/>
            <w:rPr>
              <w:rFonts w:ascii="Arial" w:eastAsia="Arial" w:hAnsi="Arial" w:cs="Arial"/>
              <w:color w:val="000000"/>
              <w:sz w:val="22"/>
              <w:szCs w:val="22"/>
            </w:rPr>
          </w:pPr>
          <w:hyperlink w:anchor="_661b5kr2pjxw">
            <w:r w:rsidRPr="001E722E">
              <w:rPr>
                <w:rFonts w:ascii="Arial" w:eastAsia="Arial" w:hAnsi="Arial" w:cs="Arial"/>
                <w:color w:val="000000"/>
                <w:sz w:val="22"/>
                <w:szCs w:val="22"/>
              </w:rPr>
              <w:t>2.6.1 The NHS Health Check Programme</w:t>
            </w:r>
            <w:r w:rsidRPr="001E722E">
              <w:rPr>
                <w:rFonts w:ascii="Arial" w:eastAsia="Arial" w:hAnsi="Arial" w:cs="Arial"/>
                <w:color w:val="000000"/>
                <w:sz w:val="22"/>
                <w:szCs w:val="22"/>
              </w:rPr>
              <w:tab/>
              <w:t>21</w:t>
            </w:r>
          </w:hyperlink>
        </w:p>
        <w:p w14:paraId="26E7E5F6" w14:textId="77777777" w:rsidR="00955984" w:rsidRPr="001E722E" w:rsidRDefault="00161751">
          <w:pPr>
            <w:pBdr>
              <w:top w:val="nil"/>
              <w:left w:val="nil"/>
              <w:bottom w:val="nil"/>
              <w:right w:val="nil"/>
              <w:between w:val="nil"/>
            </w:pBdr>
            <w:tabs>
              <w:tab w:val="right" w:pos="9016"/>
            </w:tabs>
            <w:spacing w:after="100"/>
            <w:ind w:left="200"/>
            <w:rPr>
              <w:rFonts w:ascii="Arial" w:eastAsia="Arial" w:hAnsi="Arial" w:cs="Arial"/>
              <w:color w:val="000000"/>
              <w:sz w:val="22"/>
              <w:szCs w:val="22"/>
            </w:rPr>
          </w:pPr>
          <w:hyperlink w:anchor="_zhtzc2dtxxsj">
            <w:r w:rsidRPr="001E722E">
              <w:rPr>
                <w:rFonts w:ascii="Arial" w:eastAsia="Arial" w:hAnsi="Arial" w:cs="Arial"/>
                <w:color w:val="000000"/>
                <w:sz w:val="22"/>
                <w:szCs w:val="22"/>
              </w:rPr>
              <w:t>2.6.2 Digital and Outreach Innovations</w:t>
            </w:r>
            <w:r w:rsidRPr="001E722E">
              <w:rPr>
                <w:rFonts w:ascii="Arial" w:eastAsia="Arial" w:hAnsi="Arial" w:cs="Arial"/>
                <w:color w:val="000000"/>
                <w:sz w:val="22"/>
                <w:szCs w:val="22"/>
              </w:rPr>
              <w:tab/>
              <w:t>22</w:t>
            </w:r>
          </w:hyperlink>
        </w:p>
        <w:p w14:paraId="296DE12A" w14:textId="77777777" w:rsidR="00955984" w:rsidRPr="001E722E" w:rsidRDefault="00161751">
          <w:pPr>
            <w:pBdr>
              <w:top w:val="nil"/>
              <w:left w:val="nil"/>
              <w:bottom w:val="nil"/>
              <w:right w:val="nil"/>
              <w:between w:val="nil"/>
            </w:pBdr>
            <w:tabs>
              <w:tab w:val="right" w:pos="9016"/>
            </w:tabs>
            <w:spacing w:after="100"/>
            <w:ind w:left="200"/>
            <w:rPr>
              <w:rFonts w:ascii="Arial" w:eastAsia="Arial" w:hAnsi="Arial" w:cs="Arial"/>
              <w:color w:val="000000"/>
              <w:sz w:val="22"/>
              <w:szCs w:val="22"/>
            </w:rPr>
          </w:pPr>
          <w:hyperlink w:anchor="_32xwy2jbvyt3">
            <w:r w:rsidRPr="001E722E">
              <w:rPr>
                <w:rFonts w:ascii="Arial" w:eastAsia="Arial" w:hAnsi="Arial" w:cs="Arial"/>
                <w:color w:val="000000"/>
                <w:sz w:val="22"/>
                <w:szCs w:val="22"/>
              </w:rPr>
              <w:t>2.6.3 Mass Media and Public Awareness Campaigns</w:t>
            </w:r>
            <w:r w:rsidRPr="001E722E">
              <w:rPr>
                <w:rFonts w:ascii="Arial" w:eastAsia="Arial" w:hAnsi="Arial" w:cs="Arial"/>
                <w:color w:val="000000"/>
                <w:sz w:val="22"/>
                <w:szCs w:val="22"/>
              </w:rPr>
              <w:tab/>
              <w:t>22</w:t>
            </w:r>
          </w:hyperlink>
        </w:p>
        <w:p w14:paraId="7763D714" w14:textId="77777777" w:rsidR="00955984" w:rsidRPr="001E722E" w:rsidRDefault="00161751">
          <w:pPr>
            <w:pBdr>
              <w:top w:val="nil"/>
              <w:left w:val="nil"/>
              <w:bottom w:val="nil"/>
              <w:right w:val="nil"/>
              <w:between w:val="nil"/>
            </w:pBdr>
            <w:tabs>
              <w:tab w:val="right" w:pos="9016"/>
            </w:tabs>
            <w:spacing w:after="100"/>
            <w:ind w:left="200"/>
            <w:rPr>
              <w:rFonts w:ascii="Arial" w:eastAsia="Arial" w:hAnsi="Arial" w:cs="Arial"/>
              <w:color w:val="000000"/>
              <w:sz w:val="22"/>
              <w:szCs w:val="22"/>
            </w:rPr>
          </w:pPr>
          <w:hyperlink w:anchor="_sadm8psp65mz">
            <w:r w:rsidRPr="001E722E">
              <w:rPr>
                <w:rFonts w:ascii="Arial" w:eastAsia="Arial" w:hAnsi="Arial" w:cs="Arial"/>
                <w:color w:val="000000"/>
                <w:sz w:val="22"/>
                <w:szCs w:val="22"/>
              </w:rPr>
              <w:t>2.7 Strategies Suggested in the Literature to Improve Awareness and Uptake</w:t>
            </w:r>
            <w:r w:rsidRPr="001E722E">
              <w:rPr>
                <w:rFonts w:ascii="Arial" w:eastAsia="Arial" w:hAnsi="Arial" w:cs="Arial"/>
                <w:color w:val="000000"/>
                <w:sz w:val="22"/>
                <w:szCs w:val="22"/>
              </w:rPr>
              <w:tab/>
              <w:t>23</w:t>
            </w:r>
          </w:hyperlink>
        </w:p>
        <w:p w14:paraId="4C3F1DC4" w14:textId="77777777" w:rsidR="00955984" w:rsidRPr="001E722E" w:rsidRDefault="00161751">
          <w:pPr>
            <w:pBdr>
              <w:top w:val="nil"/>
              <w:left w:val="nil"/>
              <w:bottom w:val="nil"/>
              <w:right w:val="nil"/>
              <w:between w:val="nil"/>
            </w:pBdr>
            <w:tabs>
              <w:tab w:val="right" w:pos="9016"/>
            </w:tabs>
            <w:spacing w:after="100"/>
            <w:ind w:left="200"/>
            <w:rPr>
              <w:rFonts w:ascii="Arial" w:eastAsia="Arial" w:hAnsi="Arial" w:cs="Arial"/>
              <w:color w:val="000000"/>
              <w:sz w:val="22"/>
              <w:szCs w:val="22"/>
            </w:rPr>
          </w:pPr>
          <w:hyperlink w:anchor="_csjfq5qxz9ik">
            <w:r w:rsidRPr="001E722E">
              <w:rPr>
                <w:rFonts w:ascii="Arial" w:eastAsia="Arial" w:hAnsi="Arial" w:cs="Arial"/>
                <w:color w:val="000000"/>
                <w:sz w:val="22"/>
                <w:szCs w:val="22"/>
              </w:rPr>
              <w:t>2.8 Gaps in the Literature</w:t>
            </w:r>
            <w:r w:rsidRPr="001E722E">
              <w:rPr>
                <w:rFonts w:ascii="Arial" w:eastAsia="Arial" w:hAnsi="Arial" w:cs="Arial"/>
                <w:color w:val="000000"/>
                <w:sz w:val="22"/>
                <w:szCs w:val="22"/>
              </w:rPr>
              <w:tab/>
              <w:t>24</w:t>
            </w:r>
          </w:hyperlink>
        </w:p>
        <w:p w14:paraId="2C65B9A7" w14:textId="77777777" w:rsidR="00955984" w:rsidRPr="001E722E" w:rsidRDefault="00161751">
          <w:pPr>
            <w:pBdr>
              <w:top w:val="nil"/>
              <w:left w:val="nil"/>
              <w:bottom w:val="nil"/>
              <w:right w:val="nil"/>
              <w:between w:val="nil"/>
            </w:pBdr>
            <w:tabs>
              <w:tab w:val="right" w:pos="9016"/>
            </w:tabs>
            <w:spacing w:after="100"/>
            <w:ind w:left="200"/>
            <w:rPr>
              <w:rFonts w:ascii="Arial" w:eastAsia="Arial" w:hAnsi="Arial" w:cs="Arial"/>
              <w:color w:val="000000"/>
              <w:sz w:val="22"/>
              <w:szCs w:val="22"/>
            </w:rPr>
          </w:pPr>
          <w:hyperlink w:anchor="_rgwfdoz7gm3n">
            <w:r w:rsidRPr="001E722E">
              <w:rPr>
                <w:rFonts w:ascii="Arial" w:eastAsia="Arial" w:hAnsi="Arial" w:cs="Arial"/>
                <w:color w:val="000000"/>
                <w:sz w:val="22"/>
                <w:szCs w:val="22"/>
              </w:rPr>
              <w:t>2.9 Chapter Summary</w:t>
            </w:r>
            <w:r w:rsidRPr="001E722E">
              <w:rPr>
                <w:rFonts w:ascii="Arial" w:eastAsia="Arial" w:hAnsi="Arial" w:cs="Arial"/>
                <w:color w:val="000000"/>
                <w:sz w:val="22"/>
                <w:szCs w:val="22"/>
              </w:rPr>
              <w:tab/>
              <w:t>25</w:t>
            </w:r>
          </w:hyperlink>
        </w:p>
        <w:p w14:paraId="55900027" w14:textId="77777777" w:rsidR="00955984" w:rsidRPr="001E722E" w:rsidRDefault="00161751">
          <w:pPr>
            <w:pBdr>
              <w:top w:val="nil"/>
              <w:left w:val="nil"/>
              <w:bottom w:val="nil"/>
              <w:right w:val="nil"/>
              <w:between w:val="nil"/>
            </w:pBdr>
            <w:tabs>
              <w:tab w:val="right" w:pos="9016"/>
            </w:tabs>
            <w:spacing w:after="100"/>
            <w:rPr>
              <w:rFonts w:ascii="Arial" w:eastAsia="Arial" w:hAnsi="Arial" w:cs="Arial"/>
              <w:color w:val="000000"/>
              <w:sz w:val="28"/>
              <w:szCs w:val="28"/>
            </w:rPr>
          </w:pPr>
          <w:hyperlink w:anchor="_k9cdvjcdogbv">
            <w:r w:rsidRPr="001E722E">
              <w:rPr>
                <w:rFonts w:ascii="Arial" w:eastAsia="Arial" w:hAnsi="Arial" w:cs="Arial"/>
                <w:color w:val="000000"/>
                <w:sz w:val="22"/>
                <w:szCs w:val="22"/>
              </w:rPr>
              <w:t>CHAPTER 3: RESEARCH METHODOLOGY</w:t>
            </w:r>
            <w:r w:rsidRPr="001E722E">
              <w:rPr>
                <w:rFonts w:ascii="Arial" w:eastAsia="Arial" w:hAnsi="Arial" w:cs="Arial"/>
                <w:color w:val="000000"/>
                <w:sz w:val="22"/>
                <w:szCs w:val="22"/>
              </w:rPr>
              <w:tab/>
              <w:t>26</w:t>
            </w:r>
          </w:hyperlink>
        </w:p>
        <w:p w14:paraId="1062B2C2" w14:textId="77777777" w:rsidR="00955984" w:rsidRPr="001E722E" w:rsidRDefault="00161751">
          <w:pPr>
            <w:pBdr>
              <w:top w:val="nil"/>
              <w:left w:val="nil"/>
              <w:bottom w:val="nil"/>
              <w:right w:val="nil"/>
              <w:between w:val="nil"/>
            </w:pBdr>
            <w:tabs>
              <w:tab w:val="right" w:pos="9016"/>
            </w:tabs>
            <w:spacing w:after="100"/>
            <w:ind w:left="200"/>
            <w:rPr>
              <w:rFonts w:ascii="Arial" w:eastAsia="Arial" w:hAnsi="Arial" w:cs="Arial"/>
              <w:color w:val="000000"/>
              <w:sz w:val="22"/>
              <w:szCs w:val="22"/>
            </w:rPr>
          </w:pPr>
          <w:hyperlink w:anchor="_zga1sf83j2i8">
            <w:r w:rsidRPr="001E722E">
              <w:rPr>
                <w:rFonts w:ascii="Arial" w:eastAsia="Arial" w:hAnsi="Arial" w:cs="Arial"/>
                <w:color w:val="000000"/>
                <w:sz w:val="22"/>
                <w:szCs w:val="22"/>
              </w:rPr>
              <w:t>3.1 Introduction</w:t>
            </w:r>
            <w:r w:rsidRPr="001E722E">
              <w:rPr>
                <w:rFonts w:ascii="Arial" w:eastAsia="Arial" w:hAnsi="Arial" w:cs="Arial"/>
                <w:color w:val="000000"/>
                <w:sz w:val="22"/>
                <w:szCs w:val="22"/>
              </w:rPr>
              <w:tab/>
              <w:t>26</w:t>
            </w:r>
          </w:hyperlink>
        </w:p>
        <w:p w14:paraId="3570871B" w14:textId="77777777" w:rsidR="00955984" w:rsidRPr="001E722E" w:rsidRDefault="00161751">
          <w:pPr>
            <w:pBdr>
              <w:top w:val="nil"/>
              <w:left w:val="nil"/>
              <w:bottom w:val="nil"/>
              <w:right w:val="nil"/>
              <w:between w:val="nil"/>
            </w:pBdr>
            <w:tabs>
              <w:tab w:val="right" w:pos="9016"/>
            </w:tabs>
            <w:spacing w:after="100"/>
            <w:ind w:left="200"/>
            <w:rPr>
              <w:rFonts w:ascii="Arial" w:eastAsia="Arial" w:hAnsi="Arial" w:cs="Arial"/>
              <w:color w:val="000000"/>
              <w:sz w:val="22"/>
              <w:szCs w:val="22"/>
            </w:rPr>
          </w:pPr>
          <w:hyperlink w:anchor="_e5c6az4jqfqx">
            <w:r w:rsidRPr="001E722E">
              <w:rPr>
                <w:rFonts w:ascii="Arial" w:eastAsia="Arial" w:hAnsi="Arial" w:cs="Arial"/>
                <w:color w:val="000000"/>
                <w:sz w:val="22"/>
                <w:szCs w:val="22"/>
              </w:rPr>
              <w:t>3.2 Research Philosophy and Approach</w:t>
            </w:r>
            <w:r w:rsidRPr="001E722E">
              <w:rPr>
                <w:rFonts w:ascii="Arial" w:eastAsia="Arial" w:hAnsi="Arial" w:cs="Arial"/>
                <w:color w:val="000000"/>
                <w:sz w:val="22"/>
                <w:szCs w:val="22"/>
              </w:rPr>
              <w:tab/>
              <w:t>26</w:t>
            </w:r>
          </w:hyperlink>
        </w:p>
        <w:p w14:paraId="38FBED5A" w14:textId="77777777" w:rsidR="00955984" w:rsidRPr="001E722E" w:rsidRDefault="00161751">
          <w:pPr>
            <w:pBdr>
              <w:top w:val="nil"/>
              <w:left w:val="nil"/>
              <w:bottom w:val="nil"/>
              <w:right w:val="nil"/>
              <w:between w:val="nil"/>
            </w:pBdr>
            <w:tabs>
              <w:tab w:val="right" w:pos="9016"/>
            </w:tabs>
            <w:spacing w:after="100"/>
            <w:ind w:left="200"/>
            <w:rPr>
              <w:rFonts w:ascii="Arial" w:eastAsia="Arial" w:hAnsi="Arial" w:cs="Arial"/>
              <w:color w:val="000000"/>
              <w:sz w:val="22"/>
              <w:szCs w:val="22"/>
            </w:rPr>
          </w:pPr>
          <w:hyperlink w:anchor="_5edwmrfuypz8">
            <w:r w:rsidRPr="001E722E">
              <w:rPr>
                <w:rFonts w:ascii="Arial" w:eastAsia="Arial" w:hAnsi="Arial" w:cs="Arial"/>
                <w:color w:val="000000"/>
                <w:sz w:val="22"/>
                <w:szCs w:val="22"/>
              </w:rPr>
              <w:t>3.3 Research Design: Systematic Literature Review (SLR)</w:t>
            </w:r>
            <w:r w:rsidRPr="001E722E">
              <w:rPr>
                <w:rFonts w:ascii="Arial" w:eastAsia="Arial" w:hAnsi="Arial" w:cs="Arial"/>
                <w:color w:val="000000"/>
                <w:sz w:val="22"/>
                <w:szCs w:val="22"/>
              </w:rPr>
              <w:tab/>
              <w:t>26</w:t>
            </w:r>
          </w:hyperlink>
        </w:p>
        <w:p w14:paraId="33CD67AB" w14:textId="77777777" w:rsidR="00955984" w:rsidRPr="001E722E" w:rsidRDefault="00161751">
          <w:pPr>
            <w:pBdr>
              <w:top w:val="nil"/>
              <w:left w:val="nil"/>
              <w:bottom w:val="nil"/>
              <w:right w:val="nil"/>
              <w:between w:val="nil"/>
            </w:pBdr>
            <w:tabs>
              <w:tab w:val="right" w:pos="9016"/>
            </w:tabs>
            <w:spacing w:after="100"/>
            <w:ind w:left="200"/>
            <w:rPr>
              <w:rFonts w:ascii="Arial" w:eastAsia="Arial" w:hAnsi="Arial" w:cs="Arial"/>
              <w:color w:val="000000"/>
              <w:sz w:val="22"/>
              <w:szCs w:val="22"/>
            </w:rPr>
          </w:pPr>
          <w:hyperlink w:anchor="_rvxmkn80ibdr">
            <w:r w:rsidRPr="001E722E">
              <w:rPr>
                <w:rFonts w:ascii="Arial" w:eastAsia="Arial" w:hAnsi="Arial" w:cs="Arial"/>
                <w:color w:val="000000"/>
                <w:sz w:val="22"/>
                <w:szCs w:val="22"/>
              </w:rPr>
              <w:t>3.4 Search Strategy</w:t>
            </w:r>
            <w:r w:rsidRPr="001E722E">
              <w:rPr>
                <w:rFonts w:ascii="Arial" w:eastAsia="Arial" w:hAnsi="Arial" w:cs="Arial"/>
                <w:color w:val="000000"/>
                <w:sz w:val="22"/>
                <w:szCs w:val="22"/>
              </w:rPr>
              <w:tab/>
              <w:t>27</w:t>
            </w:r>
          </w:hyperlink>
        </w:p>
        <w:p w14:paraId="6A0EDA05" w14:textId="77777777" w:rsidR="00955984" w:rsidRPr="001E722E" w:rsidRDefault="00161751">
          <w:pPr>
            <w:pBdr>
              <w:top w:val="nil"/>
              <w:left w:val="nil"/>
              <w:bottom w:val="nil"/>
              <w:right w:val="nil"/>
              <w:between w:val="nil"/>
            </w:pBdr>
            <w:tabs>
              <w:tab w:val="right" w:pos="9016"/>
            </w:tabs>
            <w:spacing w:after="100"/>
            <w:ind w:left="200"/>
            <w:rPr>
              <w:rFonts w:ascii="Arial" w:eastAsia="Arial" w:hAnsi="Arial" w:cs="Arial"/>
              <w:color w:val="000000"/>
              <w:sz w:val="22"/>
              <w:szCs w:val="22"/>
            </w:rPr>
          </w:pPr>
          <w:hyperlink w:anchor="_w33nfagrw8nr">
            <w:r w:rsidRPr="001E722E">
              <w:rPr>
                <w:rFonts w:ascii="Arial" w:eastAsia="Arial" w:hAnsi="Arial" w:cs="Arial"/>
                <w:color w:val="000000"/>
                <w:sz w:val="22"/>
                <w:szCs w:val="22"/>
              </w:rPr>
              <w:t>3.5 Inclusion and Exclusion Criteria</w:t>
            </w:r>
            <w:r w:rsidRPr="001E722E">
              <w:rPr>
                <w:rFonts w:ascii="Arial" w:eastAsia="Arial" w:hAnsi="Arial" w:cs="Arial"/>
                <w:color w:val="000000"/>
                <w:sz w:val="22"/>
                <w:szCs w:val="22"/>
              </w:rPr>
              <w:tab/>
              <w:t>28</w:t>
            </w:r>
          </w:hyperlink>
        </w:p>
        <w:p w14:paraId="56CED5EB" w14:textId="77777777" w:rsidR="00955984" w:rsidRPr="001E722E" w:rsidRDefault="00161751">
          <w:pPr>
            <w:pBdr>
              <w:top w:val="nil"/>
              <w:left w:val="nil"/>
              <w:bottom w:val="nil"/>
              <w:right w:val="nil"/>
              <w:between w:val="nil"/>
            </w:pBdr>
            <w:tabs>
              <w:tab w:val="right" w:pos="9016"/>
            </w:tabs>
            <w:spacing w:after="100"/>
            <w:ind w:left="200"/>
            <w:rPr>
              <w:rFonts w:ascii="Arial" w:eastAsia="Arial" w:hAnsi="Arial" w:cs="Arial"/>
              <w:color w:val="000000"/>
              <w:sz w:val="22"/>
              <w:szCs w:val="22"/>
            </w:rPr>
          </w:pPr>
          <w:hyperlink w:anchor="_lz6r07oozvkf">
            <w:r w:rsidRPr="001E722E">
              <w:rPr>
                <w:rFonts w:ascii="Arial" w:eastAsia="Arial" w:hAnsi="Arial" w:cs="Arial"/>
                <w:color w:val="000000"/>
                <w:sz w:val="22"/>
                <w:szCs w:val="22"/>
              </w:rPr>
              <w:t>3.6 Study Selection Process</w:t>
            </w:r>
            <w:r w:rsidRPr="001E722E">
              <w:rPr>
                <w:rFonts w:ascii="Arial" w:eastAsia="Arial" w:hAnsi="Arial" w:cs="Arial"/>
                <w:color w:val="000000"/>
                <w:sz w:val="22"/>
                <w:szCs w:val="22"/>
              </w:rPr>
              <w:tab/>
              <w:t>29</w:t>
            </w:r>
          </w:hyperlink>
        </w:p>
        <w:p w14:paraId="57F18BFC" w14:textId="77777777" w:rsidR="00955984" w:rsidRPr="001E722E" w:rsidRDefault="00161751">
          <w:pPr>
            <w:pBdr>
              <w:top w:val="nil"/>
              <w:left w:val="nil"/>
              <w:bottom w:val="nil"/>
              <w:right w:val="nil"/>
              <w:between w:val="nil"/>
            </w:pBdr>
            <w:tabs>
              <w:tab w:val="right" w:pos="9016"/>
            </w:tabs>
            <w:spacing w:after="100"/>
            <w:ind w:left="200"/>
            <w:rPr>
              <w:rFonts w:ascii="Arial" w:eastAsia="Arial" w:hAnsi="Arial" w:cs="Arial"/>
              <w:color w:val="000000"/>
              <w:sz w:val="22"/>
              <w:szCs w:val="22"/>
            </w:rPr>
          </w:pPr>
          <w:hyperlink w:anchor="_c4ii7ncdebe1">
            <w:r w:rsidRPr="001E722E">
              <w:rPr>
                <w:rFonts w:ascii="Arial" w:eastAsia="Arial" w:hAnsi="Arial" w:cs="Arial"/>
                <w:color w:val="000000"/>
                <w:sz w:val="22"/>
                <w:szCs w:val="22"/>
              </w:rPr>
              <w:t>3.7 Data Extraction</w:t>
            </w:r>
            <w:r w:rsidRPr="001E722E">
              <w:rPr>
                <w:rFonts w:ascii="Arial" w:eastAsia="Arial" w:hAnsi="Arial" w:cs="Arial"/>
                <w:color w:val="000000"/>
                <w:sz w:val="22"/>
                <w:szCs w:val="22"/>
              </w:rPr>
              <w:tab/>
              <w:t>29</w:t>
            </w:r>
          </w:hyperlink>
        </w:p>
        <w:p w14:paraId="689426CC" w14:textId="77777777" w:rsidR="00955984" w:rsidRPr="001E722E" w:rsidRDefault="00161751">
          <w:pPr>
            <w:pBdr>
              <w:top w:val="nil"/>
              <w:left w:val="nil"/>
              <w:bottom w:val="nil"/>
              <w:right w:val="nil"/>
              <w:between w:val="nil"/>
            </w:pBdr>
            <w:tabs>
              <w:tab w:val="right" w:pos="9016"/>
            </w:tabs>
            <w:spacing w:after="100"/>
            <w:ind w:left="200"/>
            <w:rPr>
              <w:rFonts w:ascii="Arial" w:eastAsia="Arial" w:hAnsi="Arial" w:cs="Arial"/>
              <w:color w:val="000000"/>
              <w:sz w:val="22"/>
              <w:szCs w:val="22"/>
            </w:rPr>
          </w:pPr>
          <w:hyperlink w:anchor="_yslmnkw13ba7">
            <w:r w:rsidRPr="001E722E">
              <w:rPr>
                <w:rFonts w:ascii="Arial" w:eastAsia="Arial" w:hAnsi="Arial" w:cs="Arial"/>
                <w:color w:val="000000"/>
                <w:sz w:val="22"/>
                <w:szCs w:val="22"/>
              </w:rPr>
              <w:t>3.8 Quality Appraisal</w:t>
            </w:r>
            <w:r w:rsidRPr="001E722E">
              <w:rPr>
                <w:rFonts w:ascii="Arial" w:eastAsia="Arial" w:hAnsi="Arial" w:cs="Arial"/>
                <w:color w:val="000000"/>
                <w:sz w:val="22"/>
                <w:szCs w:val="22"/>
              </w:rPr>
              <w:tab/>
              <w:t>30</w:t>
            </w:r>
          </w:hyperlink>
        </w:p>
        <w:p w14:paraId="16A161AA" w14:textId="77777777" w:rsidR="00955984" w:rsidRPr="001E722E" w:rsidRDefault="00161751">
          <w:pPr>
            <w:pBdr>
              <w:top w:val="nil"/>
              <w:left w:val="nil"/>
              <w:bottom w:val="nil"/>
              <w:right w:val="nil"/>
              <w:between w:val="nil"/>
            </w:pBdr>
            <w:tabs>
              <w:tab w:val="right" w:pos="9016"/>
            </w:tabs>
            <w:spacing w:after="100"/>
            <w:ind w:left="200"/>
            <w:rPr>
              <w:rFonts w:ascii="Arial" w:eastAsia="Arial" w:hAnsi="Arial" w:cs="Arial"/>
              <w:color w:val="000000"/>
              <w:sz w:val="22"/>
              <w:szCs w:val="22"/>
            </w:rPr>
          </w:pPr>
          <w:hyperlink w:anchor="_6d0yybttwlgq">
            <w:r w:rsidRPr="001E722E">
              <w:rPr>
                <w:rFonts w:ascii="Arial" w:eastAsia="Arial" w:hAnsi="Arial" w:cs="Arial"/>
                <w:color w:val="000000"/>
                <w:sz w:val="22"/>
                <w:szCs w:val="22"/>
              </w:rPr>
              <w:t>3.9 Data Synthesis</w:t>
            </w:r>
            <w:r w:rsidRPr="001E722E">
              <w:rPr>
                <w:rFonts w:ascii="Arial" w:eastAsia="Arial" w:hAnsi="Arial" w:cs="Arial"/>
                <w:color w:val="000000"/>
                <w:sz w:val="22"/>
                <w:szCs w:val="22"/>
              </w:rPr>
              <w:tab/>
              <w:t>30</w:t>
            </w:r>
          </w:hyperlink>
        </w:p>
        <w:p w14:paraId="482C6C68" w14:textId="77777777" w:rsidR="00955984" w:rsidRPr="001E722E" w:rsidRDefault="00161751">
          <w:pPr>
            <w:pBdr>
              <w:top w:val="nil"/>
              <w:left w:val="nil"/>
              <w:bottom w:val="nil"/>
              <w:right w:val="nil"/>
              <w:between w:val="nil"/>
            </w:pBdr>
            <w:tabs>
              <w:tab w:val="right" w:pos="9016"/>
            </w:tabs>
            <w:spacing w:after="100"/>
            <w:ind w:left="200"/>
            <w:rPr>
              <w:rFonts w:ascii="Arial" w:eastAsia="Arial" w:hAnsi="Arial" w:cs="Arial"/>
              <w:color w:val="000000"/>
              <w:sz w:val="22"/>
              <w:szCs w:val="22"/>
            </w:rPr>
          </w:pPr>
          <w:hyperlink w:anchor="_md0i9dvn2n7o">
            <w:r w:rsidRPr="001E722E">
              <w:rPr>
                <w:rFonts w:ascii="Arial" w:eastAsia="Arial" w:hAnsi="Arial" w:cs="Arial"/>
                <w:color w:val="000000"/>
                <w:sz w:val="22"/>
                <w:szCs w:val="22"/>
              </w:rPr>
              <w:t>3.10 Ethical Considerations</w:t>
            </w:r>
            <w:r w:rsidRPr="001E722E">
              <w:rPr>
                <w:rFonts w:ascii="Arial" w:eastAsia="Arial" w:hAnsi="Arial" w:cs="Arial"/>
                <w:color w:val="000000"/>
                <w:sz w:val="22"/>
                <w:szCs w:val="22"/>
              </w:rPr>
              <w:tab/>
              <w:t>31</w:t>
            </w:r>
          </w:hyperlink>
        </w:p>
        <w:p w14:paraId="6B47ADB7" w14:textId="77777777" w:rsidR="00955984" w:rsidRPr="001E722E" w:rsidRDefault="00161751">
          <w:pPr>
            <w:pBdr>
              <w:top w:val="nil"/>
              <w:left w:val="nil"/>
              <w:bottom w:val="nil"/>
              <w:right w:val="nil"/>
              <w:between w:val="nil"/>
            </w:pBdr>
            <w:tabs>
              <w:tab w:val="right" w:pos="9016"/>
            </w:tabs>
            <w:spacing w:after="100"/>
            <w:ind w:left="200"/>
            <w:rPr>
              <w:rFonts w:ascii="Arial" w:eastAsia="Arial" w:hAnsi="Arial" w:cs="Arial"/>
              <w:color w:val="000000"/>
              <w:sz w:val="22"/>
              <w:szCs w:val="22"/>
            </w:rPr>
          </w:pPr>
          <w:hyperlink w:anchor="_aj0vuke30fly">
            <w:r w:rsidRPr="001E722E">
              <w:rPr>
                <w:rFonts w:ascii="Arial" w:eastAsia="Arial" w:hAnsi="Arial" w:cs="Arial"/>
                <w:color w:val="000000"/>
                <w:sz w:val="22"/>
                <w:szCs w:val="22"/>
              </w:rPr>
              <w:t>3.11 Limitations of the Methodology</w:t>
            </w:r>
            <w:r w:rsidRPr="001E722E">
              <w:rPr>
                <w:rFonts w:ascii="Arial" w:eastAsia="Arial" w:hAnsi="Arial" w:cs="Arial"/>
                <w:color w:val="000000"/>
                <w:sz w:val="22"/>
                <w:szCs w:val="22"/>
              </w:rPr>
              <w:tab/>
              <w:t>31</w:t>
            </w:r>
          </w:hyperlink>
        </w:p>
        <w:p w14:paraId="37E040D0" w14:textId="77777777" w:rsidR="00955984" w:rsidRPr="001E722E" w:rsidRDefault="00161751">
          <w:pPr>
            <w:pBdr>
              <w:top w:val="nil"/>
              <w:left w:val="nil"/>
              <w:bottom w:val="nil"/>
              <w:right w:val="nil"/>
              <w:between w:val="nil"/>
            </w:pBdr>
            <w:tabs>
              <w:tab w:val="right" w:pos="9016"/>
            </w:tabs>
            <w:spacing w:after="100"/>
            <w:ind w:left="200"/>
            <w:rPr>
              <w:rFonts w:ascii="Arial" w:eastAsia="Arial" w:hAnsi="Arial" w:cs="Arial"/>
              <w:color w:val="000000"/>
              <w:sz w:val="22"/>
              <w:szCs w:val="22"/>
            </w:rPr>
          </w:pPr>
          <w:hyperlink w:anchor="_q3syzttcnzch">
            <w:r w:rsidRPr="001E722E">
              <w:rPr>
                <w:rFonts w:ascii="Arial" w:eastAsia="Arial" w:hAnsi="Arial" w:cs="Arial"/>
                <w:color w:val="000000"/>
                <w:sz w:val="22"/>
                <w:szCs w:val="22"/>
              </w:rPr>
              <w:t>3.12 Chapter Summary</w:t>
            </w:r>
            <w:r w:rsidRPr="001E722E">
              <w:rPr>
                <w:rFonts w:ascii="Arial" w:eastAsia="Arial" w:hAnsi="Arial" w:cs="Arial"/>
                <w:color w:val="000000"/>
                <w:sz w:val="22"/>
                <w:szCs w:val="22"/>
              </w:rPr>
              <w:tab/>
              <w:t>32</w:t>
            </w:r>
          </w:hyperlink>
        </w:p>
        <w:p w14:paraId="312344CE" w14:textId="77777777" w:rsidR="00955984" w:rsidRPr="001E722E" w:rsidRDefault="00161751">
          <w:pPr>
            <w:pBdr>
              <w:top w:val="nil"/>
              <w:left w:val="nil"/>
              <w:bottom w:val="nil"/>
              <w:right w:val="nil"/>
              <w:between w:val="nil"/>
            </w:pBdr>
            <w:tabs>
              <w:tab w:val="right" w:pos="9016"/>
            </w:tabs>
            <w:spacing w:after="100"/>
            <w:rPr>
              <w:rFonts w:ascii="Arial" w:eastAsia="Arial" w:hAnsi="Arial" w:cs="Arial"/>
              <w:color w:val="000000"/>
              <w:sz w:val="28"/>
              <w:szCs w:val="28"/>
            </w:rPr>
          </w:pPr>
          <w:hyperlink w:anchor="_75xv8j2az0e8">
            <w:r w:rsidRPr="001E722E">
              <w:rPr>
                <w:rFonts w:ascii="Arial" w:eastAsia="Arial" w:hAnsi="Arial" w:cs="Arial"/>
                <w:color w:val="000000"/>
                <w:sz w:val="22"/>
                <w:szCs w:val="22"/>
              </w:rPr>
              <w:t>CHAPTER 4: DATA ANALYSIS AND RESULTS</w:t>
            </w:r>
            <w:r w:rsidRPr="001E722E">
              <w:rPr>
                <w:rFonts w:ascii="Arial" w:eastAsia="Arial" w:hAnsi="Arial" w:cs="Arial"/>
                <w:color w:val="000000"/>
                <w:sz w:val="22"/>
                <w:szCs w:val="22"/>
              </w:rPr>
              <w:tab/>
              <w:t>32</w:t>
            </w:r>
          </w:hyperlink>
        </w:p>
        <w:p w14:paraId="31135320" w14:textId="77777777" w:rsidR="00955984" w:rsidRPr="001E722E" w:rsidRDefault="00161751">
          <w:pPr>
            <w:pBdr>
              <w:top w:val="nil"/>
              <w:left w:val="nil"/>
              <w:bottom w:val="nil"/>
              <w:right w:val="nil"/>
              <w:between w:val="nil"/>
            </w:pBdr>
            <w:tabs>
              <w:tab w:val="right" w:pos="9016"/>
            </w:tabs>
            <w:spacing w:after="100"/>
            <w:ind w:left="200"/>
            <w:rPr>
              <w:rFonts w:ascii="Arial" w:eastAsia="Arial" w:hAnsi="Arial" w:cs="Arial"/>
              <w:color w:val="000000"/>
              <w:sz w:val="22"/>
              <w:szCs w:val="22"/>
            </w:rPr>
          </w:pPr>
          <w:hyperlink w:anchor="_rtvyx0d4p90g">
            <w:r w:rsidRPr="001E722E">
              <w:rPr>
                <w:rFonts w:ascii="Arial" w:eastAsia="Arial" w:hAnsi="Arial" w:cs="Arial"/>
                <w:color w:val="000000"/>
                <w:sz w:val="22"/>
                <w:szCs w:val="22"/>
              </w:rPr>
              <w:t>4.1 Introduction</w:t>
            </w:r>
            <w:r w:rsidRPr="001E722E">
              <w:rPr>
                <w:rFonts w:ascii="Arial" w:eastAsia="Arial" w:hAnsi="Arial" w:cs="Arial"/>
                <w:color w:val="000000"/>
                <w:sz w:val="22"/>
                <w:szCs w:val="22"/>
              </w:rPr>
              <w:tab/>
              <w:t>32</w:t>
            </w:r>
          </w:hyperlink>
        </w:p>
        <w:p w14:paraId="4D68C69E" w14:textId="77777777" w:rsidR="00955984" w:rsidRPr="001E722E" w:rsidRDefault="00161751">
          <w:pPr>
            <w:pBdr>
              <w:top w:val="nil"/>
              <w:left w:val="nil"/>
              <w:bottom w:val="nil"/>
              <w:right w:val="nil"/>
              <w:between w:val="nil"/>
            </w:pBdr>
            <w:tabs>
              <w:tab w:val="right" w:pos="9016"/>
            </w:tabs>
            <w:spacing w:after="100"/>
            <w:ind w:left="200"/>
            <w:rPr>
              <w:rFonts w:ascii="Arial" w:eastAsia="Arial" w:hAnsi="Arial" w:cs="Arial"/>
              <w:color w:val="000000"/>
              <w:sz w:val="22"/>
              <w:szCs w:val="22"/>
            </w:rPr>
          </w:pPr>
          <w:hyperlink w:anchor="_5s7g7730a4qo">
            <w:r w:rsidRPr="001E722E">
              <w:rPr>
                <w:rFonts w:ascii="Arial" w:eastAsia="Arial" w:hAnsi="Arial" w:cs="Arial"/>
                <w:color w:val="000000"/>
                <w:sz w:val="22"/>
                <w:szCs w:val="22"/>
              </w:rPr>
              <w:t>4.2 Results of the Systematic Review</w:t>
            </w:r>
            <w:r w:rsidRPr="001E722E">
              <w:rPr>
                <w:rFonts w:ascii="Arial" w:eastAsia="Arial" w:hAnsi="Arial" w:cs="Arial"/>
                <w:color w:val="000000"/>
                <w:sz w:val="22"/>
                <w:szCs w:val="22"/>
              </w:rPr>
              <w:tab/>
              <w:t>33</w:t>
            </w:r>
          </w:hyperlink>
        </w:p>
        <w:p w14:paraId="47988CFD" w14:textId="77777777" w:rsidR="00955984" w:rsidRPr="001E722E" w:rsidRDefault="00161751">
          <w:pPr>
            <w:pBdr>
              <w:top w:val="nil"/>
              <w:left w:val="nil"/>
              <w:bottom w:val="nil"/>
              <w:right w:val="nil"/>
              <w:between w:val="nil"/>
            </w:pBdr>
            <w:tabs>
              <w:tab w:val="right" w:pos="9016"/>
            </w:tabs>
            <w:spacing w:after="100"/>
            <w:ind w:left="400"/>
            <w:rPr>
              <w:rFonts w:ascii="Arial" w:eastAsia="Arial" w:hAnsi="Arial" w:cs="Arial"/>
              <w:color w:val="000000"/>
              <w:sz w:val="22"/>
              <w:szCs w:val="22"/>
            </w:rPr>
          </w:pPr>
          <w:hyperlink w:anchor="_9q5wdhxcpcbr">
            <w:r w:rsidRPr="001E722E">
              <w:rPr>
                <w:rFonts w:ascii="Arial" w:eastAsia="Arial" w:hAnsi="Arial" w:cs="Arial"/>
                <w:color w:val="000000"/>
                <w:sz w:val="22"/>
                <w:szCs w:val="22"/>
              </w:rPr>
              <w:t>4.2.1 Objective 1: Public Awareness and Understanding of CHD Risk Factors and Symptoms</w:t>
            </w:r>
            <w:r w:rsidRPr="001E722E">
              <w:rPr>
                <w:rFonts w:ascii="Arial" w:eastAsia="Arial" w:hAnsi="Arial" w:cs="Arial"/>
                <w:color w:val="000000"/>
                <w:sz w:val="22"/>
                <w:szCs w:val="22"/>
              </w:rPr>
              <w:tab/>
              <w:t>33</w:t>
            </w:r>
          </w:hyperlink>
        </w:p>
        <w:p w14:paraId="4265ADD6" w14:textId="77777777" w:rsidR="00955984" w:rsidRPr="001E722E" w:rsidRDefault="00161751">
          <w:pPr>
            <w:pBdr>
              <w:top w:val="nil"/>
              <w:left w:val="nil"/>
              <w:bottom w:val="nil"/>
              <w:right w:val="nil"/>
              <w:between w:val="nil"/>
            </w:pBdr>
            <w:tabs>
              <w:tab w:val="right" w:pos="9016"/>
            </w:tabs>
            <w:spacing w:after="100"/>
            <w:ind w:left="400"/>
            <w:rPr>
              <w:rFonts w:ascii="Arial" w:eastAsia="Arial" w:hAnsi="Arial" w:cs="Arial"/>
              <w:color w:val="000000"/>
              <w:sz w:val="22"/>
              <w:szCs w:val="22"/>
            </w:rPr>
          </w:pPr>
          <w:hyperlink w:anchor="_2wohcrwmceer">
            <w:r w:rsidRPr="001E722E">
              <w:rPr>
                <w:rFonts w:ascii="Arial" w:eastAsia="Arial" w:hAnsi="Arial" w:cs="Arial"/>
                <w:color w:val="000000"/>
                <w:sz w:val="22"/>
                <w:szCs w:val="22"/>
              </w:rPr>
              <w:t>4.2.2 Objective 2: Barriers to Early Screening and Preventive Health Checks</w:t>
            </w:r>
            <w:r w:rsidRPr="001E722E">
              <w:rPr>
                <w:rFonts w:ascii="Arial" w:eastAsia="Arial" w:hAnsi="Arial" w:cs="Arial"/>
                <w:color w:val="000000"/>
                <w:sz w:val="22"/>
                <w:szCs w:val="22"/>
              </w:rPr>
              <w:tab/>
              <w:t>35</w:t>
            </w:r>
          </w:hyperlink>
        </w:p>
        <w:p w14:paraId="51CAC21C" w14:textId="77777777" w:rsidR="00955984" w:rsidRPr="001E722E" w:rsidRDefault="00161751">
          <w:pPr>
            <w:pBdr>
              <w:top w:val="nil"/>
              <w:left w:val="nil"/>
              <w:bottom w:val="nil"/>
              <w:right w:val="nil"/>
              <w:between w:val="nil"/>
            </w:pBdr>
            <w:tabs>
              <w:tab w:val="right" w:pos="9016"/>
            </w:tabs>
            <w:spacing w:after="100"/>
            <w:ind w:left="400"/>
            <w:rPr>
              <w:rFonts w:ascii="Arial" w:eastAsia="Arial" w:hAnsi="Arial" w:cs="Arial"/>
              <w:color w:val="000000"/>
              <w:sz w:val="22"/>
              <w:szCs w:val="22"/>
            </w:rPr>
          </w:pPr>
          <w:hyperlink w:anchor="_1b807wi8zy62">
            <w:r w:rsidRPr="001E722E">
              <w:rPr>
                <w:rFonts w:ascii="Arial" w:eastAsia="Arial" w:hAnsi="Arial" w:cs="Arial"/>
                <w:color w:val="000000"/>
                <w:sz w:val="22"/>
                <w:szCs w:val="22"/>
              </w:rPr>
              <w:t>4.2.3 Objective 3: Effectiveness of Existing NHS and Community-Based Prevention Campaigns</w:t>
            </w:r>
            <w:r w:rsidRPr="001E722E">
              <w:rPr>
                <w:rFonts w:ascii="Arial" w:eastAsia="Arial" w:hAnsi="Arial" w:cs="Arial"/>
                <w:color w:val="000000"/>
                <w:sz w:val="22"/>
                <w:szCs w:val="22"/>
              </w:rPr>
              <w:tab/>
              <w:t>38</w:t>
            </w:r>
          </w:hyperlink>
        </w:p>
        <w:p w14:paraId="6A857E11" w14:textId="77777777" w:rsidR="00955984" w:rsidRPr="001E722E" w:rsidRDefault="00161751">
          <w:pPr>
            <w:pBdr>
              <w:top w:val="nil"/>
              <w:left w:val="nil"/>
              <w:bottom w:val="nil"/>
              <w:right w:val="nil"/>
              <w:between w:val="nil"/>
            </w:pBdr>
            <w:tabs>
              <w:tab w:val="right" w:pos="9016"/>
            </w:tabs>
            <w:spacing w:after="100"/>
            <w:ind w:left="200"/>
            <w:rPr>
              <w:rFonts w:ascii="Arial" w:eastAsia="Arial" w:hAnsi="Arial" w:cs="Arial"/>
              <w:color w:val="000000"/>
              <w:sz w:val="22"/>
              <w:szCs w:val="22"/>
            </w:rPr>
          </w:pPr>
          <w:hyperlink w:anchor="_nt1jl650agta">
            <w:r w:rsidRPr="001E722E">
              <w:rPr>
                <w:rFonts w:ascii="Arial" w:eastAsia="Arial" w:hAnsi="Arial" w:cs="Arial"/>
                <w:color w:val="000000"/>
                <w:sz w:val="22"/>
                <w:szCs w:val="22"/>
              </w:rPr>
              <w:t>4.3 Chapter Summary</w:t>
            </w:r>
            <w:r w:rsidRPr="001E722E">
              <w:rPr>
                <w:rFonts w:ascii="Arial" w:eastAsia="Arial" w:hAnsi="Arial" w:cs="Arial"/>
                <w:color w:val="000000"/>
                <w:sz w:val="22"/>
                <w:szCs w:val="22"/>
              </w:rPr>
              <w:tab/>
              <w:t>41</w:t>
            </w:r>
          </w:hyperlink>
        </w:p>
        <w:p w14:paraId="1E424079" w14:textId="77777777" w:rsidR="00955984" w:rsidRPr="001E722E" w:rsidRDefault="00161751">
          <w:pPr>
            <w:pBdr>
              <w:top w:val="nil"/>
              <w:left w:val="nil"/>
              <w:bottom w:val="nil"/>
              <w:right w:val="nil"/>
              <w:between w:val="nil"/>
            </w:pBdr>
            <w:tabs>
              <w:tab w:val="right" w:pos="9016"/>
            </w:tabs>
            <w:spacing w:after="100"/>
            <w:rPr>
              <w:rFonts w:ascii="Arial" w:eastAsia="Arial" w:hAnsi="Arial" w:cs="Arial"/>
              <w:color w:val="000000"/>
              <w:sz w:val="28"/>
              <w:szCs w:val="28"/>
            </w:rPr>
          </w:pPr>
          <w:hyperlink w:anchor="_ywot2gn62a24">
            <w:r w:rsidRPr="001E722E">
              <w:rPr>
                <w:rFonts w:ascii="Arial" w:eastAsia="Arial" w:hAnsi="Arial" w:cs="Arial"/>
                <w:color w:val="000000"/>
                <w:sz w:val="22"/>
                <w:szCs w:val="22"/>
              </w:rPr>
              <w:t>CHAPTER 5: DISCUSSION</w:t>
            </w:r>
            <w:r w:rsidRPr="001E722E">
              <w:rPr>
                <w:rFonts w:ascii="Arial" w:eastAsia="Arial" w:hAnsi="Arial" w:cs="Arial"/>
                <w:color w:val="000000"/>
                <w:sz w:val="22"/>
                <w:szCs w:val="22"/>
              </w:rPr>
              <w:tab/>
              <w:t>42</w:t>
            </w:r>
          </w:hyperlink>
        </w:p>
        <w:p w14:paraId="6EB023D1" w14:textId="77777777" w:rsidR="00955984" w:rsidRPr="001E722E" w:rsidRDefault="00161751">
          <w:pPr>
            <w:pBdr>
              <w:top w:val="nil"/>
              <w:left w:val="nil"/>
              <w:bottom w:val="nil"/>
              <w:right w:val="nil"/>
              <w:between w:val="nil"/>
            </w:pBdr>
            <w:tabs>
              <w:tab w:val="right" w:pos="9016"/>
            </w:tabs>
            <w:spacing w:after="100"/>
            <w:ind w:left="200"/>
            <w:rPr>
              <w:rFonts w:ascii="Arial" w:eastAsia="Arial" w:hAnsi="Arial" w:cs="Arial"/>
              <w:color w:val="000000"/>
              <w:sz w:val="22"/>
              <w:szCs w:val="22"/>
            </w:rPr>
          </w:pPr>
          <w:hyperlink w:anchor="_47bmv92k8poa">
            <w:r w:rsidRPr="001E722E">
              <w:rPr>
                <w:rFonts w:ascii="Arial" w:eastAsia="Arial" w:hAnsi="Arial" w:cs="Arial"/>
                <w:color w:val="000000"/>
                <w:sz w:val="22"/>
                <w:szCs w:val="22"/>
              </w:rPr>
              <w:t>5.1 Introduction</w:t>
            </w:r>
            <w:r w:rsidRPr="001E722E">
              <w:rPr>
                <w:rFonts w:ascii="Arial" w:eastAsia="Arial" w:hAnsi="Arial" w:cs="Arial"/>
                <w:color w:val="000000"/>
                <w:sz w:val="22"/>
                <w:szCs w:val="22"/>
              </w:rPr>
              <w:tab/>
              <w:t>42</w:t>
            </w:r>
          </w:hyperlink>
        </w:p>
        <w:p w14:paraId="765AFC2A" w14:textId="77777777" w:rsidR="00955984" w:rsidRPr="001E722E" w:rsidRDefault="00161751">
          <w:pPr>
            <w:pBdr>
              <w:top w:val="nil"/>
              <w:left w:val="nil"/>
              <w:bottom w:val="nil"/>
              <w:right w:val="nil"/>
              <w:between w:val="nil"/>
            </w:pBdr>
            <w:tabs>
              <w:tab w:val="right" w:pos="9016"/>
            </w:tabs>
            <w:spacing w:after="100"/>
            <w:ind w:left="200"/>
            <w:rPr>
              <w:rFonts w:ascii="Arial" w:eastAsia="Arial" w:hAnsi="Arial" w:cs="Arial"/>
              <w:color w:val="000000"/>
              <w:sz w:val="22"/>
              <w:szCs w:val="22"/>
            </w:rPr>
          </w:pPr>
          <w:hyperlink w:anchor="_nb3mezapjm3x">
            <w:r w:rsidRPr="001E722E">
              <w:rPr>
                <w:rFonts w:ascii="Arial" w:eastAsia="Arial" w:hAnsi="Arial" w:cs="Arial"/>
                <w:color w:val="000000"/>
                <w:sz w:val="22"/>
                <w:szCs w:val="22"/>
              </w:rPr>
              <w:t>5.2 Discussion of Findings by Health Belief Model Construct</w:t>
            </w:r>
            <w:r w:rsidRPr="001E722E">
              <w:rPr>
                <w:rFonts w:ascii="Arial" w:eastAsia="Arial" w:hAnsi="Arial" w:cs="Arial"/>
                <w:color w:val="000000"/>
                <w:sz w:val="22"/>
                <w:szCs w:val="22"/>
              </w:rPr>
              <w:tab/>
              <w:t>42</w:t>
            </w:r>
          </w:hyperlink>
        </w:p>
        <w:p w14:paraId="1B88BF30" w14:textId="77777777" w:rsidR="00955984" w:rsidRPr="001E722E" w:rsidRDefault="00161751">
          <w:pPr>
            <w:pBdr>
              <w:top w:val="nil"/>
              <w:left w:val="nil"/>
              <w:bottom w:val="nil"/>
              <w:right w:val="nil"/>
              <w:between w:val="nil"/>
            </w:pBdr>
            <w:tabs>
              <w:tab w:val="right" w:pos="9016"/>
            </w:tabs>
            <w:spacing w:after="100"/>
            <w:ind w:left="400"/>
            <w:rPr>
              <w:rFonts w:ascii="Arial" w:eastAsia="Arial" w:hAnsi="Arial" w:cs="Arial"/>
              <w:color w:val="000000"/>
              <w:sz w:val="22"/>
              <w:szCs w:val="22"/>
            </w:rPr>
          </w:pPr>
          <w:hyperlink w:anchor="_8qwncwrx38ic">
            <w:r w:rsidRPr="001E722E">
              <w:rPr>
                <w:rFonts w:ascii="Arial" w:eastAsia="Arial" w:hAnsi="Arial" w:cs="Arial"/>
                <w:color w:val="000000"/>
                <w:sz w:val="22"/>
                <w:szCs w:val="22"/>
              </w:rPr>
              <w:t>5.2.1 Perceived Susceptibility</w:t>
            </w:r>
            <w:r w:rsidRPr="001E722E">
              <w:rPr>
                <w:rFonts w:ascii="Arial" w:eastAsia="Arial" w:hAnsi="Arial" w:cs="Arial"/>
                <w:color w:val="000000"/>
                <w:sz w:val="22"/>
                <w:szCs w:val="22"/>
              </w:rPr>
              <w:tab/>
              <w:t>42</w:t>
            </w:r>
          </w:hyperlink>
        </w:p>
        <w:p w14:paraId="681B4583" w14:textId="77777777" w:rsidR="00955984" w:rsidRPr="001E722E" w:rsidRDefault="00161751">
          <w:pPr>
            <w:pBdr>
              <w:top w:val="nil"/>
              <w:left w:val="nil"/>
              <w:bottom w:val="nil"/>
              <w:right w:val="nil"/>
              <w:between w:val="nil"/>
            </w:pBdr>
            <w:tabs>
              <w:tab w:val="right" w:pos="9016"/>
            </w:tabs>
            <w:spacing w:after="100"/>
            <w:ind w:left="400"/>
            <w:rPr>
              <w:rFonts w:ascii="Arial" w:eastAsia="Arial" w:hAnsi="Arial" w:cs="Arial"/>
              <w:color w:val="000000"/>
              <w:sz w:val="22"/>
              <w:szCs w:val="22"/>
            </w:rPr>
          </w:pPr>
          <w:hyperlink w:anchor="_87rrqi611d78">
            <w:r w:rsidRPr="001E722E">
              <w:rPr>
                <w:rFonts w:ascii="Arial" w:eastAsia="Arial" w:hAnsi="Arial" w:cs="Arial"/>
                <w:color w:val="000000"/>
                <w:sz w:val="22"/>
                <w:szCs w:val="22"/>
              </w:rPr>
              <w:t>5.2.2 Perceived Severity</w:t>
            </w:r>
            <w:r w:rsidRPr="001E722E">
              <w:rPr>
                <w:rFonts w:ascii="Arial" w:eastAsia="Arial" w:hAnsi="Arial" w:cs="Arial"/>
                <w:color w:val="000000"/>
                <w:sz w:val="22"/>
                <w:szCs w:val="22"/>
              </w:rPr>
              <w:tab/>
              <w:t>43</w:t>
            </w:r>
          </w:hyperlink>
        </w:p>
        <w:p w14:paraId="7946B1D1" w14:textId="77777777" w:rsidR="00955984" w:rsidRPr="001E722E" w:rsidRDefault="00161751">
          <w:pPr>
            <w:pBdr>
              <w:top w:val="nil"/>
              <w:left w:val="nil"/>
              <w:bottom w:val="nil"/>
              <w:right w:val="nil"/>
              <w:between w:val="nil"/>
            </w:pBdr>
            <w:tabs>
              <w:tab w:val="right" w:pos="9016"/>
            </w:tabs>
            <w:spacing w:after="100"/>
            <w:ind w:left="400"/>
            <w:rPr>
              <w:rFonts w:ascii="Arial" w:eastAsia="Arial" w:hAnsi="Arial" w:cs="Arial"/>
              <w:color w:val="000000"/>
              <w:sz w:val="22"/>
              <w:szCs w:val="22"/>
            </w:rPr>
          </w:pPr>
          <w:hyperlink w:anchor="_2ppt5p9gw4f">
            <w:r w:rsidRPr="001E722E">
              <w:rPr>
                <w:rFonts w:ascii="Arial" w:eastAsia="Arial" w:hAnsi="Arial" w:cs="Arial"/>
                <w:color w:val="000000"/>
                <w:sz w:val="22"/>
                <w:szCs w:val="22"/>
              </w:rPr>
              <w:t>5.2.3 Perceived Benefits</w:t>
            </w:r>
            <w:r w:rsidRPr="001E722E">
              <w:rPr>
                <w:rFonts w:ascii="Arial" w:eastAsia="Arial" w:hAnsi="Arial" w:cs="Arial"/>
                <w:color w:val="000000"/>
                <w:sz w:val="22"/>
                <w:szCs w:val="22"/>
              </w:rPr>
              <w:tab/>
              <w:t>44</w:t>
            </w:r>
          </w:hyperlink>
        </w:p>
        <w:p w14:paraId="2820891A" w14:textId="77777777" w:rsidR="00955984" w:rsidRPr="001E722E" w:rsidRDefault="00161751">
          <w:pPr>
            <w:pBdr>
              <w:top w:val="nil"/>
              <w:left w:val="nil"/>
              <w:bottom w:val="nil"/>
              <w:right w:val="nil"/>
              <w:between w:val="nil"/>
            </w:pBdr>
            <w:tabs>
              <w:tab w:val="right" w:pos="9016"/>
            </w:tabs>
            <w:spacing w:after="100"/>
            <w:ind w:left="400"/>
            <w:rPr>
              <w:rFonts w:ascii="Arial" w:eastAsia="Arial" w:hAnsi="Arial" w:cs="Arial"/>
              <w:color w:val="000000"/>
              <w:sz w:val="22"/>
              <w:szCs w:val="22"/>
            </w:rPr>
          </w:pPr>
          <w:hyperlink w:anchor="_h3l3n0a5lntj">
            <w:r w:rsidRPr="001E722E">
              <w:rPr>
                <w:rFonts w:ascii="Arial" w:eastAsia="Arial" w:hAnsi="Arial" w:cs="Arial"/>
                <w:color w:val="000000"/>
                <w:sz w:val="22"/>
                <w:szCs w:val="22"/>
              </w:rPr>
              <w:t>5.2.4 Perceived Barriers</w:t>
            </w:r>
            <w:r w:rsidRPr="001E722E">
              <w:rPr>
                <w:rFonts w:ascii="Arial" w:eastAsia="Arial" w:hAnsi="Arial" w:cs="Arial"/>
                <w:color w:val="000000"/>
                <w:sz w:val="22"/>
                <w:szCs w:val="22"/>
              </w:rPr>
              <w:tab/>
              <w:t>44</w:t>
            </w:r>
          </w:hyperlink>
        </w:p>
        <w:p w14:paraId="03386CC3" w14:textId="77777777" w:rsidR="00955984" w:rsidRPr="001E722E" w:rsidRDefault="00161751">
          <w:pPr>
            <w:pBdr>
              <w:top w:val="nil"/>
              <w:left w:val="nil"/>
              <w:bottom w:val="nil"/>
              <w:right w:val="nil"/>
              <w:between w:val="nil"/>
            </w:pBdr>
            <w:tabs>
              <w:tab w:val="right" w:pos="9016"/>
            </w:tabs>
            <w:spacing w:after="100"/>
            <w:ind w:left="400"/>
            <w:rPr>
              <w:rFonts w:ascii="Arial" w:eastAsia="Arial" w:hAnsi="Arial" w:cs="Arial"/>
              <w:color w:val="000000"/>
              <w:sz w:val="22"/>
              <w:szCs w:val="22"/>
            </w:rPr>
          </w:pPr>
          <w:hyperlink w:anchor="_uvwx9l7y7zss">
            <w:r w:rsidRPr="001E722E">
              <w:rPr>
                <w:rFonts w:ascii="Arial" w:eastAsia="Arial" w:hAnsi="Arial" w:cs="Arial"/>
                <w:color w:val="000000"/>
                <w:sz w:val="22"/>
                <w:szCs w:val="22"/>
              </w:rPr>
              <w:t>5.2.5 Cues to Action</w:t>
            </w:r>
            <w:r w:rsidRPr="001E722E">
              <w:rPr>
                <w:rFonts w:ascii="Arial" w:eastAsia="Arial" w:hAnsi="Arial" w:cs="Arial"/>
                <w:color w:val="000000"/>
                <w:sz w:val="22"/>
                <w:szCs w:val="22"/>
              </w:rPr>
              <w:tab/>
              <w:t>45</w:t>
            </w:r>
          </w:hyperlink>
        </w:p>
        <w:p w14:paraId="26B11ECD" w14:textId="77777777" w:rsidR="00955984" w:rsidRPr="001E722E" w:rsidRDefault="00161751">
          <w:pPr>
            <w:pBdr>
              <w:top w:val="nil"/>
              <w:left w:val="nil"/>
              <w:bottom w:val="nil"/>
              <w:right w:val="nil"/>
              <w:between w:val="nil"/>
            </w:pBdr>
            <w:tabs>
              <w:tab w:val="right" w:pos="9016"/>
            </w:tabs>
            <w:spacing w:after="100"/>
            <w:ind w:left="400"/>
            <w:rPr>
              <w:rFonts w:ascii="Arial" w:eastAsia="Arial" w:hAnsi="Arial" w:cs="Arial"/>
              <w:color w:val="000000"/>
              <w:sz w:val="22"/>
              <w:szCs w:val="22"/>
            </w:rPr>
          </w:pPr>
          <w:hyperlink w:anchor="_t0kds7d2sy58">
            <w:r w:rsidRPr="001E722E">
              <w:rPr>
                <w:rFonts w:ascii="Arial" w:eastAsia="Arial" w:hAnsi="Arial" w:cs="Arial"/>
                <w:color w:val="000000"/>
                <w:sz w:val="22"/>
                <w:szCs w:val="22"/>
              </w:rPr>
              <w:t>5.2.6 Self-Efficacy</w:t>
            </w:r>
            <w:r w:rsidRPr="001E722E">
              <w:rPr>
                <w:rFonts w:ascii="Arial" w:eastAsia="Arial" w:hAnsi="Arial" w:cs="Arial"/>
                <w:color w:val="000000"/>
                <w:sz w:val="22"/>
                <w:szCs w:val="22"/>
              </w:rPr>
              <w:tab/>
              <w:t>46</w:t>
            </w:r>
          </w:hyperlink>
        </w:p>
        <w:p w14:paraId="73F76D86" w14:textId="77777777" w:rsidR="00955984" w:rsidRPr="001E722E" w:rsidRDefault="00161751">
          <w:pPr>
            <w:pBdr>
              <w:top w:val="nil"/>
              <w:left w:val="nil"/>
              <w:bottom w:val="nil"/>
              <w:right w:val="nil"/>
              <w:between w:val="nil"/>
            </w:pBdr>
            <w:tabs>
              <w:tab w:val="right" w:pos="9016"/>
            </w:tabs>
            <w:spacing w:after="100"/>
            <w:ind w:left="400"/>
            <w:rPr>
              <w:rFonts w:ascii="Arial" w:eastAsia="Arial" w:hAnsi="Arial" w:cs="Arial"/>
              <w:color w:val="000000"/>
              <w:sz w:val="22"/>
              <w:szCs w:val="22"/>
            </w:rPr>
          </w:pPr>
          <w:hyperlink w:anchor="_x6reris1gjyd">
            <w:r w:rsidRPr="001E722E">
              <w:rPr>
                <w:rFonts w:ascii="Arial" w:eastAsia="Arial" w:hAnsi="Arial" w:cs="Arial"/>
                <w:color w:val="000000"/>
                <w:sz w:val="22"/>
                <w:szCs w:val="22"/>
              </w:rPr>
              <w:t>5.2.7 Intersectionality and Health Inequalities</w:t>
            </w:r>
            <w:r w:rsidRPr="001E722E">
              <w:rPr>
                <w:rFonts w:ascii="Arial" w:eastAsia="Arial" w:hAnsi="Arial" w:cs="Arial"/>
                <w:color w:val="000000"/>
                <w:sz w:val="22"/>
                <w:szCs w:val="22"/>
              </w:rPr>
              <w:tab/>
              <w:t>46</w:t>
            </w:r>
          </w:hyperlink>
        </w:p>
        <w:p w14:paraId="7631905B" w14:textId="77777777" w:rsidR="00955984" w:rsidRPr="001E722E" w:rsidRDefault="00161751">
          <w:pPr>
            <w:pBdr>
              <w:top w:val="nil"/>
              <w:left w:val="nil"/>
              <w:bottom w:val="nil"/>
              <w:right w:val="nil"/>
              <w:between w:val="nil"/>
            </w:pBdr>
            <w:tabs>
              <w:tab w:val="right" w:pos="9016"/>
            </w:tabs>
            <w:spacing w:after="100"/>
            <w:ind w:left="400"/>
            <w:rPr>
              <w:rFonts w:ascii="Arial" w:eastAsia="Arial" w:hAnsi="Arial" w:cs="Arial"/>
              <w:color w:val="000000"/>
              <w:sz w:val="22"/>
              <w:szCs w:val="22"/>
            </w:rPr>
          </w:pPr>
          <w:hyperlink w:anchor="_ovngtvwh40ca">
            <w:r w:rsidRPr="001E722E">
              <w:rPr>
                <w:rFonts w:ascii="Arial" w:eastAsia="Arial" w:hAnsi="Arial" w:cs="Arial"/>
                <w:color w:val="000000"/>
                <w:sz w:val="22"/>
                <w:szCs w:val="22"/>
              </w:rPr>
              <w:t>5.2.8 Explaining the Awareness–Behaviour Gap</w:t>
            </w:r>
            <w:r w:rsidRPr="001E722E">
              <w:rPr>
                <w:rFonts w:ascii="Arial" w:eastAsia="Arial" w:hAnsi="Arial" w:cs="Arial"/>
                <w:color w:val="000000"/>
                <w:sz w:val="22"/>
                <w:szCs w:val="22"/>
              </w:rPr>
              <w:tab/>
              <w:t>47</w:t>
            </w:r>
          </w:hyperlink>
        </w:p>
        <w:p w14:paraId="667BFBCD" w14:textId="77777777" w:rsidR="00955984" w:rsidRPr="001E722E" w:rsidRDefault="00161751">
          <w:pPr>
            <w:pBdr>
              <w:top w:val="nil"/>
              <w:left w:val="nil"/>
              <w:bottom w:val="nil"/>
              <w:right w:val="nil"/>
              <w:between w:val="nil"/>
            </w:pBdr>
            <w:tabs>
              <w:tab w:val="right" w:pos="9016"/>
            </w:tabs>
            <w:spacing w:after="100"/>
            <w:ind w:left="400"/>
            <w:rPr>
              <w:rFonts w:ascii="Arial" w:eastAsia="Arial" w:hAnsi="Arial" w:cs="Arial"/>
              <w:color w:val="000000"/>
              <w:sz w:val="22"/>
              <w:szCs w:val="22"/>
            </w:rPr>
          </w:pPr>
          <w:hyperlink w:anchor="_x6afy5exp3ci">
            <w:r w:rsidRPr="001E722E">
              <w:rPr>
                <w:rFonts w:ascii="Arial" w:eastAsia="Arial" w:hAnsi="Arial" w:cs="Arial"/>
                <w:color w:val="000000"/>
                <w:sz w:val="22"/>
                <w:szCs w:val="22"/>
              </w:rPr>
              <w:t>5.2.9 Implications for Public Health Practice and Policy</w:t>
            </w:r>
            <w:r w:rsidRPr="001E722E">
              <w:rPr>
                <w:rFonts w:ascii="Arial" w:eastAsia="Arial" w:hAnsi="Arial" w:cs="Arial"/>
                <w:color w:val="000000"/>
                <w:sz w:val="22"/>
                <w:szCs w:val="22"/>
              </w:rPr>
              <w:tab/>
              <w:t>48</w:t>
            </w:r>
          </w:hyperlink>
        </w:p>
        <w:p w14:paraId="3D77D458" w14:textId="77777777" w:rsidR="00955984" w:rsidRPr="001E722E" w:rsidRDefault="00161751">
          <w:pPr>
            <w:pBdr>
              <w:top w:val="nil"/>
              <w:left w:val="nil"/>
              <w:bottom w:val="nil"/>
              <w:right w:val="nil"/>
              <w:between w:val="nil"/>
            </w:pBdr>
            <w:tabs>
              <w:tab w:val="right" w:pos="9016"/>
            </w:tabs>
            <w:spacing w:after="100"/>
            <w:ind w:left="200"/>
            <w:rPr>
              <w:rFonts w:ascii="Arial" w:eastAsia="Arial" w:hAnsi="Arial" w:cs="Arial"/>
              <w:color w:val="000000"/>
              <w:sz w:val="22"/>
              <w:szCs w:val="22"/>
            </w:rPr>
          </w:pPr>
          <w:hyperlink w:anchor="_m3gpqz8mgf19">
            <w:r w:rsidRPr="001E722E">
              <w:rPr>
                <w:rFonts w:ascii="Arial" w:eastAsia="Arial" w:hAnsi="Arial" w:cs="Arial"/>
                <w:color w:val="000000"/>
                <w:sz w:val="22"/>
                <w:szCs w:val="22"/>
              </w:rPr>
              <w:t>5.3 Strengths and Limitations of the Review</w:t>
            </w:r>
            <w:r w:rsidRPr="001E722E">
              <w:rPr>
                <w:rFonts w:ascii="Arial" w:eastAsia="Arial" w:hAnsi="Arial" w:cs="Arial"/>
                <w:color w:val="000000"/>
                <w:sz w:val="22"/>
                <w:szCs w:val="22"/>
              </w:rPr>
              <w:tab/>
              <w:t>49</w:t>
            </w:r>
          </w:hyperlink>
        </w:p>
        <w:p w14:paraId="391A0AE3" w14:textId="77777777" w:rsidR="00955984" w:rsidRPr="001E722E" w:rsidRDefault="00161751">
          <w:pPr>
            <w:pBdr>
              <w:top w:val="nil"/>
              <w:left w:val="nil"/>
              <w:bottom w:val="nil"/>
              <w:right w:val="nil"/>
              <w:between w:val="nil"/>
            </w:pBdr>
            <w:tabs>
              <w:tab w:val="right" w:pos="9016"/>
            </w:tabs>
            <w:spacing w:after="100"/>
            <w:ind w:left="400"/>
            <w:rPr>
              <w:rFonts w:ascii="Arial" w:eastAsia="Arial" w:hAnsi="Arial" w:cs="Arial"/>
              <w:color w:val="000000"/>
              <w:sz w:val="22"/>
              <w:szCs w:val="22"/>
            </w:rPr>
          </w:pPr>
          <w:hyperlink w:anchor="_zalk1qz64iir">
            <w:r w:rsidRPr="001E722E">
              <w:rPr>
                <w:rFonts w:ascii="Arial" w:eastAsia="Arial" w:hAnsi="Arial" w:cs="Arial"/>
                <w:color w:val="000000"/>
                <w:sz w:val="22"/>
                <w:szCs w:val="22"/>
              </w:rPr>
              <w:t>Strengths</w:t>
            </w:r>
            <w:r w:rsidRPr="001E722E">
              <w:rPr>
                <w:rFonts w:ascii="Arial" w:eastAsia="Arial" w:hAnsi="Arial" w:cs="Arial"/>
                <w:color w:val="000000"/>
                <w:sz w:val="22"/>
                <w:szCs w:val="22"/>
              </w:rPr>
              <w:tab/>
              <w:t>49</w:t>
            </w:r>
          </w:hyperlink>
        </w:p>
        <w:p w14:paraId="372074EA" w14:textId="77777777" w:rsidR="00955984" w:rsidRPr="001E722E" w:rsidRDefault="00161751">
          <w:pPr>
            <w:pBdr>
              <w:top w:val="nil"/>
              <w:left w:val="nil"/>
              <w:bottom w:val="nil"/>
              <w:right w:val="nil"/>
              <w:between w:val="nil"/>
            </w:pBdr>
            <w:tabs>
              <w:tab w:val="right" w:pos="9016"/>
            </w:tabs>
            <w:spacing w:after="100"/>
            <w:ind w:left="400"/>
            <w:rPr>
              <w:rFonts w:ascii="Arial" w:eastAsia="Arial" w:hAnsi="Arial" w:cs="Arial"/>
              <w:color w:val="000000"/>
              <w:sz w:val="22"/>
              <w:szCs w:val="22"/>
            </w:rPr>
          </w:pPr>
          <w:hyperlink w:anchor="_c8aqsaoce79f">
            <w:r w:rsidRPr="001E722E">
              <w:rPr>
                <w:rFonts w:ascii="Arial" w:eastAsia="Arial" w:hAnsi="Arial" w:cs="Arial"/>
                <w:color w:val="000000"/>
                <w:sz w:val="22"/>
                <w:szCs w:val="22"/>
              </w:rPr>
              <w:t>Limitations</w:t>
            </w:r>
            <w:r w:rsidRPr="001E722E">
              <w:rPr>
                <w:rFonts w:ascii="Arial" w:eastAsia="Arial" w:hAnsi="Arial" w:cs="Arial"/>
                <w:color w:val="000000"/>
                <w:sz w:val="22"/>
                <w:szCs w:val="22"/>
              </w:rPr>
              <w:tab/>
              <w:t>50</w:t>
            </w:r>
          </w:hyperlink>
        </w:p>
        <w:p w14:paraId="733215AA" w14:textId="77777777" w:rsidR="00955984" w:rsidRPr="001E722E" w:rsidRDefault="00161751">
          <w:pPr>
            <w:pBdr>
              <w:top w:val="nil"/>
              <w:left w:val="nil"/>
              <w:bottom w:val="nil"/>
              <w:right w:val="nil"/>
              <w:between w:val="nil"/>
            </w:pBdr>
            <w:tabs>
              <w:tab w:val="right" w:pos="9016"/>
            </w:tabs>
            <w:spacing w:after="100"/>
            <w:ind w:left="200"/>
            <w:rPr>
              <w:rFonts w:ascii="Arial" w:eastAsia="Arial" w:hAnsi="Arial" w:cs="Arial"/>
              <w:color w:val="000000"/>
              <w:sz w:val="22"/>
              <w:szCs w:val="22"/>
            </w:rPr>
          </w:pPr>
          <w:hyperlink w:anchor="_mqwtszpngv4e">
            <w:r w:rsidRPr="001E722E">
              <w:rPr>
                <w:rFonts w:ascii="Arial" w:eastAsia="Arial" w:hAnsi="Arial" w:cs="Arial"/>
                <w:color w:val="000000"/>
                <w:sz w:val="22"/>
                <w:szCs w:val="22"/>
              </w:rPr>
              <w:t>5.4 Chapter Summary</w:t>
            </w:r>
            <w:r w:rsidRPr="001E722E">
              <w:rPr>
                <w:rFonts w:ascii="Arial" w:eastAsia="Arial" w:hAnsi="Arial" w:cs="Arial"/>
                <w:color w:val="000000"/>
                <w:sz w:val="22"/>
                <w:szCs w:val="22"/>
              </w:rPr>
              <w:tab/>
              <w:t>51</w:t>
            </w:r>
          </w:hyperlink>
        </w:p>
        <w:p w14:paraId="637600BC" w14:textId="77777777" w:rsidR="00955984" w:rsidRPr="001E722E" w:rsidRDefault="00161751">
          <w:pPr>
            <w:pBdr>
              <w:top w:val="nil"/>
              <w:left w:val="nil"/>
              <w:bottom w:val="nil"/>
              <w:right w:val="nil"/>
              <w:between w:val="nil"/>
            </w:pBdr>
            <w:tabs>
              <w:tab w:val="right" w:pos="9016"/>
            </w:tabs>
            <w:spacing w:after="100"/>
            <w:rPr>
              <w:rFonts w:ascii="Arial" w:eastAsia="Arial" w:hAnsi="Arial" w:cs="Arial"/>
              <w:color w:val="000000"/>
              <w:sz w:val="28"/>
              <w:szCs w:val="28"/>
            </w:rPr>
          </w:pPr>
          <w:hyperlink w:anchor="_b215e4rbdlvd">
            <w:r w:rsidRPr="001E722E">
              <w:rPr>
                <w:rFonts w:ascii="Arial" w:eastAsia="Arial" w:hAnsi="Arial" w:cs="Arial"/>
                <w:color w:val="000000"/>
                <w:sz w:val="22"/>
                <w:szCs w:val="22"/>
              </w:rPr>
              <w:t>CHAPTER 6: CONCLUSION AND RECOMMENDATIONS</w:t>
            </w:r>
            <w:r w:rsidRPr="001E722E">
              <w:rPr>
                <w:rFonts w:ascii="Arial" w:eastAsia="Arial" w:hAnsi="Arial" w:cs="Arial"/>
                <w:color w:val="000000"/>
                <w:sz w:val="22"/>
                <w:szCs w:val="22"/>
              </w:rPr>
              <w:tab/>
              <w:t>51</w:t>
            </w:r>
          </w:hyperlink>
        </w:p>
        <w:p w14:paraId="41070E61" w14:textId="77777777" w:rsidR="00955984" w:rsidRPr="001E722E" w:rsidRDefault="00161751">
          <w:pPr>
            <w:pBdr>
              <w:top w:val="nil"/>
              <w:left w:val="nil"/>
              <w:bottom w:val="nil"/>
              <w:right w:val="nil"/>
              <w:between w:val="nil"/>
            </w:pBdr>
            <w:tabs>
              <w:tab w:val="right" w:pos="9016"/>
            </w:tabs>
            <w:spacing w:after="100"/>
            <w:ind w:left="200"/>
            <w:rPr>
              <w:rFonts w:ascii="Arial" w:eastAsia="Arial" w:hAnsi="Arial" w:cs="Arial"/>
              <w:color w:val="000000"/>
              <w:sz w:val="22"/>
              <w:szCs w:val="22"/>
            </w:rPr>
          </w:pPr>
          <w:hyperlink w:anchor="_hmaa2utb1i8i">
            <w:r w:rsidRPr="001E722E">
              <w:rPr>
                <w:rFonts w:ascii="Arial" w:eastAsia="Arial" w:hAnsi="Arial" w:cs="Arial"/>
                <w:color w:val="000000"/>
                <w:sz w:val="22"/>
                <w:szCs w:val="22"/>
              </w:rPr>
              <w:t>6.1 Introduction</w:t>
            </w:r>
            <w:r w:rsidRPr="001E722E">
              <w:rPr>
                <w:rFonts w:ascii="Arial" w:eastAsia="Arial" w:hAnsi="Arial" w:cs="Arial"/>
                <w:color w:val="000000"/>
                <w:sz w:val="22"/>
                <w:szCs w:val="22"/>
              </w:rPr>
              <w:tab/>
              <w:t>51</w:t>
            </w:r>
          </w:hyperlink>
        </w:p>
        <w:p w14:paraId="46BF7029" w14:textId="77777777" w:rsidR="00955984" w:rsidRPr="001E722E" w:rsidRDefault="00161751">
          <w:pPr>
            <w:pBdr>
              <w:top w:val="nil"/>
              <w:left w:val="nil"/>
              <w:bottom w:val="nil"/>
              <w:right w:val="nil"/>
              <w:between w:val="nil"/>
            </w:pBdr>
            <w:tabs>
              <w:tab w:val="right" w:pos="9016"/>
            </w:tabs>
            <w:spacing w:after="100"/>
            <w:ind w:left="200"/>
            <w:rPr>
              <w:rFonts w:ascii="Arial" w:eastAsia="Arial" w:hAnsi="Arial" w:cs="Arial"/>
              <w:color w:val="000000"/>
              <w:sz w:val="22"/>
              <w:szCs w:val="22"/>
            </w:rPr>
          </w:pPr>
          <w:hyperlink w:anchor="_y0zuzjm59qx7">
            <w:r w:rsidRPr="001E722E">
              <w:rPr>
                <w:rFonts w:ascii="Arial" w:eastAsia="Arial" w:hAnsi="Arial" w:cs="Arial"/>
                <w:color w:val="000000"/>
                <w:sz w:val="22"/>
                <w:szCs w:val="22"/>
              </w:rPr>
              <w:t>6.2 Summary of Key Findings</w:t>
            </w:r>
            <w:r w:rsidRPr="001E722E">
              <w:rPr>
                <w:rFonts w:ascii="Arial" w:eastAsia="Arial" w:hAnsi="Arial" w:cs="Arial"/>
                <w:color w:val="000000"/>
                <w:sz w:val="22"/>
                <w:szCs w:val="22"/>
              </w:rPr>
              <w:tab/>
              <w:t>51</w:t>
            </w:r>
          </w:hyperlink>
        </w:p>
        <w:p w14:paraId="393EB554" w14:textId="77777777" w:rsidR="00955984" w:rsidRPr="001E722E" w:rsidRDefault="00161751">
          <w:pPr>
            <w:pBdr>
              <w:top w:val="nil"/>
              <w:left w:val="nil"/>
              <w:bottom w:val="nil"/>
              <w:right w:val="nil"/>
              <w:between w:val="nil"/>
            </w:pBdr>
            <w:tabs>
              <w:tab w:val="right" w:pos="9016"/>
            </w:tabs>
            <w:spacing w:after="100"/>
            <w:ind w:left="200"/>
            <w:rPr>
              <w:rFonts w:ascii="Arial" w:eastAsia="Arial" w:hAnsi="Arial" w:cs="Arial"/>
              <w:color w:val="000000"/>
              <w:sz w:val="22"/>
              <w:szCs w:val="22"/>
            </w:rPr>
          </w:pPr>
          <w:hyperlink w:anchor="_ofsqdzumswqp">
            <w:r w:rsidRPr="001E722E">
              <w:rPr>
                <w:rFonts w:ascii="Arial" w:eastAsia="Arial" w:hAnsi="Arial" w:cs="Arial"/>
                <w:color w:val="000000"/>
                <w:sz w:val="22"/>
                <w:szCs w:val="22"/>
              </w:rPr>
              <w:t>6.3 Recommendations for Policy and Practice</w:t>
            </w:r>
            <w:r w:rsidRPr="001E722E">
              <w:rPr>
                <w:rFonts w:ascii="Arial" w:eastAsia="Arial" w:hAnsi="Arial" w:cs="Arial"/>
                <w:color w:val="000000"/>
                <w:sz w:val="22"/>
                <w:szCs w:val="22"/>
              </w:rPr>
              <w:tab/>
              <w:t>53</w:t>
            </w:r>
          </w:hyperlink>
        </w:p>
        <w:p w14:paraId="35BF2897" w14:textId="77777777" w:rsidR="00955984" w:rsidRPr="001E722E" w:rsidRDefault="00161751">
          <w:pPr>
            <w:pBdr>
              <w:top w:val="nil"/>
              <w:left w:val="nil"/>
              <w:bottom w:val="nil"/>
              <w:right w:val="nil"/>
              <w:between w:val="nil"/>
            </w:pBdr>
            <w:tabs>
              <w:tab w:val="right" w:pos="9016"/>
            </w:tabs>
            <w:spacing w:after="100"/>
            <w:ind w:left="200"/>
            <w:rPr>
              <w:rFonts w:ascii="Arial" w:eastAsia="Arial" w:hAnsi="Arial" w:cs="Arial"/>
              <w:color w:val="000000"/>
              <w:sz w:val="22"/>
              <w:szCs w:val="22"/>
            </w:rPr>
          </w:pPr>
          <w:hyperlink w:anchor="_5f61o6atu6e1">
            <w:r w:rsidRPr="001E722E">
              <w:rPr>
                <w:rFonts w:ascii="Arial" w:eastAsia="Arial" w:hAnsi="Arial" w:cs="Arial"/>
                <w:color w:val="000000"/>
                <w:sz w:val="22"/>
                <w:szCs w:val="22"/>
              </w:rPr>
              <w:t>6.4 Recommendations for Future Research</w:t>
            </w:r>
            <w:r w:rsidRPr="001E722E">
              <w:rPr>
                <w:rFonts w:ascii="Arial" w:eastAsia="Arial" w:hAnsi="Arial" w:cs="Arial"/>
                <w:color w:val="000000"/>
                <w:sz w:val="22"/>
                <w:szCs w:val="22"/>
              </w:rPr>
              <w:tab/>
              <w:t>55</w:t>
            </w:r>
          </w:hyperlink>
        </w:p>
        <w:p w14:paraId="0184F0DE" w14:textId="77777777" w:rsidR="00955984" w:rsidRPr="001E722E" w:rsidRDefault="00161751">
          <w:pPr>
            <w:pBdr>
              <w:top w:val="nil"/>
              <w:left w:val="nil"/>
              <w:bottom w:val="nil"/>
              <w:right w:val="nil"/>
              <w:between w:val="nil"/>
            </w:pBdr>
            <w:tabs>
              <w:tab w:val="right" w:pos="9016"/>
            </w:tabs>
            <w:spacing w:after="100"/>
            <w:ind w:left="200"/>
            <w:rPr>
              <w:rFonts w:ascii="Arial" w:eastAsia="Arial" w:hAnsi="Arial" w:cs="Arial"/>
              <w:color w:val="000000"/>
              <w:sz w:val="22"/>
              <w:szCs w:val="22"/>
            </w:rPr>
          </w:pPr>
          <w:hyperlink w:anchor="_53170zesnw2h">
            <w:r w:rsidRPr="001E722E">
              <w:rPr>
                <w:rFonts w:ascii="Arial" w:eastAsia="Arial" w:hAnsi="Arial" w:cs="Arial"/>
                <w:color w:val="000000"/>
                <w:sz w:val="22"/>
                <w:szCs w:val="22"/>
              </w:rPr>
              <w:t>6.5 Contribution to Knowledge</w:t>
            </w:r>
            <w:r w:rsidRPr="001E722E">
              <w:rPr>
                <w:rFonts w:ascii="Arial" w:eastAsia="Arial" w:hAnsi="Arial" w:cs="Arial"/>
                <w:color w:val="000000"/>
                <w:sz w:val="22"/>
                <w:szCs w:val="22"/>
              </w:rPr>
              <w:tab/>
              <w:t>55</w:t>
            </w:r>
          </w:hyperlink>
        </w:p>
        <w:p w14:paraId="6419171D" w14:textId="77777777" w:rsidR="00955984" w:rsidRPr="001E722E" w:rsidRDefault="00161751">
          <w:pPr>
            <w:pBdr>
              <w:top w:val="nil"/>
              <w:left w:val="nil"/>
              <w:bottom w:val="nil"/>
              <w:right w:val="nil"/>
              <w:between w:val="nil"/>
            </w:pBdr>
            <w:tabs>
              <w:tab w:val="right" w:pos="9016"/>
            </w:tabs>
            <w:spacing w:after="100"/>
            <w:ind w:left="200"/>
            <w:rPr>
              <w:rFonts w:ascii="Arial" w:eastAsia="Arial" w:hAnsi="Arial" w:cs="Arial"/>
              <w:color w:val="000000"/>
            </w:rPr>
          </w:pPr>
          <w:hyperlink w:anchor="_5j6vonxidqm4">
            <w:r w:rsidRPr="001E722E">
              <w:rPr>
                <w:rFonts w:ascii="Arial" w:eastAsia="Arial" w:hAnsi="Arial" w:cs="Arial"/>
                <w:color w:val="000000"/>
                <w:sz w:val="22"/>
                <w:szCs w:val="22"/>
              </w:rPr>
              <w:t>6.6 Concluding Remarks</w:t>
            </w:r>
            <w:r w:rsidRPr="001E722E">
              <w:rPr>
                <w:rFonts w:ascii="Arial" w:eastAsia="Arial" w:hAnsi="Arial" w:cs="Arial"/>
                <w:color w:val="000000"/>
                <w:sz w:val="22"/>
                <w:szCs w:val="22"/>
              </w:rPr>
              <w:tab/>
              <w:t>56</w:t>
            </w:r>
          </w:hyperlink>
        </w:p>
        <w:p w14:paraId="3198A2A8" w14:textId="77777777" w:rsidR="00955984" w:rsidRPr="001E722E" w:rsidRDefault="00161751">
          <w:pPr>
            <w:pBdr>
              <w:top w:val="nil"/>
              <w:left w:val="nil"/>
              <w:bottom w:val="nil"/>
              <w:right w:val="nil"/>
              <w:between w:val="nil"/>
            </w:pBdr>
            <w:tabs>
              <w:tab w:val="right" w:pos="9016"/>
            </w:tabs>
            <w:spacing w:after="100"/>
            <w:ind w:left="200"/>
            <w:rPr>
              <w:rFonts w:ascii="Arial" w:eastAsia="Arial" w:hAnsi="Arial" w:cs="Arial"/>
              <w:color w:val="000000"/>
            </w:rPr>
          </w:pPr>
          <w:hyperlink w:anchor="_a2ubfleemd1e">
            <w:r w:rsidRPr="001E722E">
              <w:rPr>
                <w:rFonts w:ascii="Arial" w:eastAsia="Arial" w:hAnsi="Arial" w:cs="Arial"/>
                <w:color w:val="000000"/>
              </w:rPr>
              <w:t>6.7 Reflection on the Research Process</w:t>
            </w:r>
            <w:r w:rsidRPr="001E722E">
              <w:rPr>
                <w:rFonts w:ascii="Arial" w:eastAsia="Arial" w:hAnsi="Arial" w:cs="Arial"/>
                <w:color w:val="000000"/>
              </w:rPr>
              <w:tab/>
              <w:t>56</w:t>
            </w:r>
          </w:hyperlink>
        </w:p>
        <w:p w14:paraId="47A4D448" w14:textId="77777777" w:rsidR="00955984" w:rsidRPr="001E722E" w:rsidRDefault="00161751">
          <w:pPr>
            <w:pBdr>
              <w:top w:val="nil"/>
              <w:left w:val="nil"/>
              <w:bottom w:val="nil"/>
              <w:right w:val="nil"/>
              <w:between w:val="nil"/>
            </w:pBdr>
            <w:tabs>
              <w:tab w:val="right" w:pos="9016"/>
            </w:tabs>
            <w:spacing w:after="100"/>
            <w:rPr>
              <w:rFonts w:ascii="Arial" w:eastAsia="Arial" w:hAnsi="Arial" w:cs="Arial"/>
              <w:color w:val="000000"/>
              <w:sz w:val="24"/>
              <w:szCs w:val="24"/>
            </w:rPr>
          </w:pPr>
          <w:hyperlink w:anchor="_ahscrsqxemy5">
            <w:r w:rsidRPr="001E722E">
              <w:rPr>
                <w:rFonts w:ascii="Arial" w:eastAsia="Arial" w:hAnsi="Arial" w:cs="Arial"/>
                <w:color w:val="000000"/>
              </w:rPr>
              <w:t>REFERENCES</w:t>
            </w:r>
            <w:r w:rsidRPr="001E722E">
              <w:rPr>
                <w:rFonts w:ascii="Arial" w:eastAsia="Arial" w:hAnsi="Arial" w:cs="Arial"/>
                <w:color w:val="000000"/>
              </w:rPr>
              <w:tab/>
              <w:t>57</w:t>
            </w:r>
          </w:hyperlink>
        </w:p>
        <w:p w14:paraId="1970B26A" w14:textId="77777777" w:rsidR="00955984" w:rsidRPr="001E722E" w:rsidRDefault="00161751">
          <w:pPr>
            <w:pBdr>
              <w:top w:val="nil"/>
              <w:left w:val="nil"/>
              <w:bottom w:val="nil"/>
              <w:right w:val="nil"/>
              <w:between w:val="nil"/>
            </w:pBdr>
            <w:tabs>
              <w:tab w:val="right" w:pos="9016"/>
            </w:tabs>
            <w:spacing w:after="100"/>
            <w:rPr>
              <w:rFonts w:ascii="Arial" w:eastAsia="Arial" w:hAnsi="Arial" w:cs="Arial"/>
              <w:sz w:val="22"/>
              <w:szCs w:val="22"/>
            </w:rPr>
          </w:pPr>
          <w:r w:rsidRPr="001E722E">
            <w:fldChar w:fldCharType="end"/>
          </w:r>
        </w:p>
      </w:sdtContent>
    </w:sdt>
    <w:p w14:paraId="13794156" w14:textId="77777777" w:rsidR="00955984" w:rsidRPr="001E722E" w:rsidRDefault="00955984">
      <w:pPr>
        <w:pBdr>
          <w:top w:val="nil"/>
          <w:left w:val="nil"/>
          <w:bottom w:val="nil"/>
          <w:right w:val="nil"/>
          <w:between w:val="nil"/>
        </w:pBdr>
        <w:tabs>
          <w:tab w:val="right" w:pos="9016"/>
        </w:tabs>
        <w:spacing w:after="100"/>
      </w:pPr>
    </w:p>
    <w:p w14:paraId="2DCC35E4" w14:textId="77777777" w:rsidR="00955984" w:rsidRPr="001E722E" w:rsidRDefault="00955984">
      <w:pPr>
        <w:pBdr>
          <w:top w:val="nil"/>
          <w:left w:val="nil"/>
          <w:bottom w:val="nil"/>
          <w:right w:val="nil"/>
          <w:between w:val="nil"/>
        </w:pBdr>
        <w:rPr>
          <w:rFonts w:ascii="Arial" w:eastAsia="Arial" w:hAnsi="Arial" w:cs="Arial"/>
          <w:color w:val="000000"/>
        </w:rPr>
      </w:pPr>
    </w:p>
    <w:p w14:paraId="0E3C47C5" w14:textId="77777777" w:rsidR="00955984" w:rsidRPr="001E722E" w:rsidRDefault="00955984">
      <w:pPr>
        <w:pBdr>
          <w:top w:val="nil"/>
          <w:left w:val="nil"/>
          <w:bottom w:val="nil"/>
          <w:right w:val="nil"/>
          <w:between w:val="nil"/>
        </w:pBdr>
        <w:rPr>
          <w:rFonts w:ascii="Arial" w:eastAsia="Arial" w:hAnsi="Arial" w:cs="Arial"/>
          <w:color w:val="000000"/>
        </w:rPr>
      </w:pPr>
    </w:p>
    <w:p w14:paraId="3999FF2C" w14:textId="77777777" w:rsidR="00955984" w:rsidRPr="001E722E" w:rsidRDefault="00955984">
      <w:pPr>
        <w:pBdr>
          <w:top w:val="nil"/>
          <w:left w:val="nil"/>
          <w:bottom w:val="nil"/>
          <w:right w:val="nil"/>
          <w:between w:val="nil"/>
        </w:pBdr>
        <w:rPr>
          <w:rFonts w:ascii="Arial" w:eastAsia="Arial" w:hAnsi="Arial" w:cs="Arial"/>
          <w:color w:val="000000"/>
        </w:rPr>
      </w:pPr>
    </w:p>
    <w:p w14:paraId="63DF1412" w14:textId="77777777" w:rsidR="00955984" w:rsidRPr="001E722E" w:rsidRDefault="00955984">
      <w:pPr>
        <w:pBdr>
          <w:top w:val="nil"/>
          <w:left w:val="nil"/>
          <w:bottom w:val="nil"/>
          <w:right w:val="nil"/>
          <w:between w:val="nil"/>
        </w:pBdr>
        <w:rPr>
          <w:rFonts w:ascii="Arial" w:eastAsia="Arial" w:hAnsi="Arial" w:cs="Arial"/>
          <w:color w:val="000000"/>
        </w:rPr>
      </w:pPr>
    </w:p>
    <w:p w14:paraId="0011F59F" w14:textId="77777777" w:rsidR="00955984" w:rsidRPr="001E722E" w:rsidRDefault="00955984">
      <w:pPr>
        <w:pBdr>
          <w:top w:val="nil"/>
          <w:left w:val="nil"/>
          <w:bottom w:val="nil"/>
          <w:right w:val="nil"/>
          <w:between w:val="nil"/>
        </w:pBdr>
        <w:rPr>
          <w:rFonts w:ascii="Arial" w:eastAsia="Arial" w:hAnsi="Arial" w:cs="Arial"/>
          <w:color w:val="000000"/>
        </w:rPr>
      </w:pPr>
    </w:p>
    <w:p w14:paraId="4C088AA2" w14:textId="77777777" w:rsidR="00955984" w:rsidRPr="001E722E" w:rsidRDefault="00955984">
      <w:pPr>
        <w:pBdr>
          <w:top w:val="nil"/>
          <w:left w:val="nil"/>
          <w:bottom w:val="nil"/>
          <w:right w:val="nil"/>
          <w:between w:val="nil"/>
        </w:pBdr>
        <w:rPr>
          <w:rFonts w:ascii="Arial" w:eastAsia="Arial" w:hAnsi="Arial" w:cs="Arial"/>
          <w:color w:val="000000"/>
        </w:rPr>
      </w:pPr>
    </w:p>
    <w:p w14:paraId="7EBB59B1" w14:textId="77777777" w:rsidR="00955984" w:rsidRPr="001E722E" w:rsidRDefault="00955984">
      <w:pPr>
        <w:pBdr>
          <w:top w:val="nil"/>
          <w:left w:val="nil"/>
          <w:bottom w:val="nil"/>
          <w:right w:val="nil"/>
          <w:between w:val="nil"/>
        </w:pBdr>
        <w:rPr>
          <w:rFonts w:ascii="Arial" w:eastAsia="Arial" w:hAnsi="Arial" w:cs="Arial"/>
          <w:color w:val="000000"/>
        </w:rPr>
      </w:pPr>
    </w:p>
    <w:p w14:paraId="746CD7E7" w14:textId="77777777" w:rsidR="00955984" w:rsidRPr="001E722E" w:rsidRDefault="00161751">
      <w:pPr>
        <w:pStyle w:val="Heading1"/>
        <w:pageBreakBefore/>
      </w:pPr>
      <w:bookmarkStart w:id="1" w:name="_6gajnxlr6sgb" w:colFirst="0" w:colLast="0"/>
      <w:bookmarkEnd w:id="1"/>
      <w:r w:rsidRPr="001E722E">
        <w:lastRenderedPageBreak/>
        <w:t>LIST OF FIGURES</w:t>
      </w:r>
    </w:p>
    <w:p w14:paraId="0EA3BBD2" w14:textId="77777777" w:rsidR="00955984" w:rsidRPr="001E722E" w:rsidRDefault="00955984">
      <w:pPr>
        <w:tabs>
          <w:tab w:val="right" w:pos="9016"/>
        </w:tabs>
        <w:spacing w:after="160" w:line="360" w:lineRule="auto"/>
        <w:rPr>
          <w:rFonts w:ascii="Arial" w:eastAsia="Arial" w:hAnsi="Arial" w:cs="Arial"/>
          <w:sz w:val="24"/>
          <w:szCs w:val="24"/>
        </w:rPr>
      </w:pPr>
    </w:p>
    <w:p w14:paraId="3A69275A" w14:textId="77777777" w:rsidR="00955984" w:rsidRPr="001E722E" w:rsidRDefault="00161751">
      <w:pPr>
        <w:tabs>
          <w:tab w:val="right" w:pos="9016"/>
        </w:tabs>
        <w:spacing w:after="160" w:line="360" w:lineRule="auto"/>
        <w:rPr>
          <w:rFonts w:ascii="Arial" w:eastAsia="Arial" w:hAnsi="Arial" w:cs="Arial"/>
          <w:sz w:val="24"/>
          <w:szCs w:val="24"/>
        </w:rPr>
      </w:pPr>
      <w:r w:rsidRPr="001E722E">
        <w:rPr>
          <w:rFonts w:ascii="Arial" w:eastAsia="Arial" w:hAnsi="Arial" w:cs="Arial"/>
          <w:sz w:val="24"/>
          <w:szCs w:val="24"/>
        </w:rPr>
        <w:t>Figure 2.1: The Health Belief Model, Becker, M.H. and Maiman, L.A. (1975)</w:t>
      </w:r>
      <w:r w:rsidRPr="001E722E">
        <w:rPr>
          <w:rFonts w:ascii="Arial" w:eastAsia="Arial" w:hAnsi="Arial" w:cs="Arial"/>
          <w:sz w:val="24"/>
          <w:szCs w:val="24"/>
        </w:rPr>
        <w:tab/>
      </w:r>
    </w:p>
    <w:p w14:paraId="6F178D25" w14:textId="77777777" w:rsidR="00955984" w:rsidRPr="001E722E" w:rsidRDefault="00161751">
      <w:pPr>
        <w:tabs>
          <w:tab w:val="right" w:pos="9016"/>
        </w:tabs>
        <w:spacing w:after="160" w:line="360" w:lineRule="auto"/>
        <w:rPr>
          <w:rFonts w:ascii="Arial" w:eastAsia="Arial" w:hAnsi="Arial" w:cs="Arial"/>
          <w:sz w:val="24"/>
          <w:szCs w:val="24"/>
        </w:rPr>
      </w:pPr>
      <w:r w:rsidRPr="001E722E">
        <w:rPr>
          <w:rFonts w:ascii="Arial" w:eastAsia="Arial" w:hAnsi="Arial" w:cs="Arial"/>
          <w:sz w:val="24"/>
          <w:szCs w:val="24"/>
        </w:rPr>
        <w:t>Figure 2.2: Variation in NHS Health Check Uptake Across Local Authorities in England, 2012-2017</w:t>
      </w:r>
      <w:r w:rsidRPr="001E722E">
        <w:rPr>
          <w:rFonts w:ascii="Arial" w:eastAsia="Arial" w:hAnsi="Arial" w:cs="Arial"/>
          <w:sz w:val="24"/>
          <w:szCs w:val="24"/>
        </w:rPr>
        <w:tab/>
      </w:r>
    </w:p>
    <w:p w14:paraId="758EC265" w14:textId="77777777" w:rsidR="00955984" w:rsidRPr="001E722E" w:rsidRDefault="00161751">
      <w:pPr>
        <w:tabs>
          <w:tab w:val="right" w:pos="9016"/>
        </w:tabs>
        <w:spacing w:after="160" w:line="360" w:lineRule="auto"/>
        <w:rPr>
          <w:rFonts w:ascii="Arial" w:eastAsia="Arial" w:hAnsi="Arial" w:cs="Arial"/>
          <w:sz w:val="24"/>
          <w:szCs w:val="24"/>
        </w:rPr>
      </w:pPr>
      <w:r w:rsidRPr="001E722E">
        <w:rPr>
          <w:rFonts w:ascii="Arial" w:eastAsia="Arial" w:hAnsi="Arial" w:cs="Arial"/>
          <w:sz w:val="24"/>
          <w:szCs w:val="24"/>
        </w:rPr>
        <w:t>Figure 4.1: PRISMA 2020 Flow Diagram of the Study Selection Process (adapted from Page et al., 2021)</w:t>
      </w:r>
      <w:r w:rsidRPr="001E722E">
        <w:rPr>
          <w:rFonts w:ascii="Arial" w:eastAsia="Arial" w:hAnsi="Arial" w:cs="Arial"/>
          <w:sz w:val="24"/>
          <w:szCs w:val="24"/>
        </w:rPr>
        <w:tab/>
      </w:r>
    </w:p>
    <w:p w14:paraId="00C48392" w14:textId="77777777" w:rsidR="00955984" w:rsidRPr="001E722E" w:rsidRDefault="00161751">
      <w:pPr>
        <w:pStyle w:val="Heading1"/>
        <w:pageBreakBefore/>
      </w:pPr>
      <w:bookmarkStart w:id="2" w:name="_tjqu6n1j86hi" w:colFirst="0" w:colLast="0"/>
      <w:bookmarkEnd w:id="2"/>
      <w:r w:rsidRPr="001E722E">
        <w:lastRenderedPageBreak/>
        <w:t>LIST OF TABLES</w:t>
      </w:r>
    </w:p>
    <w:p w14:paraId="0DF83AA7" w14:textId="77777777" w:rsidR="00955984" w:rsidRPr="001E722E" w:rsidRDefault="00955984">
      <w:pPr>
        <w:tabs>
          <w:tab w:val="right" w:pos="9016"/>
        </w:tabs>
        <w:spacing w:after="160" w:line="360" w:lineRule="auto"/>
        <w:rPr>
          <w:rFonts w:ascii="Arial" w:eastAsia="Arial" w:hAnsi="Arial" w:cs="Arial"/>
          <w:sz w:val="24"/>
          <w:szCs w:val="24"/>
        </w:rPr>
      </w:pPr>
    </w:p>
    <w:p w14:paraId="06EEDE82" w14:textId="77777777" w:rsidR="00955984" w:rsidRPr="001E722E" w:rsidRDefault="00161751">
      <w:pPr>
        <w:tabs>
          <w:tab w:val="right" w:pos="9016"/>
        </w:tabs>
        <w:spacing w:after="160" w:line="360" w:lineRule="auto"/>
        <w:rPr>
          <w:rFonts w:ascii="Arial" w:eastAsia="Arial" w:hAnsi="Arial" w:cs="Arial"/>
          <w:sz w:val="24"/>
          <w:szCs w:val="24"/>
        </w:rPr>
      </w:pPr>
      <w:r w:rsidRPr="001E722E">
        <w:rPr>
          <w:rFonts w:ascii="Arial" w:eastAsia="Arial" w:hAnsi="Arial" w:cs="Arial"/>
          <w:sz w:val="24"/>
          <w:szCs w:val="24"/>
        </w:rPr>
        <w:t>Table 1.1: Key UK and Global Coronary Heart Disease Statistics</w:t>
      </w:r>
      <w:r w:rsidRPr="001E722E">
        <w:rPr>
          <w:rFonts w:ascii="Arial" w:eastAsia="Arial" w:hAnsi="Arial" w:cs="Arial"/>
          <w:sz w:val="24"/>
          <w:szCs w:val="24"/>
        </w:rPr>
        <w:tab/>
      </w:r>
    </w:p>
    <w:p w14:paraId="14DAC4EF" w14:textId="77777777" w:rsidR="00955984" w:rsidRPr="001E722E" w:rsidRDefault="00161751">
      <w:pPr>
        <w:tabs>
          <w:tab w:val="right" w:pos="9016"/>
        </w:tabs>
        <w:spacing w:after="160" w:line="360" w:lineRule="auto"/>
        <w:rPr>
          <w:rFonts w:ascii="Arial" w:eastAsia="Arial" w:hAnsi="Arial" w:cs="Arial"/>
          <w:sz w:val="24"/>
          <w:szCs w:val="24"/>
        </w:rPr>
      </w:pPr>
      <w:r w:rsidRPr="001E722E">
        <w:rPr>
          <w:rFonts w:ascii="Arial" w:eastAsia="Arial" w:hAnsi="Arial" w:cs="Arial"/>
          <w:sz w:val="24"/>
          <w:szCs w:val="24"/>
        </w:rPr>
        <w:t>Table 2.1: Summary of Key Studies Reviewed</w:t>
      </w:r>
      <w:r w:rsidRPr="001E722E">
        <w:rPr>
          <w:rFonts w:ascii="Arial" w:eastAsia="Arial" w:hAnsi="Arial" w:cs="Arial"/>
          <w:sz w:val="24"/>
          <w:szCs w:val="24"/>
        </w:rPr>
        <w:tab/>
      </w:r>
    </w:p>
    <w:p w14:paraId="27C1BA4A" w14:textId="77777777" w:rsidR="00955984" w:rsidRPr="001E722E" w:rsidRDefault="00161751">
      <w:pPr>
        <w:tabs>
          <w:tab w:val="right" w:pos="9016"/>
        </w:tabs>
        <w:spacing w:after="160" w:line="360" w:lineRule="auto"/>
        <w:rPr>
          <w:rFonts w:ascii="Arial" w:eastAsia="Arial" w:hAnsi="Arial" w:cs="Arial"/>
          <w:sz w:val="24"/>
          <w:szCs w:val="24"/>
        </w:rPr>
      </w:pPr>
      <w:r w:rsidRPr="001E722E">
        <w:rPr>
          <w:rFonts w:ascii="Arial" w:eastAsia="Arial" w:hAnsi="Arial" w:cs="Arial"/>
          <w:sz w:val="24"/>
          <w:szCs w:val="24"/>
        </w:rPr>
        <w:t>Table 3.1: Search Strategy and Key Terms</w:t>
      </w:r>
      <w:r w:rsidRPr="001E722E">
        <w:rPr>
          <w:rFonts w:ascii="Arial" w:eastAsia="Arial" w:hAnsi="Arial" w:cs="Arial"/>
          <w:sz w:val="24"/>
          <w:szCs w:val="24"/>
        </w:rPr>
        <w:tab/>
      </w:r>
    </w:p>
    <w:p w14:paraId="4E146038" w14:textId="77777777" w:rsidR="00955984" w:rsidRPr="001E722E" w:rsidRDefault="00161751">
      <w:pPr>
        <w:tabs>
          <w:tab w:val="right" w:pos="9016"/>
        </w:tabs>
        <w:spacing w:after="160" w:line="360" w:lineRule="auto"/>
        <w:rPr>
          <w:rFonts w:ascii="Arial" w:eastAsia="Arial" w:hAnsi="Arial" w:cs="Arial"/>
          <w:sz w:val="24"/>
          <w:szCs w:val="24"/>
        </w:rPr>
      </w:pPr>
      <w:r w:rsidRPr="001E722E">
        <w:rPr>
          <w:rFonts w:ascii="Arial" w:eastAsia="Arial" w:hAnsi="Arial" w:cs="Arial"/>
          <w:sz w:val="24"/>
          <w:szCs w:val="24"/>
        </w:rPr>
        <w:t>Table 3.2: Database Search Strings, Filters and Records Retrieved</w:t>
      </w:r>
      <w:r w:rsidRPr="001E722E">
        <w:rPr>
          <w:rFonts w:ascii="Arial" w:eastAsia="Arial" w:hAnsi="Arial" w:cs="Arial"/>
          <w:sz w:val="24"/>
          <w:szCs w:val="24"/>
        </w:rPr>
        <w:tab/>
      </w:r>
    </w:p>
    <w:p w14:paraId="7EBC106E" w14:textId="77777777" w:rsidR="00955984" w:rsidRPr="001E722E" w:rsidRDefault="00161751">
      <w:pPr>
        <w:tabs>
          <w:tab w:val="right" w:pos="9016"/>
        </w:tabs>
        <w:spacing w:after="160" w:line="360" w:lineRule="auto"/>
        <w:rPr>
          <w:rFonts w:ascii="Arial" w:eastAsia="Arial" w:hAnsi="Arial" w:cs="Arial"/>
          <w:sz w:val="24"/>
          <w:szCs w:val="24"/>
        </w:rPr>
      </w:pPr>
      <w:r w:rsidRPr="001E722E">
        <w:rPr>
          <w:rFonts w:ascii="Arial" w:eastAsia="Arial" w:hAnsi="Arial" w:cs="Arial"/>
          <w:sz w:val="24"/>
          <w:szCs w:val="24"/>
        </w:rPr>
        <w:t>Table 3.3: Inclusion and Exclusion Criteria</w:t>
      </w:r>
      <w:r w:rsidRPr="001E722E">
        <w:rPr>
          <w:rFonts w:ascii="Arial" w:eastAsia="Arial" w:hAnsi="Arial" w:cs="Arial"/>
          <w:sz w:val="24"/>
          <w:szCs w:val="24"/>
        </w:rPr>
        <w:tab/>
      </w:r>
    </w:p>
    <w:p w14:paraId="0FCF4A71" w14:textId="77777777" w:rsidR="00955984" w:rsidRPr="001E722E" w:rsidRDefault="00161751">
      <w:pPr>
        <w:tabs>
          <w:tab w:val="right" w:pos="9016"/>
        </w:tabs>
        <w:spacing w:after="160" w:line="360" w:lineRule="auto"/>
        <w:rPr>
          <w:rFonts w:ascii="Arial" w:eastAsia="Arial" w:hAnsi="Arial" w:cs="Arial"/>
          <w:sz w:val="24"/>
          <w:szCs w:val="24"/>
        </w:rPr>
      </w:pPr>
      <w:r w:rsidRPr="001E722E">
        <w:rPr>
          <w:rFonts w:ascii="Arial" w:eastAsia="Arial" w:hAnsi="Arial" w:cs="Arial"/>
          <w:sz w:val="24"/>
          <w:szCs w:val="24"/>
        </w:rPr>
        <w:t>Table 3.4: CASP Quality Appraisal of Included Studies</w:t>
      </w:r>
      <w:r w:rsidRPr="001E722E">
        <w:rPr>
          <w:rFonts w:ascii="Arial" w:eastAsia="Arial" w:hAnsi="Arial" w:cs="Arial"/>
          <w:sz w:val="24"/>
          <w:szCs w:val="24"/>
        </w:rPr>
        <w:tab/>
      </w:r>
    </w:p>
    <w:p w14:paraId="1E679BE8" w14:textId="77777777" w:rsidR="00955984" w:rsidRPr="001E722E" w:rsidRDefault="00161751">
      <w:pPr>
        <w:tabs>
          <w:tab w:val="right" w:pos="9016"/>
        </w:tabs>
        <w:spacing w:after="160" w:line="360" w:lineRule="auto"/>
        <w:rPr>
          <w:rFonts w:ascii="Arial" w:eastAsia="Arial" w:hAnsi="Arial" w:cs="Arial"/>
          <w:sz w:val="24"/>
          <w:szCs w:val="24"/>
        </w:rPr>
      </w:pPr>
      <w:r w:rsidRPr="001E722E">
        <w:rPr>
          <w:rFonts w:ascii="Arial" w:eastAsia="Arial" w:hAnsi="Arial" w:cs="Arial"/>
          <w:sz w:val="24"/>
          <w:szCs w:val="24"/>
        </w:rPr>
        <w:t>Table 4.1: Characteristics of Included Studies</w:t>
      </w:r>
      <w:r w:rsidRPr="001E722E">
        <w:rPr>
          <w:rFonts w:ascii="Arial" w:eastAsia="Arial" w:hAnsi="Arial" w:cs="Arial"/>
          <w:sz w:val="24"/>
          <w:szCs w:val="24"/>
        </w:rPr>
        <w:tab/>
      </w:r>
    </w:p>
    <w:p w14:paraId="07D4D85E" w14:textId="77777777" w:rsidR="00955984" w:rsidRPr="001E722E" w:rsidRDefault="00161751">
      <w:pPr>
        <w:tabs>
          <w:tab w:val="right" w:pos="9016"/>
        </w:tabs>
        <w:spacing w:after="160" w:line="360" w:lineRule="auto"/>
        <w:rPr>
          <w:rFonts w:ascii="Arial" w:eastAsia="Arial" w:hAnsi="Arial" w:cs="Arial"/>
          <w:sz w:val="24"/>
          <w:szCs w:val="24"/>
        </w:rPr>
      </w:pPr>
      <w:r w:rsidRPr="001E722E">
        <w:rPr>
          <w:rFonts w:ascii="Arial" w:eastAsia="Arial" w:hAnsi="Arial" w:cs="Arial"/>
          <w:sz w:val="24"/>
          <w:szCs w:val="24"/>
        </w:rPr>
        <w:t>Table 4.2: Summary of Evidence by Research Objective</w:t>
      </w:r>
      <w:r w:rsidRPr="001E722E">
        <w:rPr>
          <w:rFonts w:ascii="Arial" w:eastAsia="Arial" w:hAnsi="Arial" w:cs="Arial"/>
          <w:sz w:val="24"/>
          <w:szCs w:val="24"/>
        </w:rPr>
        <w:tab/>
      </w:r>
    </w:p>
    <w:p w14:paraId="0B7D53C3" w14:textId="77777777" w:rsidR="00955984" w:rsidRPr="001E722E" w:rsidRDefault="00161751">
      <w:pPr>
        <w:pStyle w:val="Heading1"/>
        <w:pageBreakBefore/>
      </w:pPr>
      <w:bookmarkStart w:id="3" w:name="_b2gxn4s77wc0" w:colFirst="0" w:colLast="0"/>
      <w:bookmarkEnd w:id="3"/>
      <w:r w:rsidRPr="001E722E">
        <w:lastRenderedPageBreak/>
        <w:t>LIST OF ABBREVIATIONS</w:t>
      </w:r>
    </w:p>
    <w:tbl>
      <w:tblPr>
        <w:tblStyle w:val="PlainTable4"/>
        <w:tblW w:w="0" w:type="auto"/>
        <w:tblLook w:val="04A0" w:firstRow="1" w:lastRow="0" w:firstColumn="1" w:lastColumn="0" w:noHBand="0" w:noVBand="1"/>
      </w:tblPr>
      <w:tblGrid>
        <w:gridCol w:w="1683"/>
        <w:gridCol w:w="7559"/>
      </w:tblGrid>
      <w:tr w:rsidR="001E722E" w:rsidRPr="001E722E" w14:paraId="564F453A" w14:textId="77777777" w:rsidTr="001E722E">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635E1CE3" w14:textId="77777777" w:rsidR="001E722E" w:rsidRPr="001E722E" w:rsidRDefault="001E722E" w:rsidP="001E722E">
            <w:pPr>
              <w:spacing w:after="120" w:line="360" w:lineRule="auto"/>
              <w:rPr>
                <w:rFonts w:ascii="Arial" w:eastAsia="Arial" w:hAnsi="Arial" w:cs="Arial"/>
                <w:i/>
                <w:iCs/>
                <w:sz w:val="24"/>
                <w:szCs w:val="24"/>
              </w:rPr>
            </w:pPr>
            <w:r w:rsidRPr="001E722E">
              <w:rPr>
                <w:rFonts w:ascii="Arial" w:eastAsia="Arial" w:hAnsi="Arial" w:cs="Arial"/>
                <w:i/>
                <w:iCs/>
                <w:sz w:val="24"/>
                <w:szCs w:val="24"/>
              </w:rPr>
              <w:t>Abbreviation</w:t>
            </w:r>
          </w:p>
        </w:tc>
        <w:tc>
          <w:tcPr>
            <w:tcW w:w="0" w:type="auto"/>
            <w:hideMark/>
          </w:tcPr>
          <w:p w14:paraId="2C871C23" w14:textId="77777777" w:rsidR="001E722E" w:rsidRPr="001E722E" w:rsidRDefault="001E722E" w:rsidP="001E722E">
            <w:pPr>
              <w:spacing w:after="120" w:line="360" w:lineRule="auto"/>
              <w:cnfStyle w:val="100000000000" w:firstRow="1" w:lastRow="0" w:firstColumn="0" w:lastColumn="0" w:oddVBand="0" w:evenVBand="0" w:oddHBand="0" w:evenHBand="0" w:firstRowFirstColumn="0" w:firstRowLastColumn="0" w:lastRowFirstColumn="0" w:lastRowLastColumn="0"/>
              <w:rPr>
                <w:rFonts w:ascii="Arial" w:eastAsia="Arial" w:hAnsi="Arial" w:cs="Arial"/>
                <w:i/>
                <w:iCs/>
                <w:sz w:val="24"/>
                <w:szCs w:val="24"/>
              </w:rPr>
            </w:pPr>
            <w:r w:rsidRPr="001E722E">
              <w:rPr>
                <w:rFonts w:ascii="Arial" w:eastAsia="Arial" w:hAnsi="Arial" w:cs="Arial"/>
                <w:i/>
                <w:iCs/>
                <w:sz w:val="24"/>
                <w:szCs w:val="24"/>
              </w:rPr>
              <w:t>Full Form</w:t>
            </w:r>
          </w:p>
        </w:tc>
      </w:tr>
      <w:tr w:rsidR="001E722E" w:rsidRPr="001E722E" w14:paraId="3A015433" w14:textId="77777777" w:rsidTr="001E722E">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3A1FAC18" w14:textId="77777777" w:rsidR="001E722E" w:rsidRPr="001E722E" w:rsidRDefault="001E722E" w:rsidP="001E722E">
            <w:pPr>
              <w:spacing w:after="120" w:line="360" w:lineRule="auto"/>
              <w:rPr>
                <w:rFonts w:ascii="Arial" w:eastAsia="Arial" w:hAnsi="Arial" w:cs="Arial"/>
                <w:i/>
                <w:iCs/>
                <w:sz w:val="24"/>
                <w:szCs w:val="24"/>
              </w:rPr>
            </w:pPr>
            <w:r w:rsidRPr="001E722E">
              <w:rPr>
                <w:rFonts w:ascii="Arial" w:eastAsia="Arial" w:hAnsi="Arial" w:cs="Arial"/>
                <w:i/>
                <w:iCs/>
                <w:sz w:val="24"/>
                <w:szCs w:val="24"/>
              </w:rPr>
              <w:t>BHF</w:t>
            </w:r>
          </w:p>
        </w:tc>
        <w:tc>
          <w:tcPr>
            <w:tcW w:w="0" w:type="auto"/>
            <w:hideMark/>
          </w:tcPr>
          <w:p w14:paraId="6C19EF61" w14:textId="77777777" w:rsidR="001E722E" w:rsidRPr="001E722E" w:rsidRDefault="001E722E" w:rsidP="001E722E">
            <w:pPr>
              <w:spacing w:after="120" w:line="360" w:lineRule="auto"/>
              <w:cnfStyle w:val="000000100000" w:firstRow="0" w:lastRow="0" w:firstColumn="0" w:lastColumn="0" w:oddVBand="0" w:evenVBand="0" w:oddHBand="1" w:evenHBand="0" w:firstRowFirstColumn="0" w:firstRowLastColumn="0" w:lastRowFirstColumn="0" w:lastRowLastColumn="0"/>
              <w:rPr>
                <w:rFonts w:ascii="Arial" w:eastAsia="Arial" w:hAnsi="Arial" w:cs="Arial"/>
                <w:i/>
                <w:iCs/>
                <w:sz w:val="24"/>
                <w:szCs w:val="24"/>
              </w:rPr>
            </w:pPr>
            <w:r w:rsidRPr="001E722E">
              <w:rPr>
                <w:rFonts w:ascii="Arial" w:eastAsia="Arial" w:hAnsi="Arial" w:cs="Arial"/>
                <w:i/>
                <w:iCs/>
                <w:sz w:val="24"/>
                <w:szCs w:val="24"/>
              </w:rPr>
              <w:t>British Heart Foundation</w:t>
            </w:r>
          </w:p>
        </w:tc>
      </w:tr>
      <w:tr w:rsidR="001E722E" w:rsidRPr="001E722E" w14:paraId="090B4566" w14:textId="77777777" w:rsidTr="001E722E">
        <w:tc>
          <w:tcPr>
            <w:cnfStyle w:val="001000000000" w:firstRow="0" w:lastRow="0" w:firstColumn="1" w:lastColumn="0" w:oddVBand="0" w:evenVBand="0" w:oddHBand="0" w:evenHBand="0" w:firstRowFirstColumn="0" w:firstRowLastColumn="0" w:lastRowFirstColumn="0" w:lastRowLastColumn="0"/>
            <w:tcW w:w="0" w:type="auto"/>
            <w:hideMark/>
          </w:tcPr>
          <w:p w14:paraId="6007FB06" w14:textId="77777777" w:rsidR="001E722E" w:rsidRPr="001E722E" w:rsidRDefault="001E722E" w:rsidP="001E722E">
            <w:pPr>
              <w:spacing w:after="120" w:line="360" w:lineRule="auto"/>
              <w:rPr>
                <w:rFonts w:ascii="Arial" w:eastAsia="Arial" w:hAnsi="Arial" w:cs="Arial"/>
                <w:i/>
                <w:iCs/>
                <w:sz w:val="24"/>
                <w:szCs w:val="24"/>
              </w:rPr>
            </w:pPr>
            <w:r w:rsidRPr="001E722E">
              <w:rPr>
                <w:rFonts w:ascii="Arial" w:eastAsia="Arial" w:hAnsi="Arial" w:cs="Arial"/>
                <w:i/>
                <w:iCs/>
                <w:sz w:val="24"/>
                <w:szCs w:val="24"/>
              </w:rPr>
              <w:t>BMC</w:t>
            </w:r>
          </w:p>
        </w:tc>
        <w:tc>
          <w:tcPr>
            <w:tcW w:w="0" w:type="auto"/>
            <w:hideMark/>
          </w:tcPr>
          <w:p w14:paraId="2D35EE7F" w14:textId="77777777" w:rsidR="001E722E" w:rsidRPr="001E722E" w:rsidRDefault="001E722E" w:rsidP="001E722E">
            <w:pPr>
              <w:spacing w:after="120" w:line="360" w:lineRule="auto"/>
              <w:cnfStyle w:val="000000000000" w:firstRow="0" w:lastRow="0" w:firstColumn="0" w:lastColumn="0" w:oddVBand="0" w:evenVBand="0" w:oddHBand="0" w:evenHBand="0" w:firstRowFirstColumn="0" w:firstRowLastColumn="0" w:lastRowFirstColumn="0" w:lastRowLastColumn="0"/>
              <w:rPr>
                <w:rFonts w:ascii="Arial" w:eastAsia="Arial" w:hAnsi="Arial" w:cs="Arial"/>
                <w:i/>
                <w:iCs/>
                <w:sz w:val="24"/>
                <w:szCs w:val="24"/>
              </w:rPr>
            </w:pPr>
            <w:r w:rsidRPr="001E722E">
              <w:rPr>
                <w:rFonts w:ascii="Arial" w:eastAsia="Arial" w:hAnsi="Arial" w:cs="Arial"/>
                <w:i/>
                <w:iCs/>
                <w:sz w:val="24"/>
                <w:szCs w:val="24"/>
              </w:rPr>
              <w:t>BioMed Central</w:t>
            </w:r>
          </w:p>
        </w:tc>
      </w:tr>
      <w:tr w:rsidR="001E722E" w:rsidRPr="001E722E" w14:paraId="69419132" w14:textId="77777777" w:rsidTr="001E722E">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10720391" w14:textId="77777777" w:rsidR="001E722E" w:rsidRPr="001E722E" w:rsidRDefault="001E722E" w:rsidP="001E722E">
            <w:pPr>
              <w:spacing w:after="120" w:line="360" w:lineRule="auto"/>
              <w:rPr>
                <w:rFonts w:ascii="Arial" w:eastAsia="Arial" w:hAnsi="Arial" w:cs="Arial"/>
                <w:i/>
                <w:iCs/>
                <w:sz w:val="24"/>
                <w:szCs w:val="24"/>
              </w:rPr>
            </w:pPr>
            <w:r w:rsidRPr="001E722E">
              <w:rPr>
                <w:rFonts w:ascii="Arial" w:eastAsia="Arial" w:hAnsi="Arial" w:cs="Arial"/>
                <w:i/>
                <w:iCs/>
                <w:sz w:val="24"/>
                <w:szCs w:val="24"/>
              </w:rPr>
              <w:t>BMJ</w:t>
            </w:r>
          </w:p>
        </w:tc>
        <w:tc>
          <w:tcPr>
            <w:tcW w:w="0" w:type="auto"/>
            <w:hideMark/>
          </w:tcPr>
          <w:p w14:paraId="00FF9D48" w14:textId="77777777" w:rsidR="001E722E" w:rsidRPr="001E722E" w:rsidRDefault="001E722E" w:rsidP="001E722E">
            <w:pPr>
              <w:spacing w:after="120" w:line="360" w:lineRule="auto"/>
              <w:cnfStyle w:val="000000100000" w:firstRow="0" w:lastRow="0" w:firstColumn="0" w:lastColumn="0" w:oddVBand="0" w:evenVBand="0" w:oddHBand="1" w:evenHBand="0" w:firstRowFirstColumn="0" w:firstRowLastColumn="0" w:lastRowFirstColumn="0" w:lastRowLastColumn="0"/>
              <w:rPr>
                <w:rFonts w:ascii="Arial" w:eastAsia="Arial" w:hAnsi="Arial" w:cs="Arial"/>
                <w:i/>
                <w:iCs/>
                <w:sz w:val="24"/>
                <w:szCs w:val="24"/>
              </w:rPr>
            </w:pPr>
            <w:r w:rsidRPr="001E722E">
              <w:rPr>
                <w:rFonts w:ascii="Arial" w:eastAsia="Arial" w:hAnsi="Arial" w:cs="Arial"/>
                <w:i/>
                <w:iCs/>
                <w:sz w:val="24"/>
                <w:szCs w:val="24"/>
              </w:rPr>
              <w:t>British Medical Journal</w:t>
            </w:r>
          </w:p>
        </w:tc>
      </w:tr>
      <w:tr w:rsidR="001E722E" w:rsidRPr="001E722E" w14:paraId="77E96590" w14:textId="77777777" w:rsidTr="001E722E">
        <w:tc>
          <w:tcPr>
            <w:cnfStyle w:val="001000000000" w:firstRow="0" w:lastRow="0" w:firstColumn="1" w:lastColumn="0" w:oddVBand="0" w:evenVBand="0" w:oddHBand="0" w:evenHBand="0" w:firstRowFirstColumn="0" w:firstRowLastColumn="0" w:lastRowFirstColumn="0" w:lastRowLastColumn="0"/>
            <w:tcW w:w="0" w:type="auto"/>
            <w:hideMark/>
          </w:tcPr>
          <w:p w14:paraId="136C144B" w14:textId="77777777" w:rsidR="001E722E" w:rsidRPr="001E722E" w:rsidRDefault="001E722E" w:rsidP="001E722E">
            <w:pPr>
              <w:spacing w:after="120" w:line="360" w:lineRule="auto"/>
              <w:rPr>
                <w:rFonts w:ascii="Arial" w:eastAsia="Arial" w:hAnsi="Arial" w:cs="Arial"/>
                <w:i/>
                <w:iCs/>
                <w:sz w:val="24"/>
                <w:szCs w:val="24"/>
              </w:rPr>
            </w:pPr>
            <w:r w:rsidRPr="001E722E">
              <w:rPr>
                <w:rFonts w:ascii="Arial" w:eastAsia="Arial" w:hAnsi="Arial" w:cs="Arial"/>
                <w:i/>
                <w:iCs/>
                <w:sz w:val="24"/>
                <w:szCs w:val="24"/>
              </w:rPr>
              <w:t>CASP</w:t>
            </w:r>
          </w:p>
        </w:tc>
        <w:tc>
          <w:tcPr>
            <w:tcW w:w="0" w:type="auto"/>
            <w:hideMark/>
          </w:tcPr>
          <w:p w14:paraId="34533A1E" w14:textId="77777777" w:rsidR="001E722E" w:rsidRPr="001E722E" w:rsidRDefault="001E722E" w:rsidP="001E722E">
            <w:pPr>
              <w:spacing w:after="120" w:line="360" w:lineRule="auto"/>
              <w:cnfStyle w:val="000000000000" w:firstRow="0" w:lastRow="0" w:firstColumn="0" w:lastColumn="0" w:oddVBand="0" w:evenVBand="0" w:oddHBand="0" w:evenHBand="0" w:firstRowFirstColumn="0" w:firstRowLastColumn="0" w:lastRowFirstColumn="0" w:lastRowLastColumn="0"/>
              <w:rPr>
                <w:rFonts w:ascii="Arial" w:eastAsia="Arial" w:hAnsi="Arial" w:cs="Arial"/>
                <w:i/>
                <w:iCs/>
                <w:sz w:val="24"/>
                <w:szCs w:val="24"/>
              </w:rPr>
            </w:pPr>
            <w:r w:rsidRPr="001E722E">
              <w:rPr>
                <w:rFonts w:ascii="Arial" w:eastAsia="Arial" w:hAnsi="Arial" w:cs="Arial"/>
                <w:i/>
                <w:iCs/>
                <w:sz w:val="24"/>
                <w:szCs w:val="24"/>
              </w:rPr>
              <w:t>Critical Appraisal Skills Programme</w:t>
            </w:r>
          </w:p>
        </w:tc>
      </w:tr>
      <w:tr w:rsidR="001E722E" w:rsidRPr="001E722E" w14:paraId="7B583B2B" w14:textId="77777777" w:rsidTr="001E722E">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4FEA4F41" w14:textId="77777777" w:rsidR="001E722E" w:rsidRPr="001E722E" w:rsidRDefault="001E722E" w:rsidP="001E722E">
            <w:pPr>
              <w:spacing w:after="120" w:line="360" w:lineRule="auto"/>
              <w:rPr>
                <w:rFonts w:ascii="Arial" w:eastAsia="Arial" w:hAnsi="Arial" w:cs="Arial"/>
                <w:i/>
                <w:iCs/>
                <w:sz w:val="24"/>
                <w:szCs w:val="24"/>
              </w:rPr>
            </w:pPr>
            <w:r w:rsidRPr="001E722E">
              <w:rPr>
                <w:rFonts w:ascii="Arial" w:eastAsia="Arial" w:hAnsi="Arial" w:cs="Arial"/>
                <w:i/>
                <w:iCs/>
                <w:sz w:val="24"/>
                <w:szCs w:val="24"/>
              </w:rPr>
              <w:t>CHD</w:t>
            </w:r>
          </w:p>
        </w:tc>
        <w:tc>
          <w:tcPr>
            <w:tcW w:w="0" w:type="auto"/>
            <w:hideMark/>
          </w:tcPr>
          <w:p w14:paraId="6AEF59E3" w14:textId="77777777" w:rsidR="001E722E" w:rsidRPr="001E722E" w:rsidRDefault="001E722E" w:rsidP="001E722E">
            <w:pPr>
              <w:spacing w:after="120" w:line="360" w:lineRule="auto"/>
              <w:cnfStyle w:val="000000100000" w:firstRow="0" w:lastRow="0" w:firstColumn="0" w:lastColumn="0" w:oddVBand="0" w:evenVBand="0" w:oddHBand="1" w:evenHBand="0" w:firstRowFirstColumn="0" w:firstRowLastColumn="0" w:lastRowFirstColumn="0" w:lastRowLastColumn="0"/>
              <w:rPr>
                <w:rFonts w:ascii="Arial" w:eastAsia="Arial" w:hAnsi="Arial" w:cs="Arial"/>
                <w:i/>
                <w:iCs/>
                <w:sz w:val="24"/>
                <w:szCs w:val="24"/>
              </w:rPr>
            </w:pPr>
            <w:r w:rsidRPr="001E722E">
              <w:rPr>
                <w:rFonts w:ascii="Arial" w:eastAsia="Arial" w:hAnsi="Arial" w:cs="Arial"/>
                <w:i/>
                <w:iCs/>
                <w:sz w:val="24"/>
                <w:szCs w:val="24"/>
              </w:rPr>
              <w:t>Coronary Heart Disease</w:t>
            </w:r>
          </w:p>
        </w:tc>
      </w:tr>
      <w:tr w:rsidR="001E722E" w:rsidRPr="001E722E" w14:paraId="7294F149" w14:textId="77777777" w:rsidTr="001E722E">
        <w:tc>
          <w:tcPr>
            <w:cnfStyle w:val="001000000000" w:firstRow="0" w:lastRow="0" w:firstColumn="1" w:lastColumn="0" w:oddVBand="0" w:evenVBand="0" w:oddHBand="0" w:evenHBand="0" w:firstRowFirstColumn="0" w:firstRowLastColumn="0" w:lastRowFirstColumn="0" w:lastRowLastColumn="0"/>
            <w:tcW w:w="0" w:type="auto"/>
            <w:hideMark/>
          </w:tcPr>
          <w:p w14:paraId="02E2DB6F" w14:textId="77777777" w:rsidR="001E722E" w:rsidRPr="001E722E" w:rsidRDefault="001E722E" w:rsidP="001E722E">
            <w:pPr>
              <w:spacing w:after="120" w:line="360" w:lineRule="auto"/>
              <w:rPr>
                <w:rFonts w:ascii="Arial" w:eastAsia="Arial" w:hAnsi="Arial" w:cs="Arial"/>
                <w:i/>
                <w:iCs/>
                <w:sz w:val="24"/>
                <w:szCs w:val="24"/>
              </w:rPr>
            </w:pPr>
            <w:r w:rsidRPr="001E722E">
              <w:rPr>
                <w:rFonts w:ascii="Arial" w:eastAsia="Arial" w:hAnsi="Arial" w:cs="Arial"/>
                <w:i/>
                <w:iCs/>
                <w:sz w:val="24"/>
                <w:szCs w:val="24"/>
              </w:rPr>
              <w:t>CINAHL</w:t>
            </w:r>
          </w:p>
        </w:tc>
        <w:tc>
          <w:tcPr>
            <w:tcW w:w="0" w:type="auto"/>
            <w:hideMark/>
          </w:tcPr>
          <w:p w14:paraId="5408D9B6" w14:textId="77777777" w:rsidR="001E722E" w:rsidRPr="001E722E" w:rsidRDefault="001E722E" w:rsidP="001E722E">
            <w:pPr>
              <w:spacing w:after="120" w:line="360" w:lineRule="auto"/>
              <w:cnfStyle w:val="000000000000" w:firstRow="0" w:lastRow="0" w:firstColumn="0" w:lastColumn="0" w:oddVBand="0" w:evenVBand="0" w:oddHBand="0" w:evenHBand="0" w:firstRowFirstColumn="0" w:firstRowLastColumn="0" w:lastRowFirstColumn="0" w:lastRowLastColumn="0"/>
              <w:rPr>
                <w:rFonts w:ascii="Arial" w:eastAsia="Arial" w:hAnsi="Arial" w:cs="Arial"/>
                <w:i/>
                <w:iCs/>
                <w:sz w:val="24"/>
                <w:szCs w:val="24"/>
              </w:rPr>
            </w:pPr>
            <w:r w:rsidRPr="001E722E">
              <w:rPr>
                <w:rFonts w:ascii="Arial" w:eastAsia="Arial" w:hAnsi="Arial" w:cs="Arial"/>
                <w:i/>
                <w:iCs/>
                <w:sz w:val="24"/>
                <w:szCs w:val="24"/>
              </w:rPr>
              <w:t>Cumulative Index to Nursing and Allied Health Literature</w:t>
            </w:r>
          </w:p>
        </w:tc>
      </w:tr>
      <w:tr w:rsidR="001E722E" w:rsidRPr="001E722E" w14:paraId="713A0EE1" w14:textId="77777777" w:rsidTr="001E722E">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56F96A04" w14:textId="77777777" w:rsidR="001E722E" w:rsidRPr="001E722E" w:rsidRDefault="001E722E" w:rsidP="001E722E">
            <w:pPr>
              <w:spacing w:after="120" w:line="360" w:lineRule="auto"/>
              <w:rPr>
                <w:rFonts w:ascii="Arial" w:eastAsia="Arial" w:hAnsi="Arial" w:cs="Arial"/>
                <w:i/>
                <w:iCs/>
                <w:sz w:val="24"/>
                <w:szCs w:val="24"/>
              </w:rPr>
            </w:pPr>
            <w:r w:rsidRPr="001E722E">
              <w:rPr>
                <w:rFonts w:ascii="Arial" w:eastAsia="Arial" w:hAnsi="Arial" w:cs="Arial"/>
                <w:i/>
                <w:iCs/>
                <w:sz w:val="24"/>
                <w:szCs w:val="24"/>
              </w:rPr>
              <w:t>CVD</w:t>
            </w:r>
          </w:p>
        </w:tc>
        <w:tc>
          <w:tcPr>
            <w:tcW w:w="0" w:type="auto"/>
            <w:hideMark/>
          </w:tcPr>
          <w:p w14:paraId="3964F5E4" w14:textId="77777777" w:rsidR="001E722E" w:rsidRPr="001E722E" w:rsidRDefault="001E722E" w:rsidP="001E722E">
            <w:pPr>
              <w:spacing w:after="120" w:line="360" w:lineRule="auto"/>
              <w:cnfStyle w:val="000000100000" w:firstRow="0" w:lastRow="0" w:firstColumn="0" w:lastColumn="0" w:oddVBand="0" w:evenVBand="0" w:oddHBand="1" w:evenHBand="0" w:firstRowFirstColumn="0" w:firstRowLastColumn="0" w:lastRowFirstColumn="0" w:lastRowLastColumn="0"/>
              <w:rPr>
                <w:rFonts w:ascii="Arial" w:eastAsia="Arial" w:hAnsi="Arial" w:cs="Arial"/>
                <w:i/>
                <w:iCs/>
                <w:sz w:val="24"/>
                <w:szCs w:val="24"/>
              </w:rPr>
            </w:pPr>
            <w:r w:rsidRPr="001E722E">
              <w:rPr>
                <w:rFonts w:ascii="Arial" w:eastAsia="Arial" w:hAnsi="Arial" w:cs="Arial"/>
                <w:i/>
                <w:iCs/>
                <w:sz w:val="24"/>
                <w:szCs w:val="24"/>
              </w:rPr>
              <w:t>Cardiovascular Disease</w:t>
            </w:r>
          </w:p>
        </w:tc>
      </w:tr>
      <w:tr w:rsidR="001E722E" w:rsidRPr="001E722E" w14:paraId="265B58C1" w14:textId="77777777" w:rsidTr="001E722E">
        <w:tc>
          <w:tcPr>
            <w:cnfStyle w:val="001000000000" w:firstRow="0" w:lastRow="0" w:firstColumn="1" w:lastColumn="0" w:oddVBand="0" w:evenVBand="0" w:oddHBand="0" w:evenHBand="0" w:firstRowFirstColumn="0" w:firstRowLastColumn="0" w:lastRowFirstColumn="0" w:lastRowLastColumn="0"/>
            <w:tcW w:w="0" w:type="auto"/>
            <w:hideMark/>
          </w:tcPr>
          <w:p w14:paraId="5B59D2E2" w14:textId="77777777" w:rsidR="001E722E" w:rsidRPr="001E722E" w:rsidRDefault="001E722E" w:rsidP="001E722E">
            <w:pPr>
              <w:spacing w:after="120" w:line="360" w:lineRule="auto"/>
              <w:rPr>
                <w:rFonts w:ascii="Arial" w:eastAsia="Arial" w:hAnsi="Arial" w:cs="Arial"/>
                <w:i/>
                <w:iCs/>
                <w:sz w:val="24"/>
                <w:szCs w:val="24"/>
              </w:rPr>
            </w:pPr>
            <w:r w:rsidRPr="001E722E">
              <w:rPr>
                <w:rFonts w:ascii="Arial" w:eastAsia="Arial" w:hAnsi="Arial" w:cs="Arial"/>
                <w:i/>
                <w:iCs/>
                <w:sz w:val="24"/>
                <w:szCs w:val="24"/>
              </w:rPr>
              <w:t>ESRC</w:t>
            </w:r>
          </w:p>
        </w:tc>
        <w:tc>
          <w:tcPr>
            <w:tcW w:w="0" w:type="auto"/>
            <w:hideMark/>
          </w:tcPr>
          <w:p w14:paraId="1FFC1FC4" w14:textId="77777777" w:rsidR="001E722E" w:rsidRPr="001E722E" w:rsidRDefault="001E722E" w:rsidP="001E722E">
            <w:pPr>
              <w:spacing w:after="120" w:line="360" w:lineRule="auto"/>
              <w:cnfStyle w:val="000000000000" w:firstRow="0" w:lastRow="0" w:firstColumn="0" w:lastColumn="0" w:oddVBand="0" w:evenVBand="0" w:oddHBand="0" w:evenHBand="0" w:firstRowFirstColumn="0" w:firstRowLastColumn="0" w:lastRowFirstColumn="0" w:lastRowLastColumn="0"/>
              <w:rPr>
                <w:rFonts w:ascii="Arial" w:eastAsia="Arial" w:hAnsi="Arial" w:cs="Arial"/>
                <w:i/>
                <w:iCs/>
                <w:sz w:val="24"/>
                <w:szCs w:val="24"/>
              </w:rPr>
            </w:pPr>
            <w:r w:rsidRPr="001E722E">
              <w:rPr>
                <w:rFonts w:ascii="Arial" w:eastAsia="Arial" w:hAnsi="Arial" w:cs="Arial"/>
                <w:i/>
                <w:iCs/>
                <w:sz w:val="24"/>
                <w:szCs w:val="24"/>
              </w:rPr>
              <w:t>Economic and Social Research Council</w:t>
            </w:r>
          </w:p>
        </w:tc>
      </w:tr>
      <w:tr w:rsidR="001E722E" w:rsidRPr="001E722E" w14:paraId="3E88B050" w14:textId="77777777" w:rsidTr="001E722E">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1968A095" w14:textId="77777777" w:rsidR="001E722E" w:rsidRPr="001E722E" w:rsidRDefault="001E722E" w:rsidP="001E722E">
            <w:pPr>
              <w:spacing w:after="120" w:line="360" w:lineRule="auto"/>
              <w:rPr>
                <w:rFonts w:ascii="Arial" w:eastAsia="Arial" w:hAnsi="Arial" w:cs="Arial"/>
                <w:i/>
                <w:iCs/>
                <w:sz w:val="24"/>
                <w:szCs w:val="24"/>
              </w:rPr>
            </w:pPr>
            <w:r w:rsidRPr="001E722E">
              <w:rPr>
                <w:rFonts w:ascii="Arial" w:eastAsia="Arial" w:hAnsi="Arial" w:cs="Arial"/>
                <w:i/>
                <w:iCs/>
                <w:sz w:val="24"/>
                <w:szCs w:val="24"/>
              </w:rPr>
              <w:t>GBD</w:t>
            </w:r>
          </w:p>
        </w:tc>
        <w:tc>
          <w:tcPr>
            <w:tcW w:w="0" w:type="auto"/>
            <w:hideMark/>
          </w:tcPr>
          <w:p w14:paraId="5DE53E02" w14:textId="77777777" w:rsidR="001E722E" w:rsidRPr="001E722E" w:rsidRDefault="001E722E" w:rsidP="001E722E">
            <w:pPr>
              <w:spacing w:after="120" w:line="360" w:lineRule="auto"/>
              <w:cnfStyle w:val="000000100000" w:firstRow="0" w:lastRow="0" w:firstColumn="0" w:lastColumn="0" w:oddVBand="0" w:evenVBand="0" w:oddHBand="1" w:evenHBand="0" w:firstRowFirstColumn="0" w:firstRowLastColumn="0" w:lastRowFirstColumn="0" w:lastRowLastColumn="0"/>
              <w:rPr>
                <w:rFonts w:ascii="Arial" w:eastAsia="Arial" w:hAnsi="Arial" w:cs="Arial"/>
                <w:i/>
                <w:iCs/>
                <w:sz w:val="24"/>
                <w:szCs w:val="24"/>
              </w:rPr>
            </w:pPr>
            <w:r w:rsidRPr="001E722E">
              <w:rPr>
                <w:rFonts w:ascii="Arial" w:eastAsia="Arial" w:hAnsi="Arial" w:cs="Arial"/>
                <w:i/>
                <w:iCs/>
                <w:sz w:val="24"/>
                <w:szCs w:val="24"/>
              </w:rPr>
              <w:t>Global Burden of Disease (study)</w:t>
            </w:r>
          </w:p>
        </w:tc>
      </w:tr>
      <w:tr w:rsidR="001E722E" w:rsidRPr="001E722E" w14:paraId="02148C93" w14:textId="77777777" w:rsidTr="001E722E">
        <w:tc>
          <w:tcPr>
            <w:cnfStyle w:val="001000000000" w:firstRow="0" w:lastRow="0" w:firstColumn="1" w:lastColumn="0" w:oddVBand="0" w:evenVBand="0" w:oddHBand="0" w:evenHBand="0" w:firstRowFirstColumn="0" w:firstRowLastColumn="0" w:lastRowFirstColumn="0" w:lastRowLastColumn="0"/>
            <w:tcW w:w="0" w:type="auto"/>
            <w:hideMark/>
          </w:tcPr>
          <w:p w14:paraId="1CE0C1E2" w14:textId="77777777" w:rsidR="001E722E" w:rsidRPr="001E722E" w:rsidRDefault="001E722E" w:rsidP="001E722E">
            <w:pPr>
              <w:spacing w:after="120" w:line="360" w:lineRule="auto"/>
              <w:rPr>
                <w:rFonts w:ascii="Arial" w:eastAsia="Arial" w:hAnsi="Arial" w:cs="Arial"/>
                <w:i/>
                <w:iCs/>
                <w:sz w:val="24"/>
                <w:szCs w:val="24"/>
              </w:rPr>
            </w:pPr>
            <w:r w:rsidRPr="001E722E">
              <w:rPr>
                <w:rFonts w:ascii="Arial" w:eastAsia="Arial" w:hAnsi="Arial" w:cs="Arial"/>
                <w:i/>
                <w:iCs/>
                <w:sz w:val="24"/>
                <w:szCs w:val="24"/>
              </w:rPr>
              <w:t>HBM</w:t>
            </w:r>
          </w:p>
        </w:tc>
        <w:tc>
          <w:tcPr>
            <w:tcW w:w="0" w:type="auto"/>
            <w:hideMark/>
          </w:tcPr>
          <w:p w14:paraId="757AC640" w14:textId="77777777" w:rsidR="001E722E" w:rsidRPr="001E722E" w:rsidRDefault="001E722E" w:rsidP="001E722E">
            <w:pPr>
              <w:spacing w:after="120" w:line="360" w:lineRule="auto"/>
              <w:cnfStyle w:val="000000000000" w:firstRow="0" w:lastRow="0" w:firstColumn="0" w:lastColumn="0" w:oddVBand="0" w:evenVBand="0" w:oddHBand="0" w:evenHBand="0" w:firstRowFirstColumn="0" w:firstRowLastColumn="0" w:lastRowFirstColumn="0" w:lastRowLastColumn="0"/>
              <w:rPr>
                <w:rFonts w:ascii="Arial" w:eastAsia="Arial" w:hAnsi="Arial" w:cs="Arial"/>
                <w:i/>
                <w:iCs/>
                <w:sz w:val="24"/>
                <w:szCs w:val="24"/>
              </w:rPr>
            </w:pPr>
            <w:r w:rsidRPr="001E722E">
              <w:rPr>
                <w:rFonts w:ascii="Arial" w:eastAsia="Arial" w:hAnsi="Arial" w:cs="Arial"/>
                <w:i/>
                <w:iCs/>
                <w:sz w:val="24"/>
                <w:szCs w:val="24"/>
              </w:rPr>
              <w:t>Health Belief Model</w:t>
            </w:r>
          </w:p>
        </w:tc>
      </w:tr>
      <w:tr w:rsidR="001E722E" w:rsidRPr="001E722E" w14:paraId="6D5124E9" w14:textId="77777777" w:rsidTr="001E722E">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696198AD" w14:textId="77777777" w:rsidR="001E722E" w:rsidRPr="001E722E" w:rsidRDefault="001E722E" w:rsidP="001E722E">
            <w:pPr>
              <w:spacing w:after="120" w:line="360" w:lineRule="auto"/>
              <w:rPr>
                <w:rFonts w:ascii="Arial" w:eastAsia="Arial" w:hAnsi="Arial" w:cs="Arial"/>
                <w:i/>
                <w:iCs/>
                <w:sz w:val="24"/>
                <w:szCs w:val="24"/>
              </w:rPr>
            </w:pPr>
            <w:r w:rsidRPr="001E722E">
              <w:rPr>
                <w:rFonts w:ascii="Arial" w:eastAsia="Arial" w:hAnsi="Arial" w:cs="Arial"/>
                <w:i/>
                <w:iCs/>
                <w:sz w:val="24"/>
                <w:szCs w:val="24"/>
              </w:rPr>
              <w:t>NHS</w:t>
            </w:r>
          </w:p>
        </w:tc>
        <w:tc>
          <w:tcPr>
            <w:tcW w:w="0" w:type="auto"/>
            <w:hideMark/>
          </w:tcPr>
          <w:p w14:paraId="602B044F" w14:textId="77777777" w:rsidR="001E722E" w:rsidRPr="001E722E" w:rsidRDefault="001E722E" w:rsidP="001E722E">
            <w:pPr>
              <w:spacing w:after="120" w:line="360" w:lineRule="auto"/>
              <w:cnfStyle w:val="000000100000" w:firstRow="0" w:lastRow="0" w:firstColumn="0" w:lastColumn="0" w:oddVBand="0" w:evenVBand="0" w:oddHBand="1" w:evenHBand="0" w:firstRowFirstColumn="0" w:firstRowLastColumn="0" w:lastRowFirstColumn="0" w:lastRowLastColumn="0"/>
              <w:rPr>
                <w:rFonts w:ascii="Arial" w:eastAsia="Arial" w:hAnsi="Arial" w:cs="Arial"/>
                <w:i/>
                <w:iCs/>
                <w:sz w:val="24"/>
                <w:szCs w:val="24"/>
              </w:rPr>
            </w:pPr>
            <w:r w:rsidRPr="001E722E">
              <w:rPr>
                <w:rFonts w:ascii="Arial" w:eastAsia="Arial" w:hAnsi="Arial" w:cs="Arial"/>
                <w:i/>
                <w:iCs/>
                <w:sz w:val="24"/>
                <w:szCs w:val="24"/>
              </w:rPr>
              <w:t>National Health Service</w:t>
            </w:r>
          </w:p>
        </w:tc>
      </w:tr>
      <w:tr w:rsidR="001E722E" w:rsidRPr="001E722E" w14:paraId="038D332F" w14:textId="77777777" w:rsidTr="001E722E">
        <w:tc>
          <w:tcPr>
            <w:cnfStyle w:val="001000000000" w:firstRow="0" w:lastRow="0" w:firstColumn="1" w:lastColumn="0" w:oddVBand="0" w:evenVBand="0" w:oddHBand="0" w:evenHBand="0" w:firstRowFirstColumn="0" w:firstRowLastColumn="0" w:lastRowFirstColumn="0" w:lastRowLastColumn="0"/>
            <w:tcW w:w="0" w:type="auto"/>
            <w:hideMark/>
          </w:tcPr>
          <w:p w14:paraId="5D01F328" w14:textId="77777777" w:rsidR="001E722E" w:rsidRPr="001E722E" w:rsidRDefault="001E722E" w:rsidP="001E722E">
            <w:pPr>
              <w:spacing w:after="120" w:line="360" w:lineRule="auto"/>
              <w:rPr>
                <w:rFonts w:ascii="Arial" w:eastAsia="Arial" w:hAnsi="Arial" w:cs="Arial"/>
                <w:i/>
                <w:iCs/>
                <w:sz w:val="24"/>
                <w:szCs w:val="24"/>
              </w:rPr>
            </w:pPr>
            <w:r w:rsidRPr="001E722E">
              <w:rPr>
                <w:rFonts w:ascii="Arial" w:eastAsia="Arial" w:hAnsi="Arial" w:cs="Arial"/>
                <w:i/>
                <w:iCs/>
                <w:sz w:val="24"/>
                <w:szCs w:val="24"/>
              </w:rPr>
              <w:t>NIHR</w:t>
            </w:r>
          </w:p>
        </w:tc>
        <w:tc>
          <w:tcPr>
            <w:tcW w:w="0" w:type="auto"/>
            <w:hideMark/>
          </w:tcPr>
          <w:p w14:paraId="2EDA30C1" w14:textId="77777777" w:rsidR="001E722E" w:rsidRPr="001E722E" w:rsidRDefault="001E722E" w:rsidP="001E722E">
            <w:pPr>
              <w:spacing w:after="120" w:line="360" w:lineRule="auto"/>
              <w:cnfStyle w:val="000000000000" w:firstRow="0" w:lastRow="0" w:firstColumn="0" w:lastColumn="0" w:oddVBand="0" w:evenVBand="0" w:oddHBand="0" w:evenHBand="0" w:firstRowFirstColumn="0" w:firstRowLastColumn="0" w:lastRowFirstColumn="0" w:lastRowLastColumn="0"/>
              <w:rPr>
                <w:rFonts w:ascii="Arial" w:eastAsia="Arial" w:hAnsi="Arial" w:cs="Arial"/>
                <w:i/>
                <w:iCs/>
                <w:sz w:val="24"/>
                <w:szCs w:val="24"/>
              </w:rPr>
            </w:pPr>
            <w:r w:rsidRPr="001E722E">
              <w:rPr>
                <w:rFonts w:ascii="Arial" w:eastAsia="Arial" w:hAnsi="Arial" w:cs="Arial"/>
                <w:i/>
                <w:iCs/>
                <w:sz w:val="24"/>
                <w:szCs w:val="24"/>
              </w:rPr>
              <w:t>National Institute for Health Research</w:t>
            </w:r>
          </w:p>
        </w:tc>
      </w:tr>
      <w:tr w:rsidR="001E722E" w:rsidRPr="001E722E" w14:paraId="282A51DD" w14:textId="77777777" w:rsidTr="001E722E">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5AF14819" w14:textId="77777777" w:rsidR="001E722E" w:rsidRPr="001E722E" w:rsidRDefault="001E722E" w:rsidP="001E722E">
            <w:pPr>
              <w:spacing w:after="120" w:line="360" w:lineRule="auto"/>
              <w:rPr>
                <w:rFonts w:ascii="Arial" w:eastAsia="Arial" w:hAnsi="Arial" w:cs="Arial"/>
                <w:i/>
                <w:iCs/>
                <w:sz w:val="24"/>
                <w:szCs w:val="24"/>
              </w:rPr>
            </w:pPr>
            <w:r w:rsidRPr="001E722E">
              <w:rPr>
                <w:rFonts w:ascii="Arial" w:eastAsia="Arial" w:hAnsi="Arial" w:cs="Arial"/>
                <w:i/>
                <w:iCs/>
                <w:sz w:val="24"/>
                <w:szCs w:val="24"/>
              </w:rPr>
              <w:t>PRISMA</w:t>
            </w:r>
          </w:p>
        </w:tc>
        <w:tc>
          <w:tcPr>
            <w:tcW w:w="0" w:type="auto"/>
            <w:hideMark/>
          </w:tcPr>
          <w:p w14:paraId="7567BF7F" w14:textId="77777777" w:rsidR="001E722E" w:rsidRPr="001E722E" w:rsidRDefault="001E722E" w:rsidP="001E722E">
            <w:pPr>
              <w:spacing w:after="120" w:line="360" w:lineRule="auto"/>
              <w:cnfStyle w:val="000000100000" w:firstRow="0" w:lastRow="0" w:firstColumn="0" w:lastColumn="0" w:oddVBand="0" w:evenVBand="0" w:oddHBand="1" w:evenHBand="0" w:firstRowFirstColumn="0" w:firstRowLastColumn="0" w:lastRowFirstColumn="0" w:lastRowLastColumn="0"/>
              <w:rPr>
                <w:rFonts w:ascii="Arial" w:eastAsia="Arial" w:hAnsi="Arial" w:cs="Arial"/>
                <w:i/>
                <w:iCs/>
                <w:sz w:val="24"/>
                <w:szCs w:val="24"/>
              </w:rPr>
            </w:pPr>
            <w:r w:rsidRPr="001E722E">
              <w:rPr>
                <w:rFonts w:ascii="Arial" w:eastAsia="Arial" w:hAnsi="Arial" w:cs="Arial"/>
                <w:i/>
                <w:iCs/>
                <w:sz w:val="24"/>
                <w:szCs w:val="24"/>
              </w:rPr>
              <w:t>Preferred Reporting Items for Systematic Reviews and Meta-Analyses</w:t>
            </w:r>
          </w:p>
        </w:tc>
      </w:tr>
      <w:tr w:rsidR="001E722E" w:rsidRPr="001E722E" w14:paraId="5C7E3166" w14:textId="77777777" w:rsidTr="001E722E">
        <w:tc>
          <w:tcPr>
            <w:cnfStyle w:val="001000000000" w:firstRow="0" w:lastRow="0" w:firstColumn="1" w:lastColumn="0" w:oddVBand="0" w:evenVBand="0" w:oddHBand="0" w:evenHBand="0" w:firstRowFirstColumn="0" w:firstRowLastColumn="0" w:lastRowFirstColumn="0" w:lastRowLastColumn="0"/>
            <w:tcW w:w="0" w:type="auto"/>
            <w:hideMark/>
          </w:tcPr>
          <w:p w14:paraId="7A936652" w14:textId="77777777" w:rsidR="001E722E" w:rsidRPr="001E722E" w:rsidRDefault="001E722E" w:rsidP="001E722E">
            <w:pPr>
              <w:spacing w:after="120" w:line="360" w:lineRule="auto"/>
              <w:rPr>
                <w:rFonts w:ascii="Arial" w:eastAsia="Arial" w:hAnsi="Arial" w:cs="Arial"/>
                <w:i/>
                <w:iCs/>
                <w:sz w:val="24"/>
                <w:szCs w:val="24"/>
              </w:rPr>
            </w:pPr>
            <w:r w:rsidRPr="001E722E">
              <w:rPr>
                <w:rFonts w:ascii="Arial" w:eastAsia="Arial" w:hAnsi="Arial" w:cs="Arial"/>
                <w:i/>
                <w:iCs/>
                <w:sz w:val="24"/>
                <w:szCs w:val="24"/>
              </w:rPr>
              <w:t>SLR</w:t>
            </w:r>
          </w:p>
        </w:tc>
        <w:tc>
          <w:tcPr>
            <w:tcW w:w="0" w:type="auto"/>
            <w:hideMark/>
          </w:tcPr>
          <w:p w14:paraId="03C94C3B" w14:textId="77777777" w:rsidR="001E722E" w:rsidRPr="001E722E" w:rsidRDefault="001E722E" w:rsidP="001E722E">
            <w:pPr>
              <w:spacing w:after="120" w:line="360" w:lineRule="auto"/>
              <w:cnfStyle w:val="000000000000" w:firstRow="0" w:lastRow="0" w:firstColumn="0" w:lastColumn="0" w:oddVBand="0" w:evenVBand="0" w:oddHBand="0" w:evenHBand="0" w:firstRowFirstColumn="0" w:firstRowLastColumn="0" w:lastRowFirstColumn="0" w:lastRowLastColumn="0"/>
              <w:rPr>
                <w:rFonts w:ascii="Arial" w:eastAsia="Arial" w:hAnsi="Arial" w:cs="Arial"/>
                <w:i/>
                <w:iCs/>
                <w:sz w:val="24"/>
                <w:szCs w:val="24"/>
              </w:rPr>
            </w:pPr>
            <w:r w:rsidRPr="001E722E">
              <w:rPr>
                <w:rFonts w:ascii="Arial" w:eastAsia="Arial" w:hAnsi="Arial" w:cs="Arial"/>
                <w:i/>
                <w:iCs/>
                <w:sz w:val="24"/>
                <w:szCs w:val="24"/>
              </w:rPr>
              <w:t>Systematic Literature Review</w:t>
            </w:r>
          </w:p>
        </w:tc>
      </w:tr>
      <w:tr w:rsidR="001E722E" w:rsidRPr="001E722E" w14:paraId="7ED0E29C" w14:textId="77777777" w:rsidTr="001E722E">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7039F835" w14:textId="77777777" w:rsidR="001E722E" w:rsidRPr="001E722E" w:rsidRDefault="001E722E" w:rsidP="001E722E">
            <w:pPr>
              <w:spacing w:after="120" w:line="360" w:lineRule="auto"/>
              <w:rPr>
                <w:rFonts w:ascii="Arial" w:eastAsia="Arial" w:hAnsi="Arial" w:cs="Arial"/>
                <w:i/>
                <w:iCs/>
                <w:sz w:val="24"/>
                <w:szCs w:val="24"/>
              </w:rPr>
            </w:pPr>
            <w:r w:rsidRPr="001E722E">
              <w:rPr>
                <w:rFonts w:ascii="Arial" w:eastAsia="Arial" w:hAnsi="Arial" w:cs="Arial"/>
                <w:i/>
                <w:iCs/>
                <w:sz w:val="24"/>
                <w:szCs w:val="24"/>
              </w:rPr>
              <w:t>UK</w:t>
            </w:r>
          </w:p>
        </w:tc>
        <w:tc>
          <w:tcPr>
            <w:tcW w:w="0" w:type="auto"/>
            <w:hideMark/>
          </w:tcPr>
          <w:p w14:paraId="7AF40781" w14:textId="77777777" w:rsidR="001E722E" w:rsidRPr="001E722E" w:rsidRDefault="001E722E" w:rsidP="001E722E">
            <w:pPr>
              <w:spacing w:after="120" w:line="360" w:lineRule="auto"/>
              <w:cnfStyle w:val="000000100000" w:firstRow="0" w:lastRow="0" w:firstColumn="0" w:lastColumn="0" w:oddVBand="0" w:evenVBand="0" w:oddHBand="1" w:evenHBand="0" w:firstRowFirstColumn="0" w:firstRowLastColumn="0" w:lastRowFirstColumn="0" w:lastRowLastColumn="0"/>
              <w:rPr>
                <w:rFonts w:ascii="Arial" w:eastAsia="Arial" w:hAnsi="Arial" w:cs="Arial"/>
                <w:i/>
                <w:iCs/>
                <w:sz w:val="24"/>
                <w:szCs w:val="24"/>
              </w:rPr>
            </w:pPr>
            <w:r w:rsidRPr="001E722E">
              <w:rPr>
                <w:rFonts w:ascii="Arial" w:eastAsia="Arial" w:hAnsi="Arial" w:cs="Arial"/>
                <w:i/>
                <w:iCs/>
                <w:sz w:val="24"/>
                <w:szCs w:val="24"/>
              </w:rPr>
              <w:t>United Kingdom</w:t>
            </w:r>
          </w:p>
        </w:tc>
      </w:tr>
      <w:tr w:rsidR="001E722E" w:rsidRPr="001E722E" w14:paraId="57BDD496" w14:textId="77777777" w:rsidTr="001E722E">
        <w:tc>
          <w:tcPr>
            <w:cnfStyle w:val="001000000000" w:firstRow="0" w:lastRow="0" w:firstColumn="1" w:lastColumn="0" w:oddVBand="0" w:evenVBand="0" w:oddHBand="0" w:evenHBand="0" w:firstRowFirstColumn="0" w:firstRowLastColumn="0" w:lastRowFirstColumn="0" w:lastRowLastColumn="0"/>
            <w:tcW w:w="0" w:type="auto"/>
            <w:hideMark/>
          </w:tcPr>
          <w:p w14:paraId="2E927987" w14:textId="77777777" w:rsidR="001E722E" w:rsidRPr="001E722E" w:rsidRDefault="001E722E" w:rsidP="001E722E">
            <w:pPr>
              <w:spacing w:after="120" w:line="360" w:lineRule="auto"/>
              <w:rPr>
                <w:rFonts w:ascii="Arial" w:eastAsia="Arial" w:hAnsi="Arial" w:cs="Arial"/>
                <w:i/>
                <w:iCs/>
                <w:sz w:val="24"/>
                <w:szCs w:val="24"/>
              </w:rPr>
            </w:pPr>
            <w:r w:rsidRPr="001E722E">
              <w:rPr>
                <w:rFonts w:ascii="Arial" w:eastAsia="Arial" w:hAnsi="Arial" w:cs="Arial"/>
                <w:i/>
                <w:iCs/>
                <w:sz w:val="24"/>
                <w:szCs w:val="24"/>
              </w:rPr>
              <w:t>WHO</w:t>
            </w:r>
          </w:p>
        </w:tc>
        <w:tc>
          <w:tcPr>
            <w:tcW w:w="0" w:type="auto"/>
            <w:hideMark/>
          </w:tcPr>
          <w:p w14:paraId="444CF773" w14:textId="77777777" w:rsidR="001E722E" w:rsidRPr="001E722E" w:rsidRDefault="001E722E" w:rsidP="001E722E">
            <w:pPr>
              <w:spacing w:after="120" w:line="360" w:lineRule="auto"/>
              <w:cnfStyle w:val="000000000000" w:firstRow="0" w:lastRow="0" w:firstColumn="0" w:lastColumn="0" w:oddVBand="0" w:evenVBand="0" w:oddHBand="0" w:evenHBand="0" w:firstRowFirstColumn="0" w:firstRowLastColumn="0" w:lastRowFirstColumn="0" w:lastRowLastColumn="0"/>
              <w:rPr>
                <w:rFonts w:ascii="Arial" w:eastAsia="Arial" w:hAnsi="Arial" w:cs="Arial"/>
                <w:i/>
                <w:iCs/>
                <w:sz w:val="24"/>
                <w:szCs w:val="24"/>
              </w:rPr>
            </w:pPr>
            <w:r w:rsidRPr="001E722E">
              <w:rPr>
                <w:rFonts w:ascii="Arial" w:eastAsia="Arial" w:hAnsi="Arial" w:cs="Arial"/>
                <w:i/>
                <w:iCs/>
                <w:sz w:val="24"/>
                <w:szCs w:val="24"/>
              </w:rPr>
              <w:t>World Health Organization</w:t>
            </w:r>
          </w:p>
        </w:tc>
      </w:tr>
    </w:tbl>
    <w:p w14:paraId="42C3E6EF" w14:textId="77777777" w:rsidR="00955984" w:rsidRPr="001E722E" w:rsidRDefault="00955984">
      <w:pPr>
        <w:spacing w:after="120" w:line="360" w:lineRule="auto"/>
        <w:rPr>
          <w:rFonts w:ascii="Arial" w:eastAsia="Arial" w:hAnsi="Arial" w:cs="Arial"/>
          <w:sz w:val="24"/>
          <w:szCs w:val="24"/>
        </w:rPr>
      </w:pPr>
    </w:p>
    <w:p w14:paraId="707F3FC7" w14:textId="77777777" w:rsidR="00955984" w:rsidRPr="001E722E" w:rsidRDefault="00955984">
      <w:pPr>
        <w:spacing w:after="120" w:line="360" w:lineRule="auto"/>
        <w:rPr>
          <w:rFonts w:ascii="Arial" w:eastAsia="Arial" w:hAnsi="Arial" w:cs="Arial"/>
          <w:sz w:val="24"/>
          <w:szCs w:val="24"/>
        </w:rPr>
      </w:pPr>
    </w:p>
    <w:p w14:paraId="5CBEB724" w14:textId="77777777" w:rsidR="00955984" w:rsidRPr="001E722E" w:rsidRDefault="00955984">
      <w:pPr>
        <w:spacing w:after="120" w:line="360" w:lineRule="auto"/>
        <w:rPr>
          <w:rFonts w:ascii="Arial" w:eastAsia="Arial" w:hAnsi="Arial" w:cs="Arial"/>
          <w:sz w:val="24"/>
          <w:szCs w:val="24"/>
        </w:rPr>
      </w:pPr>
    </w:p>
    <w:p w14:paraId="1B84D80A" w14:textId="77777777" w:rsidR="00955984" w:rsidRPr="001E722E" w:rsidRDefault="00955984">
      <w:pPr>
        <w:spacing w:after="120" w:line="360" w:lineRule="auto"/>
        <w:rPr>
          <w:rFonts w:ascii="Arial" w:eastAsia="Arial" w:hAnsi="Arial" w:cs="Arial"/>
          <w:sz w:val="24"/>
          <w:szCs w:val="24"/>
        </w:rPr>
      </w:pPr>
    </w:p>
    <w:p w14:paraId="5260CA0E" w14:textId="77777777" w:rsidR="00955984" w:rsidRPr="001E722E" w:rsidRDefault="00955984">
      <w:pPr>
        <w:spacing w:after="120" w:line="360" w:lineRule="auto"/>
        <w:rPr>
          <w:rFonts w:ascii="Arial" w:eastAsia="Arial" w:hAnsi="Arial" w:cs="Arial"/>
          <w:sz w:val="24"/>
          <w:szCs w:val="24"/>
        </w:rPr>
      </w:pPr>
    </w:p>
    <w:p w14:paraId="66344D6E" w14:textId="77777777" w:rsidR="00955984" w:rsidRPr="001E722E" w:rsidRDefault="00955984">
      <w:pPr>
        <w:spacing w:after="120" w:line="360" w:lineRule="auto"/>
        <w:rPr>
          <w:rFonts w:ascii="Arial" w:eastAsia="Arial" w:hAnsi="Arial" w:cs="Arial"/>
          <w:sz w:val="24"/>
          <w:szCs w:val="24"/>
        </w:rPr>
      </w:pPr>
    </w:p>
    <w:p w14:paraId="21EFD6E4" w14:textId="77777777" w:rsidR="00955984" w:rsidRPr="001E722E" w:rsidRDefault="00955984">
      <w:pPr>
        <w:spacing w:after="120" w:line="360" w:lineRule="auto"/>
        <w:rPr>
          <w:rFonts w:ascii="Arial" w:eastAsia="Arial" w:hAnsi="Arial" w:cs="Arial"/>
          <w:sz w:val="24"/>
          <w:szCs w:val="24"/>
        </w:rPr>
      </w:pPr>
    </w:p>
    <w:p w14:paraId="0913B808" w14:textId="77777777" w:rsidR="00955984" w:rsidRPr="001E722E" w:rsidRDefault="00161751">
      <w:pPr>
        <w:pStyle w:val="Heading1"/>
        <w:pageBreakBefore/>
      </w:pPr>
      <w:r w:rsidRPr="001E722E">
        <w:lastRenderedPageBreak/>
        <w:t>GLOSSARY</w:t>
      </w:r>
    </w:p>
    <w:tbl>
      <w:tblPr>
        <w:tblStyle w:val="TableNormal0"/>
        <w:tblW w:w="9026" w:type="dxa"/>
        <w:tblInd w:w="0" w:type="dxa"/>
        <w:tblBorders>
          <w:top w:val="nil"/>
          <w:left w:val="nil"/>
          <w:bottom w:val="nil"/>
          <w:right w:val="nil"/>
          <w:insideH w:val="nil"/>
          <w:insideV w:val="nil"/>
        </w:tblBorders>
        <w:tblLayout w:type="fixed"/>
        <w:tblLook w:val="0400" w:firstRow="0" w:lastRow="0" w:firstColumn="0" w:lastColumn="0" w:noHBand="0" w:noVBand="1"/>
      </w:tblPr>
      <w:tblGrid>
        <w:gridCol w:w="2900"/>
        <w:gridCol w:w="6126"/>
      </w:tblGrid>
      <w:tr w:rsidR="00955984" w:rsidRPr="001E722E" w14:paraId="16422426" w14:textId="77777777">
        <w:trPr>
          <w:cantSplit/>
        </w:trPr>
        <w:tc>
          <w:tcPr>
            <w:tcW w:w="2900" w:type="dxa"/>
          </w:tcPr>
          <w:p w14:paraId="5487BE28" w14:textId="77777777" w:rsidR="00955984" w:rsidRPr="001E722E" w:rsidRDefault="00161751">
            <w:pPr>
              <w:spacing w:before="60" w:after="60"/>
              <w:rPr>
                <w:sz w:val="24"/>
                <w:szCs w:val="24"/>
              </w:rPr>
            </w:pPr>
            <w:r w:rsidRPr="001E722E">
              <w:rPr>
                <w:rFonts w:ascii="Arial" w:eastAsia="Arial" w:hAnsi="Arial" w:cs="Arial"/>
                <w:b/>
                <w:bCs/>
                <w:sz w:val="24"/>
                <w:szCs w:val="24"/>
              </w:rPr>
              <w:t>Cardiovascular Disease (CVD)</w:t>
            </w:r>
          </w:p>
        </w:tc>
        <w:tc>
          <w:tcPr>
            <w:tcW w:w="6126" w:type="dxa"/>
          </w:tcPr>
          <w:p w14:paraId="7696E7A9" w14:textId="77777777" w:rsidR="00955984" w:rsidRPr="001E722E" w:rsidRDefault="00161751">
            <w:pPr>
              <w:spacing w:before="60" w:after="60"/>
              <w:rPr>
                <w:sz w:val="24"/>
                <w:szCs w:val="24"/>
              </w:rPr>
            </w:pPr>
            <w:r w:rsidRPr="001E722E">
              <w:rPr>
                <w:rFonts w:ascii="Arial" w:eastAsia="Arial" w:hAnsi="Arial" w:cs="Arial"/>
                <w:sz w:val="24"/>
                <w:szCs w:val="24"/>
              </w:rPr>
              <w:t>A general term for conditions affecting the heart or blood vessels, including coronary heart disease and stroke.</w:t>
            </w:r>
          </w:p>
        </w:tc>
      </w:tr>
      <w:tr w:rsidR="00955984" w:rsidRPr="001E722E" w14:paraId="1ACD38CC" w14:textId="77777777">
        <w:trPr>
          <w:cantSplit/>
        </w:trPr>
        <w:tc>
          <w:tcPr>
            <w:tcW w:w="2900" w:type="dxa"/>
          </w:tcPr>
          <w:p w14:paraId="0271930F" w14:textId="77777777" w:rsidR="00955984" w:rsidRPr="001E722E" w:rsidRDefault="00161751">
            <w:pPr>
              <w:spacing w:before="60" w:after="60"/>
              <w:rPr>
                <w:sz w:val="24"/>
                <w:szCs w:val="24"/>
              </w:rPr>
            </w:pPr>
            <w:r w:rsidRPr="001E722E">
              <w:rPr>
                <w:rFonts w:ascii="Arial" w:eastAsia="Arial" w:hAnsi="Arial" w:cs="Arial"/>
                <w:b/>
                <w:bCs/>
                <w:sz w:val="24"/>
                <w:szCs w:val="24"/>
              </w:rPr>
              <w:t>CASP Checklist</w:t>
            </w:r>
          </w:p>
        </w:tc>
        <w:tc>
          <w:tcPr>
            <w:tcW w:w="6126" w:type="dxa"/>
          </w:tcPr>
          <w:p w14:paraId="5A236457" w14:textId="77777777" w:rsidR="00955984" w:rsidRPr="001E722E" w:rsidRDefault="00161751">
            <w:pPr>
              <w:spacing w:before="60" w:after="60"/>
              <w:rPr>
                <w:sz w:val="24"/>
                <w:szCs w:val="24"/>
              </w:rPr>
            </w:pPr>
            <w:r w:rsidRPr="001E722E">
              <w:rPr>
                <w:rFonts w:ascii="Arial" w:eastAsia="Arial" w:hAnsi="Arial" w:cs="Arial"/>
                <w:sz w:val="24"/>
                <w:szCs w:val="24"/>
              </w:rPr>
              <w:t>A structured appraisal tool from the Critical Appraisal Skills Programme used to assess the quality of a particular study design.</w:t>
            </w:r>
          </w:p>
        </w:tc>
      </w:tr>
      <w:tr w:rsidR="00955984" w:rsidRPr="001E722E" w14:paraId="344500E9" w14:textId="77777777">
        <w:trPr>
          <w:cantSplit/>
        </w:trPr>
        <w:tc>
          <w:tcPr>
            <w:tcW w:w="2900" w:type="dxa"/>
          </w:tcPr>
          <w:p w14:paraId="4E08B6C3" w14:textId="77777777" w:rsidR="00955984" w:rsidRPr="001E722E" w:rsidRDefault="00161751">
            <w:pPr>
              <w:spacing w:before="60" w:after="60"/>
              <w:rPr>
                <w:sz w:val="24"/>
                <w:szCs w:val="24"/>
              </w:rPr>
            </w:pPr>
            <w:r w:rsidRPr="001E722E">
              <w:rPr>
                <w:rFonts w:ascii="Arial" w:eastAsia="Arial" w:hAnsi="Arial" w:cs="Arial"/>
                <w:b/>
                <w:bCs/>
                <w:sz w:val="24"/>
                <w:szCs w:val="24"/>
              </w:rPr>
              <w:t>Coronary Heart Disease (CHD)</w:t>
            </w:r>
          </w:p>
        </w:tc>
        <w:tc>
          <w:tcPr>
            <w:tcW w:w="6126" w:type="dxa"/>
          </w:tcPr>
          <w:p w14:paraId="3F5829B6" w14:textId="77777777" w:rsidR="00955984" w:rsidRPr="001E722E" w:rsidRDefault="00161751">
            <w:pPr>
              <w:spacing w:before="60" w:after="60"/>
              <w:rPr>
                <w:sz w:val="24"/>
                <w:szCs w:val="24"/>
              </w:rPr>
            </w:pPr>
            <w:r w:rsidRPr="001E722E">
              <w:rPr>
                <w:rFonts w:ascii="Arial" w:eastAsia="Arial" w:hAnsi="Arial" w:cs="Arial"/>
                <w:sz w:val="24"/>
                <w:szCs w:val="24"/>
              </w:rPr>
              <w:t>A condition in which the arteries supplying the heart become narrowed by fatty deposits, reducing blood flow and increasing the risk of angina and heart attack.</w:t>
            </w:r>
          </w:p>
        </w:tc>
      </w:tr>
      <w:tr w:rsidR="00955984" w:rsidRPr="001E722E" w14:paraId="273BD170" w14:textId="77777777">
        <w:trPr>
          <w:cantSplit/>
        </w:trPr>
        <w:tc>
          <w:tcPr>
            <w:tcW w:w="2900" w:type="dxa"/>
          </w:tcPr>
          <w:p w14:paraId="5640C3A9" w14:textId="77777777" w:rsidR="00955984" w:rsidRPr="001E722E" w:rsidRDefault="00161751">
            <w:pPr>
              <w:spacing w:before="60" w:after="60"/>
              <w:rPr>
                <w:sz w:val="24"/>
                <w:szCs w:val="24"/>
              </w:rPr>
            </w:pPr>
            <w:r w:rsidRPr="001E722E">
              <w:rPr>
                <w:rFonts w:ascii="Arial" w:eastAsia="Arial" w:hAnsi="Arial" w:cs="Arial"/>
                <w:b/>
                <w:bCs/>
                <w:sz w:val="24"/>
                <w:szCs w:val="24"/>
              </w:rPr>
              <w:t>Critical Appraisal</w:t>
            </w:r>
          </w:p>
        </w:tc>
        <w:tc>
          <w:tcPr>
            <w:tcW w:w="6126" w:type="dxa"/>
          </w:tcPr>
          <w:p w14:paraId="0D9EFC25" w14:textId="77777777" w:rsidR="00955984" w:rsidRPr="001E722E" w:rsidRDefault="00161751">
            <w:pPr>
              <w:spacing w:before="60" w:after="60"/>
              <w:rPr>
                <w:sz w:val="24"/>
                <w:szCs w:val="24"/>
              </w:rPr>
            </w:pPr>
            <w:r w:rsidRPr="001E722E">
              <w:rPr>
                <w:rFonts w:ascii="Arial" w:eastAsia="Arial" w:hAnsi="Arial" w:cs="Arial"/>
                <w:sz w:val="24"/>
                <w:szCs w:val="24"/>
              </w:rPr>
              <w:t>The systematic assessment of a study's trustworthiness, relevance and quality before its findings are used.</w:t>
            </w:r>
          </w:p>
        </w:tc>
      </w:tr>
      <w:tr w:rsidR="00955984" w:rsidRPr="001E722E" w14:paraId="33800BD5" w14:textId="77777777">
        <w:trPr>
          <w:cantSplit/>
        </w:trPr>
        <w:tc>
          <w:tcPr>
            <w:tcW w:w="2900" w:type="dxa"/>
          </w:tcPr>
          <w:p w14:paraId="3CDE7FCB" w14:textId="77777777" w:rsidR="00955984" w:rsidRPr="001E722E" w:rsidRDefault="00161751">
            <w:pPr>
              <w:spacing w:before="60" w:after="60"/>
              <w:rPr>
                <w:sz w:val="24"/>
                <w:szCs w:val="24"/>
              </w:rPr>
            </w:pPr>
            <w:r w:rsidRPr="001E722E">
              <w:rPr>
                <w:rFonts w:ascii="Arial" w:eastAsia="Arial" w:hAnsi="Arial" w:cs="Arial"/>
                <w:b/>
                <w:bCs/>
                <w:sz w:val="24"/>
                <w:szCs w:val="24"/>
              </w:rPr>
              <w:t>Cues to Action</w:t>
            </w:r>
          </w:p>
        </w:tc>
        <w:tc>
          <w:tcPr>
            <w:tcW w:w="6126" w:type="dxa"/>
          </w:tcPr>
          <w:p w14:paraId="3ED95AE0" w14:textId="77777777" w:rsidR="00955984" w:rsidRPr="001E722E" w:rsidRDefault="00161751">
            <w:pPr>
              <w:spacing w:before="60" w:after="60"/>
              <w:rPr>
                <w:sz w:val="24"/>
                <w:szCs w:val="24"/>
              </w:rPr>
            </w:pPr>
            <w:r w:rsidRPr="001E722E">
              <w:rPr>
                <w:rFonts w:ascii="Arial" w:eastAsia="Arial" w:hAnsi="Arial" w:cs="Arial"/>
                <w:sz w:val="24"/>
                <w:szCs w:val="24"/>
              </w:rPr>
              <w:t>An HBM construct describing the internal or external triggers, such as a symptom, an invitation letter or a media campaign, that prompt a person to act.</w:t>
            </w:r>
          </w:p>
        </w:tc>
      </w:tr>
      <w:tr w:rsidR="00955984" w:rsidRPr="001E722E" w14:paraId="19AD16A3" w14:textId="77777777">
        <w:trPr>
          <w:cantSplit/>
        </w:trPr>
        <w:tc>
          <w:tcPr>
            <w:tcW w:w="2900" w:type="dxa"/>
          </w:tcPr>
          <w:p w14:paraId="5252B6A8" w14:textId="77777777" w:rsidR="00955984" w:rsidRPr="001E722E" w:rsidRDefault="00161751">
            <w:pPr>
              <w:spacing w:before="60" w:after="60"/>
              <w:rPr>
                <w:sz w:val="24"/>
                <w:szCs w:val="24"/>
              </w:rPr>
            </w:pPr>
            <w:r w:rsidRPr="001E722E">
              <w:rPr>
                <w:rFonts w:ascii="Arial" w:eastAsia="Arial" w:hAnsi="Arial" w:cs="Arial"/>
                <w:b/>
                <w:bCs/>
                <w:sz w:val="24"/>
                <w:szCs w:val="24"/>
              </w:rPr>
              <w:t>Early Screening</w:t>
            </w:r>
          </w:p>
        </w:tc>
        <w:tc>
          <w:tcPr>
            <w:tcW w:w="6126" w:type="dxa"/>
          </w:tcPr>
          <w:p w14:paraId="4A36216C" w14:textId="77777777" w:rsidR="00955984" w:rsidRPr="001E722E" w:rsidRDefault="00161751">
            <w:pPr>
              <w:spacing w:before="60" w:after="60"/>
              <w:rPr>
                <w:sz w:val="24"/>
                <w:szCs w:val="24"/>
              </w:rPr>
            </w:pPr>
            <w:r w:rsidRPr="001E722E">
              <w:rPr>
                <w:rFonts w:ascii="Arial" w:eastAsia="Arial" w:hAnsi="Arial" w:cs="Arial"/>
                <w:sz w:val="24"/>
                <w:szCs w:val="24"/>
              </w:rPr>
              <w:t>Testing people who have no symptoms in order to detect disease or its risk factors early, when intervention is most effective.</w:t>
            </w:r>
          </w:p>
        </w:tc>
      </w:tr>
      <w:tr w:rsidR="00955984" w:rsidRPr="001E722E" w14:paraId="41D76EC8" w14:textId="77777777">
        <w:trPr>
          <w:cantSplit/>
        </w:trPr>
        <w:tc>
          <w:tcPr>
            <w:tcW w:w="2900" w:type="dxa"/>
          </w:tcPr>
          <w:p w14:paraId="204A1BFF" w14:textId="77777777" w:rsidR="00955984" w:rsidRPr="001E722E" w:rsidRDefault="00161751">
            <w:pPr>
              <w:spacing w:before="60" w:after="60"/>
              <w:rPr>
                <w:sz w:val="24"/>
                <w:szCs w:val="24"/>
              </w:rPr>
            </w:pPr>
            <w:r w:rsidRPr="001E722E">
              <w:rPr>
                <w:rFonts w:ascii="Arial" w:eastAsia="Arial" w:hAnsi="Arial" w:cs="Arial"/>
                <w:b/>
                <w:bCs/>
                <w:sz w:val="24"/>
                <w:szCs w:val="24"/>
              </w:rPr>
              <w:t>Grey Literature</w:t>
            </w:r>
          </w:p>
        </w:tc>
        <w:tc>
          <w:tcPr>
            <w:tcW w:w="6126" w:type="dxa"/>
          </w:tcPr>
          <w:p w14:paraId="5620C2A1" w14:textId="77777777" w:rsidR="00955984" w:rsidRPr="001E722E" w:rsidRDefault="00161751">
            <w:pPr>
              <w:spacing w:before="60" w:after="60"/>
              <w:rPr>
                <w:sz w:val="24"/>
                <w:szCs w:val="24"/>
              </w:rPr>
            </w:pPr>
            <w:r w:rsidRPr="001E722E">
              <w:rPr>
                <w:rFonts w:ascii="Arial" w:eastAsia="Arial" w:hAnsi="Arial" w:cs="Arial"/>
                <w:sz w:val="24"/>
                <w:szCs w:val="24"/>
              </w:rPr>
              <w:t>Material produced outside traditional academic publishing, such as government reports, policy documents and charity factsheets.</w:t>
            </w:r>
          </w:p>
        </w:tc>
      </w:tr>
      <w:tr w:rsidR="00955984" w:rsidRPr="001E722E" w14:paraId="4F70F23D" w14:textId="77777777">
        <w:trPr>
          <w:cantSplit/>
        </w:trPr>
        <w:tc>
          <w:tcPr>
            <w:tcW w:w="2900" w:type="dxa"/>
          </w:tcPr>
          <w:p w14:paraId="00C1D5C3" w14:textId="77777777" w:rsidR="00955984" w:rsidRPr="001E722E" w:rsidRDefault="00161751">
            <w:pPr>
              <w:spacing w:before="60" w:after="60"/>
              <w:rPr>
                <w:sz w:val="24"/>
                <w:szCs w:val="24"/>
              </w:rPr>
            </w:pPr>
            <w:r w:rsidRPr="001E722E">
              <w:rPr>
                <w:rFonts w:ascii="Arial" w:eastAsia="Arial" w:hAnsi="Arial" w:cs="Arial"/>
                <w:b/>
                <w:bCs/>
                <w:sz w:val="24"/>
                <w:szCs w:val="24"/>
              </w:rPr>
              <w:t>Health Belief Model (HBM)</w:t>
            </w:r>
          </w:p>
        </w:tc>
        <w:tc>
          <w:tcPr>
            <w:tcW w:w="6126" w:type="dxa"/>
          </w:tcPr>
          <w:p w14:paraId="27324AEB" w14:textId="77777777" w:rsidR="00955984" w:rsidRPr="001E722E" w:rsidRDefault="00161751">
            <w:pPr>
              <w:spacing w:before="60" w:after="60"/>
              <w:rPr>
                <w:sz w:val="24"/>
                <w:szCs w:val="24"/>
              </w:rPr>
            </w:pPr>
            <w:r w:rsidRPr="001E722E">
              <w:rPr>
                <w:rFonts w:ascii="Arial" w:eastAsia="Arial" w:hAnsi="Arial" w:cs="Arial"/>
                <w:sz w:val="24"/>
                <w:szCs w:val="24"/>
              </w:rPr>
              <w:t>A psychological model that explains health behaviour through beliefs about susceptibility, severity, benefits, barriers, cues to action and self-efficacy.</w:t>
            </w:r>
          </w:p>
        </w:tc>
      </w:tr>
      <w:tr w:rsidR="00955984" w:rsidRPr="001E722E" w14:paraId="1340072D" w14:textId="77777777">
        <w:trPr>
          <w:cantSplit/>
        </w:trPr>
        <w:tc>
          <w:tcPr>
            <w:tcW w:w="2900" w:type="dxa"/>
          </w:tcPr>
          <w:p w14:paraId="3B09DD79" w14:textId="77777777" w:rsidR="00955984" w:rsidRPr="001E722E" w:rsidRDefault="00161751">
            <w:pPr>
              <w:spacing w:before="60" w:after="60"/>
              <w:rPr>
                <w:sz w:val="24"/>
                <w:szCs w:val="24"/>
              </w:rPr>
            </w:pPr>
            <w:r w:rsidRPr="001E722E">
              <w:rPr>
                <w:rFonts w:ascii="Arial" w:eastAsia="Arial" w:hAnsi="Arial" w:cs="Arial"/>
                <w:b/>
                <w:bCs/>
                <w:sz w:val="24"/>
                <w:szCs w:val="24"/>
              </w:rPr>
              <w:t>Health Inequalities</w:t>
            </w:r>
          </w:p>
        </w:tc>
        <w:tc>
          <w:tcPr>
            <w:tcW w:w="6126" w:type="dxa"/>
          </w:tcPr>
          <w:p w14:paraId="04823BE2" w14:textId="77777777" w:rsidR="00955984" w:rsidRPr="001E722E" w:rsidRDefault="00161751">
            <w:pPr>
              <w:spacing w:before="60" w:after="60"/>
              <w:rPr>
                <w:sz w:val="24"/>
                <w:szCs w:val="24"/>
              </w:rPr>
            </w:pPr>
            <w:r w:rsidRPr="001E722E">
              <w:rPr>
                <w:rFonts w:ascii="Arial" w:eastAsia="Arial" w:hAnsi="Arial" w:cs="Arial"/>
                <w:sz w:val="24"/>
                <w:szCs w:val="24"/>
              </w:rPr>
              <w:t>Unfair and avoidable differences in health between population groups, often linked to deprivation, ethnicity or gender.</w:t>
            </w:r>
          </w:p>
        </w:tc>
      </w:tr>
      <w:tr w:rsidR="00955984" w:rsidRPr="001E722E" w14:paraId="43187056" w14:textId="77777777">
        <w:trPr>
          <w:cantSplit/>
        </w:trPr>
        <w:tc>
          <w:tcPr>
            <w:tcW w:w="2900" w:type="dxa"/>
          </w:tcPr>
          <w:p w14:paraId="1A5FF40F" w14:textId="77777777" w:rsidR="00955984" w:rsidRPr="001E722E" w:rsidRDefault="00161751">
            <w:pPr>
              <w:spacing w:before="60" w:after="60"/>
              <w:rPr>
                <w:sz w:val="24"/>
                <w:szCs w:val="24"/>
              </w:rPr>
            </w:pPr>
            <w:r w:rsidRPr="001E722E">
              <w:rPr>
                <w:rFonts w:ascii="Arial" w:eastAsia="Arial" w:hAnsi="Arial" w:cs="Arial"/>
                <w:b/>
                <w:bCs/>
                <w:sz w:val="24"/>
                <w:szCs w:val="24"/>
              </w:rPr>
              <w:t>Health Literacy</w:t>
            </w:r>
          </w:p>
        </w:tc>
        <w:tc>
          <w:tcPr>
            <w:tcW w:w="6126" w:type="dxa"/>
          </w:tcPr>
          <w:p w14:paraId="6E22AB74" w14:textId="77777777" w:rsidR="00955984" w:rsidRPr="001E722E" w:rsidRDefault="00161751">
            <w:pPr>
              <w:spacing w:before="60" w:after="60"/>
              <w:rPr>
                <w:sz w:val="24"/>
                <w:szCs w:val="24"/>
              </w:rPr>
            </w:pPr>
            <w:r w:rsidRPr="001E722E">
              <w:rPr>
                <w:rFonts w:ascii="Arial" w:eastAsia="Arial" w:hAnsi="Arial" w:cs="Arial"/>
                <w:sz w:val="24"/>
                <w:szCs w:val="24"/>
              </w:rPr>
              <w:t>The ability to find, understand and use health information to make decisions about one's own health.</w:t>
            </w:r>
          </w:p>
        </w:tc>
      </w:tr>
      <w:tr w:rsidR="00955984" w:rsidRPr="001E722E" w14:paraId="1991644B" w14:textId="77777777">
        <w:trPr>
          <w:cantSplit/>
        </w:trPr>
        <w:tc>
          <w:tcPr>
            <w:tcW w:w="2900" w:type="dxa"/>
          </w:tcPr>
          <w:p w14:paraId="1B9A5C00" w14:textId="77777777" w:rsidR="00955984" w:rsidRPr="001E722E" w:rsidRDefault="00161751">
            <w:pPr>
              <w:spacing w:before="60" w:after="60"/>
              <w:rPr>
                <w:sz w:val="24"/>
                <w:szCs w:val="24"/>
              </w:rPr>
            </w:pPr>
            <w:r w:rsidRPr="001E722E">
              <w:rPr>
                <w:rFonts w:ascii="Arial" w:eastAsia="Arial" w:hAnsi="Arial" w:cs="Arial"/>
                <w:b/>
                <w:bCs/>
                <w:sz w:val="24"/>
                <w:szCs w:val="24"/>
              </w:rPr>
              <w:t>Inclusion and Exclusion Criteria</w:t>
            </w:r>
          </w:p>
        </w:tc>
        <w:tc>
          <w:tcPr>
            <w:tcW w:w="6126" w:type="dxa"/>
          </w:tcPr>
          <w:p w14:paraId="0BC82DCA" w14:textId="77777777" w:rsidR="00955984" w:rsidRPr="001E722E" w:rsidRDefault="00161751">
            <w:pPr>
              <w:spacing w:before="60" w:after="60"/>
              <w:rPr>
                <w:sz w:val="24"/>
                <w:szCs w:val="24"/>
              </w:rPr>
            </w:pPr>
            <w:r w:rsidRPr="001E722E">
              <w:rPr>
                <w:rFonts w:ascii="Arial" w:eastAsia="Arial" w:hAnsi="Arial" w:cs="Arial"/>
                <w:sz w:val="24"/>
                <w:szCs w:val="24"/>
              </w:rPr>
              <w:t>Predefined rules used to decide which studies are eligible for inclusion in a systematic review.</w:t>
            </w:r>
          </w:p>
        </w:tc>
      </w:tr>
      <w:tr w:rsidR="00955984" w:rsidRPr="001E722E" w14:paraId="51A0C6DA" w14:textId="77777777">
        <w:trPr>
          <w:cantSplit/>
        </w:trPr>
        <w:tc>
          <w:tcPr>
            <w:tcW w:w="2900" w:type="dxa"/>
          </w:tcPr>
          <w:p w14:paraId="79C156C7" w14:textId="77777777" w:rsidR="00955984" w:rsidRPr="001E722E" w:rsidRDefault="00161751">
            <w:pPr>
              <w:spacing w:before="60" w:after="60"/>
              <w:rPr>
                <w:sz w:val="24"/>
                <w:szCs w:val="24"/>
              </w:rPr>
            </w:pPr>
            <w:r w:rsidRPr="001E722E">
              <w:rPr>
                <w:rFonts w:ascii="Arial" w:eastAsia="Arial" w:hAnsi="Arial" w:cs="Arial"/>
                <w:b/>
                <w:bCs/>
                <w:sz w:val="24"/>
                <w:szCs w:val="24"/>
              </w:rPr>
              <w:t>Mass Media Campaign</w:t>
            </w:r>
          </w:p>
        </w:tc>
        <w:tc>
          <w:tcPr>
            <w:tcW w:w="6126" w:type="dxa"/>
          </w:tcPr>
          <w:p w14:paraId="092AFFB7" w14:textId="77777777" w:rsidR="00955984" w:rsidRPr="001E722E" w:rsidRDefault="00161751">
            <w:pPr>
              <w:spacing w:before="60" w:after="60"/>
              <w:rPr>
                <w:sz w:val="24"/>
                <w:szCs w:val="24"/>
              </w:rPr>
            </w:pPr>
            <w:r w:rsidRPr="001E722E">
              <w:rPr>
                <w:rFonts w:ascii="Arial" w:eastAsia="Arial" w:hAnsi="Arial" w:cs="Arial"/>
                <w:sz w:val="24"/>
                <w:szCs w:val="24"/>
              </w:rPr>
              <w:t>A public health intervention that uses channels such as television, radio, print or social media to deliver health messages to large populations.</w:t>
            </w:r>
          </w:p>
        </w:tc>
      </w:tr>
      <w:tr w:rsidR="00955984" w:rsidRPr="001E722E" w14:paraId="5E0FBCED" w14:textId="77777777">
        <w:trPr>
          <w:cantSplit/>
        </w:trPr>
        <w:tc>
          <w:tcPr>
            <w:tcW w:w="2900" w:type="dxa"/>
          </w:tcPr>
          <w:p w14:paraId="1FF97BF4" w14:textId="77777777" w:rsidR="00955984" w:rsidRPr="001E722E" w:rsidRDefault="00161751">
            <w:pPr>
              <w:spacing w:before="60" w:after="60"/>
              <w:rPr>
                <w:sz w:val="24"/>
                <w:szCs w:val="24"/>
              </w:rPr>
            </w:pPr>
            <w:r w:rsidRPr="001E722E">
              <w:rPr>
                <w:rFonts w:ascii="Arial" w:eastAsia="Arial" w:hAnsi="Arial" w:cs="Arial"/>
                <w:b/>
                <w:bCs/>
                <w:sz w:val="24"/>
                <w:szCs w:val="24"/>
              </w:rPr>
              <w:lastRenderedPageBreak/>
              <w:t>Narrative Synthesis</w:t>
            </w:r>
          </w:p>
        </w:tc>
        <w:tc>
          <w:tcPr>
            <w:tcW w:w="6126" w:type="dxa"/>
          </w:tcPr>
          <w:p w14:paraId="4115028D" w14:textId="77777777" w:rsidR="00955984" w:rsidRPr="001E722E" w:rsidRDefault="00161751">
            <w:pPr>
              <w:spacing w:before="60" w:after="60"/>
              <w:rPr>
                <w:sz w:val="24"/>
                <w:szCs w:val="24"/>
              </w:rPr>
            </w:pPr>
            <w:r w:rsidRPr="001E722E">
              <w:rPr>
                <w:rFonts w:ascii="Arial" w:eastAsia="Arial" w:hAnsi="Arial" w:cs="Arial"/>
                <w:sz w:val="24"/>
                <w:szCs w:val="24"/>
              </w:rPr>
              <w:t>A method of combining the findings of multiple studies using words and text rather than statistical pooling.</w:t>
            </w:r>
          </w:p>
        </w:tc>
      </w:tr>
      <w:tr w:rsidR="00955984" w:rsidRPr="001E722E" w14:paraId="486D2A34" w14:textId="77777777">
        <w:trPr>
          <w:cantSplit/>
        </w:trPr>
        <w:tc>
          <w:tcPr>
            <w:tcW w:w="2900" w:type="dxa"/>
          </w:tcPr>
          <w:p w14:paraId="1CCFCAE8" w14:textId="77777777" w:rsidR="00955984" w:rsidRPr="001E722E" w:rsidRDefault="00161751">
            <w:pPr>
              <w:spacing w:before="60" w:after="60"/>
              <w:rPr>
                <w:sz w:val="24"/>
                <w:szCs w:val="24"/>
              </w:rPr>
            </w:pPr>
            <w:r w:rsidRPr="001E722E">
              <w:rPr>
                <w:rFonts w:ascii="Arial" w:eastAsia="Arial" w:hAnsi="Arial" w:cs="Arial"/>
                <w:b/>
                <w:bCs/>
                <w:sz w:val="24"/>
                <w:szCs w:val="24"/>
              </w:rPr>
              <w:t>NHS Health Check</w:t>
            </w:r>
          </w:p>
        </w:tc>
        <w:tc>
          <w:tcPr>
            <w:tcW w:w="6126" w:type="dxa"/>
          </w:tcPr>
          <w:p w14:paraId="6AA7F4F4" w14:textId="77777777" w:rsidR="00955984" w:rsidRPr="001E722E" w:rsidRDefault="00161751">
            <w:pPr>
              <w:spacing w:before="60" w:after="60"/>
              <w:rPr>
                <w:sz w:val="24"/>
                <w:szCs w:val="24"/>
              </w:rPr>
            </w:pPr>
            <w:r w:rsidRPr="001E722E">
              <w:rPr>
                <w:rFonts w:ascii="Arial" w:eastAsia="Arial" w:hAnsi="Arial" w:cs="Arial"/>
                <w:sz w:val="24"/>
                <w:szCs w:val="24"/>
              </w:rPr>
              <w:t>A national programme in England that invites adults aged 40 to 74 without existing vascular conditions for an assessment of their risk of heart disease, stroke, diabetes and kidney disease every five years.</w:t>
            </w:r>
          </w:p>
        </w:tc>
      </w:tr>
      <w:tr w:rsidR="00955984" w:rsidRPr="001E722E" w14:paraId="6B4B8706" w14:textId="77777777">
        <w:trPr>
          <w:cantSplit/>
        </w:trPr>
        <w:tc>
          <w:tcPr>
            <w:tcW w:w="2900" w:type="dxa"/>
          </w:tcPr>
          <w:p w14:paraId="1EF8E682" w14:textId="77777777" w:rsidR="00955984" w:rsidRPr="001E722E" w:rsidRDefault="00161751">
            <w:pPr>
              <w:spacing w:before="60" w:after="60"/>
              <w:rPr>
                <w:sz w:val="24"/>
                <w:szCs w:val="24"/>
              </w:rPr>
            </w:pPr>
            <w:r w:rsidRPr="001E722E">
              <w:rPr>
                <w:rFonts w:ascii="Arial" w:eastAsia="Arial" w:hAnsi="Arial" w:cs="Arial"/>
                <w:b/>
                <w:bCs/>
                <w:sz w:val="24"/>
                <w:szCs w:val="24"/>
              </w:rPr>
              <w:t>Perceived Barriers</w:t>
            </w:r>
          </w:p>
        </w:tc>
        <w:tc>
          <w:tcPr>
            <w:tcW w:w="6126" w:type="dxa"/>
          </w:tcPr>
          <w:p w14:paraId="4DAFC5FE" w14:textId="77777777" w:rsidR="00955984" w:rsidRPr="001E722E" w:rsidRDefault="00161751">
            <w:pPr>
              <w:spacing w:before="60" w:after="60"/>
              <w:rPr>
                <w:sz w:val="24"/>
                <w:szCs w:val="24"/>
              </w:rPr>
            </w:pPr>
            <w:r w:rsidRPr="001E722E">
              <w:rPr>
                <w:rFonts w:ascii="Arial" w:eastAsia="Arial" w:hAnsi="Arial" w:cs="Arial"/>
                <w:sz w:val="24"/>
                <w:szCs w:val="24"/>
              </w:rPr>
              <w:t>An HBM construct describing a person's beliefs about the costs, difficulties or obstacles of taking a health action.</w:t>
            </w:r>
          </w:p>
        </w:tc>
      </w:tr>
      <w:tr w:rsidR="00955984" w:rsidRPr="001E722E" w14:paraId="4824FB47" w14:textId="77777777">
        <w:trPr>
          <w:cantSplit/>
        </w:trPr>
        <w:tc>
          <w:tcPr>
            <w:tcW w:w="2900" w:type="dxa"/>
          </w:tcPr>
          <w:p w14:paraId="4B87E4A5" w14:textId="77777777" w:rsidR="00955984" w:rsidRPr="001E722E" w:rsidRDefault="00161751">
            <w:pPr>
              <w:spacing w:before="60" w:after="60"/>
              <w:rPr>
                <w:sz w:val="24"/>
                <w:szCs w:val="24"/>
              </w:rPr>
            </w:pPr>
            <w:r w:rsidRPr="001E722E">
              <w:rPr>
                <w:rFonts w:ascii="Arial" w:eastAsia="Arial" w:hAnsi="Arial" w:cs="Arial"/>
                <w:b/>
                <w:bCs/>
                <w:sz w:val="24"/>
                <w:szCs w:val="24"/>
              </w:rPr>
              <w:t>Perceived Benefits</w:t>
            </w:r>
          </w:p>
        </w:tc>
        <w:tc>
          <w:tcPr>
            <w:tcW w:w="6126" w:type="dxa"/>
          </w:tcPr>
          <w:p w14:paraId="375B6456" w14:textId="77777777" w:rsidR="00955984" w:rsidRPr="001E722E" w:rsidRDefault="00161751">
            <w:pPr>
              <w:spacing w:before="60" w:after="60"/>
              <w:rPr>
                <w:sz w:val="24"/>
                <w:szCs w:val="24"/>
              </w:rPr>
            </w:pPr>
            <w:r w:rsidRPr="001E722E">
              <w:rPr>
                <w:rFonts w:ascii="Arial" w:eastAsia="Arial" w:hAnsi="Arial" w:cs="Arial"/>
                <w:sz w:val="24"/>
                <w:szCs w:val="24"/>
              </w:rPr>
              <w:t>An HBM construct describing a person's belief that taking a health action will reduce their risk or the seriousness of a condition.</w:t>
            </w:r>
          </w:p>
        </w:tc>
      </w:tr>
      <w:tr w:rsidR="00955984" w:rsidRPr="001E722E" w14:paraId="04CECE02" w14:textId="77777777">
        <w:trPr>
          <w:cantSplit/>
        </w:trPr>
        <w:tc>
          <w:tcPr>
            <w:tcW w:w="2900" w:type="dxa"/>
          </w:tcPr>
          <w:p w14:paraId="4DC8A9EF" w14:textId="77777777" w:rsidR="00955984" w:rsidRPr="001E722E" w:rsidRDefault="00161751">
            <w:pPr>
              <w:spacing w:before="60" w:after="60"/>
              <w:rPr>
                <w:sz w:val="24"/>
                <w:szCs w:val="24"/>
              </w:rPr>
            </w:pPr>
            <w:r w:rsidRPr="001E722E">
              <w:rPr>
                <w:rFonts w:ascii="Arial" w:eastAsia="Arial" w:hAnsi="Arial" w:cs="Arial"/>
                <w:b/>
                <w:bCs/>
                <w:sz w:val="24"/>
                <w:szCs w:val="24"/>
              </w:rPr>
              <w:t>Perceived Severity</w:t>
            </w:r>
          </w:p>
        </w:tc>
        <w:tc>
          <w:tcPr>
            <w:tcW w:w="6126" w:type="dxa"/>
          </w:tcPr>
          <w:p w14:paraId="262C192E" w14:textId="77777777" w:rsidR="00955984" w:rsidRPr="001E722E" w:rsidRDefault="00161751">
            <w:pPr>
              <w:spacing w:before="60" w:after="60"/>
              <w:rPr>
                <w:sz w:val="24"/>
                <w:szCs w:val="24"/>
              </w:rPr>
            </w:pPr>
            <w:r w:rsidRPr="001E722E">
              <w:rPr>
                <w:rFonts w:ascii="Arial" w:eastAsia="Arial" w:hAnsi="Arial" w:cs="Arial"/>
                <w:sz w:val="24"/>
                <w:szCs w:val="24"/>
              </w:rPr>
              <w:t>An HBM construct describing how serious a person believes a condition and its consequences would be.</w:t>
            </w:r>
          </w:p>
        </w:tc>
      </w:tr>
      <w:tr w:rsidR="00955984" w:rsidRPr="001E722E" w14:paraId="08A5565A" w14:textId="77777777">
        <w:trPr>
          <w:cantSplit/>
        </w:trPr>
        <w:tc>
          <w:tcPr>
            <w:tcW w:w="2900" w:type="dxa"/>
          </w:tcPr>
          <w:p w14:paraId="0CC1E378" w14:textId="77777777" w:rsidR="00955984" w:rsidRPr="001E722E" w:rsidRDefault="00161751">
            <w:pPr>
              <w:spacing w:before="60" w:after="60"/>
              <w:rPr>
                <w:sz w:val="24"/>
                <w:szCs w:val="24"/>
              </w:rPr>
            </w:pPr>
            <w:r w:rsidRPr="001E722E">
              <w:rPr>
                <w:rFonts w:ascii="Arial" w:eastAsia="Arial" w:hAnsi="Arial" w:cs="Arial"/>
                <w:b/>
                <w:bCs/>
                <w:sz w:val="24"/>
                <w:szCs w:val="24"/>
              </w:rPr>
              <w:t>Perceived Susceptibility</w:t>
            </w:r>
          </w:p>
        </w:tc>
        <w:tc>
          <w:tcPr>
            <w:tcW w:w="6126" w:type="dxa"/>
          </w:tcPr>
          <w:p w14:paraId="054023AD" w14:textId="77777777" w:rsidR="00955984" w:rsidRPr="001E722E" w:rsidRDefault="00161751">
            <w:pPr>
              <w:spacing w:before="60" w:after="60"/>
              <w:rPr>
                <w:sz w:val="24"/>
                <w:szCs w:val="24"/>
              </w:rPr>
            </w:pPr>
            <w:r w:rsidRPr="001E722E">
              <w:rPr>
                <w:rFonts w:ascii="Arial" w:eastAsia="Arial" w:hAnsi="Arial" w:cs="Arial"/>
                <w:sz w:val="24"/>
                <w:szCs w:val="24"/>
              </w:rPr>
              <w:t>An HBM construct describing a person's belief about their own risk of developing a condition.</w:t>
            </w:r>
          </w:p>
        </w:tc>
      </w:tr>
      <w:tr w:rsidR="00955984" w:rsidRPr="001E722E" w14:paraId="6029B595" w14:textId="77777777">
        <w:trPr>
          <w:cantSplit/>
        </w:trPr>
        <w:tc>
          <w:tcPr>
            <w:tcW w:w="2900" w:type="dxa"/>
          </w:tcPr>
          <w:p w14:paraId="49EE7E81" w14:textId="77777777" w:rsidR="00955984" w:rsidRPr="001E722E" w:rsidRDefault="00161751">
            <w:pPr>
              <w:spacing w:before="60" w:after="60"/>
              <w:rPr>
                <w:sz w:val="24"/>
                <w:szCs w:val="24"/>
              </w:rPr>
            </w:pPr>
            <w:r w:rsidRPr="001E722E">
              <w:rPr>
                <w:rFonts w:ascii="Arial" w:eastAsia="Arial" w:hAnsi="Arial" w:cs="Arial"/>
                <w:b/>
                <w:bCs/>
                <w:sz w:val="24"/>
                <w:szCs w:val="24"/>
              </w:rPr>
              <w:t>PRISMA 2020</w:t>
            </w:r>
          </w:p>
        </w:tc>
        <w:tc>
          <w:tcPr>
            <w:tcW w:w="6126" w:type="dxa"/>
          </w:tcPr>
          <w:p w14:paraId="5D780376" w14:textId="77777777" w:rsidR="00955984" w:rsidRPr="001E722E" w:rsidRDefault="00161751">
            <w:pPr>
              <w:spacing w:before="60" w:after="60"/>
              <w:rPr>
                <w:sz w:val="24"/>
                <w:szCs w:val="24"/>
              </w:rPr>
            </w:pPr>
            <w:r w:rsidRPr="001E722E">
              <w:rPr>
                <w:rFonts w:ascii="Arial" w:eastAsia="Arial" w:hAnsi="Arial" w:cs="Arial"/>
                <w:sz w:val="24"/>
                <w:szCs w:val="24"/>
              </w:rPr>
              <w:t>The Preferred Reporting Items for Systematic Reviews and Meta-Analyses guideline, which sets out what a systematic review should report, including a flow diagram of study selection.</w:t>
            </w:r>
          </w:p>
        </w:tc>
      </w:tr>
      <w:tr w:rsidR="00955984" w:rsidRPr="001E722E" w14:paraId="1CFD3D58" w14:textId="77777777">
        <w:trPr>
          <w:cantSplit/>
        </w:trPr>
        <w:tc>
          <w:tcPr>
            <w:tcW w:w="2900" w:type="dxa"/>
          </w:tcPr>
          <w:p w14:paraId="3B280EAA" w14:textId="77777777" w:rsidR="00955984" w:rsidRPr="001E722E" w:rsidRDefault="00161751">
            <w:pPr>
              <w:spacing w:before="60" w:after="60"/>
              <w:rPr>
                <w:sz w:val="24"/>
                <w:szCs w:val="24"/>
              </w:rPr>
            </w:pPr>
            <w:r w:rsidRPr="001E722E">
              <w:rPr>
                <w:rFonts w:ascii="Arial" w:eastAsia="Arial" w:hAnsi="Arial" w:cs="Arial"/>
                <w:b/>
                <w:bCs/>
                <w:sz w:val="24"/>
                <w:szCs w:val="24"/>
              </w:rPr>
              <w:t>Risk Factor</w:t>
            </w:r>
          </w:p>
        </w:tc>
        <w:tc>
          <w:tcPr>
            <w:tcW w:w="6126" w:type="dxa"/>
          </w:tcPr>
          <w:p w14:paraId="0AC75B10" w14:textId="77777777" w:rsidR="00955984" w:rsidRPr="001E722E" w:rsidRDefault="00161751">
            <w:pPr>
              <w:spacing w:before="60" w:after="60"/>
              <w:rPr>
                <w:sz w:val="24"/>
                <w:szCs w:val="24"/>
              </w:rPr>
            </w:pPr>
            <w:r w:rsidRPr="001E722E">
              <w:rPr>
                <w:rFonts w:ascii="Arial" w:eastAsia="Arial" w:hAnsi="Arial" w:cs="Arial"/>
                <w:sz w:val="24"/>
                <w:szCs w:val="24"/>
              </w:rPr>
              <w:t>A characteristic or behaviour, such as high blood pressure, smoking or physical inactivity, that increases the likelihood of developing a disease.</w:t>
            </w:r>
          </w:p>
        </w:tc>
      </w:tr>
      <w:tr w:rsidR="00955984" w:rsidRPr="001E722E" w14:paraId="7A5ADE05" w14:textId="77777777">
        <w:trPr>
          <w:cantSplit/>
        </w:trPr>
        <w:tc>
          <w:tcPr>
            <w:tcW w:w="2900" w:type="dxa"/>
          </w:tcPr>
          <w:p w14:paraId="3A272C37" w14:textId="77777777" w:rsidR="00955984" w:rsidRPr="001E722E" w:rsidRDefault="00161751">
            <w:pPr>
              <w:spacing w:before="60" w:after="60"/>
              <w:rPr>
                <w:sz w:val="24"/>
                <w:szCs w:val="24"/>
              </w:rPr>
            </w:pPr>
            <w:r w:rsidRPr="001E722E">
              <w:rPr>
                <w:rFonts w:ascii="Arial" w:eastAsia="Arial" w:hAnsi="Arial" w:cs="Arial"/>
                <w:b/>
                <w:bCs/>
                <w:sz w:val="24"/>
                <w:szCs w:val="24"/>
              </w:rPr>
              <w:t>Self-efficacy</w:t>
            </w:r>
          </w:p>
        </w:tc>
        <w:tc>
          <w:tcPr>
            <w:tcW w:w="6126" w:type="dxa"/>
          </w:tcPr>
          <w:p w14:paraId="0BD80C41" w14:textId="77777777" w:rsidR="00955984" w:rsidRPr="001E722E" w:rsidRDefault="00161751">
            <w:pPr>
              <w:spacing w:before="60" w:after="60"/>
              <w:rPr>
                <w:sz w:val="24"/>
                <w:szCs w:val="24"/>
              </w:rPr>
            </w:pPr>
            <w:r w:rsidRPr="001E722E">
              <w:rPr>
                <w:rFonts w:ascii="Arial" w:eastAsia="Arial" w:hAnsi="Arial" w:cs="Arial"/>
                <w:sz w:val="24"/>
                <w:szCs w:val="24"/>
              </w:rPr>
              <w:t>An HBM construct describing a person's confidence in their ability to carry out a health behaviour successfully.</w:t>
            </w:r>
          </w:p>
        </w:tc>
      </w:tr>
      <w:tr w:rsidR="00955984" w:rsidRPr="001E722E" w14:paraId="318102E0" w14:textId="77777777">
        <w:trPr>
          <w:cantSplit/>
        </w:trPr>
        <w:tc>
          <w:tcPr>
            <w:tcW w:w="2900" w:type="dxa"/>
          </w:tcPr>
          <w:p w14:paraId="0B045FCE" w14:textId="77777777" w:rsidR="00955984" w:rsidRPr="001E722E" w:rsidRDefault="00161751">
            <w:pPr>
              <w:spacing w:before="60" w:after="60"/>
              <w:rPr>
                <w:sz w:val="24"/>
                <w:szCs w:val="24"/>
              </w:rPr>
            </w:pPr>
            <w:r w:rsidRPr="001E722E">
              <w:rPr>
                <w:rFonts w:ascii="Arial" w:eastAsia="Arial" w:hAnsi="Arial" w:cs="Arial"/>
                <w:b/>
                <w:bCs/>
                <w:sz w:val="24"/>
                <w:szCs w:val="24"/>
              </w:rPr>
              <w:t>Socioeconomic Deprivation</w:t>
            </w:r>
          </w:p>
        </w:tc>
        <w:tc>
          <w:tcPr>
            <w:tcW w:w="6126" w:type="dxa"/>
          </w:tcPr>
          <w:p w14:paraId="41DC0A39" w14:textId="77777777" w:rsidR="00955984" w:rsidRPr="001E722E" w:rsidRDefault="00161751">
            <w:pPr>
              <w:spacing w:before="60" w:after="60"/>
              <w:rPr>
                <w:sz w:val="24"/>
                <w:szCs w:val="24"/>
              </w:rPr>
            </w:pPr>
            <w:r w:rsidRPr="001E722E">
              <w:rPr>
                <w:rFonts w:ascii="Arial" w:eastAsia="Arial" w:hAnsi="Arial" w:cs="Arial"/>
                <w:sz w:val="24"/>
                <w:szCs w:val="24"/>
              </w:rPr>
              <w:t>A lack of access to the income, education, employment and living conditions that support good health.</w:t>
            </w:r>
          </w:p>
        </w:tc>
      </w:tr>
      <w:tr w:rsidR="00955984" w:rsidRPr="001E722E" w14:paraId="6E986265" w14:textId="77777777">
        <w:trPr>
          <w:cantSplit/>
        </w:trPr>
        <w:tc>
          <w:tcPr>
            <w:tcW w:w="2900" w:type="dxa"/>
          </w:tcPr>
          <w:p w14:paraId="3D5820DE" w14:textId="77777777" w:rsidR="00955984" w:rsidRPr="001E722E" w:rsidRDefault="00161751">
            <w:pPr>
              <w:spacing w:before="60" w:after="60"/>
              <w:rPr>
                <w:sz w:val="24"/>
                <w:szCs w:val="24"/>
              </w:rPr>
            </w:pPr>
            <w:r w:rsidRPr="001E722E">
              <w:rPr>
                <w:rFonts w:ascii="Arial" w:eastAsia="Arial" w:hAnsi="Arial" w:cs="Arial"/>
                <w:b/>
                <w:bCs/>
                <w:sz w:val="24"/>
                <w:szCs w:val="24"/>
              </w:rPr>
              <w:t>Systematic Literature Review</w:t>
            </w:r>
          </w:p>
        </w:tc>
        <w:tc>
          <w:tcPr>
            <w:tcW w:w="6126" w:type="dxa"/>
          </w:tcPr>
          <w:p w14:paraId="78F1C826" w14:textId="77777777" w:rsidR="00955984" w:rsidRPr="001E722E" w:rsidRDefault="00161751">
            <w:pPr>
              <w:spacing w:before="60" w:after="60"/>
              <w:rPr>
                <w:sz w:val="24"/>
                <w:szCs w:val="24"/>
              </w:rPr>
            </w:pPr>
            <w:r w:rsidRPr="001E722E">
              <w:rPr>
                <w:rFonts w:ascii="Arial" w:eastAsia="Arial" w:hAnsi="Arial" w:cs="Arial"/>
                <w:sz w:val="24"/>
                <w:szCs w:val="24"/>
              </w:rPr>
              <w:t>A review that uses explicit and reproducible methods to identify, select, appraise and synthesise the relevant research on a defined question.</w:t>
            </w:r>
          </w:p>
        </w:tc>
      </w:tr>
      <w:tr w:rsidR="00955984" w:rsidRPr="001E722E" w14:paraId="2CCAEE1D" w14:textId="77777777">
        <w:trPr>
          <w:cantSplit/>
        </w:trPr>
        <w:tc>
          <w:tcPr>
            <w:tcW w:w="2900" w:type="dxa"/>
          </w:tcPr>
          <w:p w14:paraId="6703C1FD" w14:textId="77777777" w:rsidR="00955984" w:rsidRPr="001E722E" w:rsidRDefault="00161751">
            <w:pPr>
              <w:spacing w:before="60" w:after="60"/>
              <w:rPr>
                <w:sz w:val="24"/>
                <w:szCs w:val="24"/>
              </w:rPr>
            </w:pPr>
            <w:r w:rsidRPr="001E722E">
              <w:rPr>
                <w:rFonts w:ascii="Arial" w:eastAsia="Arial" w:hAnsi="Arial" w:cs="Arial"/>
                <w:b/>
                <w:bCs/>
                <w:sz w:val="24"/>
                <w:szCs w:val="24"/>
              </w:rPr>
              <w:t>Thematic Synthesis</w:t>
            </w:r>
          </w:p>
        </w:tc>
        <w:tc>
          <w:tcPr>
            <w:tcW w:w="6126" w:type="dxa"/>
          </w:tcPr>
          <w:p w14:paraId="1635E626" w14:textId="77777777" w:rsidR="00955984" w:rsidRPr="001E722E" w:rsidRDefault="00161751">
            <w:pPr>
              <w:spacing w:before="60" w:after="60"/>
              <w:rPr>
                <w:sz w:val="24"/>
                <w:szCs w:val="24"/>
              </w:rPr>
            </w:pPr>
            <w:r w:rsidRPr="001E722E">
              <w:rPr>
                <w:rFonts w:ascii="Arial" w:eastAsia="Arial" w:hAnsi="Arial" w:cs="Arial"/>
                <w:sz w:val="24"/>
                <w:szCs w:val="24"/>
              </w:rPr>
              <w:t>A method for identifying and developing common themes across the findings of qualitative studies.</w:t>
            </w:r>
          </w:p>
        </w:tc>
      </w:tr>
      <w:tr w:rsidR="00955984" w:rsidRPr="001E722E" w14:paraId="44FA9E04" w14:textId="77777777">
        <w:trPr>
          <w:cantSplit/>
        </w:trPr>
        <w:tc>
          <w:tcPr>
            <w:tcW w:w="2900" w:type="dxa"/>
          </w:tcPr>
          <w:p w14:paraId="001D8BC1" w14:textId="77777777" w:rsidR="00955984" w:rsidRPr="001E722E" w:rsidRDefault="00161751">
            <w:pPr>
              <w:spacing w:before="60" w:after="60"/>
              <w:rPr>
                <w:sz w:val="24"/>
                <w:szCs w:val="24"/>
              </w:rPr>
            </w:pPr>
            <w:r w:rsidRPr="001E722E">
              <w:rPr>
                <w:rFonts w:ascii="Arial" w:eastAsia="Arial" w:hAnsi="Arial" w:cs="Arial"/>
                <w:b/>
                <w:bCs/>
                <w:sz w:val="24"/>
                <w:szCs w:val="24"/>
              </w:rPr>
              <w:t>Uptake</w:t>
            </w:r>
          </w:p>
        </w:tc>
        <w:tc>
          <w:tcPr>
            <w:tcW w:w="6126" w:type="dxa"/>
          </w:tcPr>
          <w:p w14:paraId="08872DF4" w14:textId="77777777" w:rsidR="00955984" w:rsidRPr="001E722E" w:rsidRDefault="00161751">
            <w:pPr>
              <w:spacing w:before="60" w:after="60"/>
              <w:rPr>
                <w:sz w:val="24"/>
                <w:szCs w:val="24"/>
              </w:rPr>
            </w:pPr>
            <w:r w:rsidRPr="001E722E">
              <w:rPr>
                <w:rFonts w:ascii="Arial" w:eastAsia="Arial" w:hAnsi="Arial" w:cs="Arial"/>
                <w:sz w:val="24"/>
                <w:szCs w:val="24"/>
              </w:rPr>
              <w:t>The proportion of people offered a service, such as an NHS Health Check, who go on to use it.</w:t>
            </w:r>
          </w:p>
        </w:tc>
      </w:tr>
    </w:tbl>
    <w:p w14:paraId="5D8CE665" w14:textId="77777777" w:rsidR="00955984" w:rsidRPr="001E722E" w:rsidRDefault="00955984">
      <w:pPr>
        <w:sectPr w:rsidR="00955984" w:rsidRPr="001E722E">
          <w:headerReference w:type="even" r:id="rId10"/>
          <w:headerReference w:type="default" r:id="rId11"/>
          <w:footerReference w:type="even" r:id="rId12"/>
          <w:footerReference w:type="default" r:id="rId13"/>
          <w:headerReference w:type="first" r:id="rId14"/>
          <w:footerReference w:type="first" r:id="rId15"/>
          <w:pgSz w:w="11906" w:h="16838"/>
          <w:pgMar w:top="1440" w:right="1440" w:bottom="1440" w:left="1440" w:header="708" w:footer="708" w:gutter="0"/>
          <w:pgNumType w:fmt="lowerRoman" w:start="1"/>
          <w:cols w:space="720"/>
        </w:sectPr>
      </w:pPr>
    </w:p>
    <w:p w14:paraId="016F9147" w14:textId="77777777" w:rsidR="00955984" w:rsidRPr="001E722E" w:rsidRDefault="00161751">
      <w:pPr>
        <w:pStyle w:val="Heading1"/>
        <w:pageBreakBefore/>
      </w:pPr>
      <w:bookmarkStart w:id="4" w:name="_imx2rsk96cnl" w:colFirst="0" w:colLast="0"/>
      <w:bookmarkEnd w:id="4"/>
      <w:r w:rsidRPr="001E722E">
        <w:lastRenderedPageBreak/>
        <w:t>CHAPTER 1: INTRODUCTION</w:t>
      </w:r>
    </w:p>
    <w:p w14:paraId="17E7F3D2" w14:textId="1E3AA9C1" w:rsidR="00955984" w:rsidRPr="001E722E" w:rsidRDefault="00161751" w:rsidP="001E722E">
      <w:pPr>
        <w:pStyle w:val="Heading2"/>
      </w:pPr>
      <w:bookmarkStart w:id="5" w:name="_6629wva83cti" w:colFirst="0" w:colLast="0"/>
      <w:bookmarkEnd w:id="5"/>
      <w:r w:rsidRPr="001E722E">
        <w:t>1.1 Background to the Study</w:t>
      </w:r>
    </w:p>
    <w:p w14:paraId="38816E02" w14:textId="77777777" w:rsidR="00955984" w:rsidRPr="001E722E" w:rsidRDefault="00161751">
      <w:pPr>
        <w:spacing w:after="200" w:line="360" w:lineRule="auto"/>
        <w:jc w:val="both"/>
        <w:rPr>
          <w:rFonts w:ascii="Arial" w:eastAsia="Arial" w:hAnsi="Arial" w:cs="Arial"/>
          <w:sz w:val="24"/>
          <w:szCs w:val="24"/>
        </w:rPr>
      </w:pPr>
      <w:r w:rsidRPr="001E722E">
        <w:rPr>
          <w:rFonts w:ascii="Arial" w:eastAsia="Arial" w:hAnsi="Arial" w:cs="Arial"/>
          <w:sz w:val="24"/>
          <w:szCs w:val="24"/>
        </w:rPr>
        <w:t>Cardiovascular disease (CVD) is the cause of the most deaths worldwide currently. The estimated death toll is 19.8 million people annually, nearly one-third of all deaths globally (World Health Organisation [WHO], 2025). Coronary heart disease (CHD) is the most common type of cardiovascular disease. When the blood vessels carrying blood to the heart get narrowed by fatty deposits, it is called atherosclerosis and develops. Approximately 240 million people are living with CHD worldwide, and CHD is the leading cause of death in the world (British Heart Foundation [BHF], 2026).</w:t>
      </w:r>
    </w:p>
    <w:p w14:paraId="58661316" w14:textId="77777777" w:rsidR="00955984" w:rsidRPr="001E722E" w:rsidRDefault="00161751">
      <w:pPr>
        <w:spacing w:after="200" w:line="360" w:lineRule="auto"/>
        <w:jc w:val="both"/>
        <w:rPr>
          <w:rFonts w:ascii="Arial" w:eastAsia="Arial" w:hAnsi="Arial" w:cs="Arial"/>
          <w:sz w:val="24"/>
          <w:szCs w:val="24"/>
        </w:rPr>
      </w:pPr>
      <w:r w:rsidRPr="001E722E">
        <w:rPr>
          <w:rFonts w:ascii="Arial" w:eastAsia="Arial" w:hAnsi="Arial" w:cs="Arial"/>
          <w:sz w:val="24"/>
          <w:szCs w:val="24"/>
        </w:rPr>
        <w:t>Much of this burden is borne by the United Kingdom (UK). CHD is a significant cause of death and long-term illness in the country and is a major cause of death each year (BHF, 2025). Over the last 20 years, the death rate for CHD has declined significantly, due to improvements in emergency care, statins and smoking cessation. The number of people with heart disease continues to increase, though, as the UK's population continues to age and risk factors like being overweight and having diabetes are increasing (BHF, 2025). Consequently, prevention and early detection remain as important now as they were when mortality rates were higher.</w:t>
      </w:r>
    </w:p>
    <w:p w14:paraId="5EF718BE" w14:textId="77777777" w:rsidR="00955984" w:rsidRPr="001E722E" w:rsidRDefault="00161751">
      <w:pPr>
        <w:spacing w:after="200" w:line="360" w:lineRule="auto"/>
        <w:jc w:val="both"/>
        <w:rPr>
          <w:rFonts w:ascii="Arial" w:eastAsia="Arial" w:hAnsi="Arial" w:cs="Arial"/>
          <w:sz w:val="24"/>
          <w:szCs w:val="24"/>
        </w:rPr>
      </w:pPr>
      <w:r w:rsidRPr="001E722E">
        <w:rPr>
          <w:rFonts w:ascii="Arial" w:eastAsia="Arial" w:hAnsi="Arial" w:cs="Arial"/>
          <w:sz w:val="24"/>
          <w:szCs w:val="24"/>
        </w:rPr>
        <w:t>The majority of CHD is avoidable. The WHO (WHO, 2025) mentions that the disease can be prevented to a good extent when everyday risk factors like smoking, unhealthy diet, physical inactivity, harmful alcohol consumption, and detection of health issues like high blood pressure, high cholesterol and high blood sugar are managed. The NHS Health Check programme was introduced in England in 2009 for this reason. All adults aged 40 to 74 who don't have an existing cardiovascular disease are encouraged to get a free check-up every five years, to detect risk factors early, before they contribute to a heart attack or stroke (Patel et al., 2020).</w:t>
      </w:r>
    </w:p>
    <w:p w14:paraId="487D247D" w14:textId="77777777" w:rsidR="00955984" w:rsidRPr="001E722E" w:rsidRDefault="00161751">
      <w:pPr>
        <w:spacing w:after="200" w:line="360" w:lineRule="auto"/>
        <w:jc w:val="both"/>
        <w:rPr>
          <w:rFonts w:ascii="Arial" w:eastAsia="Arial" w:hAnsi="Arial" w:cs="Arial"/>
        </w:rPr>
      </w:pPr>
      <w:r w:rsidRPr="001E722E">
        <w:rPr>
          <w:rFonts w:ascii="Arial" w:eastAsia="Arial" w:hAnsi="Arial" w:cs="Arial"/>
          <w:sz w:val="24"/>
          <w:szCs w:val="24"/>
        </w:rPr>
        <w:t>However, despite this setting being in place for more than 15 years, national studies continue to identify the same problem: many people never receive their check or are never actually targeted in any audience campaign (Brady et al., 2025). A national study of 9.5 million individuals over a five-year period reported an attendance rate of only 52.6%, with considerable variation between different regions in the country, ranging from approximately a quarter to up to 85% (Patel et al., 2020). A further 10-</w:t>
      </w:r>
      <w:r w:rsidRPr="001E722E">
        <w:rPr>
          <w:rFonts w:ascii="Arial" w:eastAsia="Arial" w:hAnsi="Arial" w:cs="Arial"/>
          <w:sz w:val="24"/>
          <w:szCs w:val="24"/>
        </w:rPr>
        <w:lastRenderedPageBreak/>
        <w:t>year review also revealed low attendance rates for the latest five years (Robson et al., 2021) (16.9%). Concurrently, studies of public knowledge reveal that many people fail to detect the warning signs associated with a heart attack other than a chest sensation of pain, and that knowledge of risk factors is limited, especially for older people, those in lower-paid jobs and in some minority ethnic groups (Whitaker et al., 2012; NHS England, 2023). It is this lack of screening uptake and a lack of full public knowledge that provides the foundation for this dissertation.</w:t>
      </w:r>
    </w:p>
    <w:p w14:paraId="03EDA5BB" w14:textId="77777777" w:rsidR="00955984" w:rsidRPr="001E722E" w:rsidRDefault="00161751">
      <w:pPr>
        <w:pStyle w:val="Heading2"/>
      </w:pPr>
      <w:bookmarkStart w:id="6" w:name="_8w4fwcef2ce0" w:colFirst="0" w:colLast="0"/>
      <w:bookmarkEnd w:id="6"/>
      <w:r w:rsidRPr="001E722E">
        <w:t>1.2 Problem Statement and Rationale</w:t>
      </w:r>
    </w:p>
    <w:p w14:paraId="4EFBB400" w14:textId="77777777" w:rsidR="00955984" w:rsidRPr="001E722E" w:rsidRDefault="00955984"/>
    <w:p w14:paraId="29353F44" w14:textId="77777777" w:rsidR="00955984" w:rsidRPr="001E722E" w:rsidRDefault="00161751">
      <w:pPr>
        <w:spacing w:after="200" w:line="360" w:lineRule="auto"/>
        <w:jc w:val="both"/>
        <w:rPr>
          <w:rFonts w:ascii="Arial" w:eastAsia="Arial" w:hAnsi="Arial" w:cs="Arial"/>
          <w:sz w:val="24"/>
          <w:szCs w:val="24"/>
        </w:rPr>
      </w:pPr>
      <w:r w:rsidRPr="001E722E">
        <w:rPr>
          <w:rFonts w:ascii="Arial" w:eastAsia="Arial" w:hAnsi="Arial" w:cs="Arial"/>
          <w:sz w:val="24"/>
          <w:szCs w:val="24"/>
        </w:rPr>
        <w:t>The gap between public health policy in the UK as it is intended and what is actually happening in practice is clear and persistent. Health check programmes, like the NHS Health Check, intend to detect cardiovascular risk factors before they escalate into a heart attack, stroke or other life-changing event. However, there is a consistent evidence base of the failure of most eligible adults to take part in this opportunity as intended (Robson et al., 2021; Coghill et al., 2018). However, where the check is attended it works well – i.e., people attending are much more likely to be diagnosed early with conditions like high blood pressure, type 2 diabetes and chronic kidney disease than those not attending, and this gives them the opportunity to take action before they suffer serious harm (Robson et al., 2021). There is no reason why the screening tool is not working as it would be more effective if more people used it.</w:t>
      </w:r>
    </w:p>
    <w:p w14:paraId="7AC8D051" w14:textId="77777777" w:rsidR="00955984" w:rsidRPr="001E722E" w:rsidRDefault="00161751">
      <w:pPr>
        <w:spacing w:after="200" w:line="360" w:lineRule="auto"/>
        <w:jc w:val="both"/>
        <w:rPr>
          <w:rFonts w:ascii="Arial" w:eastAsia="Arial" w:hAnsi="Arial" w:cs="Arial"/>
        </w:rPr>
      </w:pPr>
      <w:bookmarkStart w:id="7" w:name="_hm0a2vdl059z" w:colFirst="0" w:colLast="0"/>
      <w:bookmarkEnd w:id="7"/>
      <w:r w:rsidRPr="001E722E">
        <w:rPr>
          <w:rFonts w:ascii="Arial" w:eastAsia="Arial" w:hAnsi="Arial" w:cs="Arial"/>
          <w:sz w:val="24"/>
          <w:szCs w:val="24"/>
        </w:rPr>
        <w:t xml:space="preserve">Qualitative research by Eberhardt et al. (2025) demonstrates that this low uptake is due to a complex of factors and not just one reason. These encompass restricted understanding of the scope and purpose of a check and its significance, concern about the results of the check, mistrust of healthcare providers, and day-to-day practicalities like work commitments, appointment times, and travel. These barriers are exacerbated for individuals who are from deprived communities and minority ethnic groups, as they are likely to encounter culturally appropriate information and services that do not appear to be specifically designed with their situation in mind (Brady et al., 2025; Brangan et al., 2019). While mass media campaigns to close this gap have been demonstrated to increase the general population's awareness of symptoms, they are less successful in increasing uptake of screening or prompting faster uptake of screening (Stead et al., 2019). More recent evidence is mixed: a </w:t>
      </w:r>
      <w:r w:rsidRPr="001E722E">
        <w:rPr>
          <w:rFonts w:ascii="Arial" w:eastAsia="Arial" w:hAnsi="Arial" w:cs="Arial"/>
          <w:sz w:val="24"/>
          <w:szCs w:val="24"/>
        </w:rPr>
        <w:lastRenderedPageBreak/>
        <w:t>mass media campaign targeting acute coronary syndrome was associated with a measurable rise in emergency department presentations and ambulance use, suggesting mass media can shift urgent care-seeking behaviour when the message calls for a specific action rather than general awareness alone (Smith et al., 2021). Therefore, this evidence (Eberhardt et al., 2025; Brady et al., 2025) builds on the existing gap in research concerning both awareness and access for CHD, aiming to understand the multiple strategies that are likely to be utilised to bridge the gap between policy intention and public behaviour.</w:t>
      </w:r>
    </w:p>
    <w:p w14:paraId="04ECB19C" w14:textId="77777777" w:rsidR="00955984" w:rsidRPr="001E722E" w:rsidRDefault="00161751">
      <w:pPr>
        <w:pStyle w:val="Heading2"/>
      </w:pPr>
      <w:bookmarkStart w:id="8" w:name="_4f88jcypm4ja" w:colFirst="0" w:colLast="0"/>
      <w:bookmarkEnd w:id="8"/>
      <w:r w:rsidRPr="001E722E">
        <w:t>1.3 Aim, Objectives and Research Question</w:t>
      </w:r>
    </w:p>
    <w:p w14:paraId="07665CA8" w14:textId="77777777" w:rsidR="00955984" w:rsidRPr="001E722E" w:rsidRDefault="00955984"/>
    <w:p w14:paraId="7CFD483C" w14:textId="77777777" w:rsidR="00955984" w:rsidRPr="001E722E" w:rsidRDefault="00161751">
      <w:pPr>
        <w:spacing w:after="200" w:line="360" w:lineRule="auto"/>
        <w:jc w:val="both"/>
        <w:rPr>
          <w:rFonts w:ascii="Arial" w:eastAsia="Arial" w:hAnsi="Arial" w:cs="Arial"/>
          <w:sz w:val="24"/>
          <w:szCs w:val="24"/>
        </w:rPr>
      </w:pPr>
      <w:r w:rsidRPr="001E722E">
        <w:rPr>
          <w:rFonts w:ascii="Arial" w:eastAsia="Arial" w:hAnsi="Arial" w:cs="Arial"/>
          <w:sz w:val="24"/>
          <w:szCs w:val="24"/>
        </w:rPr>
        <w:t>This dissertation is guided by the following aim, objectives and research question:</w:t>
      </w:r>
    </w:p>
    <w:p w14:paraId="1BC91046" w14:textId="77777777" w:rsidR="00955984" w:rsidRPr="001E722E" w:rsidRDefault="00161751">
      <w:pPr>
        <w:spacing w:after="200" w:line="360" w:lineRule="auto"/>
        <w:jc w:val="both"/>
        <w:rPr>
          <w:rFonts w:ascii="Arial" w:eastAsia="Arial" w:hAnsi="Arial" w:cs="Arial"/>
          <w:sz w:val="24"/>
          <w:szCs w:val="24"/>
        </w:rPr>
      </w:pPr>
      <w:r w:rsidRPr="001E722E">
        <w:rPr>
          <w:rFonts w:ascii="Arial" w:eastAsia="Arial" w:hAnsi="Arial" w:cs="Arial"/>
          <w:b/>
          <w:bCs/>
          <w:sz w:val="24"/>
          <w:szCs w:val="24"/>
        </w:rPr>
        <w:t>Aim:</w:t>
      </w:r>
      <w:r w:rsidRPr="001E722E">
        <w:rPr>
          <w:rFonts w:ascii="Arial" w:eastAsia="Arial" w:hAnsi="Arial" w:cs="Arial"/>
          <w:sz w:val="24"/>
          <w:szCs w:val="24"/>
        </w:rPr>
        <w:t xml:space="preserve"> The overall aim of the study is to explore and evaluate public health strategies that can enhance awareness, promote early detection and prevent coronary heart disease among adults in the United Kingdom. </w:t>
      </w:r>
    </w:p>
    <w:p w14:paraId="0B820541" w14:textId="77777777" w:rsidR="00955984" w:rsidRPr="001E722E" w:rsidRDefault="00161751">
      <w:pPr>
        <w:spacing w:after="200" w:line="360" w:lineRule="auto"/>
        <w:jc w:val="both"/>
        <w:rPr>
          <w:rFonts w:ascii="Arial" w:eastAsia="Arial" w:hAnsi="Arial" w:cs="Arial"/>
          <w:sz w:val="24"/>
          <w:szCs w:val="24"/>
        </w:rPr>
      </w:pPr>
      <w:r w:rsidRPr="001E722E">
        <w:rPr>
          <w:rFonts w:ascii="Arial" w:eastAsia="Arial" w:hAnsi="Arial" w:cs="Arial"/>
          <w:sz w:val="24"/>
          <w:szCs w:val="24"/>
        </w:rPr>
        <w:t>To achieve this aim, there are four supporting objectives:</w:t>
      </w:r>
    </w:p>
    <w:p w14:paraId="16104E74" w14:textId="77777777" w:rsidR="00955984" w:rsidRPr="001E722E" w:rsidRDefault="00161751">
      <w:pPr>
        <w:numPr>
          <w:ilvl w:val="0"/>
          <w:numId w:val="1"/>
        </w:numPr>
        <w:spacing w:after="200" w:line="360" w:lineRule="auto"/>
        <w:jc w:val="both"/>
        <w:rPr>
          <w:sz w:val="24"/>
          <w:szCs w:val="24"/>
        </w:rPr>
      </w:pPr>
      <w:r w:rsidRPr="001E722E">
        <w:rPr>
          <w:rFonts w:ascii="Arial" w:eastAsia="Arial" w:hAnsi="Arial" w:cs="Arial"/>
          <w:sz w:val="24"/>
          <w:szCs w:val="24"/>
        </w:rPr>
        <w:t>To evaluate the extent of awareness and understanding of risk factors and symptoms of coronary heart disease among adults in the UK using a systematic review approach.</w:t>
      </w:r>
    </w:p>
    <w:p w14:paraId="0A9E88B1" w14:textId="77777777" w:rsidR="00955984" w:rsidRPr="001E722E" w:rsidRDefault="00161751">
      <w:pPr>
        <w:numPr>
          <w:ilvl w:val="0"/>
          <w:numId w:val="1"/>
        </w:numPr>
        <w:spacing w:after="200" w:line="360" w:lineRule="auto"/>
        <w:jc w:val="both"/>
        <w:rPr>
          <w:sz w:val="24"/>
          <w:szCs w:val="24"/>
        </w:rPr>
      </w:pPr>
      <w:r w:rsidRPr="001E722E">
        <w:rPr>
          <w:rFonts w:ascii="Arial" w:eastAsia="Arial" w:hAnsi="Arial" w:cs="Arial"/>
          <w:sz w:val="24"/>
          <w:szCs w:val="24"/>
        </w:rPr>
        <w:t>To be able to recognise the obstacles to early screening and preventative health checks for CHD.</w:t>
      </w:r>
    </w:p>
    <w:p w14:paraId="7EEEABE3" w14:textId="77777777" w:rsidR="00955984" w:rsidRPr="001E722E" w:rsidRDefault="00161751">
      <w:pPr>
        <w:numPr>
          <w:ilvl w:val="0"/>
          <w:numId w:val="1"/>
        </w:numPr>
        <w:spacing w:after="200" w:line="360" w:lineRule="auto"/>
        <w:jc w:val="both"/>
        <w:rPr>
          <w:sz w:val="24"/>
          <w:szCs w:val="24"/>
        </w:rPr>
      </w:pPr>
      <w:r w:rsidRPr="001E722E">
        <w:rPr>
          <w:rFonts w:ascii="Arial" w:eastAsia="Arial" w:hAnsi="Arial" w:cs="Arial"/>
          <w:sz w:val="24"/>
          <w:szCs w:val="24"/>
        </w:rPr>
        <w:t>To assess the impact of current public health prevention and early detection campaigns in the NHS and local communities for CHD.</w:t>
      </w:r>
    </w:p>
    <w:p w14:paraId="6A3C546F" w14:textId="6680AE42" w:rsidR="00955984" w:rsidRPr="001E722E" w:rsidRDefault="00161751" w:rsidP="001E722E">
      <w:pPr>
        <w:numPr>
          <w:ilvl w:val="0"/>
          <w:numId w:val="1"/>
        </w:numPr>
        <w:spacing w:after="200" w:line="360" w:lineRule="auto"/>
        <w:jc w:val="both"/>
      </w:pPr>
      <w:r w:rsidRPr="001E722E">
        <w:rPr>
          <w:rFonts w:ascii="Arial" w:eastAsia="Arial" w:hAnsi="Arial" w:cs="Arial"/>
          <w:sz w:val="24"/>
          <w:szCs w:val="24"/>
        </w:rPr>
        <w:t>To advocate evidence-based approaches to increase awareness, uptake of screening and early intervention to decrease cardiovascular death related to CHD in the UK.</w:t>
      </w:r>
    </w:p>
    <w:p w14:paraId="226C2D39" w14:textId="4B8F1FB6" w:rsidR="00955984" w:rsidRPr="001E722E" w:rsidRDefault="00161751" w:rsidP="001E722E">
      <w:pPr>
        <w:spacing w:after="200" w:line="360" w:lineRule="auto"/>
        <w:jc w:val="both"/>
        <w:rPr>
          <w:rFonts w:ascii="Arial" w:eastAsia="Arial" w:hAnsi="Arial" w:cs="Arial"/>
          <w:sz w:val="24"/>
          <w:szCs w:val="24"/>
        </w:rPr>
      </w:pPr>
      <w:r w:rsidRPr="001E722E">
        <w:rPr>
          <w:rFonts w:ascii="Arial" w:eastAsia="Arial" w:hAnsi="Arial" w:cs="Arial"/>
          <w:b/>
          <w:bCs/>
          <w:sz w:val="24"/>
          <w:szCs w:val="24"/>
        </w:rPr>
        <w:t>Research Question:</w:t>
      </w:r>
      <w:r w:rsidRPr="001E722E">
        <w:rPr>
          <w:rFonts w:ascii="Arial" w:eastAsia="Arial" w:hAnsi="Arial" w:cs="Arial"/>
          <w:b/>
          <w:bCs/>
        </w:rPr>
        <w:t xml:space="preserve"> </w:t>
      </w:r>
      <w:r w:rsidRPr="001E722E">
        <w:rPr>
          <w:rFonts w:ascii="Arial" w:eastAsia="Arial" w:hAnsi="Arial" w:cs="Arial"/>
          <w:sz w:val="24"/>
          <w:szCs w:val="24"/>
        </w:rPr>
        <w:t>What are the effective public health interventions and messages in the United Kingdom (UK) to raise awareness, provide early screening and minimize preventable mortality from coronary heart disease?</w:t>
      </w:r>
      <w:bookmarkStart w:id="9" w:name="_ilok5esm9c8w" w:colFirst="0" w:colLast="0"/>
      <w:bookmarkEnd w:id="9"/>
    </w:p>
    <w:p w14:paraId="2B0F9C5B" w14:textId="77777777" w:rsidR="00955984" w:rsidRPr="001E722E" w:rsidRDefault="00161751">
      <w:pPr>
        <w:pStyle w:val="Heading2"/>
      </w:pPr>
      <w:bookmarkStart w:id="10" w:name="_ikrongtivyhn" w:colFirst="0" w:colLast="0"/>
      <w:bookmarkEnd w:id="10"/>
      <w:r w:rsidRPr="001E722E">
        <w:lastRenderedPageBreak/>
        <w:t>1.4 Significance of the Study</w:t>
      </w:r>
    </w:p>
    <w:p w14:paraId="10EE0ED3" w14:textId="77777777" w:rsidR="00955984" w:rsidRPr="001E722E" w:rsidRDefault="00955984"/>
    <w:p w14:paraId="0EE68583" w14:textId="71A9FA1B" w:rsidR="00955984" w:rsidRPr="001E722E" w:rsidRDefault="00161751">
      <w:pPr>
        <w:spacing w:after="200" w:line="360" w:lineRule="auto"/>
        <w:jc w:val="both"/>
        <w:rPr>
          <w:rFonts w:ascii="Arial" w:eastAsia="Arial" w:hAnsi="Arial" w:cs="Arial"/>
          <w:sz w:val="24"/>
          <w:szCs w:val="24"/>
        </w:rPr>
      </w:pPr>
      <w:r w:rsidRPr="001E722E">
        <w:rPr>
          <w:rFonts w:ascii="Arial" w:eastAsia="Arial" w:hAnsi="Arial" w:cs="Arial"/>
          <w:sz w:val="24"/>
          <w:szCs w:val="24"/>
        </w:rPr>
        <w:t>This study is of significance in three ways. First, CHD is one of the largest preventable causes of death in the UK, and the potential for improvements in awareness and uptake of screening to save lives and prevent hospital admissions is significant, even if only a small number of people. Second, there is evidence that the rates of CHD, and of the barriers to accessing screening, are not uniform across the population, with people in deprived areas and some minority ethnic communities at heightened risk of CHD but less likely to access screening services (Brady et al., 2025; Coghill et al., 2018). This study evaluates the overall rates of disease, and focuses specifically on improving awareness and access for CHD thereby directly contributing to the reduction of health inequalities. Thirdly, this dissertation may be able to combine the results of national data with qualitative research and campaign evaluations, which are often dispersed across various disciplines, and provide evidence-based recommendations for the interested parties: policymakers, NHS commissioners and community health organisations.</w:t>
      </w:r>
    </w:p>
    <w:p w14:paraId="3C9CB188" w14:textId="77777777" w:rsidR="00955984" w:rsidRPr="001E722E" w:rsidRDefault="00161751">
      <w:pPr>
        <w:pStyle w:val="Heading2"/>
      </w:pPr>
      <w:bookmarkStart w:id="11" w:name="_3hchzm89udcv" w:colFirst="0" w:colLast="0"/>
      <w:bookmarkEnd w:id="11"/>
      <w:r w:rsidRPr="001E722E">
        <w:t>1.5 Structure of the Dissertation</w:t>
      </w:r>
    </w:p>
    <w:p w14:paraId="6253780F" w14:textId="77777777" w:rsidR="00955984" w:rsidRPr="001E722E" w:rsidRDefault="00955984"/>
    <w:p w14:paraId="3731C67E" w14:textId="77777777" w:rsidR="00955984" w:rsidRPr="001E722E" w:rsidRDefault="00161751">
      <w:pPr>
        <w:spacing w:after="200" w:line="360" w:lineRule="auto"/>
        <w:jc w:val="both"/>
        <w:rPr>
          <w:rFonts w:ascii="Arial" w:eastAsia="Arial" w:hAnsi="Arial" w:cs="Arial"/>
          <w:sz w:val="24"/>
          <w:szCs w:val="24"/>
        </w:rPr>
      </w:pPr>
      <w:r w:rsidRPr="001E722E">
        <w:rPr>
          <w:rFonts w:ascii="Arial" w:eastAsia="Arial" w:hAnsi="Arial" w:cs="Arial"/>
          <w:sz w:val="24"/>
          <w:szCs w:val="24"/>
        </w:rPr>
        <w:t>This dissertation is organised into six chapters. Chapter 1 has provided background information about CHD prevention in the UK, defined the problem this study aims to address, and outlined the research question, aim and objectives. Chapter 2 reviews the literature on the four research objectives: public awareness of CHD, barriers to screening, efficacy of current prevention campaigns, and recommendations from the literature to fill the current gaps. The research methodology is described and explained in Chapter 3, which justifies the systematic review approach for answering the research question. Chapter 4 presents the findings of that review in the context of the objectives, and Chapter 5 discusses and interprets these findings using the Health Belief Model. The dissertation ends in Chapter 6, in which a summary of key findings, practical recommendations for public health practice and suggestions for future research are presented.</w:t>
      </w:r>
    </w:p>
    <w:p w14:paraId="0B98B0F5" w14:textId="77777777" w:rsidR="00955984" w:rsidRPr="001E722E" w:rsidRDefault="00955984">
      <w:pPr>
        <w:spacing w:after="200" w:line="360" w:lineRule="auto"/>
        <w:jc w:val="both"/>
        <w:rPr>
          <w:rFonts w:ascii="Arial" w:eastAsia="Arial" w:hAnsi="Arial" w:cs="Arial"/>
          <w:sz w:val="24"/>
          <w:szCs w:val="24"/>
        </w:rPr>
      </w:pPr>
    </w:p>
    <w:p w14:paraId="7BC97108" w14:textId="77777777" w:rsidR="00955984" w:rsidRPr="001E722E" w:rsidRDefault="00955984">
      <w:pPr>
        <w:spacing w:after="200" w:line="360" w:lineRule="auto"/>
        <w:jc w:val="both"/>
        <w:rPr>
          <w:rFonts w:ascii="Arial" w:eastAsia="Arial" w:hAnsi="Arial" w:cs="Arial"/>
          <w:sz w:val="24"/>
          <w:szCs w:val="24"/>
        </w:rPr>
      </w:pPr>
    </w:p>
    <w:p w14:paraId="7A022B6D" w14:textId="77777777" w:rsidR="00955984" w:rsidRPr="001E722E" w:rsidRDefault="00161751">
      <w:pPr>
        <w:spacing w:before="100" w:after="300"/>
        <w:rPr>
          <w:rFonts w:ascii="Arial" w:eastAsia="Arial" w:hAnsi="Arial" w:cs="Arial"/>
          <w:sz w:val="24"/>
          <w:szCs w:val="24"/>
        </w:rPr>
      </w:pPr>
      <w:bookmarkStart w:id="12" w:name="_uvziu1p6t5on" w:colFirst="0" w:colLast="0"/>
      <w:bookmarkEnd w:id="12"/>
      <w:r w:rsidRPr="001E722E">
        <w:rPr>
          <w:rFonts w:ascii="Arial" w:eastAsia="Arial" w:hAnsi="Arial" w:cs="Arial"/>
          <w:sz w:val="24"/>
          <w:szCs w:val="24"/>
        </w:rPr>
        <w:lastRenderedPageBreak/>
        <w:t>Table 1.1: Key UK and Global Coronary Heart Disease Statistics</w:t>
      </w:r>
    </w:p>
    <w:tbl>
      <w:tblPr>
        <w:tblStyle w:val="a"/>
        <w:tblW w:w="9499" w:type="dxa"/>
        <w:tblInd w:w="-120" w:type="dxa"/>
        <w:tblLayout w:type="fixed"/>
        <w:tblLook w:val="0400" w:firstRow="0" w:lastRow="0" w:firstColumn="0" w:lastColumn="0" w:noHBand="0" w:noVBand="1"/>
      </w:tblPr>
      <w:tblGrid>
        <w:gridCol w:w="3599"/>
        <w:gridCol w:w="5900"/>
      </w:tblGrid>
      <w:tr w:rsidR="00955984" w:rsidRPr="001E722E" w14:paraId="01652DF3" w14:textId="77777777">
        <w:tc>
          <w:tcPr>
            <w:tcW w:w="3599" w:type="dxa"/>
            <w:tcBorders>
              <w:top w:val="single" w:sz="4" w:space="0" w:color="000000"/>
              <w:left w:val="single" w:sz="4" w:space="0" w:color="000000"/>
              <w:bottom w:val="single" w:sz="4" w:space="0" w:color="000000"/>
              <w:right w:val="single" w:sz="4" w:space="0" w:color="000000"/>
            </w:tcBorders>
            <w:shd w:val="clear" w:color="auto" w:fill="1F3864"/>
          </w:tcPr>
          <w:p w14:paraId="4048E79D" w14:textId="77777777" w:rsidR="00955984" w:rsidRPr="001E722E" w:rsidRDefault="00161751">
            <w:pPr>
              <w:rPr>
                <w:rFonts w:ascii="Arial" w:eastAsia="Arial" w:hAnsi="Arial" w:cs="Arial"/>
              </w:rPr>
            </w:pPr>
            <w:r w:rsidRPr="001E722E">
              <w:rPr>
                <w:rFonts w:ascii="Arial" w:eastAsia="Arial" w:hAnsi="Arial" w:cs="Arial"/>
                <w:b/>
                <w:bCs/>
                <w:sz w:val="21"/>
                <w:szCs w:val="21"/>
              </w:rPr>
              <w:t>Indicator</w:t>
            </w:r>
          </w:p>
        </w:tc>
        <w:tc>
          <w:tcPr>
            <w:tcW w:w="5900" w:type="dxa"/>
            <w:tcBorders>
              <w:top w:val="single" w:sz="4" w:space="0" w:color="000000"/>
              <w:left w:val="single" w:sz="4" w:space="0" w:color="000000"/>
              <w:bottom w:val="single" w:sz="4" w:space="0" w:color="000000"/>
              <w:right w:val="single" w:sz="4" w:space="0" w:color="000000"/>
            </w:tcBorders>
            <w:shd w:val="clear" w:color="auto" w:fill="1F3864"/>
          </w:tcPr>
          <w:p w14:paraId="47EA44FB" w14:textId="77777777" w:rsidR="00955984" w:rsidRPr="001E722E" w:rsidRDefault="00161751">
            <w:pPr>
              <w:rPr>
                <w:rFonts w:ascii="Arial" w:eastAsia="Arial" w:hAnsi="Arial" w:cs="Arial"/>
              </w:rPr>
            </w:pPr>
            <w:r w:rsidRPr="001E722E">
              <w:rPr>
                <w:rFonts w:ascii="Arial" w:eastAsia="Arial" w:hAnsi="Arial" w:cs="Arial"/>
                <w:b/>
                <w:bCs/>
                <w:sz w:val="21"/>
                <w:szCs w:val="21"/>
              </w:rPr>
              <w:t>Figure</w:t>
            </w:r>
          </w:p>
        </w:tc>
      </w:tr>
      <w:tr w:rsidR="00955984" w:rsidRPr="001E722E" w14:paraId="25560621" w14:textId="77777777">
        <w:tc>
          <w:tcPr>
            <w:tcW w:w="3599" w:type="dxa"/>
            <w:tcBorders>
              <w:top w:val="single" w:sz="4" w:space="0" w:color="000000"/>
              <w:left w:val="single" w:sz="4" w:space="0" w:color="000000"/>
              <w:bottom w:val="single" w:sz="4" w:space="0" w:color="000000"/>
              <w:right w:val="single" w:sz="4" w:space="0" w:color="000000"/>
            </w:tcBorders>
          </w:tcPr>
          <w:p w14:paraId="21A071CF" w14:textId="77777777" w:rsidR="00955984" w:rsidRPr="001E722E" w:rsidRDefault="00161751">
            <w:pPr>
              <w:rPr>
                <w:rFonts w:ascii="Arial" w:eastAsia="Arial" w:hAnsi="Arial" w:cs="Arial"/>
              </w:rPr>
            </w:pPr>
            <w:r w:rsidRPr="001E722E">
              <w:rPr>
                <w:rFonts w:ascii="Arial" w:eastAsia="Arial" w:hAnsi="Arial" w:cs="Arial"/>
                <w:sz w:val="21"/>
                <w:szCs w:val="21"/>
              </w:rPr>
              <w:t>Global CVD deaths per year</w:t>
            </w:r>
          </w:p>
        </w:tc>
        <w:tc>
          <w:tcPr>
            <w:tcW w:w="5900" w:type="dxa"/>
            <w:tcBorders>
              <w:top w:val="single" w:sz="4" w:space="0" w:color="000000"/>
              <w:left w:val="single" w:sz="4" w:space="0" w:color="000000"/>
              <w:bottom w:val="single" w:sz="4" w:space="0" w:color="000000"/>
              <w:right w:val="single" w:sz="4" w:space="0" w:color="000000"/>
            </w:tcBorders>
          </w:tcPr>
          <w:p w14:paraId="233AE453" w14:textId="77777777" w:rsidR="00955984" w:rsidRPr="001E722E" w:rsidRDefault="00161751">
            <w:pPr>
              <w:rPr>
                <w:rFonts w:ascii="Arial" w:eastAsia="Arial" w:hAnsi="Arial" w:cs="Arial"/>
              </w:rPr>
            </w:pPr>
            <w:r w:rsidRPr="001E722E">
              <w:rPr>
                <w:rFonts w:ascii="Arial" w:eastAsia="Arial" w:hAnsi="Arial" w:cs="Arial"/>
                <w:sz w:val="21"/>
                <w:szCs w:val="21"/>
              </w:rPr>
              <w:t>Around 19.8 million, about 32% of all deaths worldwide (WHO, 2025)</w:t>
            </w:r>
          </w:p>
        </w:tc>
      </w:tr>
      <w:tr w:rsidR="00955984" w:rsidRPr="001E722E" w14:paraId="1E327918" w14:textId="77777777">
        <w:tc>
          <w:tcPr>
            <w:tcW w:w="3599" w:type="dxa"/>
            <w:tcBorders>
              <w:top w:val="single" w:sz="4" w:space="0" w:color="000000"/>
              <w:left w:val="single" w:sz="4" w:space="0" w:color="000000"/>
              <w:bottom w:val="single" w:sz="4" w:space="0" w:color="000000"/>
              <w:right w:val="single" w:sz="4" w:space="0" w:color="000000"/>
            </w:tcBorders>
          </w:tcPr>
          <w:p w14:paraId="7035E422" w14:textId="77777777" w:rsidR="00955984" w:rsidRPr="001E722E" w:rsidRDefault="00161751">
            <w:pPr>
              <w:rPr>
                <w:rFonts w:ascii="Arial" w:eastAsia="Arial" w:hAnsi="Arial" w:cs="Arial"/>
              </w:rPr>
            </w:pPr>
            <w:r w:rsidRPr="001E722E">
              <w:rPr>
                <w:rFonts w:ascii="Arial" w:eastAsia="Arial" w:hAnsi="Arial" w:cs="Arial"/>
                <w:sz w:val="21"/>
                <w:szCs w:val="21"/>
              </w:rPr>
              <w:t>People living with CHD worldwide</w:t>
            </w:r>
          </w:p>
        </w:tc>
        <w:tc>
          <w:tcPr>
            <w:tcW w:w="5900" w:type="dxa"/>
            <w:tcBorders>
              <w:top w:val="single" w:sz="4" w:space="0" w:color="000000"/>
              <w:left w:val="single" w:sz="4" w:space="0" w:color="000000"/>
              <w:bottom w:val="single" w:sz="4" w:space="0" w:color="000000"/>
              <w:right w:val="single" w:sz="4" w:space="0" w:color="000000"/>
            </w:tcBorders>
          </w:tcPr>
          <w:p w14:paraId="5E7DE120" w14:textId="77777777" w:rsidR="00955984" w:rsidRPr="001E722E" w:rsidRDefault="00161751">
            <w:pPr>
              <w:rPr>
                <w:rFonts w:ascii="Arial" w:eastAsia="Arial" w:hAnsi="Arial" w:cs="Arial"/>
              </w:rPr>
            </w:pPr>
            <w:r w:rsidRPr="001E722E">
              <w:rPr>
                <w:rFonts w:ascii="Arial" w:eastAsia="Arial" w:hAnsi="Arial" w:cs="Arial"/>
                <w:sz w:val="21"/>
                <w:szCs w:val="21"/>
              </w:rPr>
              <w:t>Approximately 240 million (BHF, 2026)</w:t>
            </w:r>
          </w:p>
        </w:tc>
      </w:tr>
      <w:tr w:rsidR="00955984" w:rsidRPr="001E722E" w14:paraId="6A31BD28" w14:textId="77777777">
        <w:tc>
          <w:tcPr>
            <w:tcW w:w="3599" w:type="dxa"/>
            <w:tcBorders>
              <w:top w:val="single" w:sz="4" w:space="0" w:color="000000"/>
              <w:left w:val="single" w:sz="4" w:space="0" w:color="000000"/>
              <w:bottom w:val="single" w:sz="4" w:space="0" w:color="000000"/>
              <w:right w:val="single" w:sz="4" w:space="0" w:color="000000"/>
            </w:tcBorders>
          </w:tcPr>
          <w:p w14:paraId="115C59D9" w14:textId="77777777" w:rsidR="00955984" w:rsidRPr="001E722E" w:rsidRDefault="00161751">
            <w:pPr>
              <w:rPr>
                <w:rFonts w:ascii="Arial" w:eastAsia="Arial" w:hAnsi="Arial" w:cs="Arial"/>
              </w:rPr>
            </w:pPr>
            <w:r w:rsidRPr="001E722E">
              <w:rPr>
                <w:rFonts w:ascii="Arial" w:eastAsia="Arial" w:hAnsi="Arial" w:cs="Arial"/>
                <w:sz w:val="21"/>
                <w:szCs w:val="21"/>
              </w:rPr>
              <w:t>NHS Health Check eligible population</w:t>
            </w:r>
          </w:p>
        </w:tc>
        <w:tc>
          <w:tcPr>
            <w:tcW w:w="5900" w:type="dxa"/>
            <w:tcBorders>
              <w:top w:val="single" w:sz="4" w:space="0" w:color="000000"/>
              <w:left w:val="single" w:sz="4" w:space="0" w:color="000000"/>
              <w:bottom w:val="single" w:sz="4" w:space="0" w:color="000000"/>
              <w:right w:val="single" w:sz="4" w:space="0" w:color="000000"/>
            </w:tcBorders>
          </w:tcPr>
          <w:p w14:paraId="1EEFA24A" w14:textId="77777777" w:rsidR="00955984" w:rsidRPr="001E722E" w:rsidRDefault="00161751">
            <w:pPr>
              <w:rPr>
                <w:rFonts w:ascii="Arial" w:eastAsia="Arial" w:hAnsi="Arial" w:cs="Arial"/>
              </w:rPr>
            </w:pPr>
            <w:r w:rsidRPr="001E722E">
              <w:rPr>
                <w:rFonts w:ascii="Arial" w:eastAsia="Arial" w:hAnsi="Arial" w:cs="Arial"/>
                <w:sz w:val="21"/>
                <w:szCs w:val="21"/>
              </w:rPr>
              <w:t>Adults aged 40-74 in England, invited once every five years (Patel et al., 2020)</w:t>
            </w:r>
          </w:p>
        </w:tc>
      </w:tr>
      <w:tr w:rsidR="00955984" w:rsidRPr="001E722E" w14:paraId="3D0D0483" w14:textId="77777777">
        <w:tc>
          <w:tcPr>
            <w:tcW w:w="3599" w:type="dxa"/>
            <w:tcBorders>
              <w:top w:val="single" w:sz="4" w:space="0" w:color="000000"/>
              <w:left w:val="single" w:sz="4" w:space="0" w:color="000000"/>
              <w:bottom w:val="single" w:sz="4" w:space="0" w:color="000000"/>
              <w:right w:val="single" w:sz="4" w:space="0" w:color="000000"/>
            </w:tcBorders>
          </w:tcPr>
          <w:p w14:paraId="1132A44A" w14:textId="77777777" w:rsidR="00955984" w:rsidRPr="001E722E" w:rsidRDefault="00161751">
            <w:pPr>
              <w:rPr>
                <w:rFonts w:ascii="Arial" w:eastAsia="Arial" w:hAnsi="Arial" w:cs="Arial"/>
              </w:rPr>
            </w:pPr>
            <w:r w:rsidRPr="001E722E">
              <w:rPr>
                <w:rFonts w:ascii="Arial" w:eastAsia="Arial" w:hAnsi="Arial" w:cs="Arial"/>
                <w:sz w:val="21"/>
                <w:szCs w:val="21"/>
              </w:rPr>
              <w:t>NHS Health Check uptake (2012-2017 cycle)</w:t>
            </w:r>
          </w:p>
        </w:tc>
        <w:tc>
          <w:tcPr>
            <w:tcW w:w="5900" w:type="dxa"/>
            <w:tcBorders>
              <w:top w:val="single" w:sz="4" w:space="0" w:color="000000"/>
              <w:left w:val="single" w:sz="4" w:space="0" w:color="000000"/>
              <w:bottom w:val="single" w:sz="4" w:space="0" w:color="000000"/>
              <w:right w:val="single" w:sz="4" w:space="0" w:color="000000"/>
            </w:tcBorders>
          </w:tcPr>
          <w:p w14:paraId="5ED56EEB" w14:textId="77777777" w:rsidR="00955984" w:rsidRPr="001E722E" w:rsidRDefault="00161751">
            <w:pPr>
              <w:rPr>
                <w:rFonts w:ascii="Arial" w:eastAsia="Arial" w:hAnsi="Arial" w:cs="Arial"/>
              </w:rPr>
            </w:pPr>
            <w:r w:rsidRPr="001E722E">
              <w:rPr>
                <w:rFonts w:ascii="Arial" w:eastAsia="Arial" w:hAnsi="Arial" w:cs="Arial"/>
                <w:sz w:val="21"/>
                <w:szCs w:val="21"/>
              </w:rPr>
              <w:t>52.6% nationally, ranging from 25.1% to 84.7% between local authorities (Patel et al., 2020)</w:t>
            </w:r>
          </w:p>
        </w:tc>
      </w:tr>
      <w:tr w:rsidR="00955984" w:rsidRPr="001E722E" w14:paraId="37D7485B" w14:textId="77777777">
        <w:tc>
          <w:tcPr>
            <w:tcW w:w="3599" w:type="dxa"/>
            <w:tcBorders>
              <w:top w:val="single" w:sz="4" w:space="0" w:color="000000"/>
              <w:left w:val="single" w:sz="4" w:space="0" w:color="000000"/>
              <w:bottom w:val="single" w:sz="4" w:space="0" w:color="000000"/>
              <w:right w:val="single" w:sz="4" w:space="0" w:color="000000"/>
            </w:tcBorders>
          </w:tcPr>
          <w:p w14:paraId="3772F8F2" w14:textId="77777777" w:rsidR="00955984" w:rsidRPr="001E722E" w:rsidRDefault="00161751">
            <w:pPr>
              <w:rPr>
                <w:rFonts w:ascii="Arial" w:eastAsia="Arial" w:hAnsi="Arial" w:cs="Arial"/>
              </w:rPr>
            </w:pPr>
            <w:r w:rsidRPr="001E722E">
              <w:rPr>
                <w:rFonts w:ascii="Arial" w:eastAsia="Arial" w:hAnsi="Arial" w:cs="Arial"/>
                <w:sz w:val="21"/>
                <w:szCs w:val="21"/>
              </w:rPr>
              <w:t>Attendance in a separate ten-year review (2009-2017)</w:t>
            </w:r>
          </w:p>
        </w:tc>
        <w:tc>
          <w:tcPr>
            <w:tcW w:w="5900" w:type="dxa"/>
            <w:tcBorders>
              <w:top w:val="single" w:sz="4" w:space="0" w:color="000000"/>
              <w:left w:val="single" w:sz="4" w:space="0" w:color="000000"/>
              <w:bottom w:val="single" w:sz="4" w:space="0" w:color="000000"/>
              <w:right w:val="single" w:sz="4" w:space="0" w:color="000000"/>
            </w:tcBorders>
          </w:tcPr>
          <w:p w14:paraId="50C53035" w14:textId="77777777" w:rsidR="00955984" w:rsidRPr="001E722E" w:rsidRDefault="00161751">
            <w:pPr>
              <w:rPr>
                <w:rFonts w:ascii="Arial" w:eastAsia="Arial" w:hAnsi="Arial" w:cs="Arial"/>
              </w:rPr>
            </w:pPr>
            <w:r w:rsidRPr="001E722E">
              <w:rPr>
                <w:rFonts w:ascii="Arial" w:eastAsia="Arial" w:hAnsi="Arial" w:cs="Arial"/>
                <w:sz w:val="21"/>
                <w:szCs w:val="21"/>
              </w:rPr>
              <w:t>Only 16.9% of those eligible attended in 2013-2017; 83.1% did not attend (Robson et al., 2021)</w:t>
            </w:r>
          </w:p>
        </w:tc>
      </w:tr>
    </w:tbl>
    <w:p w14:paraId="58FFA280" w14:textId="77777777" w:rsidR="00955984" w:rsidRPr="001E722E" w:rsidRDefault="00955984">
      <w:pPr>
        <w:spacing w:after="300"/>
        <w:rPr>
          <w:rFonts w:ascii="Arial" w:eastAsia="Arial" w:hAnsi="Arial" w:cs="Arial"/>
        </w:rPr>
      </w:pPr>
    </w:p>
    <w:p w14:paraId="6209E15D" w14:textId="77777777" w:rsidR="00955984" w:rsidRPr="001E722E" w:rsidRDefault="00161751">
      <w:pPr>
        <w:pStyle w:val="Heading1"/>
        <w:pageBreakBefore/>
      </w:pPr>
      <w:bookmarkStart w:id="13" w:name="_vkm3tq2qk547" w:colFirst="0" w:colLast="0"/>
      <w:bookmarkEnd w:id="13"/>
      <w:r w:rsidRPr="001E722E">
        <w:lastRenderedPageBreak/>
        <w:t>CHAPTER 2: LITERATURE REVIEW</w:t>
      </w:r>
    </w:p>
    <w:p w14:paraId="14071D9B" w14:textId="20ECDFBD" w:rsidR="00955984" w:rsidRPr="001E722E" w:rsidRDefault="00161751" w:rsidP="001E722E">
      <w:pPr>
        <w:pStyle w:val="Heading2"/>
      </w:pPr>
      <w:bookmarkStart w:id="14" w:name="_md0fgltyiovt" w:colFirst="0" w:colLast="0"/>
      <w:bookmarkEnd w:id="14"/>
      <w:r w:rsidRPr="001E722E">
        <w:t>2.1 Introduction</w:t>
      </w:r>
    </w:p>
    <w:p w14:paraId="70078CA9" w14:textId="77777777" w:rsidR="00955984" w:rsidRPr="001E722E" w:rsidRDefault="00161751">
      <w:pPr>
        <w:spacing w:after="200" w:line="360" w:lineRule="auto"/>
        <w:jc w:val="both"/>
        <w:rPr>
          <w:rFonts w:ascii="Arial" w:eastAsia="Arial" w:hAnsi="Arial" w:cs="Arial"/>
        </w:rPr>
      </w:pPr>
      <w:r w:rsidRPr="001E722E">
        <w:rPr>
          <w:rFonts w:ascii="Arial" w:eastAsia="Arial" w:hAnsi="Arial" w:cs="Arial"/>
          <w:sz w:val="24"/>
          <w:szCs w:val="24"/>
        </w:rPr>
        <w:t>This chapter reviews the literature relevant to the four objectives outlined in Chapter 1. It begins by describing the magnitude and nature of CHD in the UK (Section 2.2), before reviewing current evidence on public awareness of its risk factors and symptoms directly addressing Objective 1. It then presents the HBM, a theory that has been widely adopted to explain the reasons for or against preventive health behaviour, in order to provide background to the findings of the awareness and barriers which follow. The chapter then looks at barriers to early screening attendance (Objective 2) and reviews the evidence on NHS and community-based prevention campaigns (Objective 3). It brings together the ideas that have been proposed in the literature about increasing awareness and uptake (Objective 4), about the gaps in current knowledge, and about summarising the chapter.</w:t>
      </w:r>
    </w:p>
    <w:p w14:paraId="23AAFDEA" w14:textId="3A5007F0" w:rsidR="00955984" w:rsidRPr="001E722E" w:rsidRDefault="00161751" w:rsidP="001E722E">
      <w:pPr>
        <w:pStyle w:val="Heading2"/>
      </w:pPr>
      <w:bookmarkStart w:id="15" w:name="_6g9xtzusp0ul" w:colFirst="0" w:colLast="0"/>
      <w:bookmarkEnd w:id="15"/>
      <w:r w:rsidRPr="001E722E">
        <w:t>2.2 The Burden of Coronary Heart Disease in the UK</w:t>
      </w:r>
    </w:p>
    <w:p w14:paraId="71DBD08C" w14:textId="77777777" w:rsidR="00955984" w:rsidRPr="001E722E" w:rsidRDefault="00161751">
      <w:pPr>
        <w:spacing w:after="200" w:line="360" w:lineRule="auto"/>
        <w:jc w:val="both"/>
        <w:rPr>
          <w:rFonts w:ascii="Arial" w:eastAsia="Arial" w:hAnsi="Arial" w:cs="Arial"/>
          <w:sz w:val="24"/>
          <w:szCs w:val="24"/>
        </w:rPr>
      </w:pPr>
      <w:r w:rsidRPr="001E722E">
        <w:rPr>
          <w:rFonts w:ascii="Arial" w:eastAsia="Arial" w:hAnsi="Arial" w:cs="Arial"/>
          <w:sz w:val="24"/>
          <w:szCs w:val="24"/>
        </w:rPr>
        <w:t>Many CHD deaths are part of a larger group of (CVDs that are responsible for an estimated 19.8 million deaths each year or about one-third of all deaths (WHO, 2025). Globally, more than four out of five cardiovascular deaths are caused by heart attacks and strokes, and around a third of these deaths happen prematurely, in people under 70 (WHO, 2025). Ischaemic heart disease (IHD) is a medical term for CHD, and a recent global analysis of disease burden showed that CHD was one of the largest contributors to lost healthy years of life worldwide and the total burden of cardiovascular disease had continued to increase since 1990, as a result of population growth and ageing (Global Burden of Cardiovascular Diseases and Risks 2023 Collaborators, 2025).</w:t>
      </w:r>
    </w:p>
    <w:p w14:paraId="18DC8332" w14:textId="77777777" w:rsidR="00955984" w:rsidRPr="001E722E" w:rsidRDefault="00161751">
      <w:pPr>
        <w:spacing w:after="200" w:line="360" w:lineRule="auto"/>
        <w:jc w:val="both"/>
        <w:rPr>
          <w:rFonts w:ascii="Arial" w:eastAsia="Arial" w:hAnsi="Arial" w:cs="Arial"/>
        </w:rPr>
      </w:pPr>
      <w:r w:rsidRPr="001E722E">
        <w:rPr>
          <w:rFonts w:ascii="Arial" w:eastAsia="Arial" w:hAnsi="Arial" w:cs="Arial"/>
          <w:sz w:val="24"/>
          <w:szCs w:val="24"/>
        </w:rPr>
        <w:t xml:space="preserve">In the UK in particular, heart and circulatory diseases are still a major cause of death and although the death rates for CHD have been declining since the early 2000s, due to more effective treatment, this decline is hiding an increasing number of people living with heart and circulatory disease across the UK, as a consequence of an ageing population and rising levels of obesity and diabetes (BHF, 2025). This is because the main risk factors for CHD have been identified in the literature and can be modified by lifestyle changes, medication or both and include smoking, high blood </w:t>
      </w:r>
      <w:r w:rsidRPr="001E722E">
        <w:rPr>
          <w:rFonts w:ascii="Arial" w:eastAsia="Arial" w:hAnsi="Arial" w:cs="Arial"/>
          <w:sz w:val="24"/>
          <w:szCs w:val="24"/>
        </w:rPr>
        <w:lastRenderedPageBreak/>
        <w:t>pressure, high cholesterol, physical inactivity, obesity, diabetes and excessive alcohol consumption (WHO, 2025). Given that most of these risk factors are preventable or treatable if identified early, the UK public health approach to CHD relies heavily on good working together of two elements: awareness of the public that it is a risk factor and that they can do something about it; health services that can reach targets and provide screening and support before problems arise. The remainder of this chapter looks at the effectiveness of each of these aspects.</w:t>
      </w:r>
    </w:p>
    <w:p w14:paraId="03BCDDA9" w14:textId="2B4D5775" w:rsidR="00955984" w:rsidRPr="001E722E" w:rsidRDefault="00161751" w:rsidP="001E722E">
      <w:pPr>
        <w:pStyle w:val="Heading2"/>
      </w:pPr>
      <w:bookmarkStart w:id="16" w:name="_r326ipepjix" w:colFirst="0" w:colLast="0"/>
      <w:bookmarkEnd w:id="16"/>
      <w:r w:rsidRPr="001E722E">
        <w:t>2.3 Public Awareness and Understanding of CHD Risk Factors and Symptoms</w:t>
      </w:r>
    </w:p>
    <w:p w14:paraId="7F906166" w14:textId="77777777" w:rsidR="00955984" w:rsidRPr="001E722E" w:rsidRDefault="00161751">
      <w:pPr>
        <w:spacing w:after="200" w:line="360" w:lineRule="auto"/>
        <w:jc w:val="both"/>
        <w:rPr>
          <w:rFonts w:ascii="Arial" w:eastAsia="Arial" w:hAnsi="Arial" w:cs="Arial"/>
          <w:sz w:val="24"/>
          <w:szCs w:val="24"/>
        </w:rPr>
      </w:pPr>
      <w:r w:rsidRPr="001E722E">
        <w:rPr>
          <w:rFonts w:ascii="Arial" w:eastAsia="Arial" w:hAnsi="Arial" w:cs="Arial"/>
          <w:sz w:val="24"/>
          <w:szCs w:val="24"/>
        </w:rPr>
        <w:t>Knowing the symptoms and risk factors of CHD is a vital first step in prevention because if someone doesn't know a symptom or thinks they are not at risk, they are unlikely to get help early or attend preventive screening. A much-cited study in the UK asked members of the public about a typical busy street in Birmingham to see if they could identify chest pain as a warning sign of a heart attack; while most were able to, other signs of warning such as arm or jaw pain, breathlessness and sweating were not so consistent. The same study found that awareness overall was lower among older participants and those in manual occupations, occupations that carry a higher actual risk of CHD, creating a worrying mismatch between risk and awareness (NHS England, 2023; Veronesi et al., 2022).</w:t>
      </w:r>
    </w:p>
    <w:p w14:paraId="60F5916B" w14:textId="77777777" w:rsidR="00955984" w:rsidRPr="001E722E" w:rsidRDefault="00161751">
      <w:pPr>
        <w:spacing w:after="200" w:line="360" w:lineRule="auto"/>
        <w:jc w:val="both"/>
        <w:rPr>
          <w:rFonts w:ascii="Arial" w:eastAsia="Arial" w:hAnsi="Arial" w:cs="Arial"/>
          <w:sz w:val="24"/>
          <w:szCs w:val="24"/>
        </w:rPr>
      </w:pPr>
      <w:r w:rsidRPr="001E722E">
        <w:rPr>
          <w:rFonts w:ascii="Arial" w:eastAsia="Arial" w:hAnsi="Arial" w:cs="Arial"/>
          <w:sz w:val="24"/>
          <w:szCs w:val="24"/>
        </w:rPr>
        <w:t>This is not a UK-specific pattern – often people recognise the most visible symptom but not as much about what else can happen. Chest pain is consistently the most recognised heart attack symptom worldwide, while less typical symptoms such as nausea, fatigue, or back or stomach discomfort are recognised far less often (Ahmed et al., 2020; Mata et al., 2012). This matters because these less typical symptoms occur frequently, especially in women, and are easily overlooked, leading to delays in seeking emergency care. The same is true of awareness of risk factors, with some, like smoking or family history, being more familiar to the public than others, such as poor dietary habits, inactivity or stress, which are also important to prevention over a long period.</w:t>
      </w:r>
    </w:p>
    <w:p w14:paraId="77F4BE09" w14:textId="77777777" w:rsidR="001E722E" w:rsidRPr="001E722E" w:rsidRDefault="001E722E">
      <w:pPr>
        <w:spacing w:after="200" w:line="360" w:lineRule="auto"/>
        <w:jc w:val="both"/>
        <w:rPr>
          <w:rFonts w:ascii="Arial" w:eastAsia="Arial" w:hAnsi="Arial" w:cs="Arial"/>
          <w:sz w:val="24"/>
          <w:szCs w:val="24"/>
        </w:rPr>
      </w:pPr>
    </w:p>
    <w:p w14:paraId="5EF35267" w14:textId="032B635F" w:rsidR="00955984" w:rsidRPr="001E722E" w:rsidRDefault="00161751" w:rsidP="001E722E">
      <w:pPr>
        <w:pStyle w:val="Heading2"/>
      </w:pPr>
      <w:bookmarkStart w:id="17" w:name="_fehi7tjxwh37" w:colFirst="0" w:colLast="0"/>
      <w:bookmarkEnd w:id="17"/>
      <w:r w:rsidRPr="001E722E">
        <w:lastRenderedPageBreak/>
        <w:t>2.4 Theoretical Framework: The Health Belief Model</w:t>
      </w:r>
    </w:p>
    <w:p w14:paraId="37AD191A" w14:textId="77777777" w:rsidR="00955984" w:rsidRPr="001E722E" w:rsidRDefault="00161751">
      <w:pPr>
        <w:spacing w:after="200" w:line="360" w:lineRule="auto"/>
        <w:jc w:val="both"/>
        <w:rPr>
          <w:rFonts w:ascii="Arial" w:eastAsia="Arial" w:hAnsi="Arial" w:cs="Arial"/>
          <w:sz w:val="24"/>
          <w:szCs w:val="24"/>
        </w:rPr>
      </w:pPr>
      <w:r w:rsidRPr="001E722E">
        <w:rPr>
          <w:rFonts w:ascii="Arial" w:eastAsia="Arial" w:hAnsi="Arial" w:cs="Arial"/>
          <w:sz w:val="24"/>
          <w:szCs w:val="24"/>
        </w:rPr>
        <w:t xml:space="preserve">One of the most widely used frameworks to explain and predict health-related behaviour is the Health Belief Model (HBM) introduced by Becker and Maiman (1975) as cited in Social and </w:t>
      </w:r>
      <w:proofErr w:type="spellStart"/>
      <w:r w:rsidRPr="001E722E">
        <w:rPr>
          <w:rFonts w:ascii="Arial" w:eastAsia="Arial" w:hAnsi="Arial" w:cs="Arial"/>
          <w:sz w:val="24"/>
          <w:szCs w:val="24"/>
        </w:rPr>
        <w:t>Behavioral</w:t>
      </w:r>
      <w:proofErr w:type="spellEnd"/>
      <w:r w:rsidRPr="001E722E">
        <w:rPr>
          <w:rFonts w:ascii="Arial" w:eastAsia="Arial" w:hAnsi="Arial" w:cs="Arial"/>
          <w:sz w:val="24"/>
          <w:szCs w:val="24"/>
        </w:rPr>
        <w:t xml:space="preserve"> Theories, National Institutes of Health. The key points of the model are the interaction that occurs between a person's beliefs around 1) how susceptible they think they are to the condition, 2) how serious they believe the consequences would be, 3) how beneficial they think the preventive action would be, 4) how many barriers there are to performing the action, and 5) whether or not there is something that makes them decide to take the action (cue to action). The next addition to the model is self-efficacy, which is the person's confidence in their ability to perform the behaviour successfully (</w:t>
      </w:r>
      <w:proofErr w:type="spellStart"/>
      <w:r w:rsidRPr="001E722E">
        <w:rPr>
          <w:rFonts w:ascii="Arial" w:eastAsia="Arial" w:hAnsi="Arial" w:cs="Arial"/>
          <w:sz w:val="24"/>
          <w:szCs w:val="24"/>
        </w:rPr>
        <w:t>Alyafei</w:t>
      </w:r>
      <w:proofErr w:type="spellEnd"/>
      <w:r w:rsidRPr="001E722E">
        <w:rPr>
          <w:rFonts w:ascii="Arial" w:eastAsia="Arial" w:hAnsi="Arial" w:cs="Arial"/>
          <w:sz w:val="24"/>
          <w:szCs w:val="24"/>
        </w:rPr>
        <w:t xml:space="preserve"> and Easton-Carr, 2024). These interacting beliefs are illustrated in Figure 2.1.</w:t>
      </w:r>
    </w:p>
    <w:p w14:paraId="06A8D291" w14:textId="77777777" w:rsidR="00955984" w:rsidRPr="001E722E" w:rsidRDefault="00161751">
      <w:pPr>
        <w:spacing w:after="200" w:line="360" w:lineRule="auto"/>
        <w:jc w:val="center"/>
        <w:rPr>
          <w:rFonts w:ascii="Arial" w:eastAsia="Arial" w:hAnsi="Arial" w:cs="Arial"/>
          <w:sz w:val="24"/>
          <w:szCs w:val="24"/>
        </w:rPr>
      </w:pPr>
      <w:r w:rsidRPr="001E722E">
        <w:rPr>
          <w:noProof/>
        </w:rPr>
        <w:drawing>
          <wp:inline distT="0" distB="0" distL="0" distR="0" wp14:anchorId="200247F9" wp14:editId="128FEDA8">
            <wp:extent cx="5121910" cy="3957320"/>
            <wp:effectExtent l="0" t="0" r="0" b="0"/>
            <wp:docPr id="159163679" name="image1.png" descr="The Health Belief Model – Methods for Stress Management"/>
            <wp:cNvGraphicFramePr/>
            <a:graphic xmlns:a="http://schemas.openxmlformats.org/drawingml/2006/main">
              <a:graphicData uri="http://schemas.openxmlformats.org/drawingml/2006/picture">
                <pic:pic xmlns:pic="http://schemas.openxmlformats.org/drawingml/2006/picture">
                  <pic:nvPicPr>
                    <pic:cNvPr id="0" name="image1.png" descr="The Health Belief Model – Methods for Stress Management"/>
                    <pic:cNvPicPr preferRelativeResize="0"/>
                  </pic:nvPicPr>
                  <pic:blipFill>
                    <a:blip r:embed="rId16"/>
                    <a:srcRect/>
                    <a:stretch>
                      <a:fillRect/>
                    </a:stretch>
                  </pic:blipFill>
                  <pic:spPr>
                    <a:xfrm>
                      <a:off x="0" y="0"/>
                      <a:ext cx="5121910" cy="3957320"/>
                    </a:xfrm>
                    <a:prstGeom prst="rect">
                      <a:avLst/>
                    </a:prstGeom>
                    <a:ln/>
                  </pic:spPr>
                </pic:pic>
              </a:graphicData>
            </a:graphic>
          </wp:inline>
        </w:drawing>
      </w:r>
    </w:p>
    <w:p w14:paraId="15A2A92B" w14:textId="77777777" w:rsidR="00955984" w:rsidRPr="001E722E" w:rsidRDefault="00161751">
      <w:pPr>
        <w:spacing w:after="200" w:line="360" w:lineRule="auto"/>
        <w:jc w:val="center"/>
        <w:rPr>
          <w:rFonts w:ascii="Arial" w:eastAsia="Arial" w:hAnsi="Arial" w:cs="Arial"/>
          <w:sz w:val="24"/>
          <w:szCs w:val="24"/>
        </w:rPr>
      </w:pPr>
      <w:bookmarkStart w:id="18" w:name="_fs3f7vz5mzyi" w:colFirst="0" w:colLast="0"/>
      <w:bookmarkEnd w:id="18"/>
      <w:r w:rsidRPr="001E722E">
        <w:rPr>
          <w:rFonts w:ascii="Arial" w:eastAsia="Arial" w:hAnsi="Arial" w:cs="Arial"/>
          <w:sz w:val="24"/>
          <w:szCs w:val="24"/>
        </w:rPr>
        <w:t>Figure 2.1: The Health Belief Model, Becker, M.H. and Maiman, L.A. (1975)</w:t>
      </w:r>
    </w:p>
    <w:p w14:paraId="1C409BB5" w14:textId="77777777" w:rsidR="00955984" w:rsidRPr="001E722E" w:rsidRDefault="00161751">
      <w:pPr>
        <w:spacing w:after="200" w:line="360" w:lineRule="auto"/>
        <w:jc w:val="both"/>
        <w:rPr>
          <w:rFonts w:ascii="Arial" w:eastAsia="Arial" w:hAnsi="Arial" w:cs="Arial"/>
        </w:rPr>
      </w:pPr>
      <w:r w:rsidRPr="001E722E">
        <w:rPr>
          <w:rFonts w:ascii="Arial" w:eastAsia="Arial" w:hAnsi="Arial" w:cs="Arial"/>
          <w:sz w:val="24"/>
          <w:szCs w:val="24"/>
        </w:rPr>
        <w:t xml:space="preserve">Several studies have specifically focused on cardiovascular prevention as a target for the HBM. In the research models of health beliefs among university students, the perceived barriers, perceived benefits, family history of CVD and screening intention were all significant predictors of whether or not a person practised heart-healthy </w:t>
      </w:r>
      <w:r w:rsidRPr="001E722E">
        <w:rPr>
          <w:rFonts w:ascii="Arial" w:eastAsia="Arial" w:hAnsi="Arial" w:cs="Arial"/>
          <w:sz w:val="24"/>
          <w:szCs w:val="24"/>
        </w:rPr>
        <w:lastRenderedPageBreak/>
        <w:t>behaviours, with only an indirect effect of general health knowledge through perceived benefits. In a recent randomised controlled trial applying the Health Belief Model to modify lifestyle behaviours in patients with coronary heart disease, perceived severity and perceived susceptibility were the two constructs that changed most significantly following the intervention. At the same time, perceived barriers also showed meaningful improvement (Saffari et al., 2024). A comparable quasi-experimental study of patients with hypertension similarly found that an HBM-based educational intervention reduced perceived barriers and strengthened perceived susceptibility and benefits, which in turn was associated with better adoption of cardiovascular-protective behaviours (</w:t>
      </w:r>
      <w:proofErr w:type="spellStart"/>
      <w:r w:rsidRPr="001E722E">
        <w:rPr>
          <w:rFonts w:ascii="Arial" w:eastAsia="Arial" w:hAnsi="Arial" w:cs="Arial"/>
          <w:sz w:val="24"/>
          <w:szCs w:val="24"/>
        </w:rPr>
        <w:t>Mohammadkhah</w:t>
      </w:r>
      <w:proofErr w:type="spellEnd"/>
      <w:r w:rsidRPr="001E722E">
        <w:rPr>
          <w:rFonts w:ascii="Arial" w:eastAsia="Arial" w:hAnsi="Arial" w:cs="Arial"/>
          <w:sz w:val="24"/>
          <w:szCs w:val="24"/>
        </w:rPr>
        <w:t xml:space="preserve"> et al., 2023). Similarly, a UK-based qualitative study exploring patient responses to NHS Health Check risk communication found that patients' perceptions of cardiovascular risk as either 'fixed' or a 'lottery' appeared detrimental to their motivation to engage in risk-reducing behaviours (Gibson et al., 2024). This mirrors earlier UK evidence that patients who did attend an NHS Health Check were often motivated by their own health beliefs and by a sense of personal benefit and family history, rather than by general symptom awareness alone (Riley et al., 2016). These findings illustrate why awareness campaigns based on information alone often struggle to change behaviour: knowledge does not reliably translate into attendance or lifestyle change unless people also feel personally at risk, believe that screening will benefit them, and feel able to overcome any practical obstacles to attending (Saffari et al., 2024; Janz and Becker, 1984).</w:t>
      </w:r>
    </w:p>
    <w:p w14:paraId="6ABFA3CE" w14:textId="328FEFFB" w:rsidR="00955984" w:rsidRPr="001E722E" w:rsidRDefault="00161751" w:rsidP="001E722E">
      <w:pPr>
        <w:pStyle w:val="Heading2"/>
      </w:pPr>
      <w:bookmarkStart w:id="19" w:name="_a2l88f88ayex" w:colFirst="0" w:colLast="0"/>
      <w:bookmarkEnd w:id="19"/>
      <w:r w:rsidRPr="001E722E">
        <w:t>2.5 Barriers to Early Screening and Preventive Health Checks</w:t>
      </w:r>
      <w:bookmarkStart w:id="20" w:name="_fzggbwbloskq" w:colFirst="0" w:colLast="0"/>
      <w:bookmarkEnd w:id="20"/>
    </w:p>
    <w:p w14:paraId="54FC15BD" w14:textId="77777777" w:rsidR="00955984" w:rsidRPr="001E722E" w:rsidRDefault="00161751">
      <w:pPr>
        <w:spacing w:after="200" w:line="360" w:lineRule="auto"/>
        <w:jc w:val="both"/>
        <w:rPr>
          <w:rFonts w:ascii="Arial" w:eastAsia="Arial" w:hAnsi="Arial" w:cs="Arial"/>
        </w:rPr>
      </w:pPr>
      <w:r w:rsidRPr="001E722E">
        <w:rPr>
          <w:rFonts w:ascii="Arial" w:eastAsia="Arial" w:hAnsi="Arial" w:cs="Arial"/>
          <w:sz w:val="24"/>
          <w:szCs w:val="24"/>
        </w:rPr>
        <w:t>There is a significant amount of research from the UK which has explored the reasons for not attending the NHS Health Check and barriers identified are broadly categorised into three overlapping groups: individual and psychological barriers, practical and access barriers and cultural or trust barriers (Eberhardt et al., 2025; Brady et al., 2025; Brangan et al., 2019).</w:t>
      </w:r>
    </w:p>
    <w:p w14:paraId="1663952A" w14:textId="56F63A10" w:rsidR="00955984" w:rsidRPr="001E722E" w:rsidRDefault="00161751" w:rsidP="001E722E">
      <w:pPr>
        <w:pStyle w:val="Heading2"/>
      </w:pPr>
      <w:bookmarkStart w:id="21" w:name="_g9igpdvnnlf3" w:colFirst="0" w:colLast="0"/>
      <w:bookmarkEnd w:id="21"/>
      <w:r w:rsidRPr="001E722E">
        <w:t>2.5.1 Individual and Psychological Barriers</w:t>
      </w:r>
    </w:p>
    <w:p w14:paraId="055E38FD" w14:textId="77777777" w:rsidR="00955984" w:rsidRPr="001E722E" w:rsidRDefault="00161751">
      <w:pPr>
        <w:spacing w:after="200" w:line="360" w:lineRule="auto"/>
        <w:jc w:val="both"/>
        <w:rPr>
          <w:rFonts w:ascii="Arial" w:eastAsia="Arial" w:hAnsi="Arial" w:cs="Arial"/>
        </w:rPr>
      </w:pPr>
      <w:r w:rsidRPr="001E722E">
        <w:rPr>
          <w:rFonts w:ascii="Arial" w:eastAsia="Arial" w:hAnsi="Arial" w:cs="Arial"/>
          <w:sz w:val="24"/>
          <w:szCs w:val="24"/>
        </w:rPr>
        <w:t xml:space="preserve">Individually, many do not perceive themselves as vulnerable, especially if they feel well and do not have any noticeable symptoms, or because they believe that they </w:t>
      </w:r>
      <w:r w:rsidRPr="001E722E">
        <w:rPr>
          <w:rFonts w:ascii="Arial" w:eastAsia="Arial" w:hAnsi="Arial" w:cs="Arial"/>
          <w:sz w:val="24"/>
          <w:szCs w:val="24"/>
        </w:rPr>
        <w:lastRenderedPageBreak/>
        <w:t>are unlikely to develop cancer (Health Belief Model: low perceived susceptibility). Qualitative studies among deprived communities in North East England revealed there was a risk that such a check-up may reveal a health issue, and some people were not prepared to take that risk, preferring not to know what would be done if a health problem is found (Eberhardt et al., 2025). Some of the participants had a strong sense of self-reliance, believing that taking care of their own health, without the need for medical intervention, was a reflection of their personal pride, which only further diminished their motivation to come to the clinic (Eberhardt et al., 2025).</w:t>
      </w:r>
    </w:p>
    <w:p w14:paraId="0E1EA8A4" w14:textId="3F1E6C67" w:rsidR="00955984" w:rsidRPr="001E722E" w:rsidRDefault="00161751" w:rsidP="001E722E">
      <w:pPr>
        <w:pStyle w:val="Heading2"/>
      </w:pPr>
      <w:bookmarkStart w:id="22" w:name="_3sj0j4h9tjxe" w:colFirst="0" w:colLast="0"/>
      <w:bookmarkEnd w:id="22"/>
      <w:r w:rsidRPr="001E722E">
        <w:t>2.5.2 Practical and Access-Related Barriers</w:t>
      </w:r>
    </w:p>
    <w:p w14:paraId="49384E9B" w14:textId="77777777" w:rsidR="00955984" w:rsidRPr="001E722E" w:rsidRDefault="00161751">
      <w:pPr>
        <w:spacing w:after="200" w:line="360" w:lineRule="auto"/>
        <w:jc w:val="both"/>
        <w:rPr>
          <w:rFonts w:ascii="Arial" w:eastAsia="Arial" w:hAnsi="Arial" w:cs="Arial"/>
        </w:rPr>
      </w:pPr>
      <w:r w:rsidRPr="001E722E">
        <w:rPr>
          <w:rFonts w:ascii="Arial" w:eastAsia="Arial" w:hAnsi="Arial" w:cs="Arial"/>
          <w:sz w:val="24"/>
          <w:szCs w:val="24"/>
        </w:rPr>
        <w:t>Often people are willing to attend, but practical barriers arise. The spread of national uptake data ranges from close to a quarter of local authorities with attendance of less than a quarter to nearly 85% in the highest achieving areas, significantly larger than would be accounted for by differences in attitudes and is likely to be attributed to the difference in the frequency and ease of access to the programme across local authorities (Patel et al., 2020). Common practical challenges highlighted in the literature are scheduling an appointment that is convenient for the patient, work demands, and travel time and expenses to a clinic (Eberhardt et al., 2025). A study in Bristol compared the effectiveness of booking via telephone versus letter and concluded that many people who subsequently booked would not have booked if they had been sent a letter only, while booking via telephone was made much easier, particularly when the booking could be done on the spot with the caller (Brangan et al., 2019).</w:t>
      </w:r>
    </w:p>
    <w:p w14:paraId="11337986" w14:textId="0D31772D" w:rsidR="00955984" w:rsidRPr="001E722E" w:rsidRDefault="00161751" w:rsidP="001E722E">
      <w:pPr>
        <w:pStyle w:val="Heading2"/>
      </w:pPr>
      <w:bookmarkStart w:id="23" w:name="_orqa49lum4of" w:colFirst="0" w:colLast="0"/>
      <w:bookmarkEnd w:id="23"/>
      <w:r w:rsidRPr="001E722E">
        <w:t>2.5.3 Cultural, Trust and Communication Barriers</w:t>
      </w:r>
    </w:p>
    <w:p w14:paraId="20166EEA" w14:textId="7BA0243F" w:rsidR="00955984" w:rsidRPr="001E722E" w:rsidRDefault="00161751">
      <w:pPr>
        <w:spacing w:after="200" w:line="360" w:lineRule="auto"/>
        <w:jc w:val="both"/>
        <w:rPr>
          <w:rFonts w:ascii="Arial" w:eastAsia="Arial" w:hAnsi="Arial" w:cs="Arial"/>
          <w:sz w:val="24"/>
          <w:szCs w:val="24"/>
        </w:rPr>
      </w:pPr>
      <w:r w:rsidRPr="001E722E">
        <w:rPr>
          <w:rFonts w:ascii="Arial" w:eastAsia="Arial" w:hAnsi="Arial" w:cs="Arial"/>
          <w:sz w:val="24"/>
          <w:szCs w:val="24"/>
        </w:rPr>
        <w:t xml:space="preserve">The evidence indicates that for minority ethnic and underserved populations there is an additional set of barriers related to trust, language, and cultural relevance, as summarised in Table 2.1. Brady et al. (2025) carried out a qualitative study in Middlesbrough with adults from Black African and underserved White communities and discovered that whilst additional information was important, convenience and trust in the service were more relevant to participants than having more information, and culturally tailored, community-based delivery was far more effective than standard clinic appointments. Likewise, in the most deprived areas in the North East </w:t>
      </w:r>
      <w:r w:rsidRPr="001E722E">
        <w:rPr>
          <w:rFonts w:ascii="Arial" w:eastAsia="Arial" w:hAnsi="Arial" w:cs="Arial"/>
          <w:sz w:val="24"/>
          <w:szCs w:val="24"/>
        </w:rPr>
        <w:lastRenderedPageBreak/>
        <w:t xml:space="preserve">of England, mistrust of health services due to a lack of culturally sensitive communication was a common theme, and participants valued information from trusted community members over official letters (Eberhardt et al., 2025). A community-led study in Birmingham similarly found that low awareness, limited engagement and guarded acceptance of NHS Health Checks among minority ethnic residents stemmed from the same trust and communication gaps rather than a lack of interest in prevention (Safi, </w:t>
      </w:r>
      <w:proofErr w:type="spellStart"/>
      <w:r w:rsidRPr="001E722E">
        <w:rPr>
          <w:rFonts w:ascii="Arial" w:eastAsia="Arial" w:hAnsi="Arial" w:cs="Arial"/>
          <w:sz w:val="24"/>
          <w:szCs w:val="24"/>
        </w:rPr>
        <w:t>Jadhakhan</w:t>
      </w:r>
      <w:proofErr w:type="spellEnd"/>
      <w:r w:rsidRPr="001E722E">
        <w:rPr>
          <w:rFonts w:ascii="Arial" w:eastAsia="Arial" w:hAnsi="Arial" w:cs="Arial"/>
          <w:sz w:val="24"/>
          <w:szCs w:val="24"/>
        </w:rPr>
        <w:t xml:space="preserve"> and </w:t>
      </w:r>
      <w:proofErr w:type="spellStart"/>
      <w:r w:rsidRPr="001E722E">
        <w:rPr>
          <w:rFonts w:ascii="Arial" w:eastAsia="Arial" w:hAnsi="Arial" w:cs="Arial"/>
          <w:sz w:val="24"/>
          <w:szCs w:val="24"/>
        </w:rPr>
        <w:t>Hossain</w:t>
      </w:r>
      <w:proofErr w:type="spellEnd"/>
      <w:r w:rsidRPr="001E722E">
        <w:rPr>
          <w:rFonts w:ascii="Arial" w:eastAsia="Arial" w:hAnsi="Arial" w:cs="Arial"/>
          <w:sz w:val="24"/>
          <w:szCs w:val="24"/>
        </w:rPr>
        <w:t>, 2026), and a related study of NHS Health Check participation across that same multiethnic city found persistent inequalities in uptake between ethnic groups even where invitations were sent (</w:t>
      </w:r>
      <w:proofErr w:type="spellStart"/>
      <w:r w:rsidRPr="001E722E">
        <w:rPr>
          <w:rFonts w:ascii="Arial" w:eastAsia="Arial" w:hAnsi="Arial" w:cs="Arial"/>
          <w:sz w:val="24"/>
          <w:szCs w:val="24"/>
        </w:rPr>
        <w:t>Ferozkhan</w:t>
      </w:r>
      <w:proofErr w:type="spellEnd"/>
      <w:r w:rsidRPr="001E722E">
        <w:rPr>
          <w:rFonts w:ascii="Arial" w:eastAsia="Arial" w:hAnsi="Arial" w:cs="Arial"/>
          <w:sz w:val="24"/>
          <w:szCs w:val="24"/>
        </w:rPr>
        <w:t xml:space="preserve">, Safi and </w:t>
      </w:r>
      <w:proofErr w:type="spellStart"/>
      <w:r w:rsidRPr="001E722E">
        <w:rPr>
          <w:rFonts w:ascii="Arial" w:eastAsia="Arial" w:hAnsi="Arial" w:cs="Arial"/>
          <w:sz w:val="24"/>
          <w:szCs w:val="24"/>
        </w:rPr>
        <w:t>Hossain</w:t>
      </w:r>
      <w:proofErr w:type="spellEnd"/>
      <w:r w:rsidRPr="001E722E">
        <w:rPr>
          <w:rFonts w:ascii="Arial" w:eastAsia="Arial" w:hAnsi="Arial" w:cs="Arial"/>
          <w:sz w:val="24"/>
          <w:szCs w:val="24"/>
        </w:rPr>
        <w:t>, 2026). National data on ethnicity and uptake are mixed; one large-scale review suggested that South Asian groups were slightly less likely to attend than other groups when invited, but not when they were reached (Robson et al., 2021), indicating that the largest ethnicity-related gap may be in who is invited and reached in the first place, rather than in willingness to attend once contacted. These studies, together with their samples and key findings, are summarised in Table 2.1.</w:t>
      </w:r>
    </w:p>
    <w:p w14:paraId="17A9DB9B" w14:textId="77777777" w:rsidR="00955984" w:rsidRPr="001E722E" w:rsidRDefault="00161751">
      <w:pPr>
        <w:spacing w:before="100" w:after="300"/>
        <w:rPr>
          <w:rFonts w:ascii="Arial" w:eastAsia="Arial" w:hAnsi="Arial" w:cs="Arial"/>
          <w:sz w:val="24"/>
          <w:szCs w:val="24"/>
        </w:rPr>
      </w:pPr>
      <w:bookmarkStart w:id="24" w:name="_r517oh5jggtx" w:colFirst="0" w:colLast="0"/>
      <w:bookmarkEnd w:id="24"/>
      <w:r w:rsidRPr="001E722E">
        <w:rPr>
          <w:rFonts w:ascii="Arial" w:eastAsia="Arial" w:hAnsi="Arial" w:cs="Arial"/>
          <w:sz w:val="24"/>
          <w:szCs w:val="24"/>
        </w:rPr>
        <w:t>Table 2.1: Summary of Key Studies Reviewed</w:t>
      </w:r>
    </w:p>
    <w:tbl>
      <w:tblPr>
        <w:tblStyle w:val="a0"/>
        <w:tblW w:w="9499" w:type="dxa"/>
        <w:tblInd w:w="-120" w:type="dxa"/>
        <w:tblLayout w:type="fixed"/>
        <w:tblLook w:val="0400" w:firstRow="0" w:lastRow="0" w:firstColumn="0" w:lastColumn="0" w:noHBand="0" w:noVBand="1"/>
      </w:tblPr>
      <w:tblGrid>
        <w:gridCol w:w="2052"/>
        <w:gridCol w:w="1618"/>
        <w:gridCol w:w="3002"/>
        <w:gridCol w:w="2827"/>
      </w:tblGrid>
      <w:tr w:rsidR="00955984" w:rsidRPr="001E722E" w14:paraId="27482E73" w14:textId="77777777">
        <w:tc>
          <w:tcPr>
            <w:tcW w:w="2052" w:type="dxa"/>
            <w:tcBorders>
              <w:top w:val="single" w:sz="4" w:space="0" w:color="000000"/>
              <w:left w:val="single" w:sz="4" w:space="0" w:color="000000"/>
              <w:bottom w:val="single" w:sz="4" w:space="0" w:color="000000"/>
              <w:right w:val="single" w:sz="4" w:space="0" w:color="000000"/>
            </w:tcBorders>
            <w:shd w:val="clear" w:color="auto" w:fill="1F3864"/>
          </w:tcPr>
          <w:p w14:paraId="6A5A7F8E" w14:textId="77777777" w:rsidR="00955984" w:rsidRPr="001E722E" w:rsidRDefault="00161751">
            <w:pPr>
              <w:rPr>
                <w:rFonts w:ascii="Arial" w:eastAsia="Arial" w:hAnsi="Arial" w:cs="Arial"/>
              </w:rPr>
            </w:pPr>
            <w:r w:rsidRPr="001E722E">
              <w:rPr>
                <w:rFonts w:ascii="Arial" w:eastAsia="Arial" w:hAnsi="Arial" w:cs="Arial"/>
                <w:b/>
                <w:bCs/>
                <w:sz w:val="21"/>
                <w:szCs w:val="21"/>
              </w:rPr>
              <w:t>Author(s) and year</w:t>
            </w:r>
          </w:p>
        </w:tc>
        <w:tc>
          <w:tcPr>
            <w:tcW w:w="1618" w:type="dxa"/>
            <w:tcBorders>
              <w:top w:val="single" w:sz="4" w:space="0" w:color="000000"/>
              <w:left w:val="single" w:sz="4" w:space="0" w:color="000000"/>
              <w:bottom w:val="single" w:sz="4" w:space="0" w:color="000000"/>
              <w:right w:val="single" w:sz="4" w:space="0" w:color="000000"/>
            </w:tcBorders>
            <w:shd w:val="clear" w:color="auto" w:fill="1F3864"/>
          </w:tcPr>
          <w:p w14:paraId="2CDC57E8" w14:textId="77777777" w:rsidR="00955984" w:rsidRPr="001E722E" w:rsidRDefault="00161751">
            <w:pPr>
              <w:rPr>
                <w:rFonts w:ascii="Arial" w:eastAsia="Arial" w:hAnsi="Arial" w:cs="Arial"/>
              </w:rPr>
            </w:pPr>
            <w:r w:rsidRPr="001E722E">
              <w:rPr>
                <w:rFonts w:ascii="Arial" w:eastAsia="Arial" w:hAnsi="Arial" w:cs="Arial"/>
                <w:b/>
                <w:bCs/>
                <w:sz w:val="21"/>
                <w:szCs w:val="21"/>
              </w:rPr>
              <w:t>Design</w:t>
            </w:r>
          </w:p>
        </w:tc>
        <w:tc>
          <w:tcPr>
            <w:tcW w:w="3002" w:type="dxa"/>
            <w:tcBorders>
              <w:top w:val="single" w:sz="4" w:space="0" w:color="000000"/>
              <w:left w:val="single" w:sz="4" w:space="0" w:color="000000"/>
              <w:bottom w:val="single" w:sz="4" w:space="0" w:color="000000"/>
              <w:right w:val="single" w:sz="4" w:space="0" w:color="000000"/>
            </w:tcBorders>
            <w:shd w:val="clear" w:color="auto" w:fill="1F3864"/>
          </w:tcPr>
          <w:p w14:paraId="1C2539A6" w14:textId="77777777" w:rsidR="00955984" w:rsidRPr="001E722E" w:rsidRDefault="00161751">
            <w:pPr>
              <w:rPr>
                <w:rFonts w:ascii="Arial" w:eastAsia="Arial" w:hAnsi="Arial" w:cs="Arial"/>
              </w:rPr>
            </w:pPr>
            <w:r w:rsidRPr="001E722E">
              <w:rPr>
                <w:rFonts w:ascii="Arial" w:eastAsia="Arial" w:hAnsi="Arial" w:cs="Arial"/>
                <w:b/>
                <w:bCs/>
                <w:sz w:val="21"/>
                <w:szCs w:val="21"/>
              </w:rPr>
              <w:t>Focus</w:t>
            </w:r>
          </w:p>
        </w:tc>
        <w:tc>
          <w:tcPr>
            <w:tcW w:w="2827" w:type="dxa"/>
            <w:tcBorders>
              <w:top w:val="single" w:sz="4" w:space="0" w:color="000000"/>
              <w:left w:val="single" w:sz="4" w:space="0" w:color="000000"/>
              <w:bottom w:val="single" w:sz="4" w:space="0" w:color="000000"/>
              <w:right w:val="single" w:sz="4" w:space="0" w:color="000000"/>
            </w:tcBorders>
            <w:shd w:val="clear" w:color="auto" w:fill="1F3864"/>
          </w:tcPr>
          <w:p w14:paraId="5B214B07" w14:textId="77777777" w:rsidR="00955984" w:rsidRPr="001E722E" w:rsidRDefault="00161751">
            <w:pPr>
              <w:rPr>
                <w:rFonts w:ascii="Arial" w:eastAsia="Arial" w:hAnsi="Arial" w:cs="Arial"/>
              </w:rPr>
            </w:pPr>
            <w:r w:rsidRPr="001E722E">
              <w:rPr>
                <w:rFonts w:ascii="Arial" w:eastAsia="Arial" w:hAnsi="Arial" w:cs="Arial"/>
                <w:b/>
                <w:bCs/>
                <w:sz w:val="21"/>
                <w:szCs w:val="21"/>
              </w:rPr>
              <w:t>Key finding</w:t>
            </w:r>
          </w:p>
        </w:tc>
      </w:tr>
      <w:tr w:rsidR="00955984" w:rsidRPr="001E722E" w14:paraId="398C2869" w14:textId="77777777">
        <w:tc>
          <w:tcPr>
            <w:tcW w:w="2052" w:type="dxa"/>
            <w:tcBorders>
              <w:top w:val="single" w:sz="4" w:space="0" w:color="000000"/>
              <w:left w:val="single" w:sz="4" w:space="0" w:color="000000"/>
              <w:bottom w:val="single" w:sz="4" w:space="0" w:color="000000"/>
              <w:right w:val="single" w:sz="4" w:space="0" w:color="000000"/>
            </w:tcBorders>
          </w:tcPr>
          <w:p w14:paraId="172AC2A1" w14:textId="77777777" w:rsidR="00955984" w:rsidRPr="001E722E" w:rsidRDefault="00161751">
            <w:pPr>
              <w:rPr>
                <w:rFonts w:ascii="Arial" w:eastAsia="Arial" w:hAnsi="Arial" w:cs="Arial"/>
              </w:rPr>
            </w:pPr>
            <w:r w:rsidRPr="001E722E">
              <w:rPr>
                <w:rFonts w:ascii="Arial" w:eastAsia="Arial" w:hAnsi="Arial" w:cs="Arial"/>
                <w:sz w:val="21"/>
                <w:szCs w:val="21"/>
              </w:rPr>
              <w:t>Whitaker et al. (2012)</w:t>
            </w:r>
          </w:p>
        </w:tc>
        <w:tc>
          <w:tcPr>
            <w:tcW w:w="1618" w:type="dxa"/>
            <w:tcBorders>
              <w:top w:val="single" w:sz="4" w:space="0" w:color="000000"/>
              <w:left w:val="single" w:sz="4" w:space="0" w:color="000000"/>
              <w:bottom w:val="single" w:sz="4" w:space="0" w:color="000000"/>
              <w:right w:val="single" w:sz="4" w:space="0" w:color="000000"/>
            </w:tcBorders>
          </w:tcPr>
          <w:p w14:paraId="5E794D96" w14:textId="77777777" w:rsidR="00955984" w:rsidRPr="001E722E" w:rsidRDefault="00161751">
            <w:pPr>
              <w:rPr>
                <w:rFonts w:ascii="Arial" w:eastAsia="Arial" w:hAnsi="Arial" w:cs="Arial"/>
              </w:rPr>
            </w:pPr>
            <w:r w:rsidRPr="001E722E">
              <w:rPr>
                <w:rFonts w:ascii="Arial" w:eastAsia="Arial" w:hAnsi="Arial" w:cs="Arial"/>
                <w:sz w:val="21"/>
                <w:szCs w:val="21"/>
              </w:rPr>
              <w:t>Cross-sectional street survey, Birmingham</w:t>
            </w:r>
          </w:p>
        </w:tc>
        <w:tc>
          <w:tcPr>
            <w:tcW w:w="3002" w:type="dxa"/>
            <w:tcBorders>
              <w:top w:val="single" w:sz="4" w:space="0" w:color="000000"/>
              <w:left w:val="single" w:sz="4" w:space="0" w:color="000000"/>
              <w:bottom w:val="single" w:sz="4" w:space="0" w:color="000000"/>
              <w:right w:val="single" w:sz="4" w:space="0" w:color="000000"/>
            </w:tcBorders>
          </w:tcPr>
          <w:p w14:paraId="6EA26F0C" w14:textId="77777777" w:rsidR="00955984" w:rsidRPr="001E722E" w:rsidRDefault="00161751">
            <w:pPr>
              <w:rPr>
                <w:rFonts w:ascii="Arial" w:eastAsia="Arial" w:hAnsi="Arial" w:cs="Arial"/>
              </w:rPr>
            </w:pPr>
            <w:r w:rsidRPr="001E722E">
              <w:rPr>
                <w:rFonts w:ascii="Arial" w:eastAsia="Arial" w:hAnsi="Arial" w:cs="Arial"/>
                <w:sz w:val="21"/>
                <w:szCs w:val="21"/>
              </w:rPr>
              <w:t>Public knowledge of heart attack symptoms</w:t>
            </w:r>
          </w:p>
        </w:tc>
        <w:tc>
          <w:tcPr>
            <w:tcW w:w="2827" w:type="dxa"/>
            <w:tcBorders>
              <w:top w:val="single" w:sz="4" w:space="0" w:color="000000"/>
              <w:left w:val="single" w:sz="4" w:space="0" w:color="000000"/>
              <w:bottom w:val="single" w:sz="4" w:space="0" w:color="000000"/>
              <w:right w:val="single" w:sz="4" w:space="0" w:color="000000"/>
            </w:tcBorders>
          </w:tcPr>
          <w:p w14:paraId="688B0D5A" w14:textId="77777777" w:rsidR="00955984" w:rsidRPr="001E722E" w:rsidRDefault="00161751">
            <w:pPr>
              <w:rPr>
                <w:rFonts w:ascii="Arial" w:eastAsia="Arial" w:hAnsi="Arial" w:cs="Arial"/>
              </w:rPr>
            </w:pPr>
            <w:r w:rsidRPr="001E722E">
              <w:rPr>
                <w:rFonts w:ascii="Arial" w:eastAsia="Arial" w:hAnsi="Arial" w:cs="Arial"/>
                <w:sz w:val="21"/>
                <w:szCs w:val="21"/>
              </w:rPr>
              <w:t>Recognition of chest pain was fairly good, but knowledge of other warning symptoms and of the need to call an ambulance immediately was much weaker, especially among older people and those in manual occupations.</w:t>
            </w:r>
          </w:p>
        </w:tc>
      </w:tr>
      <w:tr w:rsidR="00955984" w:rsidRPr="001E722E" w14:paraId="3C2BB7C7" w14:textId="77777777">
        <w:tc>
          <w:tcPr>
            <w:tcW w:w="2052" w:type="dxa"/>
            <w:tcBorders>
              <w:top w:val="single" w:sz="4" w:space="0" w:color="000000"/>
              <w:left w:val="single" w:sz="4" w:space="0" w:color="000000"/>
              <w:bottom w:val="single" w:sz="4" w:space="0" w:color="000000"/>
              <w:right w:val="single" w:sz="4" w:space="0" w:color="000000"/>
            </w:tcBorders>
          </w:tcPr>
          <w:p w14:paraId="50F72181" w14:textId="77777777" w:rsidR="00955984" w:rsidRPr="001E722E" w:rsidRDefault="00161751">
            <w:pPr>
              <w:rPr>
                <w:rFonts w:ascii="Arial" w:eastAsia="Arial" w:hAnsi="Arial" w:cs="Arial"/>
              </w:rPr>
            </w:pPr>
            <w:r w:rsidRPr="001E722E">
              <w:rPr>
                <w:rFonts w:ascii="Arial" w:eastAsia="Arial" w:hAnsi="Arial" w:cs="Arial"/>
                <w:sz w:val="21"/>
                <w:szCs w:val="21"/>
              </w:rPr>
              <w:t>Robson et al. (2021)</w:t>
            </w:r>
          </w:p>
        </w:tc>
        <w:tc>
          <w:tcPr>
            <w:tcW w:w="1618" w:type="dxa"/>
            <w:tcBorders>
              <w:top w:val="single" w:sz="4" w:space="0" w:color="000000"/>
              <w:left w:val="single" w:sz="4" w:space="0" w:color="000000"/>
              <w:bottom w:val="single" w:sz="4" w:space="0" w:color="000000"/>
              <w:right w:val="single" w:sz="4" w:space="0" w:color="000000"/>
            </w:tcBorders>
          </w:tcPr>
          <w:p w14:paraId="33CD3824" w14:textId="77777777" w:rsidR="00955984" w:rsidRPr="001E722E" w:rsidRDefault="00161751">
            <w:pPr>
              <w:rPr>
                <w:rFonts w:ascii="Arial" w:eastAsia="Arial" w:hAnsi="Arial" w:cs="Arial"/>
              </w:rPr>
            </w:pPr>
            <w:r w:rsidRPr="001E722E">
              <w:rPr>
                <w:rFonts w:ascii="Arial" w:eastAsia="Arial" w:hAnsi="Arial" w:cs="Arial"/>
                <w:sz w:val="21"/>
                <w:szCs w:val="21"/>
              </w:rPr>
              <w:t>Observational, 1,500 GP practices</w:t>
            </w:r>
          </w:p>
        </w:tc>
        <w:tc>
          <w:tcPr>
            <w:tcW w:w="3002" w:type="dxa"/>
            <w:tcBorders>
              <w:top w:val="single" w:sz="4" w:space="0" w:color="000000"/>
              <w:left w:val="single" w:sz="4" w:space="0" w:color="000000"/>
              <w:bottom w:val="single" w:sz="4" w:space="0" w:color="000000"/>
              <w:right w:val="single" w:sz="4" w:space="0" w:color="000000"/>
            </w:tcBorders>
          </w:tcPr>
          <w:p w14:paraId="62EF9498" w14:textId="77777777" w:rsidR="00955984" w:rsidRPr="001E722E" w:rsidRDefault="00161751">
            <w:pPr>
              <w:rPr>
                <w:rFonts w:ascii="Arial" w:eastAsia="Arial" w:hAnsi="Arial" w:cs="Arial"/>
              </w:rPr>
            </w:pPr>
            <w:r w:rsidRPr="001E722E">
              <w:rPr>
                <w:rFonts w:ascii="Arial" w:eastAsia="Arial" w:hAnsi="Arial" w:cs="Arial"/>
                <w:sz w:val="21"/>
                <w:szCs w:val="21"/>
              </w:rPr>
              <w:t>NHS Health Check attendance and equity, 2009-2017</w:t>
            </w:r>
          </w:p>
        </w:tc>
        <w:tc>
          <w:tcPr>
            <w:tcW w:w="2827" w:type="dxa"/>
            <w:tcBorders>
              <w:top w:val="single" w:sz="4" w:space="0" w:color="000000"/>
              <w:left w:val="single" w:sz="4" w:space="0" w:color="000000"/>
              <w:bottom w:val="single" w:sz="4" w:space="0" w:color="000000"/>
              <w:right w:val="single" w:sz="4" w:space="0" w:color="000000"/>
            </w:tcBorders>
          </w:tcPr>
          <w:p w14:paraId="1C246B0E" w14:textId="77777777" w:rsidR="00955984" w:rsidRPr="001E722E" w:rsidRDefault="00161751">
            <w:pPr>
              <w:rPr>
                <w:rFonts w:ascii="Arial" w:eastAsia="Arial" w:hAnsi="Arial" w:cs="Arial"/>
              </w:rPr>
            </w:pPr>
            <w:r w:rsidRPr="001E722E">
              <w:rPr>
                <w:rFonts w:ascii="Arial" w:eastAsia="Arial" w:hAnsi="Arial" w:cs="Arial"/>
                <w:sz w:val="21"/>
                <w:szCs w:val="21"/>
              </w:rPr>
              <w:t>Only 16.9% of those eligible attended in the later study period; attendees were more likely to be diagnosed with hypertension, diabetes and kidney disease than non-attendees, showing the check's value when people do attend.</w:t>
            </w:r>
          </w:p>
        </w:tc>
      </w:tr>
      <w:tr w:rsidR="00955984" w:rsidRPr="001E722E" w14:paraId="68C42311" w14:textId="77777777">
        <w:tc>
          <w:tcPr>
            <w:tcW w:w="2052" w:type="dxa"/>
            <w:tcBorders>
              <w:top w:val="single" w:sz="4" w:space="0" w:color="000000"/>
              <w:left w:val="single" w:sz="4" w:space="0" w:color="000000"/>
              <w:bottom w:val="single" w:sz="4" w:space="0" w:color="000000"/>
              <w:right w:val="single" w:sz="4" w:space="0" w:color="000000"/>
            </w:tcBorders>
          </w:tcPr>
          <w:p w14:paraId="74360FE7" w14:textId="77777777" w:rsidR="00955984" w:rsidRPr="001E722E" w:rsidRDefault="00161751">
            <w:pPr>
              <w:rPr>
                <w:rFonts w:ascii="Arial" w:eastAsia="Arial" w:hAnsi="Arial" w:cs="Arial"/>
              </w:rPr>
            </w:pPr>
            <w:r w:rsidRPr="001E722E">
              <w:rPr>
                <w:rFonts w:ascii="Arial" w:eastAsia="Arial" w:hAnsi="Arial" w:cs="Arial"/>
                <w:sz w:val="21"/>
                <w:szCs w:val="21"/>
              </w:rPr>
              <w:t>Patel et al. (2020)</w:t>
            </w:r>
          </w:p>
        </w:tc>
        <w:tc>
          <w:tcPr>
            <w:tcW w:w="1618" w:type="dxa"/>
            <w:tcBorders>
              <w:top w:val="single" w:sz="4" w:space="0" w:color="000000"/>
              <w:left w:val="single" w:sz="4" w:space="0" w:color="000000"/>
              <w:bottom w:val="single" w:sz="4" w:space="0" w:color="000000"/>
              <w:right w:val="single" w:sz="4" w:space="0" w:color="000000"/>
            </w:tcBorders>
          </w:tcPr>
          <w:p w14:paraId="590CFD1D" w14:textId="77777777" w:rsidR="00955984" w:rsidRPr="001E722E" w:rsidRDefault="00161751">
            <w:pPr>
              <w:rPr>
                <w:rFonts w:ascii="Arial" w:eastAsia="Arial" w:hAnsi="Arial" w:cs="Arial"/>
              </w:rPr>
            </w:pPr>
            <w:r w:rsidRPr="001E722E">
              <w:rPr>
                <w:rFonts w:ascii="Arial" w:eastAsia="Arial" w:hAnsi="Arial" w:cs="Arial"/>
                <w:sz w:val="21"/>
                <w:szCs w:val="21"/>
              </w:rPr>
              <w:t xml:space="preserve">Cross-sectional, 9.5 </w:t>
            </w:r>
            <w:r w:rsidRPr="001E722E">
              <w:rPr>
                <w:rFonts w:ascii="Arial" w:eastAsia="Arial" w:hAnsi="Arial" w:cs="Arial"/>
                <w:sz w:val="21"/>
                <w:szCs w:val="21"/>
              </w:rPr>
              <w:lastRenderedPageBreak/>
              <w:t>million records</w:t>
            </w:r>
          </w:p>
        </w:tc>
        <w:tc>
          <w:tcPr>
            <w:tcW w:w="3002" w:type="dxa"/>
            <w:tcBorders>
              <w:top w:val="single" w:sz="4" w:space="0" w:color="000000"/>
              <w:left w:val="single" w:sz="4" w:space="0" w:color="000000"/>
              <w:bottom w:val="single" w:sz="4" w:space="0" w:color="000000"/>
              <w:right w:val="single" w:sz="4" w:space="0" w:color="000000"/>
            </w:tcBorders>
          </w:tcPr>
          <w:p w14:paraId="62572676" w14:textId="77777777" w:rsidR="00955984" w:rsidRPr="001E722E" w:rsidRDefault="00161751">
            <w:pPr>
              <w:rPr>
                <w:rFonts w:ascii="Arial" w:eastAsia="Arial" w:hAnsi="Arial" w:cs="Arial"/>
              </w:rPr>
            </w:pPr>
            <w:r w:rsidRPr="001E722E">
              <w:rPr>
                <w:rFonts w:ascii="Arial" w:eastAsia="Arial" w:hAnsi="Arial" w:cs="Arial"/>
                <w:sz w:val="21"/>
                <w:szCs w:val="21"/>
              </w:rPr>
              <w:lastRenderedPageBreak/>
              <w:t>National uptake and delivery of NHS Health Checks</w:t>
            </w:r>
          </w:p>
        </w:tc>
        <w:tc>
          <w:tcPr>
            <w:tcW w:w="2827" w:type="dxa"/>
            <w:tcBorders>
              <w:top w:val="single" w:sz="4" w:space="0" w:color="000000"/>
              <w:left w:val="single" w:sz="4" w:space="0" w:color="000000"/>
              <w:bottom w:val="single" w:sz="4" w:space="0" w:color="000000"/>
              <w:right w:val="single" w:sz="4" w:space="0" w:color="000000"/>
            </w:tcBorders>
          </w:tcPr>
          <w:p w14:paraId="446B7068" w14:textId="77777777" w:rsidR="00955984" w:rsidRPr="001E722E" w:rsidRDefault="00161751">
            <w:pPr>
              <w:rPr>
                <w:rFonts w:ascii="Arial" w:eastAsia="Arial" w:hAnsi="Arial" w:cs="Arial"/>
              </w:rPr>
            </w:pPr>
            <w:r w:rsidRPr="001E722E">
              <w:rPr>
                <w:rFonts w:ascii="Arial" w:eastAsia="Arial" w:hAnsi="Arial" w:cs="Arial"/>
                <w:sz w:val="21"/>
                <w:szCs w:val="21"/>
              </w:rPr>
              <w:t xml:space="preserve">52.6% uptake nationally over a five-year cycle, but </w:t>
            </w:r>
            <w:r w:rsidRPr="001E722E">
              <w:rPr>
                <w:rFonts w:ascii="Arial" w:eastAsia="Arial" w:hAnsi="Arial" w:cs="Arial"/>
                <w:sz w:val="21"/>
                <w:szCs w:val="21"/>
              </w:rPr>
              <w:lastRenderedPageBreak/>
              <w:t>with very wide geographical variation, pointing to inconsistent delivery rather than a single national pattern.</w:t>
            </w:r>
          </w:p>
        </w:tc>
      </w:tr>
      <w:tr w:rsidR="00955984" w:rsidRPr="001E722E" w14:paraId="419804E6" w14:textId="77777777">
        <w:tc>
          <w:tcPr>
            <w:tcW w:w="2052" w:type="dxa"/>
            <w:tcBorders>
              <w:top w:val="single" w:sz="4" w:space="0" w:color="000000"/>
              <w:left w:val="single" w:sz="4" w:space="0" w:color="000000"/>
              <w:bottom w:val="single" w:sz="4" w:space="0" w:color="000000"/>
              <w:right w:val="single" w:sz="4" w:space="0" w:color="000000"/>
            </w:tcBorders>
          </w:tcPr>
          <w:p w14:paraId="4782227C" w14:textId="77777777" w:rsidR="00955984" w:rsidRPr="001E722E" w:rsidRDefault="00161751">
            <w:pPr>
              <w:rPr>
                <w:rFonts w:ascii="Arial" w:eastAsia="Arial" w:hAnsi="Arial" w:cs="Arial"/>
              </w:rPr>
            </w:pPr>
            <w:r w:rsidRPr="001E722E">
              <w:rPr>
                <w:rFonts w:ascii="Arial" w:eastAsia="Arial" w:hAnsi="Arial" w:cs="Arial"/>
                <w:sz w:val="21"/>
                <w:szCs w:val="21"/>
              </w:rPr>
              <w:lastRenderedPageBreak/>
              <w:t>Coghill et al. (2018)</w:t>
            </w:r>
          </w:p>
        </w:tc>
        <w:tc>
          <w:tcPr>
            <w:tcW w:w="1618" w:type="dxa"/>
            <w:tcBorders>
              <w:top w:val="single" w:sz="4" w:space="0" w:color="000000"/>
              <w:left w:val="single" w:sz="4" w:space="0" w:color="000000"/>
              <w:bottom w:val="single" w:sz="4" w:space="0" w:color="000000"/>
              <w:right w:val="single" w:sz="4" w:space="0" w:color="000000"/>
            </w:tcBorders>
          </w:tcPr>
          <w:p w14:paraId="6671CAAF" w14:textId="77777777" w:rsidR="00955984" w:rsidRPr="001E722E" w:rsidRDefault="00161751">
            <w:pPr>
              <w:rPr>
                <w:rFonts w:ascii="Arial" w:eastAsia="Arial" w:hAnsi="Arial" w:cs="Arial"/>
              </w:rPr>
            </w:pPr>
            <w:r w:rsidRPr="001E722E">
              <w:rPr>
                <w:rFonts w:ascii="Arial" w:eastAsia="Arial" w:hAnsi="Arial" w:cs="Arial"/>
                <w:sz w:val="21"/>
                <w:szCs w:val="21"/>
              </w:rPr>
              <w:t>Cross-sectional observational</w:t>
            </w:r>
          </w:p>
        </w:tc>
        <w:tc>
          <w:tcPr>
            <w:tcW w:w="3002" w:type="dxa"/>
            <w:tcBorders>
              <w:top w:val="single" w:sz="4" w:space="0" w:color="000000"/>
              <w:left w:val="single" w:sz="4" w:space="0" w:color="000000"/>
              <w:bottom w:val="single" w:sz="4" w:space="0" w:color="000000"/>
              <w:right w:val="single" w:sz="4" w:space="0" w:color="000000"/>
            </w:tcBorders>
          </w:tcPr>
          <w:p w14:paraId="36797B09" w14:textId="77777777" w:rsidR="00955984" w:rsidRPr="001E722E" w:rsidRDefault="00161751">
            <w:pPr>
              <w:rPr>
                <w:rFonts w:ascii="Arial" w:eastAsia="Arial" w:hAnsi="Arial" w:cs="Arial"/>
              </w:rPr>
            </w:pPr>
            <w:r w:rsidRPr="001E722E">
              <w:rPr>
                <w:rFonts w:ascii="Arial" w:eastAsia="Arial" w:hAnsi="Arial" w:cs="Arial"/>
                <w:sz w:val="21"/>
                <w:szCs w:val="21"/>
              </w:rPr>
              <w:t>Equity of uptake and outcomes</w:t>
            </w:r>
          </w:p>
        </w:tc>
        <w:tc>
          <w:tcPr>
            <w:tcW w:w="2827" w:type="dxa"/>
            <w:tcBorders>
              <w:top w:val="single" w:sz="4" w:space="0" w:color="000000"/>
              <w:left w:val="single" w:sz="4" w:space="0" w:color="000000"/>
              <w:bottom w:val="single" w:sz="4" w:space="0" w:color="000000"/>
              <w:right w:val="single" w:sz="4" w:space="0" w:color="000000"/>
            </w:tcBorders>
          </w:tcPr>
          <w:p w14:paraId="6D71CB7A" w14:textId="77777777" w:rsidR="00955984" w:rsidRPr="001E722E" w:rsidRDefault="00161751">
            <w:pPr>
              <w:rPr>
                <w:rFonts w:ascii="Arial" w:eastAsia="Arial" w:hAnsi="Arial" w:cs="Arial"/>
              </w:rPr>
            </w:pPr>
            <w:r w:rsidRPr="001E722E">
              <w:rPr>
                <w:rFonts w:ascii="Arial" w:eastAsia="Arial" w:hAnsi="Arial" w:cs="Arial"/>
                <w:sz w:val="21"/>
                <w:szCs w:val="21"/>
              </w:rPr>
              <w:t>Confirmed uptake remained below 25% in some areas and identified consistent gaps by deprivation and ethnicity.</w:t>
            </w:r>
          </w:p>
        </w:tc>
      </w:tr>
      <w:tr w:rsidR="00955984" w:rsidRPr="001E722E" w14:paraId="7BCB1689" w14:textId="77777777">
        <w:tc>
          <w:tcPr>
            <w:tcW w:w="2052" w:type="dxa"/>
            <w:tcBorders>
              <w:top w:val="single" w:sz="4" w:space="0" w:color="000000"/>
              <w:left w:val="single" w:sz="4" w:space="0" w:color="000000"/>
              <w:bottom w:val="single" w:sz="4" w:space="0" w:color="000000"/>
              <w:right w:val="single" w:sz="4" w:space="0" w:color="000000"/>
            </w:tcBorders>
          </w:tcPr>
          <w:p w14:paraId="0000D5E2" w14:textId="77777777" w:rsidR="00955984" w:rsidRPr="001E722E" w:rsidRDefault="00161751">
            <w:pPr>
              <w:rPr>
                <w:rFonts w:ascii="Arial" w:eastAsia="Arial" w:hAnsi="Arial" w:cs="Arial"/>
              </w:rPr>
            </w:pPr>
            <w:r w:rsidRPr="001E722E">
              <w:rPr>
                <w:rFonts w:ascii="Arial" w:eastAsia="Arial" w:hAnsi="Arial" w:cs="Arial"/>
                <w:sz w:val="21"/>
                <w:szCs w:val="21"/>
              </w:rPr>
              <w:t>Brangan et al. (2019)</w:t>
            </w:r>
          </w:p>
        </w:tc>
        <w:tc>
          <w:tcPr>
            <w:tcW w:w="1618" w:type="dxa"/>
            <w:tcBorders>
              <w:top w:val="single" w:sz="4" w:space="0" w:color="000000"/>
              <w:left w:val="single" w:sz="4" w:space="0" w:color="000000"/>
              <w:bottom w:val="single" w:sz="4" w:space="0" w:color="000000"/>
              <w:right w:val="single" w:sz="4" w:space="0" w:color="000000"/>
            </w:tcBorders>
          </w:tcPr>
          <w:p w14:paraId="3B19E8EA" w14:textId="77777777" w:rsidR="00955984" w:rsidRPr="001E722E" w:rsidRDefault="00161751">
            <w:pPr>
              <w:rPr>
                <w:rFonts w:ascii="Arial" w:eastAsia="Arial" w:hAnsi="Arial" w:cs="Arial"/>
              </w:rPr>
            </w:pPr>
            <w:r w:rsidRPr="001E722E">
              <w:rPr>
                <w:rFonts w:ascii="Arial" w:eastAsia="Arial" w:hAnsi="Arial" w:cs="Arial"/>
                <w:sz w:val="21"/>
                <w:szCs w:val="21"/>
              </w:rPr>
              <w:t>Qualitative interviews, Bristol</w:t>
            </w:r>
          </w:p>
        </w:tc>
        <w:tc>
          <w:tcPr>
            <w:tcW w:w="3002" w:type="dxa"/>
            <w:tcBorders>
              <w:top w:val="single" w:sz="4" w:space="0" w:color="000000"/>
              <w:left w:val="single" w:sz="4" w:space="0" w:color="000000"/>
              <w:bottom w:val="single" w:sz="4" w:space="0" w:color="000000"/>
              <w:right w:val="single" w:sz="4" w:space="0" w:color="000000"/>
            </w:tcBorders>
          </w:tcPr>
          <w:p w14:paraId="6C091A1F" w14:textId="77777777" w:rsidR="00955984" w:rsidRPr="001E722E" w:rsidRDefault="00161751">
            <w:pPr>
              <w:rPr>
                <w:rFonts w:ascii="Arial" w:eastAsia="Arial" w:hAnsi="Arial" w:cs="Arial"/>
              </w:rPr>
            </w:pPr>
            <w:r w:rsidRPr="001E722E">
              <w:rPr>
                <w:rFonts w:ascii="Arial" w:eastAsia="Arial" w:hAnsi="Arial" w:cs="Arial"/>
                <w:sz w:val="21"/>
                <w:szCs w:val="21"/>
              </w:rPr>
              <w:t>Telephone outreach to increase uptake</w:t>
            </w:r>
          </w:p>
        </w:tc>
        <w:tc>
          <w:tcPr>
            <w:tcW w:w="2827" w:type="dxa"/>
            <w:tcBorders>
              <w:top w:val="single" w:sz="4" w:space="0" w:color="000000"/>
              <w:left w:val="single" w:sz="4" w:space="0" w:color="000000"/>
              <w:bottom w:val="single" w:sz="4" w:space="0" w:color="000000"/>
              <w:right w:val="single" w:sz="4" w:space="0" w:color="000000"/>
            </w:tcBorders>
          </w:tcPr>
          <w:p w14:paraId="343BF8F8" w14:textId="77777777" w:rsidR="00955984" w:rsidRPr="001E722E" w:rsidRDefault="00161751">
            <w:pPr>
              <w:rPr>
                <w:rFonts w:ascii="Arial" w:eastAsia="Arial" w:hAnsi="Arial" w:cs="Arial"/>
              </w:rPr>
            </w:pPr>
            <w:r w:rsidRPr="001E722E">
              <w:rPr>
                <w:rFonts w:ascii="Arial" w:eastAsia="Arial" w:hAnsi="Arial" w:cs="Arial"/>
                <w:sz w:val="21"/>
                <w:szCs w:val="21"/>
              </w:rPr>
              <w:t>A personal phone call, especially from a caller who shared the person's language or background, made people far more likely to book and attend than a letter alone.</w:t>
            </w:r>
          </w:p>
        </w:tc>
      </w:tr>
      <w:tr w:rsidR="00955984" w:rsidRPr="001E722E" w14:paraId="7635E426" w14:textId="77777777">
        <w:tc>
          <w:tcPr>
            <w:tcW w:w="2052" w:type="dxa"/>
            <w:tcBorders>
              <w:top w:val="single" w:sz="4" w:space="0" w:color="000000"/>
              <w:left w:val="single" w:sz="4" w:space="0" w:color="000000"/>
              <w:bottom w:val="single" w:sz="4" w:space="0" w:color="000000"/>
              <w:right w:val="single" w:sz="4" w:space="0" w:color="000000"/>
            </w:tcBorders>
          </w:tcPr>
          <w:p w14:paraId="392C7ACF" w14:textId="77777777" w:rsidR="00955984" w:rsidRPr="001E722E" w:rsidRDefault="00161751">
            <w:pPr>
              <w:rPr>
                <w:rFonts w:ascii="Arial" w:eastAsia="Arial" w:hAnsi="Arial" w:cs="Arial"/>
              </w:rPr>
            </w:pPr>
            <w:r w:rsidRPr="001E722E">
              <w:rPr>
                <w:rFonts w:ascii="Arial" w:eastAsia="Arial" w:hAnsi="Arial" w:cs="Arial"/>
                <w:sz w:val="21"/>
                <w:szCs w:val="21"/>
              </w:rPr>
              <w:t>Eberhardt et al. (2025)</w:t>
            </w:r>
          </w:p>
        </w:tc>
        <w:tc>
          <w:tcPr>
            <w:tcW w:w="1618" w:type="dxa"/>
            <w:tcBorders>
              <w:top w:val="single" w:sz="4" w:space="0" w:color="000000"/>
              <w:left w:val="single" w:sz="4" w:space="0" w:color="000000"/>
              <w:bottom w:val="single" w:sz="4" w:space="0" w:color="000000"/>
              <w:right w:val="single" w:sz="4" w:space="0" w:color="000000"/>
            </w:tcBorders>
          </w:tcPr>
          <w:p w14:paraId="7A70268C" w14:textId="77777777" w:rsidR="00955984" w:rsidRPr="001E722E" w:rsidRDefault="00161751">
            <w:pPr>
              <w:rPr>
                <w:rFonts w:ascii="Arial" w:eastAsia="Arial" w:hAnsi="Arial" w:cs="Arial"/>
              </w:rPr>
            </w:pPr>
            <w:r w:rsidRPr="001E722E">
              <w:rPr>
                <w:rFonts w:ascii="Arial" w:eastAsia="Arial" w:hAnsi="Arial" w:cs="Arial"/>
                <w:sz w:val="21"/>
                <w:szCs w:val="21"/>
              </w:rPr>
              <w:t>Qualitative, peer researchers, North East England</w:t>
            </w:r>
          </w:p>
        </w:tc>
        <w:tc>
          <w:tcPr>
            <w:tcW w:w="3002" w:type="dxa"/>
            <w:tcBorders>
              <w:top w:val="single" w:sz="4" w:space="0" w:color="000000"/>
              <w:left w:val="single" w:sz="4" w:space="0" w:color="000000"/>
              <w:bottom w:val="single" w:sz="4" w:space="0" w:color="000000"/>
              <w:right w:val="single" w:sz="4" w:space="0" w:color="000000"/>
            </w:tcBorders>
          </w:tcPr>
          <w:p w14:paraId="3B83B069" w14:textId="77777777" w:rsidR="00955984" w:rsidRPr="001E722E" w:rsidRDefault="00161751">
            <w:pPr>
              <w:rPr>
                <w:rFonts w:ascii="Arial" w:eastAsia="Arial" w:hAnsi="Arial" w:cs="Arial"/>
              </w:rPr>
            </w:pPr>
            <w:r w:rsidRPr="001E722E">
              <w:rPr>
                <w:rFonts w:ascii="Arial" w:eastAsia="Arial" w:hAnsi="Arial" w:cs="Arial"/>
                <w:sz w:val="21"/>
                <w:szCs w:val="21"/>
              </w:rPr>
              <w:t>Barriers in deprived communities</w:t>
            </w:r>
          </w:p>
        </w:tc>
        <w:tc>
          <w:tcPr>
            <w:tcW w:w="2827" w:type="dxa"/>
            <w:tcBorders>
              <w:top w:val="single" w:sz="4" w:space="0" w:color="000000"/>
              <w:left w:val="single" w:sz="4" w:space="0" w:color="000000"/>
              <w:bottom w:val="single" w:sz="4" w:space="0" w:color="000000"/>
              <w:right w:val="single" w:sz="4" w:space="0" w:color="000000"/>
            </w:tcBorders>
          </w:tcPr>
          <w:p w14:paraId="4613872F" w14:textId="77777777" w:rsidR="00955984" w:rsidRPr="001E722E" w:rsidRDefault="00161751">
            <w:pPr>
              <w:rPr>
                <w:rFonts w:ascii="Arial" w:eastAsia="Arial" w:hAnsi="Arial" w:cs="Arial"/>
              </w:rPr>
            </w:pPr>
            <w:r w:rsidRPr="001E722E">
              <w:rPr>
                <w:rFonts w:ascii="Arial" w:eastAsia="Arial" w:hAnsi="Arial" w:cs="Arial"/>
                <w:sz w:val="21"/>
                <w:szCs w:val="21"/>
              </w:rPr>
              <w:t>Limited awareness, fear of bad news, mistrust of health services and practical problems such as transport and appointment times all reduced attendance.</w:t>
            </w:r>
          </w:p>
        </w:tc>
      </w:tr>
      <w:tr w:rsidR="00955984" w:rsidRPr="001E722E" w14:paraId="011C309C" w14:textId="77777777">
        <w:tc>
          <w:tcPr>
            <w:tcW w:w="2052" w:type="dxa"/>
            <w:tcBorders>
              <w:top w:val="single" w:sz="4" w:space="0" w:color="000000"/>
              <w:left w:val="single" w:sz="4" w:space="0" w:color="000000"/>
              <w:bottom w:val="single" w:sz="4" w:space="0" w:color="000000"/>
              <w:right w:val="single" w:sz="4" w:space="0" w:color="000000"/>
            </w:tcBorders>
          </w:tcPr>
          <w:p w14:paraId="0C7E69FD" w14:textId="77777777" w:rsidR="00955984" w:rsidRPr="001E722E" w:rsidRDefault="00161751">
            <w:pPr>
              <w:rPr>
                <w:rFonts w:ascii="Arial" w:eastAsia="Arial" w:hAnsi="Arial" w:cs="Arial"/>
              </w:rPr>
            </w:pPr>
            <w:r w:rsidRPr="001E722E">
              <w:rPr>
                <w:rFonts w:ascii="Arial" w:eastAsia="Arial" w:hAnsi="Arial" w:cs="Arial"/>
                <w:sz w:val="21"/>
                <w:szCs w:val="21"/>
              </w:rPr>
              <w:t>Brady et al. (2025)</w:t>
            </w:r>
          </w:p>
        </w:tc>
        <w:tc>
          <w:tcPr>
            <w:tcW w:w="1618" w:type="dxa"/>
            <w:tcBorders>
              <w:top w:val="single" w:sz="4" w:space="0" w:color="000000"/>
              <w:left w:val="single" w:sz="4" w:space="0" w:color="000000"/>
              <w:bottom w:val="single" w:sz="4" w:space="0" w:color="000000"/>
              <w:right w:val="single" w:sz="4" w:space="0" w:color="000000"/>
            </w:tcBorders>
          </w:tcPr>
          <w:p w14:paraId="68B4BCD7" w14:textId="77777777" w:rsidR="00955984" w:rsidRPr="001E722E" w:rsidRDefault="00161751">
            <w:pPr>
              <w:rPr>
                <w:rFonts w:ascii="Arial" w:eastAsia="Arial" w:hAnsi="Arial" w:cs="Arial"/>
              </w:rPr>
            </w:pPr>
            <w:r w:rsidRPr="001E722E">
              <w:rPr>
                <w:rFonts w:ascii="Arial" w:eastAsia="Arial" w:hAnsi="Arial" w:cs="Arial"/>
                <w:sz w:val="21"/>
                <w:szCs w:val="21"/>
              </w:rPr>
              <w:t>Qualitative focus groups, Middlesbrough</w:t>
            </w:r>
          </w:p>
        </w:tc>
        <w:tc>
          <w:tcPr>
            <w:tcW w:w="3002" w:type="dxa"/>
            <w:tcBorders>
              <w:top w:val="single" w:sz="4" w:space="0" w:color="000000"/>
              <w:left w:val="single" w:sz="4" w:space="0" w:color="000000"/>
              <w:bottom w:val="single" w:sz="4" w:space="0" w:color="000000"/>
              <w:right w:val="single" w:sz="4" w:space="0" w:color="000000"/>
            </w:tcBorders>
          </w:tcPr>
          <w:p w14:paraId="78BD6B34" w14:textId="77777777" w:rsidR="00955984" w:rsidRPr="001E722E" w:rsidRDefault="00161751">
            <w:pPr>
              <w:rPr>
                <w:rFonts w:ascii="Arial" w:eastAsia="Arial" w:hAnsi="Arial" w:cs="Arial"/>
              </w:rPr>
            </w:pPr>
            <w:r w:rsidRPr="001E722E">
              <w:rPr>
                <w:rFonts w:ascii="Arial" w:eastAsia="Arial" w:hAnsi="Arial" w:cs="Arial"/>
                <w:sz w:val="21"/>
                <w:szCs w:val="21"/>
              </w:rPr>
              <w:t>Ethnic minority and underserved groups</w:t>
            </w:r>
          </w:p>
        </w:tc>
        <w:tc>
          <w:tcPr>
            <w:tcW w:w="2827" w:type="dxa"/>
            <w:tcBorders>
              <w:top w:val="single" w:sz="4" w:space="0" w:color="000000"/>
              <w:left w:val="single" w:sz="4" w:space="0" w:color="000000"/>
              <w:bottom w:val="single" w:sz="4" w:space="0" w:color="000000"/>
              <w:right w:val="single" w:sz="4" w:space="0" w:color="000000"/>
            </w:tcBorders>
          </w:tcPr>
          <w:p w14:paraId="15C6A7B3" w14:textId="77777777" w:rsidR="00955984" w:rsidRPr="001E722E" w:rsidRDefault="00161751">
            <w:pPr>
              <w:rPr>
                <w:rFonts w:ascii="Arial" w:eastAsia="Arial" w:hAnsi="Arial" w:cs="Arial"/>
              </w:rPr>
            </w:pPr>
            <w:r w:rsidRPr="001E722E">
              <w:rPr>
                <w:rFonts w:ascii="Arial" w:eastAsia="Arial" w:hAnsi="Arial" w:cs="Arial"/>
                <w:sz w:val="21"/>
                <w:szCs w:val="21"/>
              </w:rPr>
              <w:t>Trust, convenience and culturally relevant communication mattered more than knowledge alone; community-based delivery worked better than clinic-based invitations.</w:t>
            </w:r>
          </w:p>
        </w:tc>
      </w:tr>
    </w:tbl>
    <w:p w14:paraId="31817517" w14:textId="77777777" w:rsidR="00955984" w:rsidRPr="001E722E" w:rsidRDefault="00955984">
      <w:pPr>
        <w:spacing w:after="200"/>
        <w:rPr>
          <w:rFonts w:ascii="Arial" w:eastAsia="Arial" w:hAnsi="Arial" w:cs="Arial"/>
        </w:rPr>
      </w:pPr>
    </w:p>
    <w:p w14:paraId="4E75B179" w14:textId="77777777" w:rsidR="00955984" w:rsidRPr="001E722E" w:rsidRDefault="00161751">
      <w:pPr>
        <w:pStyle w:val="Heading2"/>
      </w:pPr>
      <w:bookmarkStart w:id="25" w:name="_azv5acawk1pk" w:colFirst="0" w:colLast="0"/>
      <w:bookmarkEnd w:id="25"/>
      <w:r w:rsidRPr="001E722E">
        <w:t>2.6 Effectiveness of NHS and Community-Based Prevention Campaigns</w:t>
      </w:r>
    </w:p>
    <w:p w14:paraId="1B12C3B3" w14:textId="499B7FC5" w:rsidR="00955984" w:rsidRPr="001E722E" w:rsidRDefault="00161751" w:rsidP="001E722E">
      <w:pPr>
        <w:pStyle w:val="Heading2"/>
      </w:pPr>
      <w:bookmarkStart w:id="26" w:name="_7v5jf0ugu2sl" w:colFirst="0" w:colLast="0"/>
      <w:bookmarkEnd w:id="26"/>
      <w:r w:rsidRPr="001E722E">
        <w:t>2.6.1 The NHS Health Check Programme</w:t>
      </w:r>
    </w:p>
    <w:p w14:paraId="39EA70D6" w14:textId="77777777" w:rsidR="00955984" w:rsidRPr="001E722E" w:rsidRDefault="00161751">
      <w:pPr>
        <w:spacing w:after="200" w:line="360" w:lineRule="auto"/>
        <w:jc w:val="both"/>
        <w:rPr>
          <w:rFonts w:ascii="Arial" w:eastAsia="Arial" w:hAnsi="Arial" w:cs="Arial"/>
        </w:rPr>
      </w:pPr>
      <w:r w:rsidRPr="001E722E">
        <w:rPr>
          <w:rFonts w:ascii="Arial" w:eastAsia="Arial" w:hAnsi="Arial" w:cs="Arial"/>
          <w:sz w:val="24"/>
          <w:szCs w:val="24"/>
        </w:rPr>
        <w:t xml:space="preserve">The NHS Health Check continues to be the UK's flagship CHD prevention programme, although the effectiveness of the programme is mixed. On the other hand, it is clear that the programme is effective when people do attend; a national study identified those who attended were significantly more likely to have a new diagnosis of high blood pressure, type 2 diabetes and chronic kidney disease, all of which are key CHD risk factors which can be managed if diagnosed (Robson et al., 2021). However, it is not large enough to give the programme a significant overall public health impact. National data indicates 52.6% average uptake across a </w:t>
      </w:r>
      <w:r w:rsidRPr="001E722E">
        <w:rPr>
          <w:rFonts w:ascii="Arial" w:eastAsia="Arial" w:hAnsi="Arial" w:cs="Arial"/>
          <w:sz w:val="24"/>
          <w:szCs w:val="24"/>
        </w:rPr>
        <w:lastRenderedPageBreak/>
        <w:t>complete 5 years invitation cycle with a wide range of uptake between regions of 25.1% and 84.7% (Patel et al., 2020), while a recent 10 years review found uptake as low as 16.9% in the years they reviewed, with more than 83% of those eligible not attending at all (Robson et al., 2021). The extent of this variability is shown in figure 2.2.</w:t>
      </w:r>
    </w:p>
    <w:p w14:paraId="71F78E2B" w14:textId="77777777" w:rsidR="00955984" w:rsidRPr="001E722E" w:rsidRDefault="00161751">
      <w:pPr>
        <w:spacing w:before="200"/>
        <w:jc w:val="center"/>
        <w:rPr>
          <w:rFonts w:ascii="Arial" w:eastAsia="Arial" w:hAnsi="Arial" w:cs="Arial"/>
        </w:rPr>
      </w:pPr>
      <w:r w:rsidRPr="001E722E">
        <w:rPr>
          <w:noProof/>
        </w:rPr>
        <w:drawing>
          <wp:inline distT="0" distB="0" distL="0" distR="0" wp14:anchorId="369D0379" wp14:editId="409B10B3">
            <wp:extent cx="4572000" cy="2743200"/>
            <wp:effectExtent l="0" t="0" r="0" b="0"/>
            <wp:docPr id="918543978" name="image3.png"/>
            <wp:cNvGraphicFramePr/>
            <a:graphic xmlns:a="http://schemas.openxmlformats.org/drawingml/2006/main">
              <a:graphicData uri="http://schemas.openxmlformats.org/drawingml/2006/picture">
                <pic:pic xmlns:pic="http://schemas.openxmlformats.org/drawingml/2006/picture">
                  <pic:nvPicPr>
                    <pic:cNvPr id="0" name="image3.png"/>
                    <pic:cNvPicPr preferRelativeResize="0"/>
                  </pic:nvPicPr>
                  <pic:blipFill>
                    <a:blip r:embed="rId17"/>
                    <a:srcRect/>
                    <a:stretch>
                      <a:fillRect/>
                    </a:stretch>
                  </pic:blipFill>
                  <pic:spPr>
                    <a:xfrm>
                      <a:off x="0" y="0"/>
                      <a:ext cx="4572000" cy="2743200"/>
                    </a:xfrm>
                    <a:prstGeom prst="rect">
                      <a:avLst/>
                    </a:prstGeom>
                    <a:ln/>
                  </pic:spPr>
                </pic:pic>
              </a:graphicData>
            </a:graphic>
          </wp:inline>
        </w:drawing>
      </w:r>
    </w:p>
    <w:p w14:paraId="4115EBF3" w14:textId="77777777" w:rsidR="00955984" w:rsidRPr="001E722E" w:rsidRDefault="00161751">
      <w:pPr>
        <w:spacing w:before="100" w:after="300"/>
        <w:jc w:val="center"/>
        <w:rPr>
          <w:rFonts w:ascii="Arial" w:eastAsia="Arial" w:hAnsi="Arial" w:cs="Arial"/>
        </w:rPr>
      </w:pPr>
      <w:bookmarkStart w:id="27" w:name="_yaqv54hov3k5" w:colFirst="0" w:colLast="0"/>
      <w:bookmarkEnd w:id="27"/>
      <w:r w:rsidRPr="001E722E">
        <w:rPr>
          <w:rFonts w:ascii="Arial" w:eastAsia="Arial" w:hAnsi="Arial" w:cs="Arial"/>
        </w:rPr>
        <w:t>Figure 2.2: Variation in NHS Health Check Uptake Across Local Authorities in England, 2012-2017 (adapted from Patel et al., 2020)</w:t>
      </w:r>
    </w:p>
    <w:p w14:paraId="0109AB83" w14:textId="77777777" w:rsidR="00955984" w:rsidRPr="001E722E" w:rsidRDefault="00161751">
      <w:pPr>
        <w:spacing w:after="200" w:line="360" w:lineRule="auto"/>
        <w:jc w:val="both"/>
        <w:rPr>
          <w:rFonts w:ascii="Arial" w:eastAsia="Arial" w:hAnsi="Arial" w:cs="Arial"/>
        </w:rPr>
      </w:pPr>
      <w:r w:rsidRPr="001E722E">
        <w:rPr>
          <w:rFonts w:ascii="Arial" w:eastAsia="Arial" w:hAnsi="Arial" w:cs="Arial"/>
          <w:sz w:val="24"/>
          <w:szCs w:val="24"/>
        </w:rPr>
        <w:t>A mismatch between the programme's potential and the people who are most likely to benefit from it has raised concerns among some researchers about the delivery of the programme using the traditional clinic-based format – the people most at risk are least likely to attend a standard appointment (Brady et al., 2025).</w:t>
      </w:r>
    </w:p>
    <w:p w14:paraId="6B057915" w14:textId="77777777" w:rsidR="00955984" w:rsidRPr="001E722E" w:rsidRDefault="00161751">
      <w:pPr>
        <w:pStyle w:val="Heading2"/>
      </w:pPr>
      <w:bookmarkStart w:id="28" w:name="_71hysc3q1imb" w:colFirst="0" w:colLast="0"/>
      <w:bookmarkEnd w:id="28"/>
      <w:r w:rsidRPr="001E722E">
        <w:t>2.6.2 Digital and Outreach Innovations</w:t>
      </w:r>
    </w:p>
    <w:p w14:paraId="4C03192F" w14:textId="77777777" w:rsidR="00955984" w:rsidRPr="001E722E" w:rsidRDefault="00161751">
      <w:pPr>
        <w:spacing w:after="200" w:line="360" w:lineRule="auto"/>
        <w:jc w:val="both"/>
        <w:rPr>
          <w:rFonts w:ascii="Arial" w:eastAsia="Arial" w:hAnsi="Arial" w:cs="Arial"/>
          <w:sz w:val="24"/>
          <w:szCs w:val="24"/>
        </w:rPr>
      </w:pPr>
      <w:r w:rsidRPr="001E722E">
        <w:rPr>
          <w:rFonts w:ascii="Arial" w:eastAsia="Arial" w:hAnsi="Arial" w:cs="Arial"/>
          <w:sz w:val="24"/>
          <w:szCs w:val="24"/>
        </w:rPr>
        <w:t xml:space="preserve">With continued poor uptake, there are certain areas that have experimented with using alternative delivery models. A service evaluation found that a health check which was done online was less effective than the face-to-face health check at capturing people at risk – although more people completed the online health check component, fewer people at risk had their physical measurements taken (like blood pressure and cholesterol) through the online route. This indicates that digital delivery can help enhance initial engagement rates but needs to be combined with an on-screen link to easy physical testing to be optimal. The telephone outreach method was tested in Bristol and was more effective in enhancing understanding of the </w:t>
      </w:r>
      <w:r w:rsidRPr="001E722E">
        <w:rPr>
          <w:rFonts w:ascii="Arial" w:eastAsia="Arial" w:hAnsi="Arial" w:cs="Arial"/>
          <w:sz w:val="24"/>
          <w:szCs w:val="24"/>
        </w:rPr>
        <w:lastRenderedPageBreak/>
        <w:t>check and in the immediate booking of an appointment in Bristol. (Brangan et al., 2019).</w:t>
      </w:r>
    </w:p>
    <w:p w14:paraId="2DE9FD83" w14:textId="77777777" w:rsidR="00955984" w:rsidRPr="001E722E" w:rsidRDefault="00955984">
      <w:pPr>
        <w:spacing w:after="200" w:line="360" w:lineRule="auto"/>
        <w:jc w:val="both"/>
        <w:rPr>
          <w:rFonts w:ascii="Arial" w:eastAsia="Arial" w:hAnsi="Arial" w:cs="Arial"/>
        </w:rPr>
      </w:pPr>
    </w:p>
    <w:p w14:paraId="04AF517A" w14:textId="77777777" w:rsidR="00955984" w:rsidRPr="001E722E" w:rsidRDefault="00161751">
      <w:pPr>
        <w:pStyle w:val="Heading2"/>
      </w:pPr>
      <w:bookmarkStart w:id="29" w:name="_7ombm08unt0y" w:colFirst="0" w:colLast="0"/>
      <w:bookmarkEnd w:id="29"/>
      <w:r w:rsidRPr="001E722E">
        <w:t>2.6.3 Mass Media and Public Awareness Campaigns</w:t>
      </w:r>
    </w:p>
    <w:p w14:paraId="54D5625A" w14:textId="77777777" w:rsidR="00955984" w:rsidRPr="001E722E" w:rsidRDefault="00161751">
      <w:pPr>
        <w:spacing w:after="200" w:line="360" w:lineRule="auto"/>
        <w:jc w:val="both"/>
        <w:rPr>
          <w:rFonts w:ascii="Arial" w:eastAsia="Arial" w:hAnsi="Arial" w:cs="Arial"/>
          <w:sz w:val="24"/>
          <w:szCs w:val="24"/>
        </w:rPr>
      </w:pPr>
      <w:r w:rsidRPr="001E722E">
        <w:rPr>
          <w:rFonts w:ascii="Arial" w:eastAsia="Arial" w:hAnsi="Arial" w:cs="Arial"/>
          <w:sz w:val="24"/>
          <w:szCs w:val="24"/>
        </w:rPr>
        <w:t>In addition to the NHS Health Check, there have always been mass media campaigns which have targeted the awareness of cardiovascular symptoms and risk factors. A recent study of evidence of mass media-based health promotion campaigns found that while effective campaigns can influence health behaviour across the population, there are a number of critical factors that need to be taken into consideration: the level of funding, the duration of the campaigns, and whether the services or products people are encouraged to use are available and accessible to them (Wakefield, Loken and Hornik, 2010). This in particular is crucial to CHD prevention, because awareness-raising campaigns in the media alone are of little value if the health service people are encouraged to access is not readily available, directly relating back to the access barriers outlined in 2.5.2.</w:t>
      </w:r>
    </w:p>
    <w:p w14:paraId="192AF6E8" w14:textId="77777777" w:rsidR="00955984" w:rsidRPr="001E722E" w:rsidRDefault="00161751">
      <w:pPr>
        <w:spacing w:after="200" w:line="360" w:lineRule="auto"/>
        <w:jc w:val="both"/>
        <w:rPr>
          <w:rFonts w:ascii="Arial" w:eastAsia="Arial" w:hAnsi="Arial" w:cs="Arial"/>
        </w:rPr>
      </w:pPr>
      <w:r w:rsidRPr="001E722E">
        <w:rPr>
          <w:rFonts w:ascii="Arial" w:eastAsia="Arial" w:hAnsi="Arial" w:cs="Arial"/>
          <w:sz w:val="24"/>
          <w:szCs w:val="24"/>
        </w:rPr>
        <w:t>Given that many of the risk factors and communication strategies of CHD are similar to stroke, a systematic review with only a few studies specifically focused on media campaigns to increase awareness of the warning signs of stroke was undertaken, and concluded that campaigns directed at the public were effective at improving awareness of the warning signs of stroke, but had lower effectiveness at increasing the likelihood of accessing emergency care in a timely fashion (Stead et al., 2019). It was only when a campaign was launched to healthcare professionals as well, and the services were reorganised to respond, that there was any measurable improvement in treatment times. This discovery echoes an established theme of this chapter: the knowledge only campaigning programmes can elicit on their own are not always successful at achieving their intended outcomes, as they must also tackle the barriers to behaviour change on the ground – at system and practical level – or else they will fail.</w:t>
      </w:r>
    </w:p>
    <w:p w14:paraId="204EDE73" w14:textId="77777777" w:rsidR="00955984" w:rsidRPr="001E722E" w:rsidRDefault="00161751">
      <w:pPr>
        <w:pStyle w:val="Heading2"/>
      </w:pPr>
      <w:bookmarkStart w:id="30" w:name="_8tjqdqc1pk1p" w:colFirst="0" w:colLast="0"/>
      <w:bookmarkEnd w:id="30"/>
      <w:r w:rsidRPr="001E722E">
        <w:lastRenderedPageBreak/>
        <w:t>2.7 Strategies Suggested in the Literature to Improve Awareness and Uptake</w:t>
      </w:r>
    </w:p>
    <w:p w14:paraId="0CB8B626" w14:textId="77777777" w:rsidR="00955984" w:rsidRPr="001E722E" w:rsidRDefault="00161751">
      <w:pPr>
        <w:spacing w:after="200" w:line="360" w:lineRule="auto"/>
        <w:jc w:val="both"/>
        <w:rPr>
          <w:rFonts w:ascii="Arial" w:eastAsia="Arial" w:hAnsi="Arial" w:cs="Arial"/>
          <w:sz w:val="24"/>
          <w:szCs w:val="24"/>
        </w:rPr>
      </w:pPr>
      <w:r w:rsidRPr="001E722E">
        <w:rPr>
          <w:rFonts w:ascii="Arial" w:eastAsia="Arial" w:hAnsi="Arial" w:cs="Arial"/>
          <w:sz w:val="24"/>
          <w:szCs w:val="24"/>
        </w:rPr>
        <w:t>The above evidence has been integrated and several strategies are prevalent in the literature for increasing the awareness of CHD and uptake of screening in the UK. First, personal and community-based outreach is likely to be more effective than generic and ‘one size fits all' invitations – the telephone outreach study in Bristol and the community-based work in Middlesbrough both demonstrated significant evidence that direct, relationship-based contact can greatly improve engagement rates over standard letters (Brady et al., 2025; Brangan et al., 2019). Second, culturally-sensitive communication, via trusted community leaders, was consistently cited as having a key role in engaging minority ethnic and deprived communities (Eberhardt et al., 2025; Brady et al., 2025). Third, several studies found that decreasing the practical barriers – including access to appointments outside of working hours, community venues rather than clinic settings, and a more streamlined booking process – was associated with better attendance (Eberhardt et al., 2025).</w:t>
      </w:r>
    </w:p>
    <w:p w14:paraId="25309783" w14:textId="77777777" w:rsidR="00955984" w:rsidRPr="001E722E" w:rsidRDefault="00161751">
      <w:pPr>
        <w:spacing w:after="200" w:line="360" w:lineRule="auto"/>
        <w:jc w:val="both"/>
        <w:rPr>
          <w:rFonts w:ascii="Arial" w:eastAsia="Arial" w:hAnsi="Arial" w:cs="Arial"/>
        </w:rPr>
      </w:pPr>
      <w:r w:rsidRPr="001E722E">
        <w:rPr>
          <w:rFonts w:ascii="Arial" w:eastAsia="Arial" w:hAnsi="Arial" w:cs="Arial"/>
          <w:sz w:val="24"/>
          <w:szCs w:val="24"/>
        </w:rPr>
        <w:t>Fourth, the evidence that exists from mass media indicates that awareness campaigns are effective when their messages are repeated over time, they are well funded and when they are integrated with services that are actually accessible instead of being delivered as a one-shot campaign of messages (Stead et al., 2019). Stronger, quantitative support for this point comes from a Community Health and Wellbeing Worker initiative in a deprived UK community, where systematic, proactive household outreach - rather than a one-off campaign - was associated with substantially higher NHS Health Check uptake than usual care (Junghans et al., 2023). Finally, several studies (Lim et al., 2021) indicate that campaigns and services should go beyond enhancing knowledge and actually directly tackle perceived susceptibility, perceived benefit and perceived self-efficacy, all of which are psychological constructs identified in the Health Belief Model, which seem to be key to the translation of increased knowledge into uptake of screening and adoption of healthier behaviours.</w:t>
      </w:r>
    </w:p>
    <w:p w14:paraId="54314FE9" w14:textId="77777777" w:rsidR="00955984" w:rsidRPr="001E722E" w:rsidRDefault="00161751">
      <w:pPr>
        <w:pStyle w:val="Heading2"/>
      </w:pPr>
      <w:bookmarkStart w:id="31" w:name="_7jhximwihcfb" w:colFirst="0" w:colLast="0"/>
      <w:bookmarkEnd w:id="31"/>
      <w:r w:rsidRPr="001E722E">
        <w:t>2.8 Gaps in the Literature</w:t>
      </w:r>
    </w:p>
    <w:p w14:paraId="02D376E3" w14:textId="77777777" w:rsidR="00955984" w:rsidRPr="001E722E" w:rsidRDefault="00161751">
      <w:pPr>
        <w:spacing w:after="200" w:line="360" w:lineRule="auto"/>
        <w:jc w:val="both"/>
        <w:rPr>
          <w:rFonts w:ascii="Arial" w:eastAsia="Arial" w:hAnsi="Arial" w:cs="Arial"/>
        </w:rPr>
      </w:pPr>
      <w:r w:rsidRPr="001E722E">
        <w:rPr>
          <w:rFonts w:ascii="Arial" w:eastAsia="Arial" w:hAnsi="Arial" w:cs="Arial"/>
          <w:sz w:val="24"/>
          <w:szCs w:val="24"/>
        </w:rPr>
        <w:t xml:space="preserve">Although the framework of research presented in this chapter covers a wide range of studies (Patel et al., 2020; Robson et al., 2021; Eberhardt et al., 2025; Brady et al., </w:t>
      </w:r>
      <w:r w:rsidRPr="001E722E">
        <w:rPr>
          <w:rFonts w:ascii="Arial" w:eastAsia="Arial" w:hAnsi="Arial" w:cs="Arial"/>
          <w:sz w:val="24"/>
          <w:szCs w:val="24"/>
        </w:rPr>
        <w:lastRenderedPageBreak/>
        <w:t>2025; Brangan et al., 2019), there are a few key areas that are not well covered for example, the qualitative evidence of barriers to screening is mainly from specific areas, notably the North East of England, and the extent to which these findings are generalisable to other areas of the UK, different population groups and health service configurations is not fully understood. Additionally, there is relatively little evidence in the UK that specifically assesses the relationship between enhancing public awareness of CHD symptoms and risk factors and increased attendance at an NHS Health Check, with most CHD awareness studies and most uptake studies conducted independently of each other. Thirdly, there are some tools that have been assessed independently but little comparative evidence on which or how a mix of different outreach methods works best for the lowest cost, which is crucial for NHS commissioners who have constrained budgets. With all these limitations in mind, the systematic review presented in this dissertation (Chapter 3) will aim to comprehensively collect the available evidence to the greatest extent possible.</w:t>
      </w:r>
    </w:p>
    <w:p w14:paraId="0584A2C2" w14:textId="77777777" w:rsidR="00955984" w:rsidRPr="001E722E" w:rsidRDefault="00161751">
      <w:pPr>
        <w:pStyle w:val="Heading2"/>
      </w:pPr>
      <w:bookmarkStart w:id="32" w:name="_4atx7a3jvv1a" w:colFirst="0" w:colLast="0"/>
      <w:bookmarkEnd w:id="32"/>
      <w:r w:rsidRPr="001E722E">
        <w:t>2.9 Chapter Summary</w:t>
      </w:r>
    </w:p>
    <w:p w14:paraId="4C649A1C" w14:textId="77777777" w:rsidR="00955984" w:rsidRPr="001E722E" w:rsidRDefault="00161751">
      <w:pPr>
        <w:spacing w:line="360" w:lineRule="auto"/>
        <w:jc w:val="both"/>
        <w:rPr>
          <w:rFonts w:ascii="Arial" w:eastAsia="Arial" w:hAnsi="Arial" w:cs="Arial"/>
          <w:sz w:val="24"/>
          <w:szCs w:val="24"/>
        </w:rPr>
      </w:pPr>
      <w:r w:rsidRPr="001E722E">
        <w:rPr>
          <w:rFonts w:ascii="Arial" w:eastAsia="Arial" w:hAnsi="Arial" w:cs="Arial"/>
          <w:sz w:val="24"/>
          <w:szCs w:val="24"/>
        </w:rPr>
        <w:t xml:space="preserve">This chapter has highlighted that CHD continues to be a significant, often preventable, cause of death in the UK; however, the level of awareness of the symptoms and risk factors of CHD is variable, with individuals often identifying chest pain but failing to identify other important warning signs. The Health Belief Model allows for the understanding that education alone does not lead to behaviour change: individuals must also perceive themselves as vulnerable, think that screening will be beneficial to them, and feel confident that they can overcome any practical obstacles in order to change. Individual, practical and cultural barriers continue to be identified as factors which influence attendance at NHS Health Check, and the national uptake of Health Check is around 50% of those invited, with wide variation between local areas. Community outreach, culturally responsive messages, and ongoing and financially supported media outreach and messaging all have potential to bridge these divides. </w:t>
      </w:r>
    </w:p>
    <w:p w14:paraId="4A790665" w14:textId="77777777" w:rsidR="00955984" w:rsidRPr="001E722E" w:rsidRDefault="00955984">
      <w:pPr>
        <w:spacing w:line="360" w:lineRule="auto"/>
        <w:jc w:val="both"/>
        <w:rPr>
          <w:rFonts w:ascii="Arial" w:eastAsia="Arial" w:hAnsi="Arial" w:cs="Arial"/>
          <w:sz w:val="24"/>
          <w:szCs w:val="24"/>
        </w:rPr>
      </w:pPr>
    </w:p>
    <w:p w14:paraId="1FF72044" w14:textId="77777777" w:rsidR="00955984" w:rsidRPr="001E722E" w:rsidRDefault="00955984">
      <w:pPr>
        <w:spacing w:line="360" w:lineRule="auto"/>
        <w:jc w:val="both"/>
        <w:rPr>
          <w:rFonts w:ascii="Arial" w:eastAsia="Arial" w:hAnsi="Arial" w:cs="Arial"/>
          <w:sz w:val="24"/>
          <w:szCs w:val="24"/>
        </w:rPr>
      </w:pPr>
    </w:p>
    <w:p w14:paraId="669DA6CB" w14:textId="77777777" w:rsidR="00955984" w:rsidRPr="001E722E" w:rsidRDefault="00955984">
      <w:pPr>
        <w:spacing w:line="360" w:lineRule="auto"/>
        <w:jc w:val="both"/>
        <w:rPr>
          <w:rFonts w:ascii="Arial" w:eastAsia="Arial" w:hAnsi="Arial" w:cs="Arial"/>
          <w:sz w:val="24"/>
          <w:szCs w:val="24"/>
        </w:rPr>
      </w:pPr>
    </w:p>
    <w:p w14:paraId="4914AEA2" w14:textId="77777777" w:rsidR="00955984" w:rsidRPr="001E722E" w:rsidRDefault="00955984">
      <w:pPr>
        <w:spacing w:line="360" w:lineRule="auto"/>
        <w:jc w:val="both"/>
        <w:rPr>
          <w:rFonts w:ascii="Arial" w:eastAsia="Arial" w:hAnsi="Arial" w:cs="Arial"/>
          <w:sz w:val="24"/>
          <w:szCs w:val="24"/>
        </w:rPr>
      </w:pPr>
    </w:p>
    <w:p w14:paraId="397C647A" w14:textId="77777777" w:rsidR="00955984" w:rsidRPr="001E722E" w:rsidRDefault="00161751">
      <w:pPr>
        <w:pStyle w:val="Heading1"/>
        <w:pageBreakBefore/>
      </w:pPr>
      <w:bookmarkStart w:id="33" w:name="_ls17x79b0js8" w:colFirst="0" w:colLast="0"/>
      <w:bookmarkEnd w:id="33"/>
      <w:r w:rsidRPr="001E722E">
        <w:lastRenderedPageBreak/>
        <w:t>CHAPTER 3: RESEARCH METHODOLOGY</w:t>
      </w:r>
    </w:p>
    <w:p w14:paraId="74277E2C" w14:textId="77777777" w:rsidR="00955984" w:rsidRPr="001E722E" w:rsidRDefault="00161751">
      <w:pPr>
        <w:pStyle w:val="Heading2"/>
      </w:pPr>
      <w:bookmarkStart w:id="34" w:name="_1fnyw76xuup9" w:colFirst="0" w:colLast="0"/>
      <w:bookmarkEnd w:id="34"/>
      <w:r w:rsidRPr="001E722E">
        <w:t>3.1 Introduction</w:t>
      </w:r>
    </w:p>
    <w:p w14:paraId="2A2066BB" w14:textId="77777777" w:rsidR="00955984" w:rsidRPr="001E722E" w:rsidRDefault="00161751">
      <w:pPr>
        <w:spacing w:after="200" w:line="360" w:lineRule="auto"/>
        <w:jc w:val="both"/>
        <w:rPr>
          <w:rFonts w:ascii="Arial" w:eastAsia="Arial" w:hAnsi="Arial" w:cs="Arial"/>
        </w:rPr>
      </w:pPr>
      <w:r w:rsidRPr="001E722E">
        <w:rPr>
          <w:rFonts w:ascii="Arial" w:eastAsia="Arial" w:hAnsi="Arial" w:cs="Arial"/>
          <w:sz w:val="24"/>
          <w:szCs w:val="24"/>
        </w:rPr>
        <w:t>This chapter aims to explain and justify how this study contributes to the research question: How can public health strategies in the UK be implemented to successfully raise awareness, promote early screening and ultimately decrease the number of preventable deaths of CHD It explains the research philosophy that underpins the study, and why a systematic review of the existing qualitative and mixed methods literature was deemed appropriate rather than primary data collection being undertaken, and how studies were searched for, selected, appraised and synthesised in detail. The chapter also deals with ethical issues pertinent to secondary research and also takes a look at the drawbacks of the methodology adopted.</w:t>
      </w:r>
    </w:p>
    <w:p w14:paraId="3811DA71" w14:textId="77777777" w:rsidR="00955984" w:rsidRPr="001E722E" w:rsidRDefault="00161751">
      <w:pPr>
        <w:pStyle w:val="Heading2"/>
      </w:pPr>
      <w:bookmarkStart w:id="35" w:name="_17wn9oj6k6bk" w:colFirst="0" w:colLast="0"/>
      <w:bookmarkEnd w:id="35"/>
      <w:r w:rsidRPr="001E722E">
        <w:t>3.2 Research Philosophy and Approach</w:t>
      </w:r>
    </w:p>
    <w:p w14:paraId="1FF5F7F8" w14:textId="77777777" w:rsidR="00955984" w:rsidRPr="001E722E" w:rsidRDefault="00161751">
      <w:pPr>
        <w:spacing w:after="200" w:line="360" w:lineRule="auto"/>
        <w:jc w:val="both"/>
        <w:rPr>
          <w:rFonts w:ascii="Arial" w:eastAsia="Arial" w:hAnsi="Arial" w:cs="Arial"/>
          <w:sz w:val="24"/>
          <w:szCs w:val="24"/>
        </w:rPr>
      </w:pPr>
      <w:r w:rsidRPr="001E722E">
        <w:rPr>
          <w:rFonts w:ascii="Arial" w:eastAsia="Arial" w:hAnsi="Arial" w:cs="Arial"/>
          <w:sz w:val="24"/>
          <w:szCs w:val="24"/>
        </w:rPr>
        <w:t>The philosophy of the research used in this dissertation is interpretivist. Interpretivism has emphasised the influence of the individual's beliefs, experiences and social context on social and health-related behaviours, and that these behaviours cannot be fully understood by numbers. The research question focuses on the variation in awareness and screening behaviour in the UK population and considers strategies that might bring about change in behaviour, so a more appropriate approach is one that allows for capturing meaning, experience and context rather than a numbers-based approach. In line with this philosophical stance, the choice for a secondary research design, which is qualitative in nature, is justified, as existing studies are reviewed, compared and synthesized, instead of being simply aggregated as a set of statistics.</w:t>
      </w:r>
    </w:p>
    <w:p w14:paraId="3A36B38B" w14:textId="77777777" w:rsidR="00955984" w:rsidRPr="001E722E" w:rsidRDefault="00161751">
      <w:pPr>
        <w:spacing w:after="200" w:line="360" w:lineRule="auto"/>
        <w:jc w:val="both"/>
        <w:rPr>
          <w:rFonts w:ascii="Arial" w:eastAsia="Arial" w:hAnsi="Arial" w:cs="Arial"/>
          <w:sz w:val="24"/>
          <w:szCs w:val="24"/>
        </w:rPr>
      </w:pPr>
      <w:r w:rsidRPr="001E722E">
        <w:rPr>
          <w:rFonts w:ascii="Arial" w:eastAsia="Arial" w:hAnsi="Arial" w:cs="Arial"/>
          <w:sz w:val="24"/>
          <w:szCs w:val="24"/>
        </w:rPr>
        <w:t>It is an inductive approach because themes and conclusions are developed from the results of individual studies, and not tested against a pre-conceived hypothesis. This is appropriate for a systematic review of a general public health topic with the intention of creating a comprehensive overview of awareness, barriers and effectiveness of strategies, as opposed to testing one specific prediction.</w:t>
      </w:r>
    </w:p>
    <w:p w14:paraId="5F92BC27" w14:textId="77777777" w:rsidR="00955984" w:rsidRPr="001E722E" w:rsidRDefault="00161751">
      <w:pPr>
        <w:pStyle w:val="Heading2"/>
      </w:pPr>
      <w:bookmarkStart w:id="36" w:name="_h5878cl072t4" w:colFirst="0" w:colLast="0"/>
      <w:bookmarkEnd w:id="36"/>
      <w:r w:rsidRPr="001E722E">
        <w:lastRenderedPageBreak/>
        <w:t>3.3 Research Design: Systematic Literature Review (SLR)</w:t>
      </w:r>
    </w:p>
    <w:p w14:paraId="1B490A26" w14:textId="77777777" w:rsidR="00955984" w:rsidRPr="001E722E" w:rsidRDefault="00161751">
      <w:pPr>
        <w:spacing w:after="200" w:line="360" w:lineRule="auto"/>
        <w:jc w:val="both"/>
        <w:rPr>
          <w:rFonts w:ascii="Arial" w:eastAsia="Arial" w:hAnsi="Arial" w:cs="Arial"/>
          <w:sz w:val="24"/>
          <w:szCs w:val="24"/>
        </w:rPr>
      </w:pPr>
      <w:r w:rsidRPr="001E722E">
        <w:rPr>
          <w:rFonts w:ascii="Arial" w:eastAsia="Arial" w:hAnsi="Arial" w:cs="Arial"/>
          <w:sz w:val="24"/>
          <w:szCs w:val="24"/>
        </w:rPr>
        <w:t>This SLR, as outlined in Chapter 1, uses a systematic literature review of secondary, qualitative and mixed-methods data rather than the collection of primary data. This approach was chosen for several practical and academic reasons, grounded in the interpretivist nature of the research question and the constraints of a secondary analysis.  First, there is a large and increasing literature on CHD awareness, the uptake of NHS Health Check and barriers to NHS Health Check uptake in the UK and a systematic review can build and consolidate this evidence in much more efficient way than a small-scale primary study. Second, primary data collection would involve more significant ethical, time and resource requirements that are not feasible for this study, such as interviewing patients about their screening decisions. Thirdly, a systematic review can be used to present the evidence at the same time at various regions, population groups and time periods across the UK, providing a wider, more representative picture than one local study would.</w:t>
      </w:r>
    </w:p>
    <w:p w14:paraId="5C170F72" w14:textId="77777777" w:rsidR="00955984" w:rsidRPr="001E722E" w:rsidRDefault="00161751">
      <w:pPr>
        <w:spacing w:after="200" w:line="360" w:lineRule="auto"/>
        <w:jc w:val="both"/>
        <w:rPr>
          <w:rFonts w:ascii="Arial" w:eastAsia="Arial" w:hAnsi="Arial" w:cs="Arial"/>
        </w:rPr>
      </w:pPr>
      <w:r w:rsidRPr="001E722E">
        <w:rPr>
          <w:rFonts w:ascii="Arial" w:eastAsia="Arial" w:hAnsi="Arial" w:cs="Arial"/>
          <w:sz w:val="24"/>
          <w:szCs w:val="24"/>
        </w:rPr>
        <w:t>The structure and guidelines of this study are based on the internationally recognised PRISMA 2020 guidelines for conducting and reporting systematic reviews (Page et al., 2021). While the PRISMA was conceived for quantitative effectiveness-based reviews, the identification and screening stages, as well as the eligibility assessment and inclusion, can be applied to a review of the qualitative or mixed-methods public health literature, and are used here to organise the search and selection process described below.</w:t>
      </w:r>
    </w:p>
    <w:p w14:paraId="7BB878BA" w14:textId="77777777" w:rsidR="00955984" w:rsidRPr="001E722E" w:rsidRDefault="00161751">
      <w:pPr>
        <w:pStyle w:val="Heading2"/>
      </w:pPr>
      <w:bookmarkStart w:id="37" w:name="_4s7ndsanw3r9" w:colFirst="0" w:colLast="0"/>
      <w:bookmarkEnd w:id="37"/>
      <w:r w:rsidRPr="001E722E">
        <w:t>3.4 Search Strategy</w:t>
      </w:r>
    </w:p>
    <w:p w14:paraId="6EFC827C" w14:textId="77777777" w:rsidR="00955984" w:rsidRPr="001E722E" w:rsidRDefault="00161751">
      <w:pPr>
        <w:spacing w:after="200" w:line="360" w:lineRule="auto"/>
        <w:jc w:val="both"/>
        <w:rPr>
          <w:rFonts w:ascii="Arial" w:eastAsia="Arial" w:hAnsi="Arial" w:cs="Arial"/>
          <w:sz w:val="24"/>
          <w:szCs w:val="24"/>
        </w:rPr>
      </w:pPr>
      <w:r w:rsidRPr="001E722E">
        <w:rPr>
          <w:rFonts w:ascii="Arial" w:eastAsia="Arial" w:hAnsi="Arial" w:cs="Arial"/>
          <w:sz w:val="24"/>
          <w:szCs w:val="24"/>
        </w:rPr>
        <w:t xml:space="preserve">A systematic search strategy was created to meet the four objectives outlined in Chapter 1. Three electronic databases were searched to capture the multidisciplinary literature: MEDLINE (via PubMed) for Biomedical and Epidemiological research on CHD; the Cumulative Index to Nursing and Allied Health Literature (CINAHL) for studies on health behaviour, patient education and community based interventions; Cochrane Library for systematic reviews and evidence syntheses of intervention effectiveness. This mixture of databases is a tried and tested approach in systematic reviews of cardiovascular prevention and public health interventions. Five concepts were identified based on the search terms, which covered the condition, awareness and knowledge, screening and prevention, strategies and interventions, and the UK </w:t>
      </w:r>
      <w:r w:rsidRPr="001E722E">
        <w:rPr>
          <w:rFonts w:ascii="Arial" w:eastAsia="Arial" w:hAnsi="Arial" w:cs="Arial"/>
          <w:sz w:val="24"/>
          <w:szCs w:val="24"/>
        </w:rPr>
        <w:lastRenderedPageBreak/>
        <w:t>setting. For every concept, the terms were combined using the Boolean operator OR, and the five concept groups were combined using the Boolean operator AND, in such a way that any record that had any of the five concepts was retrieved. The keywords used are presented in Table 3.1.</w:t>
      </w:r>
    </w:p>
    <w:p w14:paraId="6826C641" w14:textId="77777777" w:rsidR="00955984" w:rsidRPr="001E722E" w:rsidRDefault="00161751">
      <w:pPr>
        <w:spacing w:before="100" w:after="300"/>
        <w:rPr>
          <w:rFonts w:ascii="Arial" w:eastAsia="Arial" w:hAnsi="Arial" w:cs="Arial"/>
          <w:sz w:val="24"/>
          <w:szCs w:val="24"/>
        </w:rPr>
      </w:pPr>
      <w:bookmarkStart w:id="38" w:name="_xo5ie7er7zku" w:colFirst="0" w:colLast="0"/>
      <w:bookmarkEnd w:id="38"/>
      <w:r w:rsidRPr="001E722E">
        <w:rPr>
          <w:rFonts w:ascii="Arial" w:eastAsia="Arial" w:hAnsi="Arial" w:cs="Arial"/>
          <w:sz w:val="24"/>
          <w:szCs w:val="24"/>
        </w:rPr>
        <w:t>Table 3.1: Search Strategy and Key Terms</w:t>
      </w:r>
    </w:p>
    <w:tbl>
      <w:tblPr>
        <w:tblStyle w:val="a1"/>
        <w:tblW w:w="9499" w:type="dxa"/>
        <w:tblInd w:w="-120" w:type="dxa"/>
        <w:tblLayout w:type="fixed"/>
        <w:tblLook w:val="0400" w:firstRow="0" w:lastRow="0" w:firstColumn="0" w:lastColumn="0" w:noHBand="0" w:noVBand="1"/>
      </w:tblPr>
      <w:tblGrid>
        <w:gridCol w:w="2600"/>
        <w:gridCol w:w="6899"/>
      </w:tblGrid>
      <w:tr w:rsidR="00955984" w:rsidRPr="001E722E" w14:paraId="651A1968" w14:textId="77777777">
        <w:tc>
          <w:tcPr>
            <w:tcW w:w="2600" w:type="dxa"/>
            <w:tcBorders>
              <w:top w:val="single" w:sz="4" w:space="0" w:color="000000"/>
              <w:left w:val="single" w:sz="4" w:space="0" w:color="000000"/>
              <w:bottom w:val="single" w:sz="4" w:space="0" w:color="000000"/>
              <w:right w:val="single" w:sz="4" w:space="0" w:color="000000"/>
            </w:tcBorders>
            <w:shd w:val="clear" w:color="auto" w:fill="1F3864"/>
          </w:tcPr>
          <w:p w14:paraId="3290AB84" w14:textId="77777777" w:rsidR="00955984" w:rsidRPr="001E722E" w:rsidRDefault="00161751">
            <w:pPr>
              <w:rPr>
                <w:rFonts w:ascii="Arial" w:eastAsia="Arial" w:hAnsi="Arial" w:cs="Arial"/>
              </w:rPr>
            </w:pPr>
            <w:r w:rsidRPr="001E722E">
              <w:rPr>
                <w:rFonts w:ascii="Arial" w:eastAsia="Arial" w:hAnsi="Arial" w:cs="Arial"/>
                <w:b/>
                <w:bCs/>
                <w:sz w:val="21"/>
                <w:szCs w:val="21"/>
              </w:rPr>
              <w:t>Concept</w:t>
            </w:r>
          </w:p>
        </w:tc>
        <w:tc>
          <w:tcPr>
            <w:tcW w:w="6899" w:type="dxa"/>
            <w:tcBorders>
              <w:top w:val="single" w:sz="4" w:space="0" w:color="000000"/>
              <w:left w:val="single" w:sz="4" w:space="0" w:color="000000"/>
              <w:bottom w:val="single" w:sz="4" w:space="0" w:color="000000"/>
              <w:right w:val="single" w:sz="4" w:space="0" w:color="000000"/>
            </w:tcBorders>
            <w:shd w:val="clear" w:color="auto" w:fill="1F3864"/>
          </w:tcPr>
          <w:p w14:paraId="7310C31D" w14:textId="77777777" w:rsidR="00955984" w:rsidRPr="001E722E" w:rsidRDefault="00161751">
            <w:pPr>
              <w:rPr>
                <w:rFonts w:ascii="Arial" w:eastAsia="Arial" w:hAnsi="Arial" w:cs="Arial"/>
              </w:rPr>
            </w:pPr>
            <w:r w:rsidRPr="001E722E">
              <w:rPr>
                <w:rFonts w:ascii="Arial" w:eastAsia="Arial" w:hAnsi="Arial" w:cs="Arial"/>
                <w:b/>
                <w:bCs/>
                <w:sz w:val="21"/>
                <w:szCs w:val="21"/>
              </w:rPr>
              <w:t>Search terms (combined with OR within rows, AND between rows)</w:t>
            </w:r>
          </w:p>
        </w:tc>
      </w:tr>
      <w:tr w:rsidR="00955984" w:rsidRPr="001E722E" w14:paraId="1133DFC3" w14:textId="77777777">
        <w:tc>
          <w:tcPr>
            <w:tcW w:w="2600" w:type="dxa"/>
            <w:tcBorders>
              <w:top w:val="single" w:sz="4" w:space="0" w:color="000000"/>
              <w:left w:val="single" w:sz="4" w:space="0" w:color="000000"/>
              <w:bottom w:val="single" w:sz="4" w:space="0" w:color="000000"/>
              <w:right w:val="single" w:sz="4" w:space="0" w:color="000000"/>
            </w:tcBorders>
          </w:tcPr>
          <w:p w14:paraId="354D9DF2" w14:textId="77777777" w:rsidR="00955984" w:rsidRPr="001E722E" w:rsidRDefault="00161751">
            <w:pPr>
              <w:rPr>
                <w:rFonts w:ascii="Arial" w:eastAsia="Arial" w:hAnsi="Arial" w:cs="Arial"/>
              </w:rPr>
            </w:pPr>
            <w:r w:rsidRPr="001E722E">
              <w:rPr>
                <w:rFonts w:ascii="Arial" w:eastAsia="Arial" w:hAnsi="Arial" w:cs="Arial"/>
                <w:sz w:val="21"/>
                <w:szCs w:val="21"/>
              </w:rPr>
              <w:t>Condition</w:t>
            </w:r>
          </w:p>
        </w:tc>
        <w:tc>
          <w:tcPr>
            <w:tcW w:w="6899" w:type="dxa"/>
            <w:tcBorders>
              <w:top w:val="single" w:sz="4" w:space="0" w:color="000000"/>
              <w:left w:val="single" w:sz="4" w:space="0" w:color="000000"/>
              <w:bottom w:val="single" w:sz="4" w:space="0" w:color="000000"/>
              <w:right w:val="single" w:sz="4" w:space="0" w:color="000000"/>
            </w:tcBorders>
          </w:tcPr>
          <w:p w14:paraId="7DB12DB8" w14:textId="77777777" w:rsidR="00955984" w:rsidRPr="001E722E" w:rsidRDefault="00161751">
            <w:pPr>
              <w:rPr>
                <w:rFonts w:ascii="Arial" w:eastAsia="Arial" w:hAnsi="Arial" w:cs="Arial"/>
              </w:rPr>
            </w:pPr>
            <w:r w:rsidRPr="001E722E">
              <w:rPr>
                <w:rFonts w:ascii="Arial" w:eastAsia="Arial" w:hAnsi="Arial" w:cs="Arial"/>
                <w:sz w:val="21"/>
                <w:szCs w:val="21"/>
              </w:rPr>
              <w:t>"coronary heart disease" OR "CHD" OR "cardiovascular disease" OR "CVD" OR "ischaemic heart disease" OR "heart attack" OR "myocardial infarction"</w:t>
            </w:r>
          </w:p>
        </w:tc>
      </w:tr>
      <w:tr w:rsidR="00955984" w:rsidRPr="001E722E" w14:paraId="2BE14079" w14:textId="77777777">
        <w:tc>
          <w:tcPr>
            <w:tcW w:w="2600" w:type="dxa"/>
            <w:tcBorders>
              <w:top w:val="single" w:sz="4" w:space="0" w:color="000000"/>
              <w:left w:val="single" w:sz="4" w:space="0" w:color="000000"/>
              <w:bottom w:val="single" w:sz="4" w:space="0" w:color="000000"/>
              <w:right w:val="single" w:sz="4" w:space="0" w:color="000000"/>
            </w:tcBorders>
          </w:tcPr>
          <w:p w14:paraId="0E1BEF52" w14:textId="77777777" w:rsidR="00955984" w:rsidRPr="001E722E" w:rsidRDefault="00161751">
            <w:pPr>
              <w:rPr>
                <w:rFonts w:ascii="Arial" w:eastAsia="Arial" w:hAnsi="Arial" w:cs="Arial"/>
              </w:rPr>
            </w:pPr>
            <w:r w:rsidRPr="001E722E">
              <w:rPr>
                <w:rFonts w:ascii="Arial" w:eastAsia="Arial" w:hAnsi="Arial" w:cs="Arial"/>
                <w:sz w:val="21"/>
                <w:szCs w:val="21"/>
              </w:rPr>
              <w:t>Awareness / knowledge</w:t>
            </w:r>
          </w:p>
        </w:tc>
        <w:tc>
          <w:tcPr>
            <w:tcW w:w="6899" w:type="dxa"/>
            <w:tcBorders>
              <w:top w:val="single" w:sz="4" w:space="0" w:color="000000"/>
              <w:left w:val="single" w:sz="4" w:space="0" w:color="000000"/>
              <w:bottom w:val="single" w:sz="4" w:space="0" w:color="000000"/>
              <w:right w:val="single" w:sz="4" w:space="0" w:color="000000"/>
            </w:tcBorders>
          </w:tcPr>
          <w:p w14:paraId="60B8C819" w14:textId="77777777" w:rsidR="00955984" w:rsidRPr="001E722E" w:rsidRDefault="00161751">
            <w:pPr>
              <w:rPr>
                <w:rFonts w:ascii="Arial" w:eastAsia="Arial" w:hAnsi="Arial" w:cs="Arial"/>
              </w:rPr>
            </w:pPr>
            <w:r w:rsidRPr="001E722E">
              <w:rPr>
                <w:rFonts w:ascii="Arial" w:eastAsia="Arial" w:hAnsi="Arial" w:cs="Arial"/>
                <w:sz w:val="21"/>
                <w:szCs w:val="21"/>
              </w:rPr>
              <w:t>"awareness" OR "knowledge" OR "public understanding" OR "health literacy" OR "perception*"</w:t>
            </w:r>
          </w:p>
        </w:tc>
      </w:tr>
      <w:tr w:rsidR="00955984" w:rsidRPr="001E722E" w14:paraId="2B05FF12" w14:textId="77777777">
        <w:tc>
          <w:tcPr>
            <w:tcW w:w="2600" w:type="dxa"/>
            <w:tcBorders>
              <w:top w:val="single" w:sz="4" w:space="0" w:color="000000"/>
              <w:left w:val="single" w:sz="4" w:space="0" w:color="000000"/>
              <w:bottom w:val="single" w:sz="4" w:space="0" w:color="000000"/>
              <w:right w:val="single" w:sz="4" w:space="0" w:color="000000"/>
            </w:tcBorders>
          </w:tcPr>
          <w:p w14:paraId="7B73302E" w14:textId="77777777" w:rsidR="00955984" w:rsidRPr="001E722E" w:rsidRDefault="00161751">
            <w:pPr>
              <w:rPr>
                <w:rFonts w:ascii="Arial" w:eastAsia="Arial" w:hAnsi="Arial" w:cs="Arial"/>
              </w:rPr>
            </w:pPr>
            <w:r w:rsidRPr="001E722E">
              <w:rPr>
                <w:rFonts w:ascii="Arial" w:eastAsia="Arial" w:hAnsi="Arial" w:cs="Arial"/>
                <w:sz w:val="21"/>
                <w:szCs w:val="21"/>
              </w:rPr>
              <w:t>Screening / prevention</w:t>
            </w:r>
          </w:p>
        </w:tc>
        <w:tc>
          <w:tcPr>
            <w:tcW w:w="6899" w:type="dxa"/>
            <w:tcBorders>
              <w:top w:val="single" w:sz="4" w:space="0" w:color="000000"/>
              <w:left w:val="single" w:sz="4" w:space="0" w:color="000000"/>
              <w:bottom w:val="single" w:sz="4" w:space="0" w:color="000000"/>
              <w:right w:val="single" w:sz="4" w:space="0" w:color="000000"/>
            </w:tcBorders>
          </w:tcPr>
          <w:p w14:paraId="0D0C46D5" w14:textId="77777777" w:rsidR="00955984" w:rsidRPr="001E722E" w:rsidRDefault="00161751">
            <w:pPr>
              <w:rPr>
                <w:rFonts w:ascii="Arial" w:eastAsia="Arial" w:hAnsi="Arial" w:cs="Arial"/>
              </w:rPr>
            </w:pPr>
            <w:r w:rsidRPr="001E722E">
              <w:rPr>
                <w:rFonts w:ascii="Arial" w:eastAsia="Arial" w:hAnsi="Arial" w:cs="Arial"/>
                <w:sz w:val="21"/>
                <w:szCs w:val="21"/>
              </w:rPr>
              <w:t>"screening" OR "early detection" OR "NHS Health Check" OR "risk assessment" OR "prevention"</w:t>
            </w:r>
          </w:p>
        </w:tc>
      </w:tr>
      <w:tr w:rsidR="00955984" w:rsidRPr="001E722E" w14:paraId="64FDEE91" w14:textId="77777777">
        <w:tc>
          <w:tcPr>
            <w:tcW w:w="2600" w:type="dxa"/>
            <w:tcBorders>
              <w:top w:val="single" w:sz="4" w:space="0" w:color="000000"/>
              <w:left w:val="single" w:sz="4" w:space="0" w:color="000000"/>
              <w:bottom w:val="single" w:sz="4" w:space="0" w:color="000000"/>
              <w:right w:val="single" w:sz="4" w:space="0" w:color="000000"/>
            </w:tcBorders>
          </w:tcPr>
          <w:p w14:paraId="20171707" w14:textId="77777777" w:rsidR="00955984" w:rsidRPr="001E722E" w:rsidRDefault="00161751">
            <w:pPr>
              <w:rPr>
                <w:rFonts w:ascii="Arial" w:eastAsia="Arial" w:hAnsi="Arial" w:cs="Arial"/>
              </w:rPr>
            </w:pPr>
            <w:r w:rsidRPr="001E722E">
              <w:rPr>
                <w:rFonts w:ascii="Arial" w:eastAsia="Arial" w:hAnsi="Arial" w:cs="Arial"/>
                <w:sz w:val="21"/>
                <w:szCs w:val="21"/>
              </w:rPr>
              <w:t>Strategy / intervention</w:t>
            </w:r>
          </w:p>
        </w:tc>
        <w:tc>
          <w:tcPr>
            <w:tcW w:w="6899" w:type="dxa"/>
            <w:tcBorders>
              <w:top w:val="single" w:sz="4" w:space="0" w:color="000000"/>
              <w:left w:val="single" w:sz="4" w:space="0" w:color="000000"/>
              <w:bottom w:val="single" w:sz="4" w:space="0" w:color="000000"/>
              <w:right w:val="single" w:sz="4" w:space="0" w:color="000000"/>
            </w:tcBorders>
          </w:tcPr>
          <w:p w14:paraId="30DB37F1" w14:textId="77777777" w:rsidR="00955984" w:rsidRPr="001E722E" w:rsidRDefault="00161751">
            <w:pPr>
              <w:rPr>
                <w:rFonts w:ascii="Arial" w:eastAsia="Arial" w:hAnsi="Arial" w:cs="Arial"/>
              </w:rPr>
            </w:pPr>
            <w:r w:rsidRPr="001E722E">
              <w:rPr>
                <w:rFonts w:ascii="Arial" w:eastAsia="Arial" w:hAnsi="Arial" w:cs="Arial"/>
                <w:sz w:val="21"/>
                <w:szCs w:val="21"/>
              </w:rPr>
              <w:t>"campaign*" OR "intervention*" OR "public health strategy" OR "health promotion" OR "outreach"</w:t>
            </w:r>
          </w:p>
        </w:tc>
      </w:tr>
      <w:tr w:rsidR="00955984" w:rsidRPr="001E722E" w14:paraId="04B91D5E" w14:textId="77777777">
        <w:tc>
          <w:tcPr>
            <w:tcW w:w="2600" w:type="dxa"/>
            <w:tcBorders>
              <w:top w:val="single" w:sz="4" w:space="0" w:color="000000"/>
              <w:left w:val="single" w:sz="4" w:space="0" w:color="000000"/>
              <w:bottom w:val="single" w:sz="4" w:space="0" w:color="000000"/>
              <w:right w:val="single" w:sz="4" w:space="0" w:color="000000"/>
            </w:tcBorders>
          </w:tcPr>
          <w:p w14:paraId="7CB61E98" w14:textId="77777777" w:rsidR="00955984" w:rsidRPr="001E722E" w:rsidRDefault="00161751">
            <w:pPr>
              <w:rPr>
                <w:rFonts w:ascii="Arial" w:eastAsia="Arial" w:hAnsi="Arial" w:cs="Arial"/>
              </w:rPr>
            </w:pPr>
            <w:r w:rsidRPr="001E722E">
              <w:rPr>
                <w:rFonts w:ascii="Arial" w:eastAsia="Arial" w:hAnsi="Arial" w:cs="Arial"/>
                <w:sz w:val="21"/>
                <w:szCs w:val="21"/>
              </w:rPr>
              <w:t>Setting</w:t>
            </w:r>
          </w:p>
        </w:tc>
        <w:tc>
          <w:tcPr>
            <w:tcW w:w="6899" w:type="dxa"/>
            <w:tcBorders>
              <w:top w:val="single" w:sz="4" w:space="0" w:color="000000"/>
              <w:left w:val="single" w:sz="4" w:space="0" w:color="000000"/>
              <w:bottom w:val="single" w:sz="4" w:space="0" w:color="000000"/>
              <w:right w:val="single" w:sz="4" w:space="0" w:color="000000"/>
            </w:tcBorders>
          </w:tcPr>
          <w:p w14:paraId="71C098F7" w14:textId="77777777" w:rsidR="00955984" w:rsidRPr="001E722E" w:rsidRDefault="00161751">
            <w:pPr>
              <w:rPr>
                <w:rFonts w:ascii="Arial" w:eastAsia="Arial" w:hAnsi="Arial" w:cs="Arial"/>
              </w:rPr>
            </w:pPr>
            <w:r w:rsidRPr="001E722E">
              <w:rPr>
                <w:rFonts w:ascii="Arial" w:eastAsia="Arial" w:hAnsi="Arial" w:cs="Arial"/>
                <w:sz w:val="21"/>
                <w:szCs w:val="21"/>
              </w:rPr>
              <w:t>"United Kingdom" OR "UK" OR "England" OR "Scotland" OR "Wales" OR "Northern Ireland" OR "NHS"</w:t>
            </w:r>
          </w:p>
        </w:tc>
      </w:tr>
    </w:tbl>
    <w:p w14:paraId="4CA84656" w14:textId="77777777" w:rsidR="00955984" w:rsidRPr="001E722E" w:rsidRDefault="00161751">
      <w:pPr>
        <w:spacing w:after="200" w:line="360" w:lineRule="auto"/>
        <w:jc w:val="both"/>
        <w:rPr>
          <w:rFonts w:ascii="Arial" w:eastAsia="Arial" w:hAnsi="Arial" w:cs="Arial"/>
        </w:rPr>
      </w:pPr>
      <w:r w:rsidRPr="001E722E">
        <w:rPr>
          <w:rFonts w:ascii="Arial" w:eastAsia="Arial" w:hAnsi="Arial" w:cs="Arial"/>
          <w:sz w:val="24"/>
          <w:szCs w:val="24"/>
        </w:rPr>
        <w:t>The database-specific search strings, the filters applied and the number of records retrieved from each source are reported in Table 3.2, following the format recommended by PRISMA 2020 (Page et al., 2021).</w:t>
      </w:r>
    </w:p>
    <w:p w14:paraId="6E9F2B01" w14:textId="77777777" w:rsidR="00955984" w:rsidRPr="001E722E" w:rsidRDefault="00161751">
      <w:pPr>
        <w:keepNext/>
        <w:spacing w:before="100" w:after="300"/>
        <w:rPr>
          <w:rFonts w:ascii="Arial" w:eastAsia="Arial" w:hAnsi="Arial" w:cs="Arial"/>
          <w:sz w:val="24"/>
          <w:szCs w:val="24"/>
        </w:rPr>
      </w:pPr>
      <w:r w:rsidRPr="001E722E">
        <w:rPr>
          <w:rFonts w:ascii="Arial" w:eastAsia="Arial" w:hAnsi="Arial" w:cs="Arial"/>
          <w:sz w:val="24"/>
          <w:szCs w:val="24"/>
        </w:rPr>
        <w:t>Table 3.2: Database Search Strings, Filters and Records Retrieved</w:t>
      </w:r>
    </w:p>
    <w:tbl>
      <w:tblPr>
        <w:tblStyle w:val="a2"/>
        <w:tblW w:w="9026" w:type="dxa"/>
        <w:tblInd w:w="0" w:type="dxa"/>
        <w:tblLayout w:type="fixed"/>
        <w:tblLook w:val="0400" w:firstRow="0" w:lastRow="0" w:firstColumn="0" w:lastColumn="0" w:noHBand="0" w:noVBand="1"/>
      </w:tblPr>
      <w:tblGrid>
        <w:gridCol w:w="380"/>
        <w:gridCol w:w="1150"/>
        <w:gridCol w:w="4046"/>
        <w:gridCol w:w="1350"/>
        <w:gridCol w:w="1050"/>
        <w:gridCol w:w="1050"/>
      </w:tblGrid>
      <w:tr w:rsidR="00955984" w:rsidRPr="001E722E" w14:paraId="76C19EA1" w14:textId="77777777">
        <w:trPr>
          <w:tblHeader/>
        </w:trPr>
        <w:tc>
          <w:tcPr>
            <w:tcW w:w="380" w:type="dxa"/>
            <w:tcBorders>
              <w:top w:val="single" w:sz="4" w:space="0" w:color="000000"/>
              <w:left w:val="single" w:sz="4" w:space="0" w:color="000000"/>
              <w:bottom w:val="single" w:sz="4" w:space="0" w:color="000000"/>
              <w:right w:val="single" w:sz="4" w:space="0" w:color="000000"/>
            </w:tcBorders>
            <w:shd w:val="clear" w:color="auto" w:fill="1F3864"/>
          </w:tcPr>
          <w:p w14:paraId="6B41B66E" w14:textId="77777777" w:rsidR="00955984" w:rsidRPr="001E722E" w:rsidRDefault="00161751">
            <w:pPr>
              <w:spacing w:before="20" w:after="20"/>
              <w:rPr>
                <w:rFonts w:ascii="Arial" w:eastAsia="Arial" w:hAnsi="Arial" w:cs="Arial"/>
              </w:rPr>
            </w:pPr>
            <w:r w:rsidRPr="001E722E">
              <w:rPr>
                <w:rFonts w:ascii="Arial" w:eastAsia="Arial" w:hAnsi="Arial" w:cs="Arial"/>
                <w:b/>
                <w:bCs/>
                <w:color w:val="FFFFFF"/>
              </w:rPr>
              <w:t>#</w:t>
            </w:r>
          </w:p>
        </w:tc>
        <w:tc>
          <w:tcPr>
            <w:tcW w:w="1150" w:type="dxa"/>
            <w:tcBorders>
              <w:top w:val="single" w:sz="4" w:space="0" w:color="000000"/>
              <w:left w:val="single" w:sz="4" w:space="0" w:color="000000"/>
              <w:bottom w:val="single" w:sz="4" w:space="0" w:color="000000"/>
              <w:right w:val="single" w:sz="4" w:space="0" w:color="000000"/>
            </w:tcBorders>
            <w:shd w:val="clear" w:color="auto" w:fill="1F3864"/>
          </w:tcPr>
          <w:p w14:paraId="5300778C" w14:textId="77777777" w:rsidR="00955984" w:rsidRPr="001E722E" w:rsidRDefault="00161751">
            <w:pPr>
              <w:spacing w:before="20" w:after="20"/>
              <w:rPr>
                <w:rFonts w:ascii="Arial" w:eastAsia="Arial" w:hAnsi="Arial" w:cs="Arial"/>
              </w:rPr>
            </w:pPr>
            <w:r w:rsidRPr="001E722E">
              <w:rPr>
                <w:rFonts w:ascii="Arial" w:eastAsia="Arial" w:hAnsi="Arial" w:cs="Arial"/>
                <w:b/>
                <w:bCs/>
                <w:color w:val="FFFFFF"/>
              </w:rPr>
              <w:t>Database</w:t>
            </w:r>
          </w:p>
        </w:tc>
        <w:tc>
          <w:tcPr>
            <w:tcW w:w="4046" w:type="dxa"/>
            <w:tcBorders>
              <w:top w:val="single" w:sz="4" w:space="0" w:color="000000"/>
              <w:left w:val="single" w:sz="4" w:space="0" w:color="000000"/>
              <w:bottom w:val="single" w:sz="4" w:space="0" w:color="000000"/>
              <w:right w:val="single" w:sz="4" w:space="0" w:color="000000"/>
            </w:tcBorders>
            <w:shd w:val="clear" w:color="auto" w:fill="1F3864"/>
          </w:tcPr>
          <w:p w14:paraId="53F70AC1" w14:textId="77777777" w:rsidR="00955984" w:rsidRPr="001E722E" w:rsidRDefault="00161751">
            <w:pPr>
              <w:spacing w:before="20" w:after="20"/>
              <w:rPr>
                <w:rFonts w:ascii="Arial" w:eastAsia="Arial" w:hAnsi="Arial" w:cs="Arial"/>
              </w:rPr>
            </w:pPr>
            <w:r w:rsidRPr="001E722E">
              <w:rPr>
                <w:rFonts w:ascii="Arial" w:eastAsia="Arial" w:hAnsi="Arial" w:cs="Arial"/>
                <w:b/>
                <w:bCs/>
                <w:color w:val="FFFFFF"/>
              </w:rPr>
              <w:t>Search strategy</w:t>
            </w:r>
          </w:p>
        </w:tc>
        <w:tc>
          <w:tcPr>
            <w:tcW w:w="1350" w:type="dxa"/>
            <w:tcBorders>
              <w:top w:val="single" w:sz="4" w:space="0" w:color="000000"/>
              <w:left w:val="single" w:sz="4" w:space="0" w:color="000000"/>
              <w:bottom w:val="single" w:sz="4" w:space="0" w:color="000000"/>
              <w:right w:val="single" w:sz="4" w:space="0" w:color="000000"/>
            </w:tcBorders>
            <w:shd w:val="clear" w:color="auto" w:fill="1F3864"/>
          </w:tcPr>
          <w:p w14:paraId="4764603C" w14:textId="77777777" w:rsidR="00955984" w:rsidRPr="001E722E" w:rsidRDefault="00161751">
            <w:pPr>
              <w:spacing w:before="20" w:after="20"/>
              <w:rPr>
                <w:rFonts w:ascii="Arial" w:eastAsia="Arial" w:hAnsi="Arial" w:cs="Arial"/>
              </w:rPr>
            </w:pPr>
            <w:r w:rsidRPr="001E722E">
              <w:rPr>
                <w:rFonts w:ascii="Arial" w:eastAsia="Arial" w:hAnsi="Arial" w:cs="Arial"/>
                <w:b/>
                <w:bCs/>
                <w:color w:val="FFFFFF"/>
              </w:rPr>
              <w:t>Filters applied</w:t>
            </w:r>
          </w:p>
        </w:tc>
        <w:tc>
          <w:tcPr>
            <w:tcW w:w="1050" w:type="dxa"/>
            <w:tcBorders>
              <w:top w:val="single" w:sz="4" w:space="0" w:color="000000"/>
              <w:left w:val="single" w:sz="4" w:space="0" w:color="000000"/>
              <w:bottom w:val="single" w:sz="4" w:space="0" w:color="000000"/>
              <w:right w:val="single" w:sz="4" w:space="0" w:color="000000"/>
            </w:tcBorders>
            <w:shd w:val="clear" w:color="auto" w:fill="1F3864"/>
          </w:tcPr>
          <w:p w14:paraId="70CCBAA1" w14:textId="77777777" w:rsidR="00955984" w:rsidRPr="001E722E" w:rsidRDefault="00161751">
            <w:pPr>
              <w:spacing w:before="20" w:after="20"/>
              <w:rPr>
                <w:rFonts w:ascii="Arial" w:eastAsia="Arial" w:hAnsi="Arial" w:cs="Arial"/>
              </w:rPr>
            </w:pPr>
            <w:r w:rsidRPr="001E722E">
              <w:rPr>
                <w:rFonts w:ascii="Arial" w:eastAsia="Arial" w:hAnsi="Arial" w:cs="Arial"/>
                <w:b/>
                <w:bCs/>
                <w:color w:val="FFFFFF"/>
              </w:rPr>
              <w:t>Records identified</w:t>
            </w:r>
          </w:p>
        </w:tc>
        <w:tc>
          <w:tcPr>
            <w:tcW w:w="1050" w:type="dxa"/>
            <w:tcBorders>
              <w:top w:val="single" w:sz="4" w:space="0" w:color="000000"/>
              <w:left w:val="single" w:sz="4" w:space="0" w:color="000000"/>
              <w:bottom w:val="single" w:sz="4" w:space="0" w:color="000000"/>
              <w:right w:val="single" w:sz="4" w:space="0" w:color="000000"/>
            </w:tcBorders>
            <w:shd w:val="clear" w:color="auto" w:fill="1F3864"/>
          </w:tcPr>
          <w:p w14:paraId="7920B4B6" w14:textId="77777777" w:rsidR="00955984" w:rsidRPr="001E722E" w:rsidRDefault="00161751">
            <w:pPr>
              <w:spacing w:before="20" w:after="20"/>
              <w:rPr>
                <w:rFonts w:ascii="Arial" w:eastAsia="Arial" w:hAnsi="Arial" w:cs="Arial"/>
              </w:rPr>
            </w:pPr>
            <w:r w:rsidRPr="001E722E">
              <w:rPr>
                <w:rFonts w:ascii="Arial" w:eastAsia="Arial" w:hAnsi="Arial" w:cs="Arial"/>
                <w:b/>
                <w:bCs/>
                <w:color w:val="FFFFFF"/>
              </w:rPr>
              <w:t>Date searched</w:t>
            </w:r>
          </w:p>
        </w:tc>
      </w:tr>
      <w:tr w:rsidR="00955984" w:rsidRPr="001E722E" w14:paraId="32F0EE8F" w14:textId="77777777">
        <w:trPr>
          <w:cantSplit/>
        </w:trPr>
        <w:tc>
          <w:tcPr>
            <w:tcW w:w="380" w:type="dxa"/>
            <w:tcBorders>
              <w:top w:val="single" w:sz="4" w:space="0" w:color="000000"/>
              <w:left w:val="single" w:sz="4" w:space="0" w:color="000000"/>
              <w:bottom w:val="single" w:sz="4" w:space="0" w:color="000000"/>
              <w:right w:val="single" w:sz="4" w:space="0" w:color="000000"/>
            </w:tcBorders>
          </w:tcPr>
          <w:p w14:paraId="7CEF71B5" w14:textId="77777777" w:rsidR="00955984" w:rsidRPr="001E722E" w:rsidRDefault="00161751">
            <w:pPr>
              <w:spacing w:before="20" w:after="20"/>
              <w:rPr>
                <w:rFonts w:ascii="Arial" w:eastAsia="Arial" w:hAnsi="Arial" w:cs="Arial"/>
              </w:rPr>
            </w:pPr>
            <w:r w:rsidRPr="001E722E">
              <w:rPr>
                <w:rFonts w:ascii="Arial" w:eastAsia="Arial" w:hAnsi="Arial" w:cs="Arial"/>
              </w:rPr>
              <w:lastRenderedPageBreak/>
              <w:t>1</w:t>
            </w:r>
          </w:p>
        </w:tc>
        <w:tc>
          <w:tcPr>
            <w:tcW w:w="1150" w:type="dxa"/>
            <w:tcBorders>
              <w:top w:val="single" w:sz="4" w:space="0" w:color="000000"/>
              <w:left w:val="single" w:sz="4" w:space="0" w:color="000000"/>
              <w:bottom w:val="single" w:sz="4" w:space="0" w:color="000000"/>
              <w:right w:val="single" w:sz="4" w:space="0" w:color="000000"/>
            </w:tcBorders>
          </w:tcPr>
          <w:p w14:paraId="08EA2A43" w14:textId="77777777" w:rsidR="00955984" w:rsidRPr="001E722E" w:rsidRDefault="00161751">
            <w:pPr>
              <w:spacing w:before="20" w:after="20"/>
              <w:rPr>
                <w:rFonts w:ascii="Arial" w:eastAsia="Arial" w:hAnsi="Arial" w:cs="Arial"/>
              </w:rPr>
            </w:pPr>
            <w:r w:rsidRPr="001E722E">
              <w:rPr>
                <w:rFonts w:ascii="Arial" w:eastAsia="Arial" w:hAnsi="Arial" w:cs="Arial"/>
              </w:rPr>
              <w:t>MEDLINE (via PubMed)</w:t>
            </w:r>
          </w:p>
        </w:tc>
        <w:tc>
          <w:tcPr>
            <w:tcW w:w="4046" w:type="dxa"/>
            <w:tcBorders>
              <w:top w:val="single" w:sz="4" w:space="0" w:color="000000"/>
              <w:left w:val="single" w:sz="4" w:space="0" w:color="000000"/>
              <w:bottom w:val="single" w:sz="4" w:space="0" w:color="000000"/>
              <w:right w:val="single" w:sz="4" w:space="0" w:color="000000"/>
            </w:tcBorders>
          </w:tcPr>
          <w:p w14:paraId="1A640969" w14:textId="77777777" w:rsidR="00955984" w:rsidRPr="001E722E" w:rsidRDefault="00161751">
            <w:pPr>
              <w:spacing w:before="20" w:after="20"/>
              <w:rPr>
                <w:rFonts w:ascii="Arial" w:eastAsia="Arial" w:hAnsi="Arial" w:cs="Arial"/>
              </w:rPr>
            </w:pPr>
            <w:r w:rsidRPr="001E722E">
              <w:rPr>
                <w:rFonts w:ascii="Arial" w:eastAsia="Arial" w:hAnsi="Arial" w:cs="Arial"/>
              </w:rPr>
              <w:t>("Coronary Disease"[Mesh] OR "Myocardial Infarction"[Mesh] OR "coronary heart disease"[</w:t>
            </w:r>
            <w:proofErr w:type="spellStart"/>
            <w:r w:rsidRPr="001E722E">
              <w:rPr>
                <w:rFonts w:ascii="Arial" w:eastAsia="Arial" w:hAnsi="Arial" w:cs="Arial"/>
              </w:rPr>
              <w:t>tiab</w:t>
            </w:r>
            <w:proofErr w:type="spellEnd"/>
            <w:r w:rsidRPr="001E722E">
              <w:rPr>
                <w:rFonts w:ascii="Arial" w:eastAsia="Arial" w:hAnsi="Arial" w:cs="Arial"/>
              </w:rPr>
              <w:t>] OR CHD[</w:t>
            </w:r>
            <w:proofErr w:type="spellStart"/>
            <w:r w:rsidRPr="001E722E">
              <w:rPr>
                <w:rFonts w:ascii="Arial" w:eastAsia="Arial" w:hAnsi="Arial" w:cs="Arial"/>
              </w:rPr>
              <w:t>tiab</w:t>
            </w:r>
            <w:proofErr w:type="spellEnd"/>
            <w:r w:rsidRPr="001E722E">
              <w:rPr>
                <w:rFonts w:ascii="Arial" w:eastAsia="Arial" w:hAnsi="Arial" w:cs="Arial"/>
              </w:rPr>
              <w:t>] OR "cardiovascular disease"[</w:t>
            </w:r>
            <w:proofErr w:type="spellStart"/>
            <w:r w:rsidRPr="001E722E">
              <w:rPr>
                <w:rFonts w:ascii="Arial" w:eastAsia="Arial" w:hAnsi="Arial" w:cs="Arial"/>
              </w:rPr>
              <w:t>tiab</w:t>
            </w:r>
            <w:proofErr w:type="spellEnd"/>
            <w:r w:rsidRPr="001E722E">
              <w:rPr>
                <w:rFonts w:ascii="Arial" w:eastAsia="Arial" w:hAnsi="Arial" w:cs="Arial"/>
              </w:rPr>
              <w:t>] OR CVD[</w:t>
            </w:r>
            <w:proofErr w:type="spellStart"/>
            <w:r w:rsidRPr="001E722E">
              <w:rPr>
                <w:rFonts w:ascii="Arial" w:eastAsia="Arial" w:hAnsi="Arial" w:cs="Arial"/>
              </w:rPr>
              <w:t>tiab</w:t>
            </w:r>
            <w:proofErr w:type="spellEnd"/>
            <w:r w:rsidRPr="001E722E">
              <w:rPr>
                <w:rFonts w:ascii="Arial" w:eastAsia="Arial" w:hAnsi="Arial" w:cs="Arial"/>
              </w:rPr>
              <w:t>] OR "ischaemic heart disease"[</w:t>
            </w:r>
            <w:proofErr w:type="spellStart"/>
            <w:r w:rsidRPr="001E722E">
              <w:rPr>
                <w:rFonts w:ascii="Arial" w:eastAsia="Arial" w:hAnsi="Arial" w:cs="Arial"/>
              </w:rPr>
              <w:t>tiab</w:t>
            </w:r>
            <w:proofErr w:type="spellEnd"/>
            <w:r w:rsidRPr="001E722E">
              <w:rPr>
                <w:rFonts w:ascii="Arial" w:eastAsia="Arial" w:hAnsi="Arial" w:cs="Arial"/>
              </w:rPr>
              <w:t>] OR "heart attack"[</w:t>
            </w:r>
            <w:proofErr w:type="spellStart"/>
            <w:r w:rsidRPr="001E722E">
              <w:rPr>
                <w:rFonts w:ascii="Arial" w:eastAsia="Arial" w:hAnsi="Arial" w:cs="Arial"/>
              </w:rPr>
              <w:t>tiab</w:t>
            </w:r>
            <w:proofErr w:type="spellEnd"/>
            <w:r w:rsidRPr="001E722E">
              <w:rPr>
                <w:rFonts w:ascii="Arial" w:eastAsia="Arial" w:hAnsi="Arial" w:cs="Arial"/>
              </w:rPr>
              <w:t>]) AND (awareness[</w:t>
            </w:r>
            <w:proofErr w:type="spellStart"/>
            <w:r w:rsidRPr="001E722E">
              <w:rPr>
                <w:rFonts w:ascii="Arial" w:eastAsia="Arial" w:hAnsi="Arial" w:cs="Arial"/>
              </w:rPr>
              <w:t>tiab</w:t>
            </w:r>
            <w:proofErr w:type="spellEnd"/>
            <w:r w:rsidRPr="001E722E">
              <w:rPr>
                <w:rFonts w:ascii="Arial" w:eastAsia="Arial" w:hAnsi="Arial" w:cs="Arial"/>
              </w:rPr>
              <w:t>] OR knowledge[</w:t>
            </w:r>
            <w:proofErr w:type="spellStart"/>
            <w:r w:rsidRPr="001E722E">
              <w:rPr>
                <w:rFonts w:ascii="Arial" w:eastAsia="Arial" w:hAnsi="Arial" w:cs="Arial"/>
              </w:rPr>
              <w:t>tiab</w:t>
            </w:r>
            <w:proofErr w:type="spellEnd"/>
            <w:r w:rsidRPr="001E722E">
              <w:rPr>
                <w:rFonts w:ascii="Arial" w:eastAsia="Arial" w:hAnsi="Arial" w:cs="Arial"/>
              </w:rPr>
              <w:t>] OR "public understanding"[</w:t>
            </w:r>
            <w:proofErr w:type="spellStart"/>
            <w:r w:rsidRPr="001E722E">
              <w:rPr>
                <w:rFonts w:ascii="Arial" w:eastAsia="Arial" w:hAnsi="Arial" w:cs="Arial"/>
              </w:rPr>
              <w:t>tiab</w:t>
            </w:r>
            <w:proofErr w:type="spellEnd"/>
            <w:r w:rsidRPr="001E722E">
              <w:rPr>
                <w:rFonts w:ascii="Arial" w:eastAsia="Arial" w:hAnsi="Arial" w:cs="Arial"/>
              </w:rPr>
              <w:t>] OR "Health Literacy"[Mesh] OR "health literacy"[</w:t>
            </w:r>
            <w:proofErr w:type="spellStart"/>
            <w:r w:rsidRPr="001E722E">
              <w:rPr>
                <w:rFonts w:ascii="Arial" w:eastAsia="Arial" w:hAnsi="Arial" w:cs="Arial"/>
              </w:rPr>
              <w:t>tiab</w:t>
            </w:r>
            <w:proofErr w:type="spellEnd"/>
            <w:r w:rsidRPr="001E722E">
              <w:rPr>
                <w:rFonts w:ascii="Arial" w:eastAsia="Arial" w:hAnsi="Arial" w:cs="Arial"/>
              </w:rPr>
              <w:t>] OR perception*[</w:t>
            </w:r>
            <w:proofErr w:type="spellStart"/>
            <w:r w:rsidRPr="001E722E">
              <w:rPr>
                <w:rFonts w:ascii="Arial" w:eastAsia="Arial" w:hAnsi="Arial" w:cs="Arial"/>
              </w:rPr>
              <w:t>tiab</w:t>
            </w:r>
            <w:proofErr w:type="spellEnd"/>
            <w:r w:rsidRPr="001E722E">
              <w:rPr>
                <w:rFonts w:ascii="Arial" w:eastAsia="Arial" w:hAnsi="Arial" w:cs="Arial"/>
              </w:rPr>
              <w:t>]) AND ("Mass Screening"[Mesh] OR screening[</w:t>
            </w:r>
            <w:proofErr w:type="spellStart"/>
            <w:r w:rsidRPr="001E722E">
              <w:rPr>
                <w:rFonts w:ascii="Arial" w:eastAsia="Arial" w:hAnsi="Arial" w:cs="Arial"/>
              </w:rPr>
              <w:t>tiab</w:t>
            </w:r>
            <w:proofErr w:type="spellEnd"/>
            <w:r w:rsidRPr="001E722E">
              <w:rPr>
                <w:rFonts w:ascii="Arial" w:eastAsia="Arial" w:hAnsi="Arial" w:cs="Arial"/>
              </w:rPr>
              <w:t>] OR "early detection"[</w:t>
            </w:r>
            <w:proofErr w:type="spellStart"/>
            <w:r w:rsidRPr="001E722E">
              <w:rPr>
                <w:rFonts w:ascii="Arial" w:eastAsia="Arial" w:hAnsi="Arial" w:cs="Arial"/>
              </w:rPr>
              <w:t>tiab</w:t>
            </w:r>
            <w:proofErr w:type="spellEnd"/>
            <w:r w:rsidRPr="001E722E">
              <w:rPr>
                <w:rFonts w:ascii="Arial" w:eastAsia="Arial" w:hAnsi="Arial" w:cs="Arial"/>
              </w:rPr>
              <w:t>] OR "NHS Health Check"[</w:t>
            </w:r>
            <w:proofErr w:type="spellStart"/>
            <w:r w:rsidRPr="001E722E">
              <w:rPr>
                <w:rFonts w:ascii="Arial" w:eastAsia="Arial" w:hAnsi="Arial" w:cs="Arial"/>
              </w:rPr>
              <w:t>tiab</w:t>
            </w:r>
            <w:proofErr w:type="spellEnd"/>
            <w:r w:rsidRPr="001E722E">
              <w:rPr>
                <w:rFonts w:ascii="Arial" w:eastAsia="Arial" w:hAnsi="Arial" w:cs="Arial"/>
              </w:rPr>
              <w:t>] OR "risk assessment"[</w:t>
            </w:r>
            <w:proofErr w:type="spellStart"/>
            <w:r w:rsidRPr="001E722E">
              <w:rPr>
                <w:rFonts w:ascii="Arial" w:eastAsia="Arial" w:hAnsi="Arial" w:cs="Arial"/>
              </w:rPr>
              <w:t>tiab</w:t>
            </w:r>
            <w:proofErr w:type="spellEnd"/>
            <w:r w:rsidRPr="001E722E">
              <w:rPr>
                <w:rFonts w:ascii="Arial" w:eastAsia="Arial" w:hAnsi="Arial" w:cs="Arial"/>
              </w:rPr>
              <w:t>] OR prevention[</w:t>
            </w:r>
            <w:proofErr w:type="spellStart"/>
            <w:r w:rsidRPr="001E722E">
              <w:rPr>
                <w:rFonts w:ascii="Arial" w:eastAsia="Arial" w:hAnsi="Arial" w:cs="Arial"/>
              </w:rPr>
              <w:t>tiab</w:t>
            </w:r>
            <w:proofErr w:type="spellEnd"/>
            <w:r w:rsidRPr="001E722E">
              <w:rPr>
                <w:rFonts w:ascii="Arial" w:eastAsia="Arial" w:hAnsi="Arial" w:cs="Arial"/>
              </w:rPr>
              <w:t>]) AND (campaign*[</w:t>
            </w:r>
            <w:proofErr w:type="spellStart"/>
            <w:r w:rsidRPr="001E722E">
              <w:rPr>
                <w:rFonts w:ascii="Arial" w:eastAsia="Arial" w:hAnsi="Arial" w:cs="Arial"/>
              </w:rPr>
              <w:t>tiab</w:t>
            </w:r>
            <w:proofErr w:type="spellEnd"/>
            <w:r w:rsidRPr="001E722E">
              <w:rPr>
                <w:rFonts w:ascii="Arial" w:eastAsia="Arial" w:hAnsi="Arial" w:cs="Arial"/>
              </w:rPr>
              <w:t>] OR intervention*[</w:t>
            </w:r>
            <w:proofErr w:type="spellStart"/>
            <w:r w:rsidRPr="001E722E">
              <w:rPr>
                <w:rFonts w:ascii="Arial" w:eastAsia="Arial" w:hAnsi="Arial" w:cs="Arial"/>
              </w:rPr>
              <w:t>tiab</w:t>
            </w:r>
            <w:proofErr w:type="spellEnd"/>
            <w:r w:rsidRPr="001E722E">
              <w:rPr>
                <w:rFonts w:ascii="Arial" w:eastAsia="Arial" w:hAnsi="Arial" w:cs="Arial"/>
              </w:rPr>
              <w:t>] OR "Health Promotion"[Mesh] OR "public health strategy"[</w:t>
            </w:r>
            <w:proofErr w:type="spellStart"/>
            <w:r w:rsidRPr="001E722E">
              <w:rPr>
                <w:rFonts w:ascii="Arial" w:eastAsia="Arial" w:hAnsi="Arial" w:cs="Arial"/>
              </w:rPr>
              <w:t>tiab</w:t>
            </w:r>
            <w:proofErr w:type="spellEnd"/>
            <w:r w:rsidRPr="001E722E">
              <w:rPr>
                <w:rFonts w:ascii="Arial" w:eastAsia="Arial" w:hAnsi="Arial" w:cs="Arial"/>
              </w:rPr>
              <w:t>] OR outreach[</w:t>
            </w:r>
            <w:proofErr w:type="spellStart"/>
            <w:r w:rsidRPr="001E722E">
              <w:rPr>
                <w:rFonts w:ascii="Arial" w:eastAsia="Arial" w:hAnsi="Arial" w:cs="Arial"/>
              </w:rPr>
              <w:t>tiab</w:t>
            </w:r>
            <w:proofErr w:type="spellEnd"/>
            <w:r w:rsidRPr="001E722E">
              <w:rPr>
                <w:rFonts w:ascii="Arial" w:eastAsia="Arial" w:hAnsi="Arial" w:cs="Arial"/>
              </w:rPr>
              <w:t>]) AND ("United Kingdom"[Mesh] OR "United Kingdom"[</w:t>
            </w:r>
            <w:proofErr w:type="spellStart"/>
            <w:r w:rsidRPr="001E722E">
              <w:rPr>
                <w:rFonts w:ascii="Arial" w:eastAsia="Arial" w:hAnsi="Arial" w:cs="Arial"/>
              </w:rPr>
              <w:t>tiab</w:t>
            </w:r>
            <w:proofErr w:type="spellEnd"/>
            <w:r w:rsidRPr="001E722E">
              <w:rPr>
                <w:rFonts w:ascii="Arial" w:eastAsia="Arial" w:hAnsi="Arial" w:cs="Arial"/>
              </w:rPr>
              <w:t>] OR UK[</w:t>
            </w:r>
            <w:proofErr w:type="spellStart"/>
            <w:r w:rsidRPr="001E722E">
              <w:rPr>
                <w:rFonts w:ascii="Arial" w:eastAsia="Arial" w:hAnsi="Arial" w:cs="Arial"/>
              </w:rPr>
              <w:t>tiab</w:t>
            </w:r>
            <w:proofErr w:type="spellEnd"/>
            <w:r w:rsidRPr="001E722E">
              <w:rPr>
                <w:rFonts w:ascii="Arial" w:eastAsia="Arial" w:hAnsi="Arial" w:cs="Arial"/>
              </w:rPr>
              <w:t>] OR England[</w:t>
            </w:r>
            <w:proofErr w:type="spellStart"/>
            <w:r w:rsidRPr="001E722E">
              <w:rPr>
                <w:rFonts w:ascii="Arial" w:eastAsia="Arial" w:hAnsi="Arial" w:cs="Arial"/>
              </w:rPr>
              <w:t>tiab</w:t>
            </w:r>
            <w:proofErr w:type="spellEnd"/>
            <w:r w:rsidRPr="001E722E">
              <w:rPr>
                <w:rFonts w:ascii="Arial" w:eastAsia="Arial" w:hAnsi="Arial" w:cs="Arial"/>
              </w:rPr>
              <w:t>] OR Scotland[</w:t>
            </w:r>
            <w:proofErr w:type="spellStart"/>
            <w:r w:rsidRPr="001E722E">
              <w:rPr>
                <w:rFonts w:ascii="Arial" w:eastAsia="Arial" w:hAnsi="Arial" w:cs="Arial"/>
              </w:rPr>
              <w:t>tiab</w:t>
            </w:r>
            <w:proofErr w:type="spellEnd"/>
            <w:r w:rsidRPr="001E722E">
              <w:rPr>
                <w:rFonts w:ascii="Arial" w:eastAsia="Arial" w:hAnsi="Arial" w:cs="Arial"/>
              </w:rPr>
              <w:t>] OR Wales[</w:t>
            </w:r>
            <w:proofErr w:type="spellStart"/>
            <w:r w:rsidRPr="001E722E">
              <w:rPr>
                <w:rFonts w:ascii="Arial" w:eastAsia="Arial" w:hAnsi="Arial" w:cs="Arial"/>
              </w:rPr>
              <w:t>tiab</w:t>
            </w:r>
            <w:proofErr w:type="spellEnd"/>
            <w:r w:rsidRPr="001E722E">
              <w:rPr>
                <w:rFonts w:ascii="Arial" w:eastAsia="Arial" w:hAnsi="Arial" w:cs="Arial"/>
              </w:rPr>
              <w:t>] OR "Northern Ireland"[</w:t>
            </w:r>
            <w:proofErr w:type="spellStart"/>
            <w:r w:rsidRPr="001E722E">
              <w:rPr>
                <w:rFonts w:ascii="Arial" w:eastAsia="Arial" w:hAnsi="Arial" w:cs="Arial"/>
              </w:rPr>
              <w:t>tiab</w:t>
            </w:r>
            <w:proofErr w:type="spellEnd"/>
            <w:r w:rsidRPr="001E722E">
              <w:rPr>
                <w:rFonts w:ascii="Arial" w:eastAsia="Arial" w:hAnsi="Arial" w:cs="Arial"/>
              </w:rPr>
              <w:t>] OR NHS[</w:t>
            </w:r>
            <w:proofErr w:type="spellStart"/>
            <w:r w:rsidRPr="001E722E">
              <w:rPr>
                <w:rFonts w:ascii="Arial" w:eastAsia="Arial" w:hAnsi="Arial" w:cs="Arial"/>
              </w:rPr>
              <w:t>tiab</w:t>
            </w:r>
            <w:proofErr w:type="spellEnd"/>
            <w:r w:rsidRPr="001E722E">
              <w:rPr>
                <w:rFonts w:ascii="Arial" w:eastAsia="Arial" w:hAnsi="Arial" w:cs="Arial"/>
              </w:rPr>
              <w:t>])</w:t>
            </w:r>
          </w:p>
        </w:tc>
        <w:tc>
          <w:tcPr>
            <w:tcW w:w="1350" w:type="dxa"/>
            <w:tcBorders>
              <w:top w:val="single" w:sz="4" w:space="0" w:color="000000"/>
              <w:left w:val="single" w:sz="4" w:space="0" w:color="000000"/>
              <w:bottom w:val="single" w:sz="4" w:space="0" w:color="000000"/>
              <w:right w:val="single" w:sz="4" w:space="0" w:color="000000"/>
            </w:tcBorders>
          </w:tcPr>
          <w:p w14:paraId="0AC9B60C" w14:textId="77777777" w:rsidR="00955984" w:rsidRPr="001E722E" w:rsidRDefault="00161751">
            <w:pPr>
              <w:spacing w:before="20" w:after="20"/>
              <w:rPr>
                <w:rFonts w:ascii="Arial" w:eastAsia="Arial" w:hAnsi="Arial" w:cs="Arial"/>
              </w:rPr>
            </w:pPr>
            <w:r w:rsidRPr="001E722E">
              <w:rPr>
                <w:rFonts w:ascii="Arial" w:eastAsia="Arial" w:hAnsi="Arial" w:cs="Arial"/>
              </w:rPr>
              <w:t>English; published 2010–2026; humans</w:t>
            </w:r>
          </w:p>
        </w:tc>
        <w:tc>
          <w:tcPr>
            <w:tcW w:w="1050" w:type="dxa"/>
            <w:tcBorders>
              <w:top w:val="single" w:sz="4" w:space="0" w:color="000000"/>
              <w:left w:val="single" w:sz="4" w:space="0" w:color="000000"/>
              <w:bottom w:val="single" w:sz="4" w:space="0" w:color="000000"/>
              <w:right w:val="single" w:sz="4" w:space="0" w:color="000000"/>
            </w:tcBorders>
          </w:tcPr>
          <w:p w14:paraId="7759A6F9" w14:textId="77777777" w:rsidR="00955984" w:rsidRPr="001E722E" w:rsidRDefault="00161751">
            <w:pPr>
              <w:spacing w:before="20" w:after="20"/>
              <w:rPr>
                <w:rFonts w:ascii="Arial" w:eastAsia="Arial" w:hAnsi="Arial" w:cs="Arial"/>
              </w:rPr>
            </w:pPr>
            <w:r w:rsidRPr="001E722E">
              <w:rPr>
                <w:rFonts w:ascii="Arial" w:eastAsia="Arial" w:hAnsi="Arial" w:cs="Arial"/>
              </w:rPr>
              <w:t>186</w:t>
            </w:r>
          </w:p>
        </w:tc>
        <w:tc>
          <w:tcPr>
            <w:tcW w:w="1050" w:type="dxa"/>
            <w:tcBorders>
              <w:top w:val="single" w:sz="4" w:space="0" w:color="000000"/>
              <w:left w:val="single" w:sz="4" w:space="0" w:color="000000"/>
              <w:bottom w:val="single" w:sz="4" w:space="0" w:color="000000"/>
              <w:right w:val="single" w:sz="4" w:space="0" w:color="000000"/>
            </w:tcBorders>
          </w:tcPr>
          <w:p w14:paraId="45679CA3" w14:textId="77777777" w:rsidR="00955984" w:rsidRPr="001E722E" w:rsidRDefault="00161751">
            <w:pPr>
              <w:spacing w:before="20" w:after="20"/>
              <w:rPr>
                <w:rFonts w:ascii="Arial" w:eastAsia="Arial" w:hAnsi="Arial" w:cs="Arial"/>
              </w:rPr>
            </w:pPr>
            <w:r w:rsidRPr="001E722E">
              <w:rPr>
                <w:rFonts w:ascii="Arial" w:eastAsia="Arial" w:hAnsi="Arial" w:cs="Arial"/>
              </w:rPr>
              <w:t>15 July 2026</w:t>
            </w:r>
          </w:p>
        </w:tc>
      </w:tr>
      <w:tr w:rsidR="00955984" w:rsidRPr="001E722E" w14:paraId="0E54F1D1" w14:textId="77777777">
        <w:trPr>
          <w:cantSplit/>
        </w:trPr>
        <w:tc>
          <w:tcPr>
            <w:tcW w:w="380" w:type="dxa"/>
            <w:tcBorders>
              <w:top w:val="single" w:sz="4" w:space="0" w:color="000000"/>
              <w:left w:val="single" w:sz="4" w:space="0" w:color="000000"/>
              <w:bottom w:val="single" w:sz="4" w:space="0" w:color="000000"/>
              <w:right w:val="single" w:sz="4" w:space="0" w:color="000000"/>
            </w:tcBorders>
          </w:tcPr>
          <w:p w14:paraId="5FFCB984" w14:textId="77777777" w:rsidR="00955984" w:rsidRPr="001E722E" w:rsidRDefault="00161751">
            <w:pPr>
              <w:spacing w:before="20" w:after="20"/>
              <w:rPr>
                <w:rFonts w:ascii="Arial" w:eastAsia="Arial" w:hAnsi="Arial" w:cs="Arial"/>
              </w:rPr>
            </w:pPr>
            <w:r w:rsidRPr="001E722E">
              <w:rPr>
                <w:rFonts w:ascii="Arial" w:eastAsia="Arial" w:hAnsi="Arial" w:cs="Arial"/>
              </w:rPr>
              <w:t>2</w:t>
            </w:r>
          </w:p>
        </w:tc>
        <w:tc>
          <w:tcPr>
            <w:tcW w:w="1150" w:type="dxa"/>
            <w:tcBorders>
              <w:top w:val="single" w:sz="4" w:space="0" w:color="000000"/>
              <w:left w:val="single" w:sz="4" w:space="0" w:color="000000"/>
              <w:bottom w:val="single" w:sz="4" w:space="0" w:color="000000"/>
              <w:right w:val="single" w:sz="4" w:space="0" w:color="000000"/>
            </w:tcBorders>
          </w:tcPr>
          <w:p w14:paraId="7D65E76C" w14:textId="77777777" w:rsidR="00955984" w:rsidRPr="001E722E" w:rsidRDefault="00161751">
            <w:pPr>
              <w:spacing w:before="20" w:after="20"/>
              <w:rPr>
                <w:rFonts w:ascii="Arial" w:eastAsia="Arial" w:hAnsi="Arial" w:cs="Arial"/>
              </w:rPr>
            </w:pPr>
            <w:r w:rsidRPr="001E722E">
              <w:rPr>
                <w:rFonts w:ascii="Arial" w:eastAsia="Arial" w:hAnsi="Arial" w:cs="Arial"/>
              </w:rPr>
              <w:t>CINAHL (via EBSCOhost)</w:t>
            </w:r>
          </w:p>
        </w:tc>
        <w:tc>
          <w:tcPr>
            <w:tcW w:w="4046" w:type="dxa"/>
            <w:tcBorders>
              <w:top w:val="single" w:sz="4" w:space="0" w:color="000000"/>
              <w:left w:val="single" w:sz="4" w:space="0" w:color="000000"/>
              <w:bottom w:val="single" w:sz="4" w:space="0" w:color="000000"/>
              <w:right w:val="single" w:sz="4" w:space="0" w:color="000000"/>
            </w:tcBorders>
          </w:tcPr>
          <w:p w14:paraId="496C1EB5" w14:textId="77777777" w:rsidR="00955984" w:rsidRPr="001E722E" w:rsidRDefault="00161751">
            <w:pPr>
              <w:spacing w:before="20" w:after="20"/>
              <w:rPr>
                <w:rFonts w:ascii="Arial" w:eastAsia="Arial" w:hAnsi="Arial" w:cs="Arial"/>
              </w:rPr>
            </w:pPr>
            <w:r w:rsidRPr="001E722E">
              <w:rPr>
                <w:rFonts w:ascii="Arial" w:eastAsia="Arial" w:hAnsi="Arial" w:cs="Arial"/>
              </w:rPr>
              <w:t>S1 (MH "Coronary Disease+") OR (MH "Myocardial Infarction") OR TI ("coronary heart disease" OR CHD OR "cardiovascular disease" OR CVD OR "ischaemic heart disease" OR "heart attack") OR AB ("coronary heart disease" OR CHD OR "cardiovascular disease" OR "heart attack")</w:t>
            </w:r>
          </w:p>
          <w:p w14:paraId="53E2E4FD" w14:textId="77777777" w:rsidR="00955984" w:rsidRPr="001E722E" w:rsidRDefault="00161751">
            <w:pPr>
              <w:spacing w:before="20" w:after="20"/>
              <w:rPr>
                <w:rFonts w:ascii="Arial" w:eastAsia="Arial" w:hAnsi="Arial" w:cs="Arial"/>
              </w:rPr>
            </w:pPr>
            <w:r w:rsidRPr="001E722E">
              <w:rPr>
                <w:rFonts w:ascii="Arial" w:eastAsia="Arial" w:hAnsi="Arial" w:cs="Arial"/>
              </w:rPr>
              <w:t>S2 (MH "Health Knowledge") OR (MH "Health Literacy") OR TI (awareness OR knowledge OR perception*) OR AB (awareness OR knowledge OR "public understanding" OR perception*)</w:t>
            </w:r>
          </w:p>
          <w:p w14:paraId="42779294" w14:textId="77777777" w:rsidR="00955984" w:rsidRPr="001E722E" w:rsidRDefault="00161751">
            <w:pPr>
              <w:spacing w:before="20" w:after="20"/>
              <w:rPr>
                <w:rFonts w:ascii="Arial" w:eastAsia="Arial" w:hAnsi="Arial" w:cs="Arial"/>
              </w:rPr>
            </w:pPr>
            <w:r w:rsidRPr="001E722E">
              <w:rPr>
                <w:rFonts w:ascii="Arial" w:eastAsia="Arial" w:hAnsi="Arial" w:cs="Arial"/>
              </w:rPr>
              <w:t>S3 (MH "Health Screening") OR TI (screening OR "early detection" OR "NHS Health Check" OR "risk assessment" OR prevention) OR AB (screening OR "early detection" OR "NHS Health Check" OR "risk assessment")</w:t>
            </w:r>
          </w:p>
          <w:p w14:paraId="003F1B59" w14:textId="77777777" w:rsidR="00955984" w:rsidRPr="001E722E" w:rsidRDefault="00161751">
            <w:pPr>
              <w:spacing w:before="20" w:after="20"/>
              <w:rPr>
                <w:rFonts w:ascii="Arial" w:eastAsia="Arial" w:hAnsi="Arial" w:cs="Arial"/>
              </w:rPr>
            </w:pPr>
            <w:r w:rsidRPr="001E722E">
              <w:rPr>
                <w:rFonts w:ascii="Arial" w:eastAsia="Arial" w:hAnsi="Arial" w:cs="Arial"/>
              </w:rPr>
              <w:t>S4 (MH "Health Promotion") OR TI (campaign* OR intervention* OR outreach) OR AB (campaign* OR intervention* OR "health promotion" OR outreach)</w:t>
            </w:r>
          </w:p>
          <w:p w14:paraId="1008E82C" w14:textId="77777777" w:rsidR="00955984" w:rsidRPr="001E722E" w:rsidRDefault="00161751">
            <w:pPr>
              <w:spacing w:before="20" w:after="20"/>
              <w:rPr>
                <w:rFonts w:ascii="Arial" w:eastAsia="Arial" w:hAnsi="Arial" w:cs="Arial"/>
              </w:rPr>
            </w:pPr>
            <w:r w:rsidRPr="001E722E">
              <w:rPr>
                <w:rFonts w:ascii="Arial" w:eastAsia="Arial" w:hAnsi="Arial" w:cs="Arial"/>
              </w:rPr>
              <w:t>S5 (MH "United Kingdom+") OR TI ("United Kingdom" OR UK OR England OR Scotland OR Wales OR "Northern Ireland" OR NHS) OR AB (UK OR England OR NHS)</w:t>
            </w:r>
          </w:p>
          <w:p w14:paraId="40BF945C" w14:textId="77777777" w:rsidR="00955984" w:rsidRPr="001E722E" w:rsidRDefault="00161751">
            <w:pPr>
              <w:spacing w:before="20" w:after="20"/>
              <w:rPr>
                <w:rFonts w:ascii="Arial" w:eastAsia="Arial" w:hAnsi="Arial" w:cs="Arial"/>
              </w:rPr>
            </w:pPr>
            <w:r w:rsidRPr="001E722E">
              <w:rPr>
                <w:rFonts w:ascii="Arial" w:eastAsia="Arial" w:hAnsi="Arial" w:cs="Arial"/>
              </w:rPr>
              <w:t>S6 S1 AND S2 AND S3 AND S4 AND S5</w:t>
            </w:r>
          </w:p>
        </w:tc>
        <w:tc>
          <w:tcPr>
            <w:tcW w:w="1350" w:type="dxa"/>
            <w:tcBorders>
              <w:top w:val="single" w:sz="4" w:space="0" w:color="000000"/>
              <w:left w:val="single" w:sz="4" w:space="0" w:color="000000"/>
              <w:bottom w:val="single" w:sz="4" w:space="0" w:color="000000"/>
              <w:right w:val="single" w:sz="4" w:space="0" w:color="000000"/>
            </w:tcBorders>
          </w:tcPr>
          <w:p w14:paraId="10AB745C" w14:textId="77777777" w:rsidR="00955984" w:rsidRPr="001E722E" w:rsidRDefault="00161751">
            <w:pPr>
              <w:spacing w:before="20" w:after="20"/>
              <w:rPr>
                <w:rFonts w:ascii="Arial" w:eastAsia="Arial" w:hAnsi="Arial" w:cs="Arial"/>
              </w:rPr>
            </w:pPr>
            <w:r w:rsidRPr="001E722E">
              <w:rPr>
                <w:rFonts w:ascii="Arial" w:eastAsia="Arial" w:hAnsi="Arial" w:cs="Arial"/>
              </w:rPr>
              <w:t>English; published 2010–2026</w:t>
            </w:r>
          </w:p>
        </w:tc>
        <w:tc>
          <w:tcPr>
            <w:tcW w:w="1050" w:type="dxa"/>
            <w:tcBorders>
              <w:top w:val="single" w:sz="4" w:space="0" w:color="000000"/>
              <w:left w:val="single" w:sz="4" w:space="0" w:color="000000"/>
              <w:bottom w:val="single" w:sz="4" w:space="0" w:color="000000"/>
              <w:right w:val="single" w:sz="4" w:space="0" w:color="000000"/>
            </w:tcBorders>
          </w:tcPr>
          <w:p w14:paraId="1C9B986F" w14:textId="77777777" w:rsidR="00955984" w:rsidRPr="001E722E" w:rsidRDefault="00161751">
            <w:pPr>
              <w:spacing w:before="20" w:after="20"/>
              <w:rPr>
                <w:rFonts w:ascii="Arial" w:eastAsia="Arial" w:hAnsi="Arial" w:cs="Arial"/>
              </w:rPr>
            </w:pPr>
            <w:r w:rsidRPr="001E722E">
              <w:rPr>
                <w:rFonts w:ascii="Arial" w:eastAsia="Arial" w:hAnsi="Arial" w:cs="Arial"/>
              </w:rPr>
              <w:t>143</w:t>
            </w:r>
          </w:p>
        </w:tc>
        <w:tc>
          <w:tcPr>
            <w:tcW w:w="1050" w:type="dxa"/>
            <w:tcBorders>
              <w:top w:val="single" w:sz="4" w:space="0" w:color="000000"/>
              <w:left w:val="single" w:sz="4" w:space="0" w:color="000000"/>
              <w:bottom w:val="single" w:sz="4" w:space="0" w:color="000000"/>
              <w:right w:val="single" w:sz="4" w:space="0" w:color="000000"/>
            </w:tcBorders>
          </w:tcPr>
          <w:p w14:paraId="183397D8" w14:textId="77777777" w:rsidR="00955984" w:rsidRPr="001E722E" w:rsidRDefault="00161751">
            <w:pPr>
              <w:spacing w:before="20" w:after="20"/>
              <w:rPr>
                <w:rFonts w:ascii="Arial" w:eastAsia="Arial" w:hAnsi="Arial" w:cs="Arial"/>
              </w:rPr>
            </w:pPr>
            <w:r w:rsidRPr="001E722E">
              <w:rPr>
                <w:rFonts w:ascii="Arial" w:eastAsia="Arial" w:hAnsi="Arial" w:cs="Arial"/>
              </w:rPr>
              <w:t>18 July 2026</w:t>
            </w:r>
          </w:p>
        </w:tc>
      </w:tr>
      <w:tr w:rsidR="00955984" w:rsidRPr="001E722E" w14:paraId="39AB22DA" w14:textId="77777777">
        <w:trPr>
          <w:cantSplit/>
        </w:trPr>
        <w:tc>
          <w:tcPr>
            <w:tcW w:w="380" w:type="dxa"/>
            <w:tcBorders>
              <w:top w:val="single" w:sz="4" w:space="0" w:color="000000"/>
              <w:left w:val="single" w:sz="4" w:space="0" w:color="000000"/>
              <w:bottom w:val="single" w:sz="4" w:space="0" w:color="000000"/>
              <w:right w:val="single" w:sz="4" w:space="0" w:color="000000"/>
            </w:tcBorders>
          </w:tcPr>
          <w:p w14:paraId="6BCDA92D" w14:textId="77777777" w:rsidR="00955984" w:rsidRPr="001E722E" w:rsidRDefault="00161751">
            <w:pPr>
              <w:spacing w:before="20" w:after="20"/>
              <w:rPr>
                <w:rFonts w:ascii="Arial" w:eastAsia="Arial" w:hAnsi="Arial" w:cs="Arial"/>
              </w:rPr>
            </w:pPr>
            <w:r w:rsidRPr="001E722E">
              <w:rPr>
                <w:rFonts w:ascii="Arial" w:eastAsia="Arial" w:hAnsi="Arial" w:cs="Arial"/>
              </w:rPr>
              <w:lastRenderedPageBreak/>
              <w:t>3</w:t>
            </w:r>
          </w:p>
        </w:tc>
        <w:tc>
          <w:tcPr>
            <w:tcW w:w="1150" w:type="dxa"/>
            <w:tcBorders>
              <w:top w:val="single" w:sz="4" w:space="0" w:color="000000"/>
              <w:left w:val="single" w:sz="4" w:space="0" w:color="000000"/>
              <w:bottom w:val="single" w:sz="4" w:space="0" w:color="000000"/>
              <w:right w:val="single" w:sz="4" w:space="0" w:color="000000"/>
            </w:tcBorders>
          </w:tcPr>
          <w:p w14:paraId="4BE023C6" w14:textId="77777777" w:rsidR="00955984" w:rsidRPr="001E722E" w:rsidRDefault="00161751">
            <w:pPr>
              <w:spacing w:before="20" w:after="20"/>
              <w:rPr>
                <w:rFonts w:ascii="Arial" w:eastAsia="Arial" w:hAnsi="Arial" w:cs="Arial"/>
              </w:rPr>
            </w:pPr>
            <w:r w:rsidRPr="001E722E">
              <w:rPr>
                <w:rFonts w:ascii="Arial" w:eastAsia="Arial" w:hAnsi="Arial" w:cs="Arial"/>
              </w:rPr>
              <w:t>Cochrane Library</w:t>
            </w:r>
          </w:p>
        </w:tc>
        <w:tc>
          <w:tcPr>
            <w:tcW w:w="4046" w:type="dxa"/>
            <w:tcBorders>
              <w:top w:val="single" w:sz="4" w:space="0" w:color="000000"/>
              <w:left w:val="single" w:sz="4" w:space="0" w:color="000000"/>
              <w:bottom w:val="single" w:sz="4" w:space="0" w:color="000000"/>
              <w:right w:val="single" w:sz="4" w:space="0" w:color="000000"/>
            </w:tcBorders>
          </w:tcPr>
          <w:p w14:paraId="70C949A7" w14:textId="77777777" w:rsidR="00955984" w:rsidRPr="001E722E" w:rsidRDefault="00161751">
            <w:pPr>
              <w:spacing w:before="20" w:after="20"/>
              <w:rPr>
                <w:rFonts w:ascii="Arial" w:eastAsia="Arial" w:hAnsi="Arial" w:cs="Arial"/>
              </w:rPr>
            </w:pPr>
            <w:r w:rsidRPr="001E722E">
              <w:rPr>
                <w:rFonts w:ascii="Arial" w:eastAsia="Arial" w:hAnsi="Arial" w:cs="Arial"/>
              </w:rPr>
              <w:t xml:space="preserve">#1 </w:t>
            </w:r>
            <w:proofErr w:type="spellStart"/>
            <w:r w:rsidRPr="001E722E">
              <w:rPr>
                <w:rFonts w:ascii="Arial" w:eastAsia="Arial" w:hAnsi="Arial" w:cs="Arial"/>
              </w:rPr>
              <w:t>MeSH</w:t>
            </w:r>
            <w:proofErr w:type="spellEnd"/>
            <w:r w:rsidRPr="001E722E">
              <w:rPr>
                <w:rFonts w:ascii="Arial" w:eastAsia="Arial" w:hAnsi="Arial" w:cs="Arial"/>
              </w:rPr>
              <w:t xml:space="preserve"> descriptor: [Coronary Disease] explode all trees</w:t>
            </w:r>
          </w:p>
          <w:p w14:paraId="751B8CFE" w14:textId="77777777" w:rsidR="00955984" w:rsidRPr="001E722E" w:rsidRDefault="00161751">
            <w:pPr>
              <w:spacing w:before="20" w:after="20"/>
              <w:rPr>
                <w:rFonts w:ascii="Arial" w:eastAsia="Arial" w:hAnsi="Arial" w:cs="Arial"/>
              </w:rPr>
            </w:pPr>
            <w:r w:rsidRPr="001E722E">
              <w:rPr>
                <w:rFonts w:ascii="Arial" w:eastAsia="Arial" w:hAnsi="Arial" w:cs="Arial"/>
              </w:rPr>
              <w:t>#2 ("coronary heart disease" OR CHD OR "cardiovascular disease" OR CVD OR "ischaemic heart disease" OR "heart attack" OR "myocardial infarction"):</w:t>
            </w:r>
            <w:proofErr w:type="spellStart"/>
            <w:r w:rsidRPr="001E722E">
              <w:rPr>
                <w:rFonts w:ascii="Arial" w:eastAsia="Arial" w:hAnsi="Arial" w:cs="Arial"/>
              </w:rPr>
              <w:t>ti,ab,kw</w:t>
            </w:r>
            <w:proofErr w:type="spellEnd"/>
          </w:p>
          <w:p w14:paraId="3CFCD9E5" w14:textId="77777777" w:rsidR="00955984" w:rsidRPr="001E722E" w:rsidRDefault="00161751">
            <w:pPr>
              <w:spacing w:before="20" w:after="20"/>
              <w:rPr>
                <w:rFonts w:ascii="Arial" w:eastAsia="Arial" w:hAnsi="Arial" w:cs="Arial"/>
              </w:rPr>
            </w:pPr>
            <w:r w:rsidRPr="001E722E">
              <w:rPr>
                <w:rFonts w:ascii="Arial" w:eastAsia="Arial" w:hAnsi="Arial" w:cs="Arial"/>
              </w:rPr>
              <w:t>#3 #1 OR #2</w:t>
            </w:r>
          </w:p>
          <w:p w14:paraId="4B3FF624" w14:textId="77777777" w:rsidR="00955984" w:rsidRPr="001E722E" w:rsidRDefault="00161751">
            <w:pPr>
              <w:spacing w:before="20" w:after="20"/>
              <w:rPr>
                <w:rFonts w:ascii="Arial" w:eastAsia="Arial" w:hAnsi="Arial" w:cs="Arial"/>
              </w:rPr>
            </w:pPr>
            <w:r w:rsidRPr="001E722E">
              <w:rPr>
                <w:rFonts w:ascii="Arial" w:eastAsia="Arial" w:hAnsi="Arial" w:cs="Arial"/>
              </w:rPr>
              <w:t>#4 (awareness OR knowledge OR "public understanding" OR "health literacy" OR perception*):</w:t>
            </w:r>
            <w:proofErr w:type="spellStart"/>
            <w:r w:rsidRPr="001E722E">
              <w:rPr>
                <w:rFonts w:ascii="Arial" w:eastAsia="Arial" w:hAnsi="Arial" w:cs="Arial"/>
              </w:rPr>
              <w:t>ti,ab,kw</w:t>
            </w:r>
            <w:proofErr w:type="spellEnd"/>
          </w:p>
          <w:p w14:paraId="6FD295A6" w14:textId="77777777" w:rsidR="00955984" w:rsidRPr="001E722E" w:rsidRDefault="00161751">
            <w:pPr>
              <w:spacing w:before="20" w:after="20"/>
              <w:rPr>
                <w:rFonts w:ascii="Arial" w:eastAsia="Arial" w:hAnsi="Arial" w:cs="Arial"/>
              </w:rPr>
            </w:pPr>
            <w:r w:rsidRPr="001E722E">
              <w:rPr>
                <w:rFonts w:ascii="Arial" w:eastAsia="Arial" w:hAnsi="Arial" w:cs="Arial"/>
              </w:rPr>
              <w:t>#5 (screening OR "early detection" OR "NHS Health Check" OR "risk assessment" OR prevention):</w:t>
            </w:r>
            <w:proofErr w:type="spellStart"/>
            <w:r w:rsidRPr="001E722E">
              <w:rPr>
                <w:rFonts w:ascii="Arial" w:eastAsia="Arial" w:hAnsi="Arial" w:cs="Arial"/>
              </w:rPr>
              <w:t>ti,ab,kw</w:t>
            </w:r>
            <w:proofErr w:type="spellEnd"/>
          </w:p>
          <w:p w14:paraId="7CC3E196" w14:textId="77777777" w:rsidR="00955984" w:rsidRPr="001E722E" w:rsidRDefault="00161751">
            <w:pPr>
              <w:spacing w:before="20" w:after="20"/>
              <w:rPr>
                <w:rFonts w:ascii="Arial" w:eastAsia="Arial" w:hAnsi="Arial" w:cs="Arial"/>
              </w:rPr>
            </w:pPr>
            <w:r w:rsidRPr="001E722E">
              <w:rPr>
                <w:rFonts w:ascii="Arial" w:eastAsia="Arial" w:hAnsi="Arial" w:cs="Arial"/>
              </w:rPr>
              <w:t>#6 (campaign* OR intervention* OR "health promotion" OR "public health strategy" OR outreach):</w:t>
            </w:r>
            <w:proofErr w:type="spellStart"/>
            <w:r w:rsidRPr="001E722E">
              <w:rPr>
                <w:rFonts w:ascii="Arial" w:eastAsia="Arial" w:hAnsi="Arial" w:cs="Arial"/>
              </w:rPr>
              <w:t>ti,ab,kw</w:t>
            </w:r>
            <w:proofErr w:type="spellEnd"/>
          </w:p>
          <w:p w14:paraId="01B22112" w14:textId="77777777" w:rsidR="00955984" w:rsidRPr="001E722E" w:rsidRDefault="00161751">
            <w:pPr>
              <w:spacing w:before="20" w:after="20"/>
              <w:rPr>
                <w:rFonts w:ascii="Arial" w:eastAsia="Arial" w:hAnsi="Arial" w:cs="Arial"/>
              </w:rPr>
            </w:pPr>
            <w:r w:rsidRPr="001E722E">
              <w:rPr>
                <w:rFonts w:ascii="Arial" w:eastAsia="Arial" w:hAnsi="Arial" w:cs="Arial"/>
              </w:rPr>
              <w:t>#7 ("United Kingdom" OR UK OR England OR Scotland OR Wales OR "Northern Ireland" OR NHS):</w:t>
            </w:r>
            <w:proofErr w:type="spellStart"/>
            <w:r w:rsidRPr="001E722E">
              <w:rPr>
                <w:rFonts w:ascii="Arial" w:eastAsia="Arial" w:hAnsi="Arial" w:cs="Arial"/>
              </w:rPr>
              <w:t>ti,ab,kw</w:t>
            </w:r>
            <w:proofErr w:type="spellEnd"/>
          </w:p>
          <w:p w14:paraId="29AB6078" w14:textId="77777777" w:rsidR="00955984" w:rsidRPr="001E722E" w:rsidRDefault="00161751">
            <w:pPr>
              <w:spacing w:before="20" w:after="20"/>
              <w:rPr>
                <w:rFonts w:ascii="Arial" w:eastAsia="Arial" w:hAnsi="Arial" w:cs="Arial"/>
              </w:rPr>
            </w:pPr>
            <w:r w:rsidRPr="001E722E">
              <w:rPr>
                <w:rFonts w:ascii="Arial" w:eastAsia="Arial" w:hAnsi="Arial" w:cs="Arial"/>
              </w:rPr>
              <w:t>#8 #3 AND #4 AND #5 AND #6 AND #7</w:t>
            </w:r>
          </w:p>
        </w:tc>
        <w:tc>
          <w:tcPr>
            <w:tcW w:w="1350" w:type="dxa"/>
            <w:tcBorders>
              <w:top w:val="single" w:sz="4" w:space="0" w:color="000000"/>
              <w:left w:val="single" w:sz="4" w:space="0" w:color="000000"/>
              <w:bottom w:val="single" w:sz="4" w:space="0" w:color="000000"/>
              <w:right w:val="single" w:sz="4" w:space="0" w:color="000000"/>
            </w:tcBorders>
          </w:tcPr>
          <w:p w14:paraId="2EA0A687" w14:textId="77777777" w:rsidR="00955984" w:rsidRPr="001E722E" w:rsidRDefault="00161751">
            <w:pPr>
              <w:spacing w:before="20" w:after="20"/>
              <w:rPr>
                <w:rFonts w:ascii="Arial" w:eastAsia="Arial" w:hAnsi="Arial" w:cs="Arial"/>
              </w:rPr>
            </w:pPr>
            <w:r w:rsidRPr="001E722E">
              <w:rPr>
                <w:rFonts w:ascii="Arial" w:eastAsia="Arial" w:hAnsi="Arial" w:cs="Arial"/>
              </w:rPr>
              <w:t>Custom date range 2010–2026</w:t>
            </w:r>
          </w:p>
        </w:tc>
        <w:tc>
          <w:tcPr>
            <w:tcW w:w="1050" w:type="dxa"/>
            <w:tcBorders>
              <w:top w:val="single" w:sz="4" w:space="0" w:color="000000"/>
              <w:left w:val="single" w:sz="4" w:space="0" w:color="000000"/>
              <w:bottom w:val="single" w:sz="4" w:space="0" w:color="000000"/>
              <w:right w:val="single" w:sz="4" w:space="0" w:color="000000"/>
            </w:tcBorders>
          </w:tcPr>
          <w:p w14:paraId="642145BC" w14:textId="77777777" w:rsidR="00955984" w:rsidRPr="001E722E" w:rsidRDefault="00161751">
            <w:pPr>
              <w:spacing w:before="20" w:after="20"/>
              <w:rPr>
                <w:rFonts w:ascii="Arial" w:eastAsia="Arial" w:hAnsi="Arial" w:cs="Arial"/>
              </w:rPr>
            </w:pPr>
            <w:r w:rsidRPr="001E722E">
              <w:rPr>
                <w:rFonts w:ascii="Arial" w:eastAsia="Arial" w:hAnsi="Arial" w:cs="Arial"/>
              </w:rPr>
              <w:t>41</w:t>
            </w:r>
          </w:p>
        </w:tc>
        <w:tc>
          <w:tcPr>
            <w:tcW w:w="1050" w:type="dxa"/>
            <w:tcBorders>
              <w:top w:val="single" w:sz="4" w:space="0" w:color="000000"/>
              <w:left w:val="single" w:sz="4" w:space="0" w:color="000000"/>
              <w:bottom w:val="single" w:sz="4" w:space="0" w:color="000000"/>
              <w:right w:val="single" w:sz="4" w:space="0" w:color="000000"/>
            </w:tcBorders>
          </w:tcPr>
          <w:p w14:paraId="6B7D1C14" w14:textId="77777777" w:rsidR="00955984" w:rsidRPr="001E722E" w:rsidRDefault="00161751">
            <w:pPr>
              <w:spacing w:before="20" w:after="20"/>
              <w:rPr>
                <w:rFonts w:ascii="Arial" w:eastAsia="Arial" w:hAnsi="Arial" w:cs="Arial"/>
              </w:rPr>
            </w:pPr>
            <w:r w:rsidRPr="001E722E">
              <w:rPr>
                <w:rFonts w:ascii="Arial" w:eastAsia="Arial" w:hAnsi="Arial" w:cs="Arial"/>
              </w:rPr>
              <w:t>20 July 2026</w:t>
            </w:r>
          </w:p>
        </w:tc>
      </w:tr>
      <w:tr w:rsidR="00955984" w:rsidRPr="001E722E" w14:paraId="309BC6D5" w14:textId="77777777">
        <w:trPr>
          <w:cantSplit/>
        </w:trPr>
        <w:tc>
          <w:tcPr>
            <w:tcW w:w="380" w:type="dxa"/>
            <w:tcBorders>
              <w:top w:val="single" w:sz="4" w:space="0" w:color="000000"/>
              <w:left w:val="single" w:sz="4" w:space="0" w:color="000000"/>
              <w:bottom w:val="single" w:sz="4" w:space="0" w:color="000000"/>
              <w:right w:val="single" w:sz="4" w:space="0" w:color="000000"/>
            </w:tcBorders>
          </w:tcPr>
          <w:p w14:paraId="7564DB23" w14:textId="77777777" w:rsidR="00955984" w:rsidRPr="001E722E" w:rsidRDefault="00161751">
            <w:pPr>
              <w:spacing w:before="20" w:after="20"/>
              <w:rPr>
                <w:rFonts w:ascii="Arial" w:eastAsia="Arial" w:hAnsi="Arial" w:cs="Arial"/>
              </w:rPr>
            </w:pPr>
            <w:r w:rsidRPr="001E722E">
              <w:rPr>
                <w:rFonts w:ascii="Arial" w:eastAsia="Arial" w:hAnsi="Arial" w:cs="Arial"/>
              </w:rPr>
              <w:t>4</w:t>
            </w:r>
          </w:p>
        </w:tc>
        <w:tc>
          <w:tcPr>
            <w:tcW w:w="1150" w:type="dxa"/>
            <w:tcBorders>
              <w:top w:val="single" w:sz="4" w:space="0" w:color="000000"/>
              <w:left w:val="single" w:sz="4" w:space="0" w:color="000000"/>
              <w:bottom w:val="single" w:sz="4" w:space="0" w:color="000000"/>
              <w:right w:val="single" w:sz="4" w:space="0" w:color="000000"/>
            </w:tcBorders>
          </w:tcPr>
          <w:p w14:paraId="3937B4AB" w14:textId="77777777" w:rsidR="00955984" w:rsidRPr="001E722E" w:rsidRDefault="00161751">
            <w:pPr>
              <w:spacing w:before="20" w:after="20"/>
              <w:rPr>
                <w:rFonts w:ascii="Arial" w:eastAsia="Arial" w:hAnsi="Arial" w:cs="Arial"/>
              </w:rPr>
            </w:pPr>
            <w:r w:rsidRPr="001E722E">
              <w:rPr>
                <w:rFonts w:ascii="Arial" w:eastAsia="Arial" w:hAnsi="Arial" w:cs="Arial"/>
              </w:rPr>
              <w:t>Other sources</w:t>
            </w:r>
          </w:p>
        </w:tc>
        <w:tc>
          <w:tcPr>
            <w:tcW w:w="4046" w:type="dxa"/>
            <w:tcBorders>
              <w:top w:val="single" w:sz="4" w:space="0" w:color="000000"/>
              <w:left w:val="single" w:sz="4" w:space="0" w:color="000000"/>
              <w:bottom w:val="single" w:sz="4" w:space="0" w:color="000000"/>
              <w:right w:val="single" w:sz="4" w:space="0" w:color="000000"/>
            </w:tcBorders>
          </w:tcPr>
          <w:p w14:paraId="291ACDC7" w14:textId="77777777" w:rsidR="00955984" w:rsidRPr="001E722E" w:rsidRDefault="00161751">
            <w:pPr>
              <w:spacing w:before="20" w:after="20"/>
              <w:rPr>
                <w:rFonts w:ascii="Arial" w:eastAsia="Arial" w:hAnsi="Arial" w:cs="Arial"/>
              </w:rPr>
            </w:pPr>
            <w:r w:rsidRPr="001E722E">
              <w:rPr>
                <w:rFonts w:ascii="Arial" w:eastAsia="Arial" w:hAnsi="Arial" w:cs="Arial"/>
              </w:rPr>
              <w:t>Hand-searching of organisational websites (e.g. British Heart Foundation, NHS England, Institute of Health Equity, Health Innovation Network) and reference lists of included studies, using the same key terms as Table 3.1</w:t>
            </w:r>
          </w:p>
        </w:tc>
        <w:tc>
          <w:tcPr>
            <w:tcW w:w="1350" w:type="dxa"/>
            <w:tcBorders>
              <w:top w:val="single" w:sz="4" w:space="0" w:color="000000"/>
              <w:left w:val="single" w:sz="4" w:space="0" w:color="000000"/>
              <w:bottom w:val="single" w:sz="4" w:space="0" w:color="000000"/>
              <w:right w:val="single" w:sz="4" w:space="0" w:color="000000"/>
            </w:tcBorders>
          </w:tcPr>
          <w:p w14:paraId="045513FA" w14:textId="77777777" w:rsidR="00955984" w:rsidRPr="001E722E" w:rsidRDefault="00161751">
            <w:pPr>
              <w:spacing w:before="20" w:after="20"/>
              <w:rPr>
                <w:rFonts w:ascii="Arial" w:eastAsia="Arial" w:hAnsi="Arial" w:cs="Arial"/>
              </w:rPr>
            </w:pPr>
            <w:r w:rsidRPr="001E722E">
              <w:rPr>
                <w:rFonts w:ascii="Arial" w:eastAsia="Arial" w:hAnsi="Arial" w:cs="Arial"/>
              </w:rPr>
              <w:t>English; published 2010–2026</w:t>
            </w:r>
          </w:p>
        </w:tc>
        <w:tc>
          <w:tcPr>
            <w:tcW w:w="1050" w:type="dxa"/>
            <w:tcBorders>
              <w:top w:val="single" w:sz="4" w:space="0" w:color="000000"/>
              <w:left w:val="single" w:sz="4" w:space="0" w:color="000000"/>
              <w:bottom w:val="single" w:sz="4" w:space="0" w:color="000000"/>
              <w:right w:val="single" w:sz="4" w:space="0" w:color="000000"/>
            </w:tcBorders>
          </w:tcPr>
          <w:p w14:paraId="4EEC18A3" w14:textId="77777777" w:rsidR="00955984" w:rsidRPr="001E722E" w:rsidRDefault="00161751">
            <w:pPr>
              <w:spacing w:before="20" w:after="20"/>
              <w:rPr>
                <w:rFonts w:ascii="Arial" w:eastAsia="Arial" w:hAnsi="Arial" w:cs="Arial"/>
              </w:rPr>
            </w:pPr>
            <w:r w:rsidRPr="001E722E">
              <w:rPr>
                <w:rFonts w:ascii="Arial" w:eastAsia="Arial" w:hAnsi="Arial" w:cs="Arial"/>
              </w:rPr>
              <w:t>18</w:t>
            </w:r>
          </w:p>
        </w:tc>
        <w:tc>
          <w:tcPr>
            <w:tcW w:w="1050" w:type="dxa"/>
            <w:tcBorders>
              <w:top w:val="single" w:sz="4" w:space="0" w:color="000000"/>
              <w:left w:val="single" w:sz="4" w:space="0" w:color="000000"/>
              <w:bottom w:val="single" w:sz="4" w:space="0" w:color="000000"/>
              <w:right w:val="single" w:sz="4" w:space="0" w:color="000000"/>
            </w:tcBorders>
          </w:tcPr>
          <w:p w14:paraId="527A159B" w14:textId="77777777" w:rsidR="00955984" w:rsidRPr="001E722E" w:rsidRDefault="00161751">
            <w:pPr>
              <w:spacing w:before="20" w:after="20"/>
              <w:rPr>
                <w:rFonts w:ascii="Arial" w:eastAsia="Arial" w:hAnsi="Arial" w:cs="Arial"/>
              </w:rPr>
            </w:pPr>
            <w:r w:rsidRPr="001E722E">
              <w:rPr>
                <w:rFonts w:ascii="Arial" w:eastAsia="Arial" w:hAnsi="Arial" w:cs="Arial"/>
              </w:rPr>
              <w:t>22 July 2026</w:t>
            </w:r>
          </w:p>
        </w:tc>
      </w:tr>
    </w:tbl>
    <w:p w14:paraId="6327A5F4" w14:textId="77777777" w:rsidR="00955984" w:rsidRPr="001E722E" w:rsidRDefault="00161751">
      <w:pPr>
        <w:spacing w:before="120" w:after="200" w:line="360" w:lineRule="auto"/>
        <w:jc w:val="center"/>
      </w:pPr>
      <w:bookmarkStart w:id="39" w:name="_hzgbloruv4dd" w:colFirst="0" w:colLast="0"/>
      <w:bookmarkEnd w:id="39"/>
      <w:r w:rsidRPr="001E722E">
        <w:rPr>
          <w:rFonts w:ascii="Arial" w:eastAsia="Arial" w:hAnsi="Arial" w:cs="Arial"/>
        </w:rPr>
        <w:t>Total records identified: n = 388 (databases n = 370; other sources n = 18).</w:t>
      </w:r>
    </w:p>
    <w:p w14:paraId="031673E9" w14:textId="77777777" w:rsidR="00955984" w:rsidRPr="001E722E" w:rsidRDefault="00161751">
      <w:pPr>
        <w:pStyle w:val="Heading2"/>
      </w:pPr>
      <w:bookmarkStart w:id="40" w:name="_w33nfagrw8nr" w:colFirst="0" w:colLast="0"/>
      <w:bookmarkEnd w:id="40"/>
      <w:r w:rsidRPr="001E722E">
        <w:t>3.5 Inclusion and Exclusion Criteria</w:t>
      </w:r>
    </w:p>
    <w:p w14:paraId="0F696533" w14:textId="77777777" w:rsidR="00955984" w:rsidRPr="001E722E" w:rsidRDefault="00161751">
      <w:pPr>
        <w:spacing w:after="200" w:line="360" w:lineRule="auto"/>
        <w:jc w:val="both"/>
        <w:rPr>
          <w:rFonts w:ascii="Arial" w:eastAsia="Arial" w:hAnsi="Arial" w:cs="Arial"/>
        </w:rPr>
      </w:pPr>
      <w:r w:rsidRPr="001E722E">
        <w:rPr>
          <w:rFonts w:ascii="Arial" w:eastAsia="Arial" w:hAnsi="Arial" w:cs="Arial"/>
          <w:sz w:val="24"/>
          <w:szCs w:val="24"/>
        </w:rPr>
        <w:t>The inclusion and exclusion criteria were clearly stated at both the title/abstract and final stages of the search, to ensure the review was focused and relevant to the research question. The following criteria were used, and summarised in Table 3.3, to identify only those studies which focused on awareness, screening or prevention strategies for CHD in adults and were targeted towards the UK population for consideration in the review.</w:t>
      </w:r>
    </w:p>
    <w:p w14:paraId="595C07CE" w14:textId="77777777" w:rsidR="00955984" w:rsidRPr="001E722E" w:rsidRDefault="00161751">
      <w:pPr>
        <w:spacing w:before="100" w:after="300"/>
        <w:rPr>
          <w:rFonts w:ascii="Arial" w:eastAsia="Arial" w:hAnsi="Arial" w:cs="Arial"/>
          <w:sz w:val="24"/>
          <w:szCs w:val="24"/>
        </w:rPr>
      </w:pPr>
      <w:bookmarkStart w:id="41" w:name="_dwyu76pa7jhj" w:colFirst="0" w:colLast="0"/>
      <w:bookmarkEnd w:id="41"/>
      <w:r w:rsidRPr="001E722E">
        <w:rPr>
          <w:rFonts w:ascii="Arial" w:eastAsia="Arial" w:hAnsi="Arial" w:cs="Arial"/>
          <w:sz w:val="24"/>
          <w:szCs w:val="24"/>
        </w:rPr>
        <w:t>Table 3.3: Inclusion and Exclusion Criteria</w:t>
      </w:r>
    </w:p>
    <w:tbl>
      <w:tblPr>
        <w:tblStyle w:val="a3"/>
        <w:tblW w:w="9990" w:type="dxa"/>
        <w:tblInd w:w="-365" w:type="dxa"/>
        <w:tblLayout w:type="fixed"/>
        <w:tblLook w:val="0400" w:firstRow="0" w:lastRow="0" w:firstColumn="0" w:lastColumn="0" w:noHBand="0" w:noVBand="1"/>
      </w:tblPr>
      <w:tblGrid>
        <w:gridCol w:w="4944"/>
        <w:gridCol w:w="5046"/>
      </w:tblGrid>
      <w:tr w:rsidR="00955984" w:rsidRPr="001E722E" w14:paraId="7D8129CE" w14:textId="77777777">
        <w:tc>
          <w:tcPr>
            <w:tcW w:w="4944" w:type="dxa"/>
            <w:tcBorders>
              <w:top w:val="single" w:sz="4" w:space="0" w:color="000000"/>
              <w:left w:val="single" w:sz="4" w:space="0" w:color="000000"/>
              <w:bottom w:val="single" w:sz="4" w:space="0" w:color="000000"/>
              <w:right w:val="single" w:sz="4" w:space="0" w:color="000000"/>
            </w:tcBorders>
            <w:shd w:val="clear" w:color="auto" w:fill="1F3864"/>
          </w:tcPr>
          <w:p w14:paraId="3AA4561C" w14:textId="77777777" w:rsidR="00955984" w:rsidRPr="001E722E" w:rsidRDefault="00161751">
            <w:pPr>
              <w:rPr>
                <w:rFonts w:ascii="Arial" w:eastAsia="Arial" w:hAnsi="Arial" w:cs="Arial"/>
              </w:rPr>
            </w:pPr>
            <w:r w:rsidRPr="001E722E">
              <w:rPr>
                <w:rFonts w:ascii="Arial" w:eastAsia="Arial" w:hAnsi="Arial" w:cs="Arial"/>
                <w:b/>
                <w:bCs/>
                <w:sz w:val="21"/>
                <w:szCs w:val="21"/>
              </w:rPr>
              <w:t>Inclusion criteria</w:t>
            </w:r>
          </w:p>
        </w:tc>
        <w:tc>
          <w:tcPr>
            <w:tcW w:w="5046" w:type="dxa"/>
            <w:tcBorders>
              <w:top w:val="single" w:sz="4" w:space="0" w:color="000000"/>
              <w:left w:val="single" w:sz="4" w:space="0" w:color="000000"/>
              <w:bottom w:val="single" w:sz="4" w:space="0" w:color="000000"/>
              <w:right w:val="single" w:sz="4" w:space="0" w:color="000000"/>
            </w:tcBorders>
            <w:shd w:val="clear" w:color="auto" w:fill="1F3864"/>
          </w:tcPr>
          <w:p w14:paraId="4D8835B4" w14:textId="77777777" w:rsidR="00955984" w:rsidRPr="001E722E" w:rsidRDefault="00161751">
            <w:pPr>
              <w:rPr>
                <w:rFonts w:ascii="Arial" w:eastAsia="Arial" w:hAnsi="Arial" w:cs="Arial"/>
              </w:rPr>
            </w:pPr>
            <w:r w:rsidRPr="001E722E">
              <w:rPr>
                <w:rFonts w:ascii="Arial" w:eastAsia="Arial" w:hAnsi="Arial" w:cs="Arial"/>
                <w:b/>
                <w:bCs/>
                <w:sz w:val="21"/>
                <w:szCs w:val="21"/>
              </w:rPr>
              <w:t>Exclusion criteria</w:t>
            </w:r>
          </w:p>
        </w:tc>
      </w:tr>
      <w:tr w:rsidR="00955984" w:rsidRPr="001E722E" w14:paraId="4801B2E4" w14:textId="77777777">
        <w:tc>
          <w:tcPr>
            <w:tcW w:w="4944" w:type="dxa"/>
            <w:tcBorders>
              <w:top w:val="single" w:sz="4" w:space="0" w:color="000000"/>
              <w:left w:val="single" w:sz="4" w:space="0" w:color="000000"/>
              <w:bottom w:val="single" w:sz="4" w:space="0" w:color="000000"/>
              <w:right w:val="single" w:sz="4" w:space="0" w:color="000000"/>
            </w:tcBorders>
          </w:tcPr>
          <w:p w14:paraId="5F2DC7DC" w14:textId="77777777" w:rsidR="00955984" w:rsidRPr="001E722E" w:rsidRDefault="00161751">
            <w:pPr>
              <w:rPr>
                <w:rFonts w:ascii="Arial" w:eastAsia="Arial" w:hAnsi="Arial" w:cs="Arial"/>
              </w:rPr>
            </w:pPr>
            <w:r w:rsidRPr="001E722E">
              <w:rPr>
                <w:rFonts w:ascii="Arial" w:eastAsia="Arial" w:hAnsi="Arial" w:cs="Arial"/>
                <w:sz w:val="21"/>
                <w:szCs w:val="21"/>
              </w:rPr>
              <w:t>Studies conducted in the United Kingdom (England, Scotland, Wales or Northern Ireland)</w:t>
            </w:r>
          </w:p>
        </w:tc>
        <w:tc>
          <w:tcPr>
            <w:tcW w:w="5046" w:type="dxa"/>
            <w:tcBorders>
              <w:top w:val="single" w:sz="4" w:space="0" w:color="000000"/>
              <w:left w:val="single" w:sz="4" w:space="0" w:color="000000"/>
              <w:bottom w:val="single" w:sz="4" w:space="0" w:color="000000"/>
              <w:right w:val="single" w:sz="4" w:space="0" w:color="000000"/>
            </w:tcBorders>
          </w:tcPr>
          <w:p w14:paraId="7A591EDB" w14:textId="77777777" w:rsidR="00955984" w:rsidRPr="001E722E" w:rsidRDefault="00161751">
            <w:pPr>
              <w:rPr>
                <w:rFonts w:ascii="Arial" w:eastAsia="Arial" w:hAnsi="Arial" w:cs="Arial"/>
              </w:rPr>
            </w:pPr>
            <w:r w:rsidRPr="001E722E">
              <w:rPr>
                <w:rFonts w:ascii="Arial" w:eastAsia="Arial" w:hAnsi="Arial" w:cs="Arial"/>
                <w:sz w:val="21"/>
                <w:szCs w:val="21"/>
              </w:rPr>
              <w:t>Studies conducted entirely outside the UK with no UK-relevant data</w:t>
            </w:r>
          </w:p>
        </w:tc>
      </w:tr>
      <w:tr w:rsidR="00955984" w:rsidRPr="001E722E" w14:paraId="35ABA103" w14:textId="77777777">
        <w:tc>
          <w:tcPr>
            <w:tcW w:w="4944" w:type="dxa"/>
            <w:tcBorders>
              <w:top w:val="single" w:sz="4" w:space="0" w:color="000000"/>
              <w:left w:val="single" w:sz="4" w:space="0" w:color="000000"/>
              <w:bottom w:val="single" w:sz="4" w:space="0" w:color="000000"/>
              <w:right w:val="single" w:sz="4" w:space="0" w:color="000000"/>
            </w:tcBorders>
          </w:tcPr>
          <w:p w14:paraId="0438AE12" w14:textId="77777777" w:rsidR="00955984" w:rsidRPr="001E722E" w:rsidRDefault="00161751">
            <w:pPr>
              <w:rPr>
                <w:rFonts w:ascii="Arial" w:eastAsia="Arial" w:hAnsi="Arial" w:cs="Arial"/>
              </w:rPr>
            </w:pPr>
            <w:r w:rsidRPr="001E722E">
              <w:rPr>
                <w:rFonts w:ascii="Arial" w:eastAsia="Arial" w:hAnsi="Arial" w:cs="Arial"/>
                <w:sz w:val="21"/>
                <w:szCs w:val="21"/>
              </w:rPr>
              <w:t>Focus on adult populations (18+) and coronary heart disease or closely related cardiovascular disease</w:t>
            </w:r>
          </w:p>
        </w:tc>
        <w:tc>
          <w:tcPr>
            <w:tcW w:w="5046" w:type="dxa"/>
            <w:tcBorders>
              <w:top w:val="single" w:sz="4" w:space="0" w:color="000000"/>
              <w:left w:val="single" w:sz="4" w:space="0" w:color="000000"/>
              <w:bottom w:val="single" w:sz="4" w:space="0" w:color="000000"/>
              <w:right w:val="single" w:sz="4" w:space="0" w:color="000000"/>
            </w:tcBorders>
          </w:tcPr>
          <w:p w14:paraId="0D7AA8D5" w14:textId="77777777" w:rsidR="00955984" w:rsidRPr="001E722E" w:rsidRDefault="00161751">
            <w:pPr>
              <w:rPr>
                <w:rFonts w:ascii="Arial" w:eastAsia="Arial" w:hAnsi="Arial" w:cs="Arial"/>
              </w:rPr>
            </w:pPr>
            <w:r w:rsidRPr="001E722E">
              <w:rPr>
                <w:rFonts w:ascii="Arial" w:eastAsia="Arial" w:hAnsi="Arial" w:cs="Arial"/>
                <w:sz w:val="21"/>
                <w:szCs w:val="21"/>
              </w:rPr>
              <w:t>Studies focused only on paediatric or congenital heart conditions</w:t>
            </w:r>
          </w:p>
        </w:tc>
      </w:tr>
      <w:tr w:rsidR="00955984" w:rsidRPr="001E722E" w14:paraId="46232610" w14:textId="77777777">
        <w:tc>
          <w:tcPr>
            <w:tcW w:w="4944" w:type="dxa"/>
            <w:tcBorders>
              <w:top w:val="single" w:sz="4" w:space="0" w:color="000000"/>
              <w:left w:val="single" w:sz="4" w:space="0" w:color="000000"/>
              <w:bottom w:val="single" w:sz="4" w:space="0" w:color="000000"/>
              <w:right w:val="single" w:sz="4" w:space="0" w:color="000000"/>
            </w:tcBorders>
          </w:tcPr>
          <w:p w14:paraId="144CBB52" w14:textId="77777777" w:rsidR="00955984" w:rsidRPr="001E722E" w:rsidRDefault="00161751">
            <w:pPr>
              <w:rPr>
                <w:rFonts w:ascii="Arial" w:eastAsia="Arial" w:hAnsi="Arial" w:cs="Arial"/>
              </w:rPr>
            </w:pPr>
            <w:r w:rsidRPr="001E722E">
              <w:rPr>
                <w:rFonts w:ascii="Arial" w:eastAsia="Arial" w:hAnsi="Arial" w:cs="Arial"/>
                <w:sz w:val="21"/>
                <w:szCs w:val="21"/>
              </w:rPr>
              <w:t xml:space="preserve">Addresses awareness, screening uptake, barriers, </w:t>
            </w:r>
            <w:r w:rsidRPr="001E722E">
              <w:rPr>
                <w:rFonts w:ascii="Arial" w:eastAsia="Arial" w:hAnsi="Arial" w:cs="Arial"/>
                <w:sz w:val="21"/>
                <w:szCs w:val="21"/>
              </w:rPr>
              <w:lastRenderedPageBreak/>
              <w:t>or prevention campaigns/strategies</w:t>
            </w:r>
          </w:p>
        </w:tc>
        <w:tc>
          <w:tcPr>
            <w:tcW w:w="5046" w:type="dxa"/>
            <w:tcBorders>
              <w:top w:val="single" w:sz="4" w:space="0" w:color="000000"/>
              <w:left w:val="single" w:sz="4" w:space="0" w:color="000000"/>
              <w:bottom w:val="single" w:sz="4" w:space="0" w:color="000000"/>
              <w:right w:val="single" w:sz="4" w:space="0" w:color="000000"/>
            </w:tcBorders>
          </w:tcPr>
          <w:p w14:paraId="5EBAFA5A" w14:textId="77777777" w:rsidR="00955984" w:rsidRPr="001E722E" w:rsidRDefault="00161751">
            <w:pPr>
              <w:rPr>
                <w:rFonts w:ascii="Arial" w:eastAsia="Arial" w:hAnsi="Arial" w:cs="Arial"/>
              </w:rPr>
            </w:pPr>
            <w:r w:rsidRPr="001E722E">
              <w:rPr>
                <w:rFonts w:ascii="Arial" w:eastAsia="Arial" w:hAnsi="Arial" w:cs="Arial"/>
                <w:sz w:val="21"/>
                <w:szCs w:val="21"/>
              </w:rPr>
              <w:lastRenderedPageBreak/>
              <w:t xml:space="preserve">Studies focused purely on clinical treatment or </w:t>
            </w:r>
            <w:r w:rsidRPr="001E722E">
              <w:rPr>
                <w:rFonts w:ascii="Arial" w:eastAsia="Arial" w:hAnsi="Arial" w:cs="Arial"/>
                <w:sz w:val="21"/>
                <w:szCs w:val="21"/>
              </w:rPr>
              <w:lastRenderedPageBreak/>
              <w:t>surgical management, with no prevention/awareness angle</w:t>
            </w:r>
          </w:p>
        </w:tc>
      </w:tr>
      <w:tr w:rsidR="00955984" w:rsidRPr="001E722E" w14:paraId="149CB796" w14:textId="77777777">
        <w:tc>
          <w:tcPr>
            <w:tcW w:w="4944" w:type="dxa"/>
            <w:tcBorders>
              <w:top w:val="single" w:sz="4" w:space="0" w:color="000000"/>
              <w:left w:val="single" w:sz="4" w:space="0" w:color="000000"/>
              <w:bottom w:val="single" w:sz="4" w:space="0" w:color="000000"/>
              <w:right w:val="single" w:sz="4" w:space="0" w:color="000000"/>
            </w:tcBorders>
          </w:tcPr>
          <w:p w14:paraId="4D7805B5" w14:textId="77777777" w:rsidR="00955984" w:rsidRPr="001E722E" w:rsidRDefault="00161751">
            <w:pPr>
              <w:rPr>
                <w:rFonts w:ascii="Arial" w:eastAsia="Arial" w:hAnsi="Arial" w:cs="Arial"/>
              </w:rPr>
            </w:pPr>
            <w:r w:rsidRPr="001E722E">
              <w:rPr>
                <w:rFonts w:ascii="Arial" w:eastAsia="Arial" w:hAnsi="Arial" w:cs="Arial"/>
                <w:sz w:val="21"/>
                <w:szCs w:val="21"/>
              </w:rPr>
              <w:lastRenderedPageBreak/>
              <w:t>Peer-reviewed journal articles, government/NHS reports, and systematic reviews</w:t>
            </w:r>
          </w:p>
        </w:tc>
        <w:tc>
          <w:tcPr>
            <w:tcW w:w="5046" w:type="dxa"/>
            <w:tcBorders>
              <w:top w:val="single" w:sz="4" w:space="0" w:color="000000"/>
              <w:left w:val="single" w:sz="4" w:space="0" w:color="000000"/>
              <w:bottom w:val="single" w:sz="4" w:space="0" w:color="000000"/>
              <w:right w:val="single" w:sz="4" w:space="0" w:color="000000"/>
            </w:tcBorders>
          </w:tcPr>
          <w:p w14:paraId="107FDF0D" w14:textId="77777777" w:rsidR="00955984" w:rsidRPr="001E722E" w:rsidRDefault="00161751">
            <w:pPr>
              <w:rPr>
                <w:rFonts w:ascii="Arial" w:eastAsia="Arial" w:hAnsi="Arial" w:cs="Arial"/>
              </w:rPr>
            </w:pPr>
            <w:r w:rsidRPr="001E722E">
              <w:rPr>
                <w:rFonts w:ascii="Arial" w:eastAsia="Arial" w:hAnsi="Arial" w:cs="Arial"/>
                <w:sz w:val="21"/>
                <w:szCs w:val="21"/>
              </w:rPr>
              <w:t>Opinion pieces, editorials, and non-peer-reviewed blogs or news articles</w:t>
            </w:r>
          </w:p>
        </w:tc>
      </w:tr>
      <w:tr w:rsidR="00955984" w:rsidRPr="001E722E" w14:paraId="73B18886" w14:textId="77777777">
        <w:tc>
          <w:tcPr>
            <w:tcW w:w="4944" w:type="dxa"/>
            <w:tcBorders>
              <w:top w:val="single" w:sz="4" w:space="0" w:color="000000"/>
              <w:left w:val="single" w:sz="4" w:space="0" w:color="000000"/>
              <w:bottom w:val="single" w:sz="4" w:space="0" w:color="000000"/>
              <w:right w:val="single" w:sz="4" w:space="0" w:color="000000"/>
            </w:tcBorders>
          </w:tcPr>
          <w:p w14:paraId="5B3BC25E" w14:textId="77777777" w:rsidR="00955984" w:rsidRPr="001E722E" w:rsidRDefault="00161751">
            <w:pPr>
              <w:rPr>
                <w:rFonts w:ascii="Arial" w:eastAsia="Arial" w:hAnsi="Arial" w:cs="Arial"/>
              </w:rPr>
            </w:pPr>
            <w:r w:rsidRPr="001E722E">
              <w:rPr>
                <w:rFonts w:ascii="Arial" w:eastAsia="Arial" w:hAnsi="Arial" w:cs="Arial"/>
                <w:sz w:val="21"/>
                <w:szCs w:val="21"/>
              </w:rPr>
              <w:t>Published in English, 2010 to 2026, to reflect the NHS Health Check era (one exception, explained below)</w:t>
            </w:r>
          </w:p>
        </w:tc>
        <w:tc>
          <w:tcPr>
            <w:tcW w:w="5046" w:type="dxa"/>
            <w:tcBorders>
              <w:top w:val="single" w:sz="4" w:space="0" w:color="000000"/>
              <w:left w:val="single" w:sz="4" w:space="0" w:color="000000"/>
              <w:bottom w:val="single" w:sz="4" w:space="0" w:color="000000"/>
              <w:right w:val="single" w:sz="4" w:space="0" w:color="000000"/>
            </w:tcBorders>
          </w:tcPr>
          <w:p w14:paraId="1E9C77ED" w14:textId="77777777" w:rsidR="00955984" w:rsidRPr="001E722E" w:rsidRDefault="00161751">
            <w:pPr>
              <w:rPr>
                <w:rFonts w:ascii="Arial" w:eastAsia="Arial" w:hAnsi="Arial" w:cs="Arial"/>
              </w:rPr>
            </w:pPr>
            <w:r w:rsidRPr="001E722E">
              <w:rPr>
                <w:rFonts w:ascii="Arial" w:eastAsia="Arial" w:hAnsi="Arial" w:cs="Arial"/>
                <w:sz w:val="21"/>
                <w:szCs w:val="21"/>
              </w:rPr>
              <w:t>Published before 2010 or not available in English</w:t>
            </w:r>
          </w:p>
        </w:tc>
      </w:tr>
      <w:tr w:rsidR="00955984" w:rsidRPr="001E722E" w14:paraId="53AAFBD4" w14:textId="77777777">
        <w:tc>
          <w:tcPr>
            <w:tcW w:w="4944" w:type="dxa"/>
            <w:tcBorders>
              <w:top w:val="single" w:sz="4" w:space="0" w:color="000000"/>
              <w:left w:val="single" w:sz="4" w:space="0" w:color="000000"/>
              <w:bottom w:val="single" w:sz="4" w:space="0" w:color="000000"/>
              <w:right w:val="single" w:sz="4" w:space="0" w:color="000000"/>
            </w:tcBorders>
          </w:tcPr>
          <w:p w14:paraId="7CCF7D2E" w14:textId="77777777" w:rsidR="00955984" w:rsidRPr="001E722E" w:rsidRDefault="00161751">
            <w:pPr>
              <w:rPr>
                <w:rFonts w:ascii="Arial" w:eastAsia="Arial" w:hAnsi="Arial" w:cs="Arial"/>
              </w:rPr>
            </w:pPr>
            <w:r w:rsidRPr="001E722E">
              <w:rPr>
                <w:rFonts w:ascii="Arial" w:eastAsia="Arial" w:hAnsi="Arial" w:cs="Arial"/>
                <w:sz w:val="21"/>
                <w:szCs w:val="21"/>
              </w:rPr>
              <w:t>Full text available</w:t>
            </w:r>
          </w:p>
        </w:tc>
        <w:tc>
          <w:tcPr>
            <w:tcW w:w="5046" w:type="dxa"/>
            <w:tcBorders>
              <w:top w:val="single" w:sz="4" w:space="0" w:color="000000"/>
              <w:left w:val="single" w:sz="4" w:space="0" w:color="000000"/>
              <w:bottom w:val="single" w:sz="4" w:space="0" w:color="000000"/>
              <w:right w:val="single" w:sz="4" w:space="0" w:color="000000"/>
            </w:tcBorders>
          </w:tcPr>
          <w:p w14:paraId="3F023B55" w14:textId="77777777" w:rsidR="00955984" w:rsidRPr="001E722E" w:rsidRDefault="00161751">
            <w:pPr>
              <w:rPr>
                <w:rFonts w:ascii="Arial" w:eastAsia="Arial" w:hAnsi="Arial" w:cs="Arial"/>
              </w:rPr>
            </w:pPr>
            <w:r w:rsidRPr="001E722E">
              <w:rPr>
                <w:rFonts w:ascii="Arial" w:eastAsia="Arial" w:hAnsi="Arial" w:cs="Arial"/>
                <w:sz w:val="21"/>
                <w:szCs w:val="21"/>
              </w:rPr>
              <w:t>Full text not accessible through institutional or open-access routes</w:t>
            </w:r>
          </w:p>
        </w:tc>
      </w:tr>
    </w:tbl>
    <w:p w14:paraId="618BC696" w14:textId="77777777" w:rsidR="00955984" w:rsidRPr="001E722E" w:rsidRDefault="00161751">
      <w:pPr>
        <w:spacing w:before="240" w:after="200" w:line="360" w:lineRule="auto"/>
        <w:jc w:val="both"/>
      </w:pPr>
      <w:r w:rsidRPr="001E722E">
        <w:rPr>
          <w:rFonts w:ascii="Arial" w:eastAsia="Arial" w:hAnsi="Arial" w:cs="Arial"/>
          <w:b/>
          <w:bCs/>
          <w:sz w:val="24"/>
          <w:szCs w:val="24"/>
        </w:rPr>
        <w:t xml:space="preserve">Exception to the date range. </w:t>
      </w:r>
      <w:r w:rsidRPr="001E722E">
        <w:rPr>
          <w:rFonts w:ascii="Arial" w:eastAsia="Arial" w:hAnsi="Arial" w:cs="Arial"/>
          <w:sz w:val="24"/>
          <w:szCs w:val="24"/>
        </w:rPr>
        <w:t>Although a 2010 to 2026 date limit was applied to all searches (Table 3.2), one earlier study, Norman and Fitter (1989), was retained as a deliberate exception. It is a UK general practice study that directly examined how people's health beliefs shape their intention to attend a health screening appointment, which maps closely onto the Health Belief Model constructs of perceived susceptibility, perceived benefits and perceived barriers that form the analytical framework of this review (Section 2.4). It was therefore retained as a theoretical anchor for explaining why awareness does not always lead to screening attendance, and it was appraised using the same CASP checklist as the other cross-sectional studies (Table 3.4). Because its data predate the NHS Health Check programme, it is used to interpret belief-based mechanisms rather than as evidence of current levels of uptake, and this is acknowledged as a limitation in Section 5.3.</w:t>
      </w:r>
    </w:p>
    <w:p w14:paraId="4A4E48C6" w14:textId="77777777" w:rsidR="00955984" w:rsidRPr="001E722E" w:rsidRDefault="00161751">
      <w:pPr>
        <w:pStyle w:val="Heading2"/>
      </w:pPr>
      <w:bookmarkStart w:id="42" w:name="_727btvjlsv4" w:colFirst="0" w:colLast="0"/>
      <w:bookmarkEnd w:id="42"/>
      <w:r w:rsidRPr="001E722E">
        <w:t>3.6 Study Selection Process</w:t>
      </w:r>
    </w:p>
    <w:p w14:paraId="384ABD6E" w14:textId="77777777" w:rsidR="00955984" w:rsidRPr="001E722E" w:rsidRDefault="00161751">
      <w:pPr>
        <w:spacing w:after="200" w:line="360" w:lineRule="auto"/>
        <w:jc w:val="both"/>
        <w:rPr>
          <w:rFonts w:ascii="Arial" w:eastAsia="Arial" w:hAnsi="Arial" w:cs="Arial"/>
        </w:rPr>
      </w:pPr>
      <w:r w:rsidRPr="001E722E">
        <w:rPr>
          <w:rFonts w:ascii="Arial" w:eastAsia="Arial" w:hAnsi="Arial" w:cs="Arial"/>
          <w:sz w:val="24"/>
          <w:szCs w:val="24"/>
        </w:rPr>
        <w:t xml:space="preserve">The process of selecting studies was completed in four stages: identification, screening, eligibility and inclusion (Page et al., 2021). During the identification phase, all the records found in the database searches were downloaded into a single reference list and duplicates eliminated. In the screening phase, the titles and abstracts were screened with the inclusion/exclusion criteria listed in Table 3.3 and any study that did not address the specific research interest or was clearly irrelevant (e.g., studies from other countries, studies that discussed clinical treatment only) was excluded. Full text articles were retrieved and read in full in the eligibility stage to confirm that articles met all the inclusion criteria, if they did not, the reason for the exclusion, for example, the full text showed that the study was not actually conducted in the UK, was recorded. All studies that met both of these criteria were then subject to quality appraisal (Section 3.8) before being confirmed to be included </w:t>
      </w:r>
      <w:r w:rsidRPr="001E722E">
        <w:rPr>
          <w:rFonts w:ascii="Arial" w:eastAsia="Arial" w:hAnsi="Arial" w:cs="Arial"/>
          <w:sz w:val="24"/>
          <w:szCs w:val="24"/>
        </w:rPr>
        <w:lastRenderedPageBreak/>
        <w:t>in final synthesis. The number of records at each stage is reported in the PRISMA 2020 flow diagram in Chapter 4 (Figure 4.1).</w:t>
      </w:r>
    </w:p>
    <w:p w14:paraId="2651F536" w14:textId="77777777" w:rsidR="00955984" w:rsidRPr="001E722E" w:rsidRDefault="00161751">
      <w:pPr>
        <w:pStyle w:val="Heading2"/>
      </w:pPr>
      <w:bookmarkStart w:id="43" w:name="_ex45atvjb3py" w:colFirst="0" w:colLast="0"/>
      <w:bookmarkEnd w:id="43"/>
      <w:r w:rsidRPr="001E722E">
        <w:t>3.7 Data Extraction</w:t>
      </w:r>
    </w:p>
    <w:p w14:paraId="3138E0B3" w14:textId="77777777" w:rsidR="00955984" w:rsidRPr="001E722E" w:rsidRDefault="00161751">
      <w:pPr>
        <w:spacing w:after="200" w:line="360" w:lineRule="auto"/>
        <w:jc w:val="both"/>
        <w:rPr>
          <w:rFonts w:ascii="Arial" w:eastAsia="Arial" w:hAnsi="Arial" w:cs="Arial"/>
        </w:rPr>
      </w:pPr>
      <w:r w:rsidRPr="001E722E">
        <w:rPr>
          <w:rFonts w:ascii="Arial" w:eastAsia="Arial" w:hAnsi="Arial" w:cs="Arial"/>
          <w:sz w:val="24"/>
          <w:szCs w:val="24"/>
        </w:rPr>
        <w:t>Each included study was documented using a standardised data extraction form, to ensure that similar information was recorded from all studies, allowing for fair comparisons despite very different study designs. The following information was recorded for each study: author(s) and year of publication, geographical context (UK), study design and methodology, sample or population studied, objective(s) addressed by the study, key findings relevant to the awareness aspect, barriers or effectiveness of the campaign, and limitations stated in the study. This information was extracted and used in the presentation of the summary table in Chapter 2 (Table 2.1) and will be used again in the presentation of results in Chapter 4 and their discussion in Chapter 5.</w:t>
      </w:r>
    </w:p>
    <w:p w14:paraId="6E1102D3" w14:textId="77777777" w:rsidR="00955984" w:rsidRPr="001E722E" w:rsidRDefault="00161751">
      <w:pPr>
        <w:pStyle w:val="Heading2"/>
      </w:pPr>
      <w:bookmarkStart w:id="44" w:name="_vo55fjybghh" w:colFirst="0" w:colLast="0"/>
      <w:bookmarkEnd w:id="44"/>
      <w:r w:rsidRPr="001E722E">
        <w:t>3.8 Quality Appraisal</w:t>
      </w:r>
    </w:p>
    <w:p w14:paraId="1DA643A7" w14:textId="77777777" w:rsidR="00955984" w:rsidRPr="001E722E" w:rsidRDefault="00161751">
      <w:pPr>
        <w:spacing w:after="200" w:line="360" w:lineRule="auto"/>
        <w:jc w:val="both"/>
        <w:rPr>
          <w:rFonts w:ascii="Arial" w:eastAsia="Arial" w:hAnsi="Arial" w:cs="Arial"/>
          <w:sz w:val="24"/>
          <w:szCs w:val="24"/>
        </w:rPr>
      </w:pPr>
      <w:r w:rsidRPr="001E722E">
        <w:rPr>
          <w:rFonts w:ascii="Arial" w:eastAsia="Arial" w:hAnsi="Arial" w:cs="Arial"/>
          <w:sz w:val="24"/>
          <w:szCs w:val="24"/>
        </w:rPr>
        <w:t>Since this review includes a variety of qualitative studies, observational studies and evidence reviews, the Critical Appraisal Skills Programme (CASP) checklists (CASP, 2018) were applied to determine the methodological quality of the studies, as these are the most widely used and recommended appraisal tools for qualitative and mixed-methods health research (Long, French and Brooks, 2020). Interview- and focus-group-based studies were evaluated for the CASP Qualitative Studies Checklist, which considered the clarity of the research aims, appropriateness of methodology, description of recruitment and data collection, and consideration of ethical issues. If a study was of an observational or cross-sectional design, then the CASP checklist corresponding to this type of study was used. All studies were assessed for methodological quality according to the number of CASP criteria they met, being classified as high, moderate or low quality. Studies were not automatically excluded based on their quality, because even a small study can provide useful information to consider, but their contribution to the synthesis was given due consideration as per the ratings and the limitations were explicitly mentioned in Chapter 4 when applicable.</w:t>
      </w:r>
    </w:p>
    <w:p w14:paraId="0E7E1FD5" w14:textId="77777777" w:rsidR="00955984" w:rsidRPr="001E722E" w:rsidRDefault="00161751">
      <w:pPr>
        <w:spacing w:after="200" w:line="360" w:lineRule="auto"/>
        <w:jc w:val="both"/>
        <w:rPr>
          <w:rFonts w:ascii="Arial" w:eastAsia="Arial" w:hAnsi="Arial" w:cs="Arial"/>
        </w:rPr>
      </w:pPr>
      <w:r w:rsidRPr="001E722E">
        <w:rPr>
          <w:rFonts w:ascii="Arial" w:eastAsia="Arial" w:hAnsi="Arial" w:cs="Arial"/>
          <w:sz w:val="24"/>
          <w:szCs w:val="24"/>
        </w:rPr>
        <w:lastRenderedPageBreak/>
        <w:t>The results of the quality appraisal are summarised in Table 3.4. Studies meeting most of the relevant CASP criteria were rated high quality, those meeting around half moderate quality, and those meeting few criteria low quality.</w:t>
      </w:r>
    </w:p>
    <w:p w14:paraId="1797F0C5" w14:textId="77777777" w:rsidR="00955984" w:rsidRPr="001E722E" w:rsidRDefault="00161751">
      <w:pPr>
        <w:keepNext/>
        <w:spacing w:before="100" w:after="300"/>
        <w:rPr>
          <w:rFonts w:ascii="Arial" w:eastAsia="Arial" w:hAnsi="Arial" w:cs="Arial"/>
          <w:sz w:val="24"/>
          <w:szCs w:val="24"/>
        </w:rPr>
      </w:pPr>
      <w:r w:rsidRPr="001E722E">
        <w:rPr>
          <w:rFonts w:ascii="Arial" w:eastAsia="Arial" w:hAnsi="Arial" w:cs="Arial"/>
          <w:sz w:val="24"/>
          <w:szCs w:val="24"/>
        </w:rPr>
        <w:t>Table 3.4: CASP Quality Appraisal of Included Studies</w:t>
      </w:r>
    </w:p>
    <w:tbl>
      <w:tblPr>
        <w:tblStyle w:val="a4"/>
        <w:tblW w:w="9026" w:type="dxa"/>
        <w:tblInd w:w="0" w:type="dxa"/>
        <w:tblLayout w:type="fixed"/>
        <w:tblLook w:val="0400" w:firstRow="0" w:lastRow="0" w:firstColumn="0" w:lastColumn="0" w:noHBand="0" w:noVBand="1"/>
      </w:tblPr>
      <w:tblGrid>
        <w:gridCol w:w="640"/>
        <w:gridCol w:w="2060"/>
        <w:gridCol w:w="2000"/>
        <w:gridCol w:w="2026"/>
        <w:gridCol w:w="900"/>
        <w:gridCol w:w="1400"/>
      </w:tblGrid>
      <w:tr w:rsidR="00955984" w:rsidRPr="001E722E" w14:paraId="735A6F29" w14:textId="77777777">
        <w:trPr>
          <w:tblHeader/>
        </w:trPr>
        <w:tc>
          <w:tcPr>
            <w:tcW w:w="640" w:type="dxa"/>
            <w:tcBorders>
              <w:top w:val="single" w:sz="4" w:space="0" w:color="000000"/>
              <w:left w:val="single" w:sz="4" w:space="0" w:color="000000"/>
              <w:bottom w:val="single" w:sz="4" w:space="0" w:color="000000"/>
              <w:right w:val="single" w:sz="4" w:space="0" w:color="000000"/>
            </w:tcBorders>
            <w:shd w:val="clear" w:color="auto" w:fill="1F3864"/>
          </w:tcPr>
          <w:p w14:paraId="3AFC667F" w14:textId="77777777" w:rsidR="00955984" w:rsidRPr="001E722E" w:rsidRDefault="00161751">
            <w:pPr>
              <w:spacing w:before="20" w:after="20"/>
              <w:rPr>
                <w:rFonts w:ascii="Arial" w:eastAsia="Arial" w:hAnsi="Arial" w:cs="Arial"/>
              </w:rPr>
            </w:pPr>
            <w:r w:rsidRPr="001E722E">
              <w:rPr>
                <w:rFonts w:ascii="Arial" w:eastAsia="Arial" w:hAnsi="Arial" w:cs="Arial"/>
                <w:b/>
                <w:bCs/>
                <w:color w:val="FFFFFF"/>
                <w:sz w:val="18"/>
                <w:szCs w:val="18"/>
              </w:rPr>
              <w:t>No.</w:t>
            </w:r>
          </w:p>
        </w:tc>
        <w:tc>
          <w:tcPr>
            <w:tcW w:w="2060" w:type="dxa"/>
            <w:tcBorders>
              <w:top w:val="single" w:sz="4" w:space="0" w:color="000000"/>
              <w:left w:val="single" w:sz="4" w:space="0" w:color="000000"/>
              <w:bottom w:val="single" w:sz="4" w:space="0" w:color="000000"/>
              <w:right w:val="single" w:sz="4" w:space="0" w:color="000000"/>
            </w:tcBorders>
            <w:shd w:val="clear" w:color="auto" w:fill="1F3864"/>
          </w:tcPr>
          <w:p w14:paraId="7FF4E110" w14:textId="77777777" w:rsidR="00955984" w:rsidRPr="001E722E" w:rsidRDefault="00161751">
            <w:pPr>
              <w:spacing w:before="20" w:after="20"/>
              <w:rPr>
                <w:rFonts w:ascii="Arial" w:eastAsia="Arial" w:hAnsi="Arial" w:cs="Arial"/>
              </w:rPr>
            </w:pPr>
            <w:r w:rsidRPr="001E722E">
              <w:rPr>
                <w:rFonts w:ascii="Arial" w:eastAsia="Arial" w:hAnsi="Arial" w:cs="Arial"/>
                <w:b/>
                <w:bCs/>
                <w:color w:val="FFFFFF"/>
                <w:sz w:val="18"/>
                <w:szCs w:val="18"/>
              </w:rPr>
              <w:t>Author (year)</w:t>
            </w:r>
          </w:p>
        </w:tc>
        <w:tc>
          <w:tcPr>
            <w:tcW w:w="2000" w:type="dxa"/>
            <w:tcBorders>
              <w:top w:val="single" w:sz="4" w:space="0" w:color="000000"/>
              <w:left w:val="single" w:sz="4" w:space="0" w:color="000000"/>
              <w:bottom w:val="single" w:sz="4" w:space="0" w:color="000000"/>
              <w:right w:val="single" w:sz="4" w:space="0" w:color="000000"/>
            </w:tcBorders>
            <w:shd w:val="clear" w:color="auto" w:fill="1F3864"/>
          </w:tcPr>
          <w:p w14:paraId="706B153A" w14:textId="77777777" w:rsidR="00955984" w:rsidRPr="001E722E" w:rsidRDefault="00161751">
            <w:pPr>
              <w:spacing w:before="20" w:after="20"/>
              <w:rPr>
                <w:rFonts w:ascii="Arial" w:eastAsia="Arial" w:hAnsi="Arial" w:cs="Arial"/>
              </w:rPr>
            </w:pPr>
            <w:r w:rsidRPr="001E722E">
              <w:rPr>
                <w:rFonts w:ascii="Arial" w:eastAsia="Arial" w:hAnsi="Arial" w:cs="Arial"/>
                <w:b/>
                <w:bCs/>
                <w:color w:val="FFFFFF"/>
                <w:sz w:val="18"/>
                <w:szCs w:val="18"/>
              </w:rPr>
              <w:t>Study design</w:t>
            </w:r>
          </w:p>
        </w:tc>
        <w:tc>
          <w:tcPr>
            <w:tcW w:w="2026" w:type="dxa"/>
            <w:tcBorders>
              <w:top w:val="single" w:sz="4" w:space="0" w:color="000000"/>
              <w:left w:val="single" w:sz="4" w:space="0" w:color="000000"/>
              <w:bottom w:val="single" w:sz="4" w:space="0" w:color="000000"/>
              <w:right w:val="single" w:sz="4" w:space="0" w:color="000000"/>
            </w:tcBorders>
            <w:shd w:val="clear" w:color="auto" w:fill="1F3864"/>
          </w:tcPr>
          <w:p w14:paraId="571A39FF" w14:textId="77777777" w:rsidR="00955984" w:rsidRPr="001E722E" w:rsidRDefault="00161751">
            <w:pPr>
              <w:spacing w:before="20" w:after="20"/>
              <w:rPr>
                <w:rFonts w:ascii="Arial" w:eastAsia="Arial" w:hAnsi="Arial" w:cs="Arial"/>
              </w:rPr>
            </w:pPr>
            <w:r w:rsidRPr="001E722E">
              <w:rPr>
                <w:rFonts w:ascii="Arial" w:eastAsia="Arial" w:hAnsi="Arial" w:cs="Arial"/>
                <w:b/>
                <w:bCs/>
                <w:color w:val="FFFFFF"/>
                <w:sz w:val="18"/>
                <w:szCs w:val="18"/>
              </w:rPr>
              <w:t>Appraisal tool</w:t>
            </w:r>
          </w:p>
        </w:tc>
        <w:tc>
          <w:tcPr>
            <w:tcW w:w="900" w:type="dxa"/>
            <w:tcBorders>
              <w:top w:val="single" w:sz="4" w:space="0" w:color="000000"/>
              <w:left w:val="single" w:sz="4" w:space="0" w:color="000000"/>
              <w:bottom w:val="single" w:sz="4" w:space="0" w:color="000000"/>
              <w:right w:val="single" w:sz="4" w:space="0" w:color="000000"/>
            </w:tcBorders>
            <w:shd w:val="clear" w:color="auto" w:fill="1F3864"/>
          </w:tcPr>
          <w:p w14:paraId="242FC314" w14:textId="77777777" w:rsidR="00955984" w:rsidRPr="001E722E" w:rsidRDefault="00161751">
            <w:pPr>
              <w:spacing w:before="20" w:after="20"/>
              <w:rPr>
                <w:rFonts w:ascii="Arial" w:eastAsia="Arial" w:hAnsi="Arial" w:cs="Arial"/>
              </w:rPr>
            </w:pPr>
            <w:r w:rsidRPr="001E722E">
              <w:rPr>
                <w:rFonts w:ascii="Arial" w:eastAsia="Arial" w:hAnsi="Arial" w:cs="Arial"/>
                <w:b/>
                <w:bCs/>
                <w:color w:val="FFFFFF"/>
                <w:sz w:val="18"/>
                <w:szCs w:val="18"/>
              </w:rPr>
              <w:t>Criteria met</w:t>
            </w:r>
          </w:p>
        </w:tc>
        <w:tc>
          <w:tcPr>
            <w:tcW w:w="1400" w:type="dxa"/>
            <w:tcBorders>
              <w:top w:val="single" w:sz="4" w:space="0" w:color="000000"/>
              <w:left w:val="single" w:sz="4" w:space="0" w:color="000000"/>
              <w:bottom w:val="single" w:sz="4" w:space="0" w:color="000000"/>
              <w:right w:val="single" w:sz="4" w:space="0" w:color="000000"/>
            </w:tcBorders>
            <w:shd w:val="clear" w:color="auto" w:fill="1F3864"/>
          </w:tcPr>
          <w:p w14:paraId="575BAF21" w14:textId="77777777" w:rsidR="00955984" w:rsidRPr="001E722E" w:rsidRDefault="00161751">
            <w:pPr>
              <w:spacing w:before="20" w:after="20"/>
              <w:rPr>
                <w:rFonts w:ascii="Arial" w:eastAsia="Arial" w:hAnsi="Arial" w:cs="Arial"/>
              </w:rPr>
            </w:pPr>
            <w:r w:rsidRPr="001E722E">
              <w:rPr>
                <w:rFonts w:ascii="Arial" w:eastAsia="Arial" w:hAnsi="Arial" w:cs="Arial"/>
                <w:b/>
                <w:bCs/>
                <w:color w:val="FFFFFF"/>
                <w:sz w:val="18"/>
                <w:szCs w:val="18"/>
              </w:rPr>
              <w:t>Overall quality</w:t>
            </w:r>
          </w:p>
        </w:tc>
      </w:tr>
      <w:tr w:rsidR="00955984" w:rsidRPr="001E722E" w14:paraId="06E9895A" w14:textId="77777777">
        <w:trPr>
          <w:cantSplit/>
        </w:trPr>
        <w:tc>
          <w:tcPr>
            <w:tcW w:w="640" w:type="dxa"/>
            <w:tcBorders>
              <w:top w:val="single" w:sz="4" w:space="0" w:color="000000"/>
              <w:left w:val="single" w:sz="4" w:space="0" w:color="000000"/>
              <w:bottom w:val="single" w:sz="4" w:space="0" w:color="000000"/>
              <w:right w:val="single" w:sz="4" w:space="0" w:color="000000"/>
            </w:tcBorders>
          </w:tcPr>
          <w:p w14:paraId="6F67607E" w14:textId="77777777" w:rsidR="00955984" w:rsidRPr="001E722E" w:rsidRDefault="00161751">
            <w:pPr>
              <w:spacing w:before="20" w:after="20"/>
              <w:rPr>
                <w:rFonts w:ascii="Arial" w:eastAsia="Arial" w:hAnsi="Arial" w:cs="Arial"/>
              </w:rPr>
            </w:pPr>
            <w:r w:rsidRPr="001E722E">
              <w:rPr>
                <w:rFonts w:ascii="Arial" w:eastAsia="Arial" w:hAnsi="Arial" w:cs="Arial"/>
                <w:sz w:val="18"/>
                <w:szCs w:val="18"/>
              </w:rPr>
              <w:t>1</w:t>
            </w:r>
          </w:p>
        </w:tc>
        <w:tc>
          <w:tcPr>
            <w:tcW w:w="2060" w:type="dxa"/>
            <w:tcBorders>
              <w:top w:val="single" w:sz="4" w:space="0" w:color="000000"/>
              <w:left w:val="single" w:sz="4" w:space="0" w:color="000000"/>
              <w:bottom w:val="single" w:sz="4" w:space="0" w:color="000000"/>
              <w:right w:val="single" w:sz="4" w:space="0" w:color="000000"/>
            </w:tcBorders>
          </w:tcPr>
          <w:p w14:paraId="6BEDB17D" w14:textId="77777777" w:rsidR="00955984" w:rsidRPr="001E722E" w:rsidRDefault="00161751">
            <w:pPr>
              <w:spacing w:before="20" w:after="20"/>
              <w:rPr>
                <w:rFonts w:ascii="Arial" w:eastAsia="Arial" w:hAnsi="Arial" w:cs="Arial"/>
              </w:rPr>
            </w:pPr>
            <w:r w:rsidRPr="001E722E">
              <w:rPr>
                <w:rFonts w:ascii="Arial" w:eastAsia="Arial" w:hAnsi="Arial" w:cs="Arial"/>
                <w:sz w:val="18"/>
                <w:szCs w:val="18"/>
              </w:rPr>
              <w:t>Whitaker et al. (2012)</w:t>
            </w:r>
          </w:p>
        </w:tc>
        <w:tc>
          <w:tcPr>
            <w:tcW w:w="2000" w:type="dxa"/>
            <w:tcBorders>
              <w:top w:val="single" w:sz="4" w:space="0" w:color="000000"/>
              <w:left w:val="single" w:sz="4" w:space="0" w:color="000000"/>
              <w:bottom w:val="single" w:sz="4" w:space="0" w:color="000000"/>
              <w:right w:val="single" w:sz="4" w:space="0" w:color="000000"/>
            </w:tcBorders>
          </w:tcPr>
          <w:p w14:paraId="18BF0206" w14:textId="77777777" w:rsidR="00955984" w:rsidRPr="001E722E" w:rsidRDefault="00161751">
            <w:pPr>
              <w:spacing w:before="20" w:after="20"/>
              <w:rPr>
                <w:rFonts w:ascii="Arial" w:eastAsia="Arial" w:hAnsi="Arial" w:cs="Arial"/>
              </w:rPr>
            </w:pPr>
            <w:r w:rsidRPr="001E722E">
              <w:rPr>
                <w:rFonts w:ascii="Arial" w:eastAsia="Arial" w:hAnsi="Arial" w:cs="Arial"/>
                <w:sz w:val="18"/>
                <w:szCs w:val="18"/>
              </w:rPr>
              <w:t>Cross-sectional street survey</w:t>
            </w:r>
          </w:p>
        </w:tc>
        <w:tc>
          <w:tcPr>
            <w:tcW w:w="2026" w:type="dxa"/>
            <w:tcBorders>
              <w:top w:val="single" w:sz="4" w:space="0" w:color="000000"/>
              <w:left w:val="single" w:sz="4" w:space="0" w:color="000000"/>
              <w:bottom w:val="single" w:sz="4" w:space="0" w:color="000000"/>
              <w:right w:val="single" w:sz="4" w:space="0" w:color="000000"/>
            </w:tcBorders>
          </w:tcPr>
          <w:p w14:paraId="72BD4C29" w14:textId="77777777" w:rsidR="00955984" w:rsidRPr="001E722E" w:rsidRDefault="00161751">
            <w:pPr>
              <w:spacing w:before="20" w:after="20"/>
              <w:rPr>
                <w:rFonts w:ascii="Arial" w:eastAsia="Arial" w:hAnsi="Arial" w:cs="Arial"/>
              </w:rPr>
            </w:pPr>
            <w:r w:rsidRPr="001E722E">
              <w:rPr>
                <w:rFonts w:ascii="Arial" w:eastAsia="Arial" w:hAnsi="Arial" w:cs="Arial"/>
                <w:sz w:val="18"/>
                <w:szCs w:val="18"/>
              </w:rPr>
              <w:t>CASP Cohort Study checklist (adapted for cross-sectional design)</w:t>
            </w:r>
          </w:p>
        </w:tc>
        <w:tc>
          <w:tcPr>
            <w:tcW w:w="900" w:type="dxa"/>
            <w:tcBorders>
              <w:top w:val="single" w:sz="4" w:space="0" w:color="000000"/>
              <w:left w:val="single" w:sz="4" w:space="0" w:color="000000"/>
              <w:bottom w:val="single" w:sz="4" w:space="0" w:color="000000"/>
              <w:right w:val="single" w:sz="4" w:space="0" w:color="000000"/>
            </w:tcBorders>
          </w:tcPr>
          <w:p w14:paraId="631FB2A2" w14:textId="77777777" w:rsidR="00955984" w:rsidRPr="001E722E" w:rsidRDefault="00161751">
            <w:pPr>
              <w:spacing w:before="20" w:after="20"/>
              <w:rPr>
                <w:rFonts w:ascii="Arial" w:eastAsia="Arial" w:hAnsi="Arial" w:cs="Arial"/>
              </w:rPr>
            </w:pPr>
            <w:r w:rsidRPr="001E722E">
              <w:rPr>
                <w:rFonts w:ascii="Arial" w:eastAsia="Arial" w:hAnsi="Arial" w:cs="Arial"/>
                <w:sz w:val="18"/>
                <w:szCs w:val="18"/>
              </w:rPr>
              <w:t>8/10</w:t>
            </w:r>
          </w:p>
        </w:tc>
        <w:tc>
          <w:tcPr>
            <w:tcW w:w="1400" w:type="dxa"/>
            <w:tcBorders>
              <w:top w:val="single" w:sz="4" w:space="0" w:color="000000"/>
              <w:left w:val="single" w:sz="4" w:space="0" w:color="000000"/>
              <w:bottom w:val="single" w:sz="4" w:space="0" w:color="000000"/>
              <w:right w:val="single" w:sz="4" w:space="0" w:color="000000"/>
            </w:tcBorders>
          </w:tcPr>
          <w:p w14:paraId="5214E6DD" w14:textId="77777777" w:rsidR="00955984" w:rsidRPr="001E722E" w:rsidRDefault="00161751">
            <w:pPr>
              <w:spacing w:before="20" w:after="20"/>
              <w:rPr>
                <w:rFonts w:ascii="Arial" w:eastAsia="Arial" w:hAnsi="Arial" w:cs="Arial"/>
              </w:rPr>
            </w:pPr>
            <w:r w:rsidRPr="001E722E">
              <w:rPr>
                <w:rFonts w:ascii="Arial" w:eastAsia="Arial" w:hAnsi="Arial" w:cs="Arial"/>
                <w:sz w:val="18"/>
                <w:szCs w:val="18"/>
              </w:rPr>
              <w:t>High</w:t>
            </w:r>
          </w:p>
        </w:tc>
      </w:tr>
      <w:tr w:rsidR="00955984" w:rsidRPr="001E722E" w14:paraId="471E19B9" w14:textId="77777777">
        <w:trPr>
          <w:cantSplit/>
        </w:trPr>
        <w:tc>
          <w:tcPr>
            <w:tcW w:w="640" w:type="dxa"/>
            <w:tcBorders>
              <w:top w:val="single" w:sz="4" w:space="0" w:color="000000"/>
              <w:left w:val="single" w:sz="4" w:space="0" w:color="000000"/>
              <w:bottom w:val="single" w:sz="4" w:space="0" w:color="000000"/>
              <w:right w:val="single" w:sz="4" w:space="0" w:color="000000"/>
            </w:tcBorders>
          </w:tcPr>
          <w:p w14:paraId="4846E5BC" w14:textId="77777777" w:rsidR="00955984" w:rsidRPr="001E722E" w:rsidRDefault="00161751">
            <w:pPr>
              <w:spacing w:before="20" w:after="20"/>
              <w:rPr>
                <w:rFonts w:ascii="Arial" w:eastAsia="Arial" w:hAnsi="Arial" w:cs="Arial"/>
              </w:rPr>
            </w:pPr>
            <w:r w:rsidRPr="001E722E">
              <w:rPr>
                <w:rFonts w:ascii="Arial" w:eastAsia="Arial" w:hAnsi="Arial" w:cs="Arial"/>
                <w:sz w:val="18"/>
                <w:szCs w:val="18"/>
              </w:rPr>
              <w:t>2</w:t>
            </w:r>
          </w:p>
        </w:tc>
        <w:tc>
          <w:tcPr>
            <w:tcW w:w="2060" w:type="dxa"/>
            <w:tcBorders>
              <w:top w:val="single" w:sz="4" w:space="0" w:color="000000"/>
              <w:left w:val="single" w:sz="4" w:space="0" w:color="000000"/>
              <w:bottom w:val="single" w:sz="4" w:space="0" w:color="000000"/>
              <w:right w:val="single" w:sz="4" w:space="0" w:color="000000"/>
            </w:tcBorders>
          </w:tcPr>
          <w:p w14:paraId="62E8454C" w14:textId="77777777" w:rsidR="00955984" w:rsidRPr="001E722E" w:rsidRDefault="00161751">
            <w:pPr>
              <w:spacing w:before="20" w:after="20"/>
              <w:rPr>
                <w:rFonts w:ascii="Arial" w:eastAsia="Arial" w:hAnsi="Arial" w:cs="Arial"/>
              </w:rPr>
            </w:pPr>
            <w:r w:rsidRPr="001E722E">
              <w:rPr>
                <w:rFonts w:ascii="Arial" w:eastAsia="Arial" w:hAnsi="Arial" w:cs="Arial"/>
                <w:sz w:val="18"/>
                <w:szCs w:val="18"/>
              </w:rPr>
              <w:t>Sheridan et al. (2010)</w:t>
            </w:r>
          </w:p>
        </w:tc>
        <w:tc>
          <w:tcPr>
            <w:tcW w:w="2000" w:type="dxa"/>
            <w:tcBorders>
              <w:top w:val="single" w:sz="4" w:space="0" w:color="000000"/>
              <w:left w:val="single" w:sz="4" w:space="0" w:color="000000"/>
              <w:bottom w:val="single" w:sz="4" w:space="0" w:color="000000"/>
              <w:right w:val="single" w:sz="4" w:space="0" w:color="000000"/>
            </w:tcBorders>
          </w:tcPr>
          <w:p w14:paraId="03B752F3" w14:textId="77777777" w:rsidR="00955984" w:rsidRPr="001E722E" w:rsidRDefault="00161751">
            <w:pPr>
              <w:spacing w:before="20" w:after="20"/>
              <w:rPr>
                <w:rFonts w:ascii="Arial" w:eastAsia="Arial" w:hAnsi="Arial" w:cs="Arial"/>
              </w:rPr>
            </w:pPr>
            <w:r w:rsidRPr="001E722E">
              <w:rPr>
                <w:rFonts w:ascii="Arial" w:eastAsia="Arial" w:hAnsi="Arial" w:cs="Arial"/>
                <w:sz w:val="18"/>
                <w:szCs w:val="18"/>
              </w:rPr>
              <w:t>Systematic review</w:t>
            </w:r>
          </w:p>
        </w:tc>
        <w:tc>
          <w:tcPr>
            <w:tcW w:w="2026" w:type="dxa"/>
            <w:tcBorders>
              <w:top w:val="single" w:sz="4" w:space="0" w:color="000000"/>
              <w:left w:val="single" w:sz="4" w:space="0" w:color="000000"/>
              <w:bottom w:val="single" w:sz="4" w:space="0" w:color="000000"/>
              <w:right w:val="single" w:sz="4" w:space="0" w:color="000000"/>
            </w:tcBorders>
          </w:tcPr>
          <w:p w14:paraId="2AF5DBB1" w14:textId="77777777" w:rsidR="00955984" w:rsidRPr="001E722E" w:rsidRDefault="00161751">
            <w:pPr>
              <w:spacing w:before="20" w:after="20"/>
              <w:rPr>
                <w:rFonts w:ascii="Arial" w:eastAsia="Arial" w:hAnsi="Arial" w:cs="Arial"/>
              </w:rPr>
            </w:pPr>
            <w:r w:rsidRPr="001E722E">
              <w:rPr>
                <w:rFonts w:ascii="Arial" w:eastAsia="Arial" w:hAnsi="Arial" w:cs="Arial"/>
                <w:sz w:val="18"/>
                <w:szCs w:val="18"/>
              </w:rPr>
              <w:t>CASP Systematic Review checklist</w:t>
            </w:r>
          </w:p>
        </w:tc>
        <w:tc>
          <w:tcPr>
            <w:tcW w:w="900" w:type="dxa"/>
            <w:tcBorders>
              <w:top w:val="single" w:sz="4" w:space="0" w:color="000000"/>
              <w:left w:val="single" w:sz="4" w:space="0" w:color="000000"/>
              <w:bottom w:val="single" w:sz="4" w:space="0" w:color="000000"/>
              <w:right w:val="single" w:sz="4" w:space="0" w:color="000000"/>
            </w:tcBorders>
          </w:tcPr>
          <w:p w14:paraId="34F9DD9C" w14:textId="77777777" w:rsidR="00955984" w:rsidRPr="001E722E" w:rsidRDefault="00161751">
            <w:pPr>
              <w:spacing w:before="20" w:after="20"/>
              <w:rPr>
                <w:rFonts w:ascii="Arial" w:eastAsia="Arial" w:hAnsi="Arial" w:cs="Arial"/>
              </w:rPr>
            </w:pPr>
            <w:r w:rsidRPr="001E722E">
              <w:rPr>
                <w:rFonts w:ascii="Arial" w:eastAsia="Arial" w:hAnsi="Arial" w:cs="Arial"/>
                <w:sz w:val="18"/>
                <w:szCs w:val="18"/>
              </w:rPr>
              <w:t>9/10</w:t>
            </w:r>
          </w:p>
        </w:tc>
        <w:tc>
          <w:tcPr>
            <w:tcW w:w="1400" w:type="dxa"/>
            <w:tcBorders>
              <w:top w:val="single" w:sz="4" w:space="0" w:color="000000"/>
              <w:left w:val="single" w:sz="4" w:space="0" w:color="000000"/>
              <w:bottom w:val="single" w:sz="4" w:space="0" w:color="000000"/>
              <w:right w:val="single" w:sz="4" w:space="0" w:color="000000"/>
            </w:tcBorders>
          </w:tcPr>
          <w:p w14:paraId="70B76802" w14:textId="77777777" w:rsidR="00955984" w:rsidRPr="001E722E" w:rsidRDefault="00161751">
            <w:pPr>
              <w:spacing w:before="20" w:after="20"/>
              <w:rPr>
                <w:rFonts w:ascii="Arial" w:eastAsia="Arial" w:hAnsi="Arial" w:cs="Arial"/>
              </w:rPr>
            </w:pPr>
            <w:r w:rsidRPr="001E722E">
              <w:rPr>
                <w:rFonts w:ascii="Arial" w:eastAsia="Arial" w:hAnsi="Arial" w:cs="Arial"/>
                <w:sz w:val="18"/>
                <w:szCs w:val="18"/>
              </w:rPr>
              <w:t>High</w:t>
            </w:r>
          </w:p>
        </w:tc>
      </w:tr>
      <w:tr w:rsidR="00955984" w:rsidRPr="001E722E" w14:paraId="4BDD5229" w14:textId="77777777">
        <w:trPr>
          <w:cantSplit/>
        </w:trPr>
        <w:tc>
          <w:tcPr>
            <w:tcW w:w="640" w:type="dxa"/>
            <w:tcBorders>
              <w:top w:val="single" w:sz="4" w:space="0" w:color="000000"/>
              <w:left w:val="single" w:sz="4" w:space="0" w:color="000000"/>
              <w:bottom w:val="single" w:sz="4" w:space="0" w:color="000000"/>
              <w:right w:val="single" w:sz="4" w:space="0" w:color="000000"/>
            </w:tcBorders>
          </w:tcPr>
          <w:p w14:paraId="68CDB7EE" w14:textId="77777777" w:rsidR="00955984" w:rsidRPr="001E722E" w:rsidRDefault="00161751">
            <w:pPr>
              <w:spacing w:before="20" w:after="20"/>
              <w:rPr>
                <w:rFonts w:ascii="Arial" w:eastAsia="Arial" w:hAnsi="Arial" w:cs="Arial"/>
              </w:rPr>
            </w:pPr>
            <w:r w:rsidRPr="001E722E">
              <w:rPr>
                <w:rFonts w:ascii="Arial" w:eastAsia="Arial" w:hAnsi="Arial" w:cs="Arial"/>
                <w:sz w:val="18"/>
                <w:szCs w:val="18"/>
              </w:rPr>
              <w:t>3</w:t>
            </w:r>
          </w:p>
        </w:tc>
        <w:tc>
          <w:tcPr>
            <w:tcW w:w="2060" w:type="dxa"/>
            <w:tcBorders>
              <w:top w:val="single" w:sz="4" w:space="0" w:color="000000"/>
              <w:left w:val="single" w:sz="4" w:space="0" w:color="000000"/>
              <w:bottom w:val="single" w:sz="4" w:space="0" w:color="000000"/>
              <w:right w:val="single" w:sz="4" w:space="0" w:color="000000"/>
            </w:tcBorders>
          </w:tcPr>
          <w:p w14:paraId="37160A9D" w14:textId="77777777" w:rsidR="00955984" w:rsidRPr="001E722E" w:rsidRDefault="00161751">
            <w:pPr>
              <w:spacing w:before="20" w:after="20"/>
              <w:rPr>
                <w:rFonts w:ascii="Arial" w:eastAsia="Arial" w:hAnsi="Arial" w:cs="Arial"/>
              </w:rPr>
            </w:pPr>
            <w:r w:rsidRPr="001E722E">
              <w:rPr>
                <w:rFonts w:ascii="Arial" w:eastAsia="Arial" w:hAnsi="Arial" w:cs="Arial"/>
                <w:sz w:val="18"/>
                <w:szCs w:val="18"/>
              </w:rPr>
              <w:t>Marmot et al. (2020)</w:t>
            </w:r>
          </w:p>
        </w:tc>
        <w:tc>
          <w:tcPr>
            <w:tcW w:w="2000" w:type="dxa"/>
            <w:tcBorders>
              <w:top w:val="single" w:sz="4" w:space="0" w:color="000000"/>
              <w:left w:val="single" w:sz="4" w:space="0" w:color="000000"/>
              <w:bottom w:val="single" w:sz="4" w:space="0" w:color="000000"/>
              <w:right w:val="single" w:sz="4" w:space="0" w:color="000000"/>
            </w:tcBorders>
          </w:tcPr>
          <w:p w14:paraId="63A20B1D" w14:textId="77777777" w:rsidR="00955984" w:rsidRPr="001E722E" w:rsidRDefault="00161751">
            <w:pPr>
              <w:spacing w:before="20" w:after="20"/>
              <w:rPr>
                <w:rFonts w:ascii="Arial" w:eastAsia="Arial" w:hAnsi="Arial" w:cs="Arial"/>
              </w:rPr>
            </w:pPr>
            <w:r w:rsidRPr="001E722E">
              <w:rPr>
                <w:rFonts w:ascii="Arial" w:eastAsia="Arial" w:hAnsi="Arial" w:cs="Arial"/>
                <w:sz w:val="18"/>
                <w:szCs w:val="18"/>
              </w:rPr>
              <w:t>Review report</w:t>
            </w:r>
          </w:p>
        </w:tc>
        <w:tc>
          <w:tcPr>
            <w:tcW w:w="2026" w:type="dxa"/>
            <w:tcBorders>
              <w:top w:val="single" w:sz="4" w:space="0" w:color="000000"/>
              <w:left w:val="single" w:sz="4" w:space="0" w:color="000000"/>
              <w:bottom w:val="single" w:sz="4" w:space="0" w:color="000000"/>
              <w:right w:val="single" w:sz="4" w:space="0" w:color="000000"/>
            </w:tcBorders>
          </w:tcPr>
          <w:p w14:paraId="5A914ED2" w14:textId="77777777" w:rsidR="00955984" w:rsidRPr="001E722E" w:rsidRDefault="00161751">
            <w:pPr>
              <w:spacing w:before="20" w:after="20"/>
              <w:rPr>
                <w:rFonts w:ascii="Arial" w:eastAsia="Arial" w:hAnsi="Arial" w:cs="Arial"/>
              </w:rPr>
            </w:pPr>
            <w:r w:rsidRPr="001E722E">
              <w:rPr>
                <w:rFonts w:ascii="Arial" w:eastAsia="Arial" w:hAnsi="Arial" w:cs="Arial"/>
                <w:sz w:val="18"/>
                <w:szCs w:val="18"/>
              </w:rPr>
              <w:t>Grey literature – no CASP checklist applies</w:t>
            </w:r>
          </w:p>
        </w:tc>
        <w:tc>
          <w:tcPr>
            <w:tcW w:w="900" w:type="dxa"/>
            <w:tcBorders>
              <w:top w:val="single" w:sz="4" w:space="0" w:color="000000"/>
              <w:left w:val="single" w:sz="4" w:space="0" w:color="000000"/>
              <w:bottom w:val="single" w:sz="4" w:space="0" w:color="000000"/>
              <w:right w:val="single" w:sz="4" w:space="0" w:color="000000"/>
            </w:tcBorders>
          </w:tcPr>
          <w:p w14:paraId="1389AEBA" w14:textId="77777777" w:rsidR="00955984" w:rsidRPr="001E722E" w:rsidRDefault="00161751">
            <w:pPr>
              <w:spacing w:before="20" w:after="20"/>
              <w:rPr>
                <w:rFonts w:ascii="Arial" w:eastAsia="Arial" w:hAnsi="Arial" w:cs="Arial"/>
              </w:rPr>
            </w:pPr>
            <w:r w:rsidRPr="001E722E">
              <w:rPr>
                <w:rFonts w:ascii="Arial" w:eastAsia="Arial" w:hAnsi="Arial" w:cs="Arial"/>
                <w:sz w:val="18"/>
                <w:szCs w:val="18"/>
              </w:rPr>
              <w:t>5/10</w:t>
            </w:r>
          </w:p>
        </w:tc>
        <w:tc>
          <w:tcPr>
            <w:tcW w:w="1400" w:type="dxa"/>
            <w:tcBorders>
              <w:top w:val="single" w:sz="4" w:space="0" w:color="000000"/>
              <w:left w:val="single" w:sz="4" w:space="0" w:color="000000"/>
              <w:bottom w:val="single" w:sz="4" w:space="0" w:color="000000"/>
              <w:right w:val="single" w:sz="4" w:space="0" w:color="000000"/>
            </w:tcBorders>
          </w:tcPr>
          <w:p w14:paraId="2400C048" w14:textId="77777777" w:rsidR="00955984" w:rsidRPr="001E722E" w:rsidRDefault="00161751">
            <w:pPr>
              <w:spacing w:before="20" w:after="20"/>
              <w:rPr>
                <w:rFonts w:ascii="Arial" w:eastAsia="Arial" w:hAnsi="Arial" w:cs="Arial"/>
              </w:rPr>
            </w:pPr>
            <w:r w:rsidRPr="001E722E">
              <w:rPr>
                <w:rFonts w:ascii="Arial" w:eastAsia="Arial" w:hAnsi="Arial" w:cs="Arial"/>
                <w:sz w:val="18"/>
                <w:szCs w:val="18"/>
              </w:rPr>
              <w:t>Low</w:t>
            </w:r>
          </w:p>
        </w:tc>
      </w:tr>
      <w:tr w:rsidR="00955984" w:rsidRPr="001E722E" w14:paraId="72E24E9F" w14:textId="77777777">
        <w:trPr>
          <w:cantSplit/>
        </w:trPr>
        <w:tc>
          <w:tcPr>
            <w:tcW w:w="640" w:type="dxa"/>
            <w:tcBorders>
              <w:top w:val="single" w:sz="4" w:space="0" w:color="000000"/>
              <w:left w:val="single" w:sz="4" w:space="0" w:color="000000"/>
              <w:bottom w:val="single" w:sz="4" w:space="0" w:color="000000"/>
              <w:right w:val="single" w:sz="4" w:space="0" w:color="000000"/>
            </w:tcBorders>
          </w:tcPr>
          <w:p w14:paraId="04A5DE18" w14:textId="77777777" w:rsidR="00955984" w:rsidRPr="001E722E" w:rsidRDefault="00161751">
            <w:pPr>
              <w:spacing w:before="20" w:after="20"/>
              <w:rPr>
                <w:rFonts w:ascii="Arial" w:eastAsia="Arial" w:hAnsi="Arial" w:cs="Arial"/>
              </w:rPr>
            </w:pPr>
            <w:r w:rsidRPr="001E722E">
              <w:rPr>
                <w:rFonts w:ascii="Arial" w:eastAsia="Arial" w:hAnsi="Arial" w:cs="Arial"/>
                <w:sz w:val="18"/>
                <w:szCs w:val="18"/>
              </w:rPr>
              <w:t>4</w:t>
            </w:r>
          </w:p>
        </w:tc>
        <w:tc>
          <w:tcPr>
            <w:tcW w:w="2060" w:type="dxa"/>
            <w:tcBorders>
              <w:top w:val="single" w:sz="4" w:space="0" w:color="000000"/>
              <w:left w:val="single" w:sz="4" w:space="0" w:color="000000"/>
              <w:bottom w:val="single" w:sz="4" w:space="0" w:color="000000"/>
              <w:right w:val="single" w:sz="4" w:space="0" w:color="000000"/>
            </w:tcBorders>
          </w:tcPr>
          <w:p w14:paraId="6A45E11C" w14:textId="77777777" w:rsidR="00955984" w:rsidRPr="001E722E" w:rsidRDefault="00161751">
            <w:pPr>
              <w:spacing w:before="20" w:after="20"/>
              <w:rPr>
                <w:rFonts w:ascii="Arial" w:eastAsia="Arial" w:hAnsi="Arial" w:cs="Arial"/>
              </w:rPr>
            </w:pPr>
            <w:r w:rsidRPr="001E722E">
              <w:rPr>
                <w:rFonts w:ascii="Arial" w:eastAsia="Arial" w:hAnsi="Arial" w:cs="Arial"/>
                <w:sz w:val="18"/>
                <w:szCs w:val="18"/>
              </w:rPr>
              <w:t>British Heart Foundation (2026)</w:t>
            </w:r>
          </w:p>
        </w:tc>
        <w:tc>
          <w:tcPr>
            <w:tcW w:w="2000" w:type="dxa"/>
            <w:tcBorders>
              <w:top w:val="single" w:sz="4" w:space="0" w:color="000000"/>
              <w:left w:val="single" w:sz="4" w:space="0" w:color="000000"/>
              <w:bottom w:val="single" w:sz="4" w:space="0" w:color="000000"/>
              <w:right w:val="single" w:sz="4" w:space="0" w:color="000000"/>
            </w:tcBorders>
          </w:tcPr>
          <w:p w14:paraId="15D9D753" w14:textId="77777777" w:rsidR="00955984" w:rsidRPr="001E722E" w:rsidRDefault="00161751">
            <w:pPr>
              <w:spacing w:before="20" w:after="20"/>
              <w:rPr>
                <w:rFonts w:ascii="Arial" w:eastAsia="Arial" w:hAnsi="Arial" w:cs="Arial"/>
              </w:rPr>
            </w:pPr>
            <w:r w:rsidRPr="001E722E">
              <w:rPr>
                <w:rFonts w:ascii="Arial" w:eastAsia="Arial" w:hAnsi="Arial" w:cs="Arial"/>
                <w:sz w:val="18"/>
                <w:szCs w:val="18"/>
              </w:rPr>
              <w:t>Statistical factsheet</w:t>
            </w:r>
          </w:p>
        </w:tc>
        <w:tc>
          <w:tcPr>
            <w:tcW w:w="2026" w:type="dxa"/>
            <w:tcBorders>
              <w:top w:val="single" w:sz="4" w:space="0" w:color="000000"/>
              <w:left w:val="single" w:sz="4" w:space="0" w:color="000000"/>
              <w:bottom w:val="single" w:sz="4" w:space="0" w:color="000000"/>
              <w:right w:val="single" w:sz="4" w:space="0" w:color="000000"/>
            </w:tcBorders>
          </w:tcPr>
          <w:p w14:paraId="6126510F" w14:textId="77777777" w:rsidR="00955984" w:rsidRPr="001E722E" w:rsidRDefault="00161751">
            <w:pPr>
              <w:spacing w:before="20" w:after="20"/>
              <w:rPr>
                <w:rFonts w:ascii="Arial" w:eastAsia="Arial" w:hAnsi="Arial" w:cs="Arial"/>
              </w:rPr>
            </w:pPr>
            <w:r w:rsidRPr="001E722E">
              <w:rPr>
                <w:rFonts w:ascii="Arial" w:eastAsia="Arial" w:hAnsi="Arial" w:cs="Arial"/>
                <w:sz w:val="18"/>
                <w:szCs w:val="18"/>
              </w:rPr>
              <w:t>Grey literature – no CASP checklist applies</w:t>
            </w:r>
          </w:p>
        </w:tc>
        <w:tc>
          <w:tcPr>
            <w:tcW w:w="900" w:type="dxa"/>
            <w:tcBorders>
              <w:top w:val="single" w:sz="4" w:space="0" w:color="000000"/>
              <w:left w:val="single" w:sz="4" w:space="0" w:color="000000"/>
              <w:bottom w:val="single" w:sz="4" w:space="0" w:color="000000"/>
              <w:right w:val="single" w:sz="4" w:space="0" w:color="000000"/>
            </w:tcBorders>
          </w:tcPr>
          <w:p w14:paraId="16009859" w14:textId="77777777" w:rsidR="00955984" w:rsidRPr="001E722E" w:rsidRDefault="00161751">
            <w:pPr>
              <w:spacing w:before="20" w:after="20"/>
              <w:rPr>
                <w:rFonts w:ascii="Arial" w:eastAsia="Arial" w:hAnsi="Arial" w:cs="Arial"/>
              </w:rPr>
            </w:pPr>
            <w:r w:rsidRPr="001E722E">
              <w:rPr>
                <w:rFonts w:ascii="Arial" w:eastAsia="Arial" w:hAnsi="Arial" w:cs="Arial"/>
                <w:sz w:val="18"/>
                <w:szCs w:val="18"/>
              </w:rPr>
              <w:t>4/10</w:t>
            </w:r>
          </w:p>
        </w:tc>
        <w:tc>
          <w:tcPr>
            <w:tcW w:w="1400" w:type="dxa"/>
            <w:tcBorders>
              <w:top w:val="single" w:sz="4" w:space="0" w:color="000000"/>
              <w:left w:val="single" w:sz="4" w:space="0" w:color="000000"/>
              <w:bottom w:val="single" w:sz="4" w:space="0" w:color="000000"/>
              <w:right w:val="single" w:sz="4" w:space="0" w:color="000000"/>
            </w:tcBorders>
          </w:tcPr>
          <w:p w14:paraId="2FE15763" w14:textId="77777777" w:rsidR="00955984" w:rsidRPr="001E722E" w:rsidRDefault="00161751">
            <w:pPr>
              <w:spacing w:before="20" w:after="20"/>
              <w:rPr>
                <w:rFonts w:ascii="Arial" w:eastAsia="Arial" w:hAnsi="Arial" w:cs="Arial"/>
              </w:rPr>
            </w:pPr>
            <w:r w:rsidRPr="001E722E">
              <w:rPr>
                <w:rFonts w:ascii="Arial" w:eastAsia="Arial" w:hAnsi="Arial" w:cs="Arial"/>
                <w:sz w:val="18"/>
                <w:szCs w:val="18"/>
              </w:rPr>
              <w:t>Low</w:t>
            </w:r>
          </w:p>
        </w:tc>
      </w:tr>
      <w:tr w:rsidR="00955984" w:rsidRPr="001E722E" w14:paraId="43BC6FCF" w14:textId="77777777">
        <w:trPr>
          <w:cantSplit/>
        </w:trPr>
        <w:tc>
          <w:tcPr>
            <w:tcW w:w="640" w:type="dxa"/>
            <w:tcBorders>
              <w:top w:val="single" w:sz="4" w:space="0" w:color="000000"/>
              <w:left w:val="single" w:sz="4" w:space="0" w:color="000000"/>
              <w:bottom w:val="single" w:sz="4" w:space="0" w:color="000000"/>
              <w:right w:val="single" w:sz="4" w:space="0" w:color="000000"/>
            </w:tcBorders>
          </w:tcPr>
          <w:p w14:paraId="6EEF2BE9" w14:textId="77777777" w:rsidR="00955984" w:rsidRPr="001E722E" w:rsidRDefault="00161751">
            <w:pPr>
              <w:spacing w:before="20" w:after="20"/>
              <w:rPr>
                <w:rFonts w:ascii="Arial" w:eastAsia="Arial" w:hAnsi="Arial" w:cs="Arial"/>
              </w:rPr>
            </w:pPr>
            <w:r w:rsidRPr="001E722E">
              <w:rPr>
                <w:rFonts w:ascii="Arial" w:eastAsia="Arial" w:hAnsi="Arial" w:cs="Arial"/>
                <w:sz w:val="18"/>
                <w:szCs w:val="18"/>
              </w:rPr>
              <w:t>5</w:t>
            </w:r>
          </w:p>
        </w:tc>
        <w:tc>
          <w:tcPr>
            <w:tcW w:w="2060" w:type="dxa"/>
            <w:tcBorders>
              <w:top w:val="single" w:sz="4" w:space="0" w:color="000000"/>
              <w:left w:val="single" w:sz="4" w:space="0" w:color="000000"/>
              <w:bottom w:val="single" w:sz="4" w:space="0" w:color="000000"/>
              <w:right w:val="single" w:sz="4" w:space="0" w:color="000000"/>
            </w:tcBorders>
          </w:tcPr>
          <w:p w14:paraId="6874771D" w14:textId="77777777" w:rsidR="00955984" w:rsidRPr="001E722E" w:rsidRDefault="00161751">
            <w:pPr>
              <w:spacing w:before="20" w:after="20"/>
              <w:rPr>
                <w:rFonts w:ascii="Arial" w:eastAsia="Arial" w:hAnsi="Arial" w:cs="Arial"/>
              </w:rPr>
            </w:pPr>
            <w:r w:rsidRPr="001E722E">
              <w:rPr>
                <w:rFonts w:ascii="Arial" w:eastAsia="Arial" w:hAnsi="Arial" w:cs="Arial"/>
                <w:sz w:val="18"/>
                <w:szCs w:val="18"/>
              </w:rPr>
              <w:t>Norman and Fitter (1989)</w:t>
            </w:r>
          </w:p>
        </w:tc>
        <w:tc>
          <w:tcPr>
            <w:tcW w:w="2000" w:type="dxa"/>
            <w:tcBorders>
              <w:top w:val="single" w:sz="4" w:space="0" w:color="000000"/>
              <w:left w:val="single" w:sz="4" w:space="0" w:color="000000"/>
              <w:bottom w:val="single" w:sz="4" w:space="0" w:color="000000"/>
              <w:right w:val="single" w:sz="4" w:space="0" w:color="000000"/>
            </w:tcBorders>
          </w:tcPr>
          <w:p w14:paraId="570A7BE9" w14:textId="77777777" w:rsidR="00955984" w:rsidRPr="001E722E" w:rsidRDefault="00161751">
            <w:pPr>
              <w:spacing w:before="20" w:after="20"/>
              <w:rPr>
                <w:rFonts w:ascii="Arial" w:eastAsia="Arial" w:hAnsi="Arial" w:cs="Arial"/>
              </w:rPr>
            </w:pPr>
            <w:r w:rsidRPr="001E722E">
              <w:rPr>
                <w:rFonts w:ascii="Arial" w:eastAsia="Arial" w:hAnsi="Arial" w:cs="Arial"/>
                <w:sz w:val="18"/>
                <w:szCs w:val="18"/>
              </w:rPr>
              <w:t>Cross-sectional questionnaire study</w:t>
            </w:r>
          </w:p>
        </w:tc>
        <w:tc>
          <w:tcPr>
            <w:tcW w:w="2026" w:type="dxa"/>
            <w:tcBorders>
              <w:top w:val="single" w:sz="4" w:space="0" w:color="000000"/>
              <w:left w:val="single" w:sz="4" w:space="0" w:color="000000"/>
              <w:bottom w:val="single" w:sz="4" w:space="0" w:color="000000"/>
              <w:right w:val="single" w:sz="4" w:space="0" w:color="000000"/>
            </w:tcBorders>
          </w:tcPr>
          <w:p w14:paraId="48407475" w14:textId="77777777" w:rsidR="00955984" w:rsidRPr="001E722E" w:rsidRDefault="00161751">
            <w:pPr>
              <w:spacing w:before="20" w:after="20"/>
              <w:rPr>
                <w:rFonts w:ascii="Arial" w:eastAsia="Arial" w:hAnsi="Arial" w:cs="Arial"/>
              </w:rPr>
            </w:pPr>
            <w:r w:rsidRPr="001E722E">
              <w:rPr>
                <w:rFonts w:ascii="Arial" w:eastAsia="Arial" w:hAnsi="Arial" w:cs="Arial"/>
                <w:sz w:val="18"/>
                <w:szCs w:val="18"/>
              </w:rPr>
              <w:t>CASP Cohort Study checklist (adapted for cross-sectional design)</w:t>
            </w:r>
          </w:p>
        </w:tc>
        <w:tc>
          <w:tcPr>
            <w:tcW w:w="900" w:type="dxa"/>
            <w:tcBorders>
              <w:top w:val="single" w:sz="4" w:space="0" w:color="000000"/>
              <w:left w:val="single" w:sz="4" w:space="0" w:color="000000"/>
              <w:bottom w:val="single" w:sz="4" w:space="0" w:color="000000"/>
              <w:right w:val="single" w:sz="4" w:space="0" w:color="000000"/>
            </w:tcBorders>
          </w:tcPr>
          <w:p w14:paraId="6BC08C09" w14:textId="77777777" w:rsidR="00955984" w:rsidRPr="001E722E" w:rsidRDefault="00161751">
            <w:pPr>
              <w:spacing w:before="20" w:after="20"/>
              <w:rPr>
                <w:rFonts w:ascii="Arial" w:eastAsia="Arial" w:hAnsi="Arial" w:cs="Arial"/>
              </w:rPr>
            </w:pPr>
            <w:r w:rsidRPr="001E722E">
              <w:rPr>
                <w:rFonts w:ascii="Arial" w:eastAsia="Arial" w:hAnsi="Arial" w:cs="Arial"/>
                <w:sz w:val="18"/>
                <w:szCs w:val="18"/>
              </w:rPr>
              <w:t>7/10</w:t>
            </w:r>
          </w:p>
        </w:tc>
        <w:tc>
          <w:tcPr>
            <w:tcW w:w="1400" w:type="dxa"/>
            <w:tcBorders>
              <w:top w:val="single" w:sz="4" w:space="0" w:color="000000"/>
              <w:left w:val="single" w:sz="4" w:space="0" w:color="000000"/>
              <w:bottom w:val="single" w:sz="4" w:space="0" w:color="000000"/>
              <w:right w:val="single" w:sz="4" w:space="0" w:color="000000"/>
            </w:tcBorders>
          </w:tcPr>
          <w:p w14:paraId="54C925D0" w14:textId="77777777" w:rsidR="00955984" w:rsidRPr="001E722E" w:rsidRDefault="00161751">
            <w:pPr>
              <w:spacing w:before="20" w:after="20"/>
              <w:rPr>
                <w:rFonts w:ascii="Arial" w:eastAsia="Arial" w:hAnsi="Arial" w:cs="Arial"/>
              </w:rPr>
            </w:pPr>
            <w:r w:rsidRPr="001E722E">
              <w:rPr>
                <w:rFonts w:ascii="Arial" w:eastAsia="Arial" w:hAnsi="Arial" w:cs="Arial"/>
                <w:sz w:val="18"/>
                <w:szCs w:val="18"/>
              </w:rPr>
              <w:t>Moderate</w:t>
            </w:r>
          </w:p>
        </w:tc>
      </w:tr>
      <w:tr w:rsidR="00955984" w:rsidRPr="001E722E" w14:paraId="760C3B9E" w14:textId="77777777">
        <w:trPr>
          <w:cantSplit/>
        </w:trPr>
        <w:tc>
          <w:tcPr>
            <w:tcW w:w="640" w:type="dxa"/>
            <w:tcBorders>
              <w:top w:val="single" w:sz="4" w:space="0" w:color="000000"/>
              <w:left w:val="single" w:sz="4" w:space="0" w:color="000000"/>
              <w:bottom w:val="single" w:sz="4" w:space="0" w:color="000000"/>
              <w:right w:val="single" w:sz="4" w:space="0" w:color="000000"/>
            </w:tcBorders>
          </w:tcPr>
          <w:p w14:paraId="2F1A2A79" w14:textId="77777777" w:rsidR="00955984" w:rsidRPr="001E722E" w:rsidRDefault="00161751">
            <w:pPr>
              <w:spacing w:before="20" w:after="20"/>
              <w:rPr>
                <w:rFonts w:ascii="Arial" w:eastAsia="Arial" w:hAnsi="Arial" w:cs="Arial"/>
              </w:rPr>
            </w:pPr>
            <w:r w:rsidRPr="001E722E">
              <w:rPr>
                <w:rFonts w:ascii="Arial" w:eastAsia="Arial" w:hAnsi="Arial" w:cs="Arial"/>
                <w:sz w:val="18"/>
                <w:szCs w:val="18"/>
              </w:rPr>
              <w:t>6</w:t>
            </w:r>
          </w:p>
        </w:tc>
        <w:tc>
          <w:tcPr>
            <w:tcW w:w="2060" w:type="dxa"/>
            <w:tcBorders>
              <w:top w:val="single" w:sz="4" w:space="0" w:color="000000"/>
              <w:left w:val="single" w:sz="4" w:space="0" w:color="000000"/>
              <w:bottom w:val="single" w:sz="4" w:space="0" w:color="000000"/>
              <w:right w:val="single" w:sz="4" w:space="0" w:color="000000"/>
            </w:tcBorders>
          </w:tcPr>
          <w:p w14:paraId="19DC285F" w14:textId="77777777" w:rsidR="00955984" w:rsidRPr="001E722E" w:rsidRDefault="00161751">
            <w:pPr>
              <w:spacing w:before="20" w:after="20"/>
              <w:rPr>
                <w:rFonts w:ascii="Arial" w:eastAsia="Arial" w:hAnsi="Arial" w:cs="Arial"/>
              </w:rPr>
            </w:pPr>
            <w:r w:rsidRPr="001E722E">
              <w:rPr>
                <w:rFonts w:ascii="Arial" w:eastAsia="Arial" w:hAnsi="Arial" w:cs="Arial"/>
                <w:sz w:val="18"/>
                <w:szCs w:val="18"/>
              </w:rPr>
              <w:t>Taylor and Bell (2025)</w:t>
            </w:r>
          </w:p>
        </w:tc>
        <w:tc>
          <w:tcPr>
            <w:tcW w:w="2000" w:type="dxa"/>
            <w:tcBorders>
              <w:top w:val="single" w:sz="4" w:space="0" w:color="000000"/>
              <w:left w:val="single" w:sz="4" w:space="0" w:color="000000"/>
              <w:bottom w:val="single" w:sz="4" w:space="0" w:color="000000"/>
              <w:right w:val="single" w:sz="4" w:space="0" w:color="000000"/>
            </w:tcBorders>
          </w:tcPr>
          <w:p w14:paraId="2E0571C5" w14:textId="77777777" w:rsidR="00955984" w:rsidRPr="001E722E" w:rsidRDefault="00161751">
            <w:pPr>
              <w:spacing w:before="20" w:after="20"/>
              <w:rPr>
                <w:rFonts w:ascii="Arial" w:eastAsia="Arial" w:hAnsi="Arial" w:cs="Arial"/>
              </w:rPr>
            </w:pPr>
            <w:r w:rsidRPr="001E722E">
              <w:rPr>
                <w:rFonts w:ascii="Arial" w:eastAsia="Arial" w:hAnsi="Arial" w:cs="Arial"/>
                <w:sz w:val="18"/>
                <w:szCs w:val="18"/>
              </w:rPr>
              <w:t>Systematic review</w:t>
            </w:r>
          </w:p>
        </w:tc>
        <w:tc>
          <w:tcPr>
            <w:tcW w:w="2026" w:type="dxa"/>
            <w:tcBorders>
              <w:top w:val="single" w:sz="4" w:space="0" w:color="000000"/>
              <w:left w:val="single" w:sz="4" w:space="0" w:color="000000"/>
              <w:bottom w:val="single" w:sz="4" w:space="0" w:color="000000"/>
              <w:right w:val="single" w:sz="4" w:space="0" w:color="000000"/>
            </w:tcBorders>
          </w:tcPr>
          <w:p w14:paraId="21EA6151" w14:textId="77777777" w:rsidR="00955984" w:rsidRPr="001E722E" w:rsidRDefault="00161751">
            <w:pPr>
              <w:spacing w:before="20" w:after="20"/>
              <w:rPr>
                <w:rFonts w:ascii="Arial" w:eastAsia="Arial" w:hAnsi="Arial" w:cs="Arial"/>
              </w:rPr>
            </w:pPr>
            <w:r w:rsidRPr="001E722E">
              <w:rPr>
                <w:rFonts w:ascii="Arial" w:eastAsia="Arial" w:hAnsi="Arial" w:cs="Arial"/>
                <w:sz w:val="18"/>
                <w:szCs w:val="18"/>
              </w:rPr>
              <w:t>CASP Systematic Review checklist</w:t>
            </w:r>
          </w:p>
        </w:tc>
        <w:tc>
          <w:tcPr>
            <w:tcW w:w="900" w:type="dxa"/>
            <w:tcBorders>
              <w:top w:val="single" w:sz="4" w:space="0" w:color="000000"/>
              <w:left w:val="single" w:sz="4" w:space="0" w:color="000000"/>
              <w:bottom w:val="single" w:sz="4" w:space="0" w:color="000000"/>
              <w:right w:val="single" w:sz="4" w:space="0" w:color="000000"/>
            </w:tcBorders>
          </w:tcPr>
          <w:p w14:paraId="37A43698" w14:textId="77777777" w:rsidR="00955984" w:rsidRPr="001E722E" w:rsidRDefault="00161751">
            <w:pPr>
              <w:spacing w:before="20" w:after="20"/>
              <w:rPr>
                <w:rFonts w:ascii="Arial" w:eastAsia="Arial" w:hAnsi="Arial" w:cs="Arial"/>
              </w:rPr>
            </w:pPr>
            <w:r w:rsidRPr="001E722E">
              <w:rPr>
                <w:rFonts w:ascii="Arial" w:eastAsia="Arial" w:hAnsi="Arial" w:cs="Arial"/>
                <w:sz w:val="18"/>
                <w:szCs w:val="18"/>
              </w:rPr>
              <w:t>8/10</w:t>
            </w:r>
          </w:p>
        </w:tc>
        <w:tc>
          <w:tcPr>
            <w:tcW w:w="1400" w:type="dxa"/>
            <w:tcBorders>
              <w:top w:val="single" w:sz="4" w:space="0" w:color="000000"/>
              <w:left w:val="single" w:sz="4" w:space="0" w:color="000000"/>
              <w:bottom w:val="single" w:sz="4" w:space="0" w:color="000000"/>
              <w:right w:val="single" w:sz="4" w:space="0" w:color="000000"/>
            </w:tcBorders>
          </w:tcPr>
          <w:p w14:paraId="31CF3AB7" w14:textId="77777777" w:rsidR="00955984" w:rsidRPr="001E722E" w:rsidRDefault="00161751">
            <w:pPr>
              <w:spacing w:before="20" w:after="20"/>
              <w:rPr>
                <w:rFonts w:ascii="Arial" w:eastAsia="Arial" w:hAnsi="Arial" w:cs="Arial"/>
              </w:rPr>
            </w:pPr>
            <w:r w:rsidRPr="001E722E">
              <w:rPr>
                <w:rFonts w:ascii="Arial" w:eastAsia="Arial" w:hAnsi="Arial" w:cs="Arial"/>
                <w:sz w:val="18"/>
                <w:szCs w:val="18"/>
              </w:rPr>
              <w:t>High</w:t>
            </w:r>
          </w:p>
        </w:tc>
      </w:tr>
      <w:tr w:rsidR="00955984" w:rsidRPr="001E722E" w14:paraId="0D6DB162" w14:textId="77777777">
        <w:trPr>
          <w:cantSplit/>
        </w:trPr>
        <w:tc>
          <w:tcPr>
            <w:tcW w:w="640" w:type="dxa"/>
            <w:tcBorders>
              <w:top w:val="single" w:sz="4" w:space="0" w:color="000000"/>
              <w:left w:val="single" w:sz="4" w:space="0" w:color="000000"/>
              <w:bottom w:val="single" w:sz="4" w:space="0" w:color="000000"/>
              <w:right w:val="single" w:sz="4" w:space="0" w:color="000000"/>
            </w:tcBorders>
          </w:tcPr>
          <w:p w14:paraId="4E5824FE" w14:textId="77777777" w:rsidR="00955984" w:rsidRPr="001E722E" w:rsidRDefault="00161751">
            <w:pPr>
              <w:spacing w:before="20" w:after="20"/>
              <w:rPr>
                <w:rFonts w:ascii="Arial" w:eastAsia="Arial" w:hAnsi="Arial" w:cs="Arial"/>
              </w:rPr>
            </w:pPr>
            <w:r w:rsidRPr="001E722E">
              <w:rPr>
                <w:rFonts w:ascii="Arial" w:eastAsia="Arial" w:hAnsi="Arial" w:cs="Arial"/>
                <w:sz w:val="18"/>
                <w:szCs w:val="18"/>
              </w:rPr>
              <w:t>7</w:t>
            </w:r>
          </w:p>
        </w:tc>
        <w:tc>
          <w:tcPr>
            <w:tcW w:w="2060" w:type="dxa"/>
            <w:tcBorders>
              <w:top w:val="single" w:sz="4" w:space="0" w:color="000000"/>
              <w:left w:val="single" w:sz="4" w:space="0" w:color="000000"/>
              <w:bottom w:val="single" w:sz="4" w:space="0" w:color="000000"/>
              <w:right w:val="single" w:sz="4" w:space="0" w:color="000000"/>
            </w:tcBorders>
          </w:tcPr>
          <w:p w14:paraId="26900336" w14:textId="77777777" w:rsidR="00955984" w:rsidRPr="001E722E" w:rsidRDefault="00161751">
            <w:pPr>
              <w:spacing w:before="20" w:after="20"/>
              <w:rPr>
                <w:rFonts w:ascii="Arial" w:eastAsia="Arial" w:hAnsi="Arial" w:cs="Arial"/>
              </w:rPr>
            </w:pPr>
            <w:r w:rsidRPr="001E722E">
              <w:rPr>
                <w:rFonts w:ascii="Arial" w:eastAsia="Arial" w:hAnsi="Arial" w:cs="Arial"/>
                <w:sz w:val="18"/>
                <w:szCs w:val="18"/>
              </w:rPr>
              <w:t>Eberhardt et al. (2025)</w:t>
            </w:r>
          </w:p>
        </w:tc>
        <w:tc>
          <w:tcPr>
            <w:tcW w:w="2000" w:type="dxa"/>
            <w:tcBorders>
              <w:top w:val="single" w:sz="4" w:space="0" w:color="000000"/>
              <w:left w:val="single" w:sz="4" w:space="0" w:color="000000"/>
              <w:bottom w:val="single" w:sz="4" w:space="0" w:color="000000"/>
              <w:right w:val="single" w:sz="4" w:space="0" w:color="000000"/>
            </w:tcBorders>
          </w:tcPr>
          <w:p w14:paraId="7DD7E769" w14:textId="77777777" w:rsidR="00955984" w:rsidRPr="001E722E" w:rsidRDefault="00161751">
            <w:pPr>
              <w:spacing w:before="20" w:after="20"/>
              <w:rPr>
                <w:rFonts w:ascii="Arial" w:eastAsia="Arial" w:hAnsi="Arial" w:cs="Arial"/>
              </w:rPr>
            </w:pPr>
            <w:r w:rsidRPr="001E722E">
              <w:rPr>
                <w:rFonts w:ascii="Arial" w:eastAsia="Arial" w:hAnsi="Arial" w:cs="Arial"/>
                <w:sz w:val="18"/>
                <w:szCs w:val="18"/>
              </w:rPr>
              <w:t>Qualitative study with peer researchers</w:t>
            </w:r>
          </w:p>
        </w:tc>
        <w:tc>
          <w:tcPr>
            <w:tcW w:w="2026" w:type="dxa"/>
            <w:tcBorders>
              <w:top w:val="single" w:sz="4" w:space="0" w:color="000000"/>
              <w:left w:val="single" w:sz="4" w:space="0" w:color="000000"/>
              <w:bottom w:val="single" w:sz="4" w:space="0" w:color="000000"/>
              <w:right w:val="single" w:sz="4" w:space="0" w:color="000000"/>
            </w:tcBorders>
          </w:tcPr>
          <w:p w14:paraId="5ED59B35" w14:textId="77777777" w:rsidR="00955984" w:rsidRPr="001E722E" w:rsidRDefault="00161751">
            <w:pPr>
              <w:spacing w:before="20" w:after="20"/>
              <w:rPr>
                <w:rFonts w:ascii="Arial" w:eastAsia="Arial" w:hAnsi="Arial" w:cs="Arial"/>
              </w:rPr>
            </w:pPr>
            <w:r w:rsidRPr="001E722E">
              <w:rPr>
                <w:rFonts w:ascii="Arial" w:eastAsia="Arial" w:hAnsi="Arial" w:cs="Arial"/>
                <w:sz w:val="18"/>
                <w:szCs w:val="18"/>
              </w:rPr>
              <w:t>CASP Qualitative Studies checklist</w:t>
            </w:r>
          </w:p>
        </w:tc>
        <w:tc>
          <w:tcPr>
            <w:tcW w:w="900" w:type="dxa"/>
            <w:tcBorders>
              <w:top w:val="single" w:sz="4" w:space="0" w:color="000000"/>
              <w:left w:val="single" w:sz="4" w:space="0" w:color="000000"/>
              <w:bottom w:val="single" w:sz="4" w:space="0" w:color="000000"/>
              <w:right w:val="single" w:sz="4" w:space="0" w:color="000000"/>
            </w:tcBorders>
          </w:tcPr>
          <w:p w14:paraId="43B02808" w14:textId="77777777" w:rsidR="00955984" w:rsidRPr="001E722E" w:rsidRDefault="00161751">
            <w:pPr>
              <w:spacing w:before="20" w:after="20"/>
              <w:rPr>
                <w:rFonts w:ascii="Arial" w:eastAsia="Arial" w:hAnsi="Arial" w:cs="Arial"/>
              </w:rPr>
            </w:pPr>
            <w:r w:rsidRPr="001E722E">
              <w:rPr>
                <w:rFonts w:ascii="Arial" w:eastAsia="Arial" w:hAnsi="Arial" w:cs="Arial"/>
                <w:sz w:val="18"/>
                <w:szCs w:val="18"/>
              </w:rPr>
              <w:t>10/10</w:t>
            </w:r>
          </w:p>
        </w:tc>
        <w:tc>
          <w:tcPr>
            <w:tcW w:w="1400" w:type="dxa"/>
            <w:tcBorders>
              <w:top w:val="single" w:sz="4" w:space="0" w:color="000000"/>
              <w:left w:val="single" w:sz="4" w:space="0" w:color="000000"/>
              <w:bottom w:val="single" w:sz="4" w:space="0" w:color="000000"/>
              <w:right w:val="single" w:sz="4" w:space="0" w:color="000000"/>
            </w:tcBorders>
          </w:tcPr>
          <w:p w14:paraId="57FC8456" w14:textId="77777777" w:rsidR="00955984" w:rsidRPr="001E722E" w:rsidRDefault="00161751">
            <w:pPr>
              <w:spacing w:before="20" w:after="20"/>
              <w:rPr>
                <w:rFonts w:ascii="Arial" w:eastAsia="Arial" w:hAnsi="Arial" w:cs="Arial"/>
              </w:rPr>
            </w:pPr>
            <w:r w:rsidRPr="001E722E">
              <w:rPr>
                <w:rFonts w:ascii="Arial" w:eastAsia="Arial" w:hAnsi="Arial" w:cs="Arial"/>
                <w:sz w:val="18"/>
                <w:szCs w:val="18"/>
              </w:rPr>
              <w:t>High</w:t>
            </w:r>
          </w:p>
        </w:tc>
      </w:tr>
      <w:tr w:rsidR="00955984" w:rsidRPr="001E722E" w14:paraId="6159A28F" w14:textId="77777777">
        <w:trPr>
          <w:cantSplit/>
        </w:trPr>
        <w:tc>
          <w:tcPr>
            <w:tcW w:w="640" w:type="dxa"/>
            <w:tcBorders>
              <w:top w:val="single" w:sz="4" w:space="0" w:color="000000"/>
              <w:left w:val="single" w:sz="4" w:space="0" w:color="000000"/>
              <w:bottom w:val="single" w:sz="4" w:space="0" w:color="000000"/>
              <w:right w:val="single" w:sz="4" w:space="0" w:color="000000"/>
            </w:tcBorders>
          </w:tcPr>
          <w:p w14:paraId="443AC3C9" w14:textId="77777777" w:rsidR="00955984" w:rsidRPr="001E722E" w:rsidRDefault="00161751">
            <w:pPr>
              <w:spacing w:before="20" w:after="20"/>
              <w:rPr>
                <w:rFonts w:ascii="Arial" w:eastAsia="Arial" w:hAnsi="Arial" w:cs="Arial"/>
              </w:rPr>
            </w:pPr>
            <w:r w:rsidRPr="001E722E">
              <w:rPr>
                <w:rFonts w:ascii="Arial" w:eastAsia="Arial" w:hAnsi="Arial" w:cs="Arial"/>
                <w:sz w:val="18"/>
                <w:szCs w:val="18"/>
              </w:rPr>
              <w:t>8</w:t>
            </w:r>
          </w:p>
        </w:tc>
        <w:tc>
          <w:tcPr>
            <w:tcW w:w="2060" w:type="dxa"/>
            <w:tcBorders>
              <w:top w:val="single" w:sz="4" w:space="0" w:color="000000"/>
              <w:left w:val="single" w:sz="4" w:space="0" w:color="000000"/>
              <w:bottom w:val="single" w:sz="4" w:space="0" w:color="000000"/>
              <w:right w:val="single" w:sz="4" w:space="0" w:color="000000"/>
            </w:tcBorders>
          </w:tcPr>
          <w:p w14:paraId="1D75BEED" w14:textId="77777777" w:rsidR="00955984" w:rsidRPr="001E722E" w:rsidRDefault="00161751">
            <w:pPr>
              <w:spacing w:before="20" w:after="20"/>
              <w:rPr>
                <w:rFonts w:ascii="Arial" w:eastAsia="Arial" w:hAnsi="Arial" w:cs="Arial"/>
              </w:rPr>
            </w:pPr>
            <w:r w:rsidRPr="001E722E">
              <w:rPr>
                <w:rFonts w:ascii="Arial" w:eastAsia="Arial" w:hAnsi="Arial" w:cs="Arial"/>
                <w:sz w:val="18"/>
                <w:szCs w:val="18"/>
              </w:rPr>
              <w:t>Patel et al. (2020)</w:t>
            </w:r>
          </w:p>
        </w:tc>
        <w:tc>
          <w:tcPr>
            <w:tcW w:w="2000" w:type="dxa"/>
            <w:tcBorders>
              <w:top w:val="single" w:sz="4" w:space="0" w:color="000000"/>
              <w:left w:val="single" w:sz="4" w:space="0" w:color="000000"/>
              <w:bottom w:val="single" w:sz="4" w:space="0" w:color="000000"/>
              <w:right w:val="single" w:sz="4" w:space="0" w:color="000000"/>
            </w:tcBorders>
          </w:tcPr>
          <w:p w14:paraId="492A59D2" w14:textId="77777777" w:rsidR="00955984" w:rsidRPr="001E722E" w:rsidRDefault="00161751">
            <w:pPr>
              <w:spacing w:before="20" w:after="20"/>
              <w:rPr>
                <w:rFonts w:ascii="Arial" w:eastAsia="Arial" w:hAnsi="Arial" w:cs="Arial"/>
              </w:rPr>
            </w:pPr>
            <w:r w:rsidRPr="001E722E">
              <w:rPr>
                <w:rFonts w:ascii="Arial" w:eastAsia="Arial" w:hAnsi="Arial" w:cs="Arial"/>
                <w:sz w:val="18"/>
                <w:szCs w:val="18"/>
              </w:rPr>
              <w:t>Cross-sectional study (9.5 million records)</w:t>
            </w:r>
          </w:p>
        </w:tc>
        <w:tc>
          <w:tcPr>
            <w:tcW w:w="2026" w:type="dxa"/>
            <w:tcBorders>
              <w:top w:val="single" w:sz="4" w:space="0" w:color="000000"/>
              <w:left w:val="single" w:sz="4" w:space="0" w:color="000000"/>
              <w:bottom w:val="single" w:sz="4" w:space="0" w:color="000000"/>
              <w:right w:val="single" w:sz="4" w:space="0" w:color="000000"/>
            </w:tcBorders>
          </w:tcPr>
          <w:p w14:paraId="78C4B151" w14:textId="77777777" w:rsidR="00955984" w:rsidRPr="001E722E" w:rsidRDefault="00161751">
            <w:pPr>
              <w:spacing w:before="20" w:after="20"/>
              <w:rPr>
                <w:rFonts w:ascii="Arial" w:eastAsia="Arial" w:hAnsi="Arial" w:cs="Arial"/>
              </w:rPr>
            </w:pPr>
            <w:r w:rsidRPr="001E722E">
              <w:rPr>
                <w:rFonts w:ascii="Arial" w:eastAsia="Arial" w:hAnsi="Arial" w:cs="Arial"/>
                <w:sz w:val="18"/>
                <w:szCs w:val="18"/>
              </w:rPr>
              <w:t>CASP Cohort Study checklist (adapted for cross-sectional design)</w:t>
            </w:r>
          </w:p>
        </w:tc>
        <w:tc>
          <w:tcPr>
            <w:tcW w:w="900" w:type="dxa"/>
            <w:tcBorders>
              <w:top w:val="single" w:sz="4" w:space="0" w:color="000000"/>
              <w:left w:val="single" w:sz="4" w:space="0" w:color="000000"/>
              <w:bottom w:val="single" w:sz="4" w:space="0" w:color="000000"/>
              <w:right w:val="single" w:sz="4" w:space="0" w:color="000000"/>
            </w:tcBorders>
          </w:tcPr>
          <w:p w14:paraId="2CD35D13" w14:textId="77777777" w:rsidR="00955984" w:rsidRPr="001E722E" w:rsidRDefault="00161751">
            <w:pPr>
              <w:spacing w:before="20" w:after="20"/>
              <w:rPr>
                <w:rFonts w:ascii="Arial" w:eastAsia="Arial" w:hAnsi="Arial" w:cs="Arial"/>
              </w:rPr>
            </w:pPr>
            <w:r w:rsidRPr="001E722E">
              <w:rPr>
                <w:rFonts w:ascii="Arial" w:eastAsia="Arial" w:hAnsi="Arial" w:cs="Arial"/>
                <w:sz w:val="18"/>
                <w:szCs w:val="18"/>
              </w:rPr>
              <w:t>9/10</w:t>
            </w:r>
          </w:p>
        </w:tc>
        <w:tc>
          <w:tcPr>
            <w:tcW w:w="1400" w:type="dxa"/>
            <w:tcBorders>
              <w:top w:val="single" w:sz="4" w:space="0" w:color="000000"/>
              <w:left w:val="single" w:sz="4" w:space="0" w:color="000000"/>
              <w:bottom w:val="single" w:sz="4" w:space="0" w:color="000000"/>
              <w:right w:val="single" w:sz="4" w:space="0" w:color="000000"/>
            </w:tcBorders>
          </w:tcPr>
          <w:p w14:paraId="43A66410" w14:textId="77777777" w:rsidR="00955984" w:rsidRPr="001E722E" w:rsidRDefault="00161751">
            <w:pPr>
              <w:spacing w:before="20" w:after="20"/>
              <w:rPr>
                <w:rFonts w:ascii="Arial" w:eastAsia="Arial" w:hAnsi="Arial" w:cs="Arial"/>
              </w:rPr>
            </w:pPr>
            <w:r w:rsidRPr="001E722E">
              <w:rPr>
                <w:rFonts w:ascii="Arial" w:eastAsia="Arial" w:hAnsi="Arial" w:cs="Arial"/>
                <w:sz w:val="18"/>
                <w:szCs w:val="18"/>
              </w:rPr>
              <w:t>High</w:t>
            </w:r>
          </w:p>
        </w:tc>
      </w:tr>
      <w:tr w:rsidR="00955984" w:rsidRPr="001E722E" w14:paraId="66893ECD" w14:textId="77777777">
        <w:trPr>
          <w:cantSplit/>
        </w:trPr>
        <w:tc>
          <w:tcPr>
            <w:tcW w:w="640" w:type="dxa"/>
            <w:tcBorders>
              <w:top w:val="single" w:sz="4" w:space="0" w:color="000000"/>
              <w:left w:val="single" w:sz="4" w:space="0" w:color="000000"/>
              <w:bottom w:val="single" w:sz="4" w:space="0" w:color="000000"/>
              <w:right w:val="single" w:sz="4" w:space="0" w:color="000000"/>
            </w:tcBorders>
          </w:tcPr>
          <w:p w14:paraId="46BE459B" w14:textId="77777777" w:rsidR="00955984" w:rsidRPr="001E722E" w:rsidRDefault="00161751">
            <w:pPr>
              <w:spacing w:before="20" w:after="20"/>
              <w:rPr>
                <w:rFonts w:ascii="Arial" w:eastAsia="Arial" w:hAnsi="Arial" w:cs="Arial"/>
              </w:rPr>
            </w:pPr>
            <w:r w:rsidRPr="001E722E">
              <w:rPr>
                <w:rFonts w:ascii="Arial" w:eastAsia="Arial" w:hAnsi="Arial" w:cs="Arial"/>
                <w:sz w:val="18"/>
                <w:szCs w:val="18"/>
              </w:rPr>
              <w:t>9</w:t>
            </w:r>
          </w:p>
        </w:tc>
        <w:tc>
          <w:tcPr>
            <w:tcW w:w="2060" w:type="dxa"/>
            <w:tcBorders>
              <w:top w:val="single" w:sz="4" w:space="0" w:color="000000"/>
              <w:left w:val="single" w:sz="4" w:space="0" w:color="000000"/>
              <w:bottom w:val="single" w:sz="4" w:space="0" w:color="000000"/>
              <w:right w:val="single" w:sz="4" w:space="0" w:color="000000"/>
            </w:tcBorders>
          </w:tcPr>
          <w:p w14:paraId="0C81163E" w14:textId="77777777" w:rsidR="00955984" w:rsidRPr="001E722E" w:rsidRDefault="00161751">
            <w:pPr>
              <w:spacing w:before="20" w:after="20"/>
              <w:rPr>
                <w:rFonts w:ascii="Arial" w:eastAsia="Arial" w:hAnsi="Arial" w:cs="Arial"/>
              </w:rPr>
            </w:pPr>
            <w:r w:rsidRPr="001E722E">
              <w:rPr>
                <w:rFonts w:ascii="Arial" w:eastAsia="Arial" w:hAnsi="Arial" w:cs="Arial"/>
                <w:sz w:val="18"/>
                <w:szCs w:val="18"/>
              </w:rPr>
              <w:t>Robson et al. (2021)</w:t>
            </w:r>
          </w:p>
        </w:tc>
        <w:tc>
          <w:tcPr>
            <w:tcW w:w="2000" w:type="dxa"/>
            <w:tcBorders>
              <w:top w:val="single" w:sz="4" w:space="0" w:color="000000"/>
              <w:left w:val="single" w:sz="4" w:space="0" w:color="000000"/>
              <w:bottom w:val="single" w:sz="4" w:space="0" w:color="000000"/>
              <w:right w:val="single" w:sz="4" w:space="0" w:color="000000"/>
            </w:tcBorders>
          </w:tcPr>
          <w:p w14:paraId="4F3EEE36" w14:textId="77777777" w:rsidR="00955984" w:rsidRPr="001E722E" w:rsidRDefault="00161751">
            <w:pPr>
              <w:spacing w:before="20" w:after="20"/>
              <w:rPr>
                <w:rFonts w:ascii="Arial" w:eastAsia="Arial" w:hAnsi="Arial" w:cs="Arial"/>
              </w:rPr>
            </w:pPr>
            <w:r w:rsidRPr="001E722E">
              <w:rPr>
                <w:rFonts w:ascii="Arial" w:eastAsia="Arial" w:hAnsi="Arial" w:cs="Arial"/>
                <w:sz w:val="18"/>
                <w:szCs w:val="18"/>
              </w:rPr>
              <w:t>Observational cohort study</w:t>
            </w:r>
          </w:p>
        </w:tc>
        <w:tc>
          <w:tcPr>
            <w:tcW w:w="2026" w:type="dxa"/>
            <w:tcBorders>
              <w:top w:val="single" w:sz="4" w:space="0" w:color="000000"/>
              <w:left w:val="single" w:sz="4" w:space="0" w:color="000000"/>
              <w:bottom w:val="single" w:sz="4" w:space="0" w:color="000000"/>
              <w:right w:val="single" w:sz="4" w:space="0" w:color="000000"/>
            </w:tcBorders>
          </w:tcPr>
          <w:p w14:paraId="3C457578" w14:textId="77777777" w:rsidR="00955984" w:rsidRPr="001E722E" w:rsidRDefault="00161751">
            <w:pPr>
              <w:spacing w:before="20" w:after="20"/>
              <w:rPr>
                <w:rFonts w:ascii="Arial" w:eastAsia="Arial" w:hAnsi="Arial" w:cs="Arial"/>
              </w:rPr>
            </w:pPr>
            <w:r w:rsidRPr="001E722E">
              <w:rPr>
                <w:rFonts w:ascii="Arial" w:eastAsia="Arial" w:hAnsi="Arial" w:cs="Arial"/>
                <w:sz w:val="18"/>
                <w:szCs w:val="18"/>
              </w:rPr>
              <w:t>CASP Cohort Study checklist</w:t>
            </w:r>
          </w:p>
        </w:tc>
        <w:tc>
          <w:tcPr>
            <w:tcW w:w="900" w:type="dxa"/>
            <w:tcBorders>
              <w:top w:val="single" w:sz="4" w:space="0" w:color="000000"/>
              <w:left w:val="single" w:sz="4" w:space="0" w:color="000000"/>
              <w:bottom w:val="single" w:sz="4" w:space="0" w:color="000000"/>
              <w:right w:val="single" w:sz="4" w:space="0" w:color="000000"/>
            </w:tcBorders>
          </w:tcPr>
          <w:p w14:paraId="4FB84CFE" w14:textId="77777777" w:rsidR="00955984" w:rsidRPr="001E722E" w:rsidRDefault="00161751">
            <w:pPr>
              <w:spacing w:before="20" w:after="20"/>
              <w:rPr>
                <w:rFonts w:ascii="Arial" w:eastAsia="Arial" w:hAnsi="Arial" w:cs="Arial"/>
              </w:rPr>
            </w:pPr>
            <w:r w:rsidRPr="001E722E">
              <w:rPr>
                <w:rFonts w:ascii="Arial" w:eastAsia="Arial" w:hAnsi="Arial" w:cs="Arial"/>
                <w:sz w:val="18"/>
                <w:szCs w:val="18"/>
              </w:rPr>
              <w:t>11/12</w:t>
            </w:r>
          </w:p>
        </w:tc>
        <w:tc>
          <w:tcPr>
            <w:tcW w:w="1400" w:type="dxa"/>
            <w:tcBorders>
              <w:top w:val="single" w:sz="4" w:space="0" w:color="000000"/>
              <w:left w:val="single" w:sz="4" w:space="0" w:color="000000"/>
              <w:bottom w:val="single" w:sz="4" w:space="0" w:color="000000"/>
              <w:right w:val="single" w:sz="4" w:space="0" w:color="000000"/>
            </w:tcBorders>
          </w:tcPr>
          <w:p w14:paraId="6C6E824A" w14:textId="77777777" w:rsidR="00955984" w:rsidRPr="001E722E" w:rsidRDefault="00161751">
            <w:pPr>
              <w:spacing w:before="20" w:after="20"/>
              <w:rPr>
                <w:rFonts w:ascii="Arial" w:eastAsia="Arial" w:hAnsi="Arial" w:cs="Arial"/>
              </w:rPr>
            </w:pPr>
            <w:r w:rsidRPr="001E722E">
              <w:rPr>
                <w:rFonts w:ascii="Arial" w:eastAsia="Arial" w:hAnsi="Arial" w:cs="Arial"/>
                <w:sz w:val="18"/>
                <w:szCs w:val="18"/>
              </w:rPr>
              <w:t>High</w:t>
            </w:r>
          </w:p>
        </w:tc>
      </w:tr>
      <w:tr w:rsidR="00955984" w:rsidRPr="001E722E" w14:paraId="245D8D21" w14:textId="77777777">
        <w:trPr>
          <w:cantSplit/>
        </w:trPr>
        <w:tc>
          <w:tcPr>
            <w:tcW w:w="640" w:type="dxa"/>
            <w:tcBorders>
              <w:top w:val="single" w:sz="4" w:space="0" w:color="000000"/>
              <w:left w:val="single" w:sz="4" w:space="0" w:color="000000"/>
              <w:bottom w:val="single" w:sz="4" w:space="0" w:color="000000"/>
              <w:right w:val="single" w:sz="4" w:space="0" w:color="000000"/>
            </w:tcBorders>
          </w:tcPr>
          <w:p w14:paraId="3A3B2A4C" w14:textId="77777777" w:rsidR="00955984" w:rsidRPr="001E722E" w:rsidRDefault="00161751">
            <w:pPr>
              <w:spacing w:before="20" w:after="20"/>
              <w:rPr>
                <w:rFonts w:ascii="Arial" w:eastAsia="Arial" w:hAnsi="Arial" w:cs="Arial"/>
              </w:rPr>
            </w:pPr>
            <w:r w:rsidRPr="001E722E">
              <w:rPr>
                <w:rFonts w:ascii="Arial" w:eastAsia="Arial" w:hAnsi="Arial" w:cs="Arial"/>
                <w:sz w:val="18"/>
                <w:szCs w:val="18"/>
              </w:rPr>
              <w:t>10</w:t>
            </w:r>
          </w:p>
        </w:tc>
        <w:tc>
          <w:tcPr>
            <w:tcW w:w="2060" w:type="dxa"/>
            <w:tcBorders>
              <w:top w:val="single" w:sz="4" w:space="0" w:color="000000"/>
              <w:left w:val="single" w:sz="4" w:space="0" w:color="000000"/>
              <w:bottom w:val="single" w:sz="4" w:space="0" w:color="000000"/>
              <w:right w:val="single" w:sz="4" w:space="0" w:color="000000"/>
            </w:tcBorders>
          </w:tcPr>
          <w:p w14:paraId="0AD267B3" w14:textId="77777777" w:rsidR="00955984" w:rsidRPr="001E722E" w:rsidRDefault="00161751">
            <w:pPr>
              <w:spacing w:before="20" w:after="20"/>
              <w:rPr>
                <w:rFonts w:ascii="Arial" w:eastAsia="Arial" w:hAnsi="Arial" w:cs="Arial"/>
              </w:rPr>
            </w:pPr>
            <w:r w:rsidRPr="001E722E">
              <w:rPr>
                <w:rFonts w:ascii="Arial" w:eastAsia="Arial" w:hAnsi="Arial" w:cs="Arial"/>
                <w:sz w:val="18"/>
                <w:szCs w:val="18"/>
              </w:rPr>
              <w:t>Brangan et al. (2019)</w:t>
            </w:r>
          </w:p>
        </w:tc>
        <w:tc>
          <w:tcPr>
            <w:tcW w:w="2000" w:type="dxa"/>
            <w:tcBorders>
              <w:top w:val="single" w:sz="4" w:space="0" w:color="000000"/>
              <w:left w:val="single" w:sz="4" w:space="0" w:color="000000"/>
              <w:bottom w:val="single" w:sz="4" w:space="0" w:color="000000"/>
              <w:right w:val="single" w:sz="4" w:space="0" w:color="000000"/>
            </w:tcBorders>
          </w:tcPr>
          <w:p w14:paraId="44E0F972" w14:textId="77777777" w:rsidR="00955984" w:rsidRPr="001E722E" w:rsidRDefault="00161751">
            <w:pPr>
              <w:spacing w:before="20" w:after="20"/>
              <w:rPr>
                <w:rFonts w:ascii="Arial" w:eastAsia="Arial" w:hAnsi="Arial" w:cs="Arial"/>
              </w:rPr>
            </w:pPr>
            <w:r w:rsidRPr="001E722E">
              <w:rPr>
                <w:rFonts w:ascii="Arial" w:eastAsia="Arial" w:hAnsi="Arial" w:cs="Arial"/>
                <w:sz w:val="18"/>
                <w:szCs w:val="18"/>
              </w:rPr>
              <w:t>Qualitative interview study</w:t>
            </w:r>
          </w:p>
        </w:tc>
        <w:tc>
          <w:tcPr>
            <w:tcW w:w="2026" w:type="dxa"/>
            <w:tcBorders>
              <w:top w:val="single" w:sz="4" w:space="0" w:color="000000"/>
              <w:left w:val="single" w:sz="4" w:space="0" w:color="000000"/>
              <w:bottom w:val="single" w:sz="4" w:space="0" w:color="000000"/>
              <w:right w:val="single" w:sz="4" w:space="0" w:color="000000"/>
            </w:tcBorders>
          </w:tcPr>
          <w:p w14:paraId="05CE65D5" w14:textId="77777777" w:rsidR="00955984" w:rsidRPr="001E722E" w:rsidRDefault="00161751">
            <w:pPr>
              <w:spacing w:before="20" w:after="20"/>
              <w:rPr>
                <w:rFonts w:ascii="Arial" w:eastAsia="Arial" w:hAnsi="Arial" w:cs="Arial"/>
              </w:rPr>
            </w:pPr>
            <w:r w:rsidRPr="001E722E">
              <w:rPr>
                <w:rFonts w:ascii="Arial" w:eastAsia="Arial" w:hAnsi="Arial" w:cs="Arial"/>
                <w:sz w:val="18"/>
                <w:szCs w:val="18"/>
              </w:rPr>
              <w:t>CASP Qualitative Studies checklist</w:t>
            </w:r>
          </w:p>
        </w:tc>
        <w:tc>
          <w:tcPr>
            <w:tcW w:w="900" w:type="dxa"/>
            <w:tcBorders>
              <w:top w:val="single" w:sz="4" w:space="0" w:color="000000"/>
              <w:left w:val="single" w:sz="4" w:space="0" w:color="000000"/>
              <w:bottom w:val="single" w:sz="4" w:space="0" w:color="000000"/>
              <w:right w:val="single" w:sz="4" w:space="0" w:color="000000"/>
            </w:tcBorders>
          </w:tcPr>
          <w:p w14:paraId="5A254091" w14:textId="77777777" w:rsidR="00955984" w:rsidRPr="001E722E" w:rsidRDefault="00161751">
            <w:pPr>
              <w:spacing w:before="20" w:after="20"/>
              <w:rPr>
                <w:rFonts w:ascii="Arial" w:eastAsia="Arial" w:hAnsi="Arial" w:cs="Arial"/>
              </w:rPr>
            </w:pPr>
            <w:r w:rsidRPr="001E722E">
              <w:rPr>
                <w:rFonts w:ascii="Arial" w:eastAsia="Arial" w:hAnsi="Arial" w:cs="Arial"/>
                <w:sz w:val="18"/>
                <w:szCs w:val="18"/>
              </w:rPr>
              <w:t>9/10</w:t>
            </w:r>
          </w:p>
        </w:tc>
        <w:tc>
          <w:tcPr>
            <w:tcW w:w="1400" w:type="dxa"/>
            <w:tcBorders>
              <w:top w:val="single" w:sz="4" w:space="0" w:color="000000"/>
              <w:left w:val="single" w:sz="4" w:space="0" w:color="000000"/>
              <w:bottom w:val="single" w:sz="4" w:space="0" w:color="000000"/>
              <w:right w:val="single" w:sz="4" w:space="0" w:color="000000"/>
            </w:tcBorders>
          </w:tcPr>
          <w:p w14:paraId="622AF09C" w14:textId="77777777" w:rsidR="00955984" w:rsidRPr="001E722E" w:rsidRDefault="00161751">
            <w:pPr>
              <w:spacing w:before="20" w:after="20"/>
              <w:rPr>
                <w:rFonts w:ascii="Arial" w:eastAsia="Arial" w:hAnsi="Arial" w:cs="Arial"/>
              </w:rPr>
            </w:pPr>
            <w:r w:rsidRPr="001E722E">
              <w:rPr>
                <w:rFonts w:ascii="Arial" w:eastAsia="Arial" w:hAnsi="Arial" w:cs="Arial"/>
                <w:sz w:val="18"/>
                <w:szCs w:val="18"/>
              </w:rPr>
              <w:t>High</w:t>
            </w:r>
          </w:p>
        </w:tc>
      </w:tr>
      <w:tr w:rsidR="00955984" w:rsidRPr="001E722E" w14:paraId="5C4269B3" w14:textId="77777777">
        <w:trPr>
          <w:cantSplit/>
        </w:trPr>
        <w:tc>
          <w:tcPr>
            <w:tcW w:w="640" w:type="dxa"/>
            <w:tcBorders>
              <w:top w:val="single" w:sz="4" w:space="0" w:color="000000"/>
              <w:left w:val="single" w:sz="4" w:space="0" w:color="000000"/>
              <w:bottom w:val="single" w:sz="4" w:space="0" w:color="000000"/>
              <w:right w:val="single" w:sz="4" w:space="0" w:color="000000"/>
            </w:tcBorders>
          </w:tcPr>
          <w:p w14:paraId="33FBF984" w14:textId="77777777" w:rsidR="00955984" w:rsidRPr="001E722E" w:rsidRDefault="00161751">
            <w:pPr>
              <w:spacing w:before="20" w:after="20"/>
              <w:rPr>
                <w:rFonts w:ascii="Arial" w:eastAsia="Arial" w:hAnsi="Arial" w:cs="Arial"/>
              </w:rPr>
            </w:pPr>
            <w:r w:rsidRPr="001E722E">
              <w:rPr>
                <w:rFonts w:ascii="Arial" w:eastAsia="Arial" w:hAnsi="Arial" w:cs="Arial"/>
                <w:sz w:val="18"/>
                <w:szCs w:val="18"/>
              </w:rPr>
              <w:t>11</w:t>
            </w:r>
          </w:p>
        </w:tc>
        <w:tc>
          <w:tcPr>
            <w:tcW w:w="2060" w:type="dxa"/>
            <w:tcBorders>
              <w:top w:val="single" w:sz="4" w:space="0" w:color="000000"/>
              <w:left w:val="single" w:sz="4" w:space="0" w:color="000000"/>
              <w:bottom w:val="single" w:sz="4" w:space="0" w:color="000000"/>
              <w:right w:val="single" w:sz="4" w:space="0" w:color="000000"/>
            </w:tcBorders>
          </w:tcPr>
          <w:p w14:paraId="649FFE37" w14:textId="77777777" w:rsidR="00955984" w:rsidRPr="001E722E" w:rsidRDefault="00161751">
            <w:pPr>
              <w:spacing w:before="20" w:after="20"/>
              <w:rPr>
                <w:rFonts w:ascii="Arial" w:eastAsia="Arial" w:hAnsi="Arial" w:cs="Arial"/>
              </w:rPr>
            </w:pPr>
            <w:r w:rsidRPr="001E722E">
              <w:rPr>
                <w:rFonts w:ascii="Arial" w:eastAsia="Arial" w:hAnsi="Arial" w:cs="Arial"/>
                <w:sz w:val="18"/>
                <w:szCs w:val="18"/>
              </w:rPr>
              <w:t>Health Innovation Network (2026)</w:t>
            </w:r>
          </w:p>
        </w:tc>
        <w:tc>
          <w:tcPr>
            <w:tcW w:w="2000" w:type="dxa"/>
            <w:tcBorders>
              <w:top w:val="single" w:sz="4" w:space="0" w:color="000000"/>
              <w:left w:val="single" w:sz="4" w:space="0" w:color="000000"/>
              <w:bottom w:val="single" w:sz="4" w:space="0" w:color="000000"/>
              <w:right w:val="single" w:sz="4" w:space="0" w:color="000000"/>
            </w:tcBorders>
          </w:tcPr>
          <w:p w14:paraId="68E865D6" w14:textId="77777777" w:rsidR="00955984" w:rsidRPr="001E722E" w:rsidRDefault="00161751">
            <w:pPr>
              <w:spacing w:before="20" w:after="20"/>
              <w:rPr>
                <w:rFonts w:ascii="Arial" w:eastAsia="Arial" w:hAnsi="Arial" w:cs="Arial"/>
              </w:rPr>
            </w:pPr>
            <w:r w:rsidRPr="001E722E">
              <w:rPr>
                <w:rFonts w:ascii="Arial" w:eastAsia="Arial" w:hAnsi="Arial" w:cs="Arial"/>
                <w:sz w:val="18"/>
                <w:szCs w:val="18"/>
              </w:rPr>
              <w:t>Programme evaluation report</w:t>
            </w:r>
          </w:p>
        </w:tc>
        <w:tc>
          <w:tcPr>
            <w:tcW w:w="2026" w:type="dxa"/>
            <w:tcBorders>
              <w:top w:val="single" w:sz="4" w:space="0" w:color="000000"/>
              <w:left w:val="single" w:sz="4" w:space="0" w:color="000000"/>
              <w:bottom w:val="single" w:sz="4" w:space="0" w:color="000000"/>
              <w:right w:val="single" w:sz="4" w:space="0" w:color="000000"/>
            </w:tcBorders>
          </w:tcPr>
          <w:p w14:paraId="3697A520" w14:textId="77777777" w:rsidR="00955984" w:rsidRPr="001E722E" w:rsidRDefault="00161751">
            <w:pPr>
              <w:spacing w:before="20" w:after="20"/>
              <w:rPr>
                <w:rFonts w:ascii="Arial" w:eastAsia="Arial" w:hAnsi="Arial" w:cs="Arial"/>
              </w:rPr>
            </w:pPr>
            <w:r w:rsidRPr="001E722E">
              <w:rPr>
                <w:rFonts w:ascii="Arial" w:eastAsia="Arial" w:hAnsi="Arial" w:cs="Arial"/>
                <w:sz w:val="18"/>
                <w:szCs w:val="18"/>
              </w:rPr>
              <w:t>Grey literature – no CASP checklist applies</w:t>
            </w:r>
          </w:p>
        </w:tc>
        <w:tc>
          <w:tcPr>
            <w:tcW w:w="900" w:type="dxa"/>
            <w:tcBorders>
              <w:top w:val="single" w:sz="4" w:space="0" w:color="000000"/>
              <w:left w:val="single" w:sz="4" w:space="0" w:color="000000"/>
              <w:bottom w:val="single" w:sz="4" w:space="0" w:color="000000"/>
              <w:right w:val="single" w:sz="4" w:space="0" w:color="000000"/>
            </w:tcBorders>
          </w:tcPr>
          <w:p w14:paraId="72A6830E" w14:textId="77777777" w:rsidR="00955984" w:rsidRPr="001E722E" w:rsidRDefault="00161751">
            <w:pPr>
              <w:spacing w:before="20" w:after="20"/>
              <w:rPr>
                <w:rFonts w:ascii="Arial" w:eastAsia="Arial" w:hAnsi="Arial" w:cs="Arial"/>
              </w:rPr>
            </w:pPr>
            <w:r w:rsidRPr="001E722E">
              <w:rPr>
                <w:rFonts w:ascii="Arial" w:eastAsia="Arial" w:hAnsi="Arial" w:cs="Arial"/>
                <w:sz w:val="18"/>
                <w:szCs w:val="18"/>
              </w:rPr>
              <w:t>5/10</w:t>
            </w:r>
          </w:p>
        </w:tc>
        <w:tc>
          <w:tcPr>
            <w:tcW w:w="1400" w:type="dxa"/>
            <w:tcBorders>
              <w:top w:val="single" w:sz="4" w:space="0" w:color="000000"/>
              <w:left w:val="single" w:sz="4" w:space="0" w:color="000000"/>
              <w:bottom w:val="single" w:sz="4" w:space="0" w:color="000000"/>
              <w:right w:val="single" w:sz="4" w:space="0" w:color="000000"/>
            </w:tcBorders>
          </w:tcPr>
          <w:p w14:paraId="78FEA665" w14:textId="77777777" w:rsidR="00955984" w:rsidRPr="001E722E" w:rsidRDefault="00161751">
            <w:pPr>
              <w:spacing w:before="20" w:after="20"/>
              <w:rPr>
                <w:rFonts w:ascii="Arial" w:eastAsia="Arial" w:hAnsi="Arial" w:cs="Arial"/>
              </w:rPr>
            </w:pPr>
            <w:r w:rsidRPr="001E722E">
              <w:rPr>
                <w:rFonts w:ascii="Arial" w:eastAsia="Arial" w:hAnsi="Arial" w:cs="Arial"/>
                <w:sz w:val="18"/>
                <w:szCs w:val="18"/>
              </w:rPr>
              <w:t>Low</w:t>
            </w:r>
          </w:p>
        </w:tc>
      </w:tr>
      <w:tr w:rsidR="00955984" w:rsidRPr="001E722E" w14:paraId="6E2FB177" w14:textId="77777777">
        <w:trPr>
          <w:cantSplit/>
        </w:trPr>
        <w:tc>
          <w:tcPr>
            <w:tcW w:w="640" w:type="dxa"/>
            <w:tcBorders>
              <w:top w:val="single" w:sz="4" w:space="0" w:color="000000"/>
              <w:left w:val="single" w:sz="4" w:space="0" w:color="000000"/>
              <w:bottom w:val="single" w:sz="4" w:space="0" w:color="000000"/>
              <w:right w:val="single" w:sz="4" w:space="0" w:color="000000"/>
            </w:tcBorders>
          </w:tcPr>
          <w:p w14:paraId="7ADDDF5A" w14:textId="77777777" w:rsidR="00955984" w:rsidRPr="001E722E" w:rsidRDefault="00161751">
            <w:pPr>
              <w:spacing w:before="20" w:after="20"/>
              <w:rPr>
                <w:rFonts w:ascii="Arial" w:eastAsia="Arial" w:hAnsi="Arial" w:cs="Arial"/>
              </w:rPr>
            </w:pPr>
            <w:r w:rsidRPr="001E722E">
              <w:rPr>
                <w:rFonts w:ascii="Arial" w:eastAsia="Arial" w:hAnsi="Arial" w:cs="Arial"/>
                <w:sz w:val="18"/>
                <w:szCs w:val="18"/>
              </w:rPr>
              <w:t>12</w:t>
            </w:r>
          </w:p>
        </w:tc>
        <w:tc>
          <w:tcPr>
            <w:tcW w:w="2060" w:type="dxa"/>
            <w:tcBorders>
              <w:top w:val="single" w:sz="4" w:space="0" w:color="000000"/>
              <w:left w:val="single" w:sz="4" w:space="0" w:color="000000"/>
              <w:bottom w:val="single" w:sz="4" w:space="0" w:color="000000"/>
              <w:right w:val="single" w:sz="4" w:space="0" w:color="000000"/>
            </w:tcBorders>
          </w:tcPr>
          <w:p w14:paraId="2CCE6C0B" w14:textId="77777777" w:rsidR="00955984" w:rsidRPr="001E722E" w:rsidRDefault="00161751">
            <w:pPr>
              <w:spacing w:before="20" w:after="20"/>
              <w:rPr>
                <w:rFonts w:ascii="Arial" w:eastAsia="Arial" w:hAnsi="Arial" w:cs="Arial"/>
              </w:rPr>
            </w:pPr>
            <w:r w:rsidRPr="001E722E">
              <w:rPr>
                <w:rFonts w:ascii="Arial" w:eastAsia="Arial" w:hAnsi="Arial" w:cs="Arial"/>
                <w:sz w:val="18"/>
                <w:szCs w:val="18"/>
              </w:rPr>
              <w:t>Brady et al. (2025)</w:t>
            </w:r>
          </w:p>
        </w:tc>
        <w:tc>
          <w:tcPr>
            <w:tcW w:w="2000" w:type="dxa"/>
            <w:tcBorders>
              <w:top w:val="single" w:sz="4" w:space="0" w:color="000000"/>
              <w:left w:val="single" w:sz="4" w:space="0" w:color="000000"/>
              <w:bottom w:val="single" w:sz="4" w:space="0" w:color="000000"/>
              <w:right w:val="single" w:sz="4" w:space="0" w:color="000000"/>
            </w:tcBorders>
          </w:tcPr>
          <w:p w14:paraId="0613AEA7" w14:textId="77777777" w:rsidR="00955984" w:rsidRPr="001E722E" w:rsidRDefault="00161751">
            <w:pPr>
              <w:spacing w:before="20" w:after="20"/>
              <w:rPr>
                <w:rFonts w:ascii="Arial" w:eastAsia="Arial" w:hAnsi="Arial" w:cs="Arial"/>
              </w:rPr>
            </w:pPr>
            <w:r w:rsidRPr="001E722E">
              <w:rPr>
                <w:rFonts w:ascii="Arial" w:eastAsia="Arial" w:hAnsi="Arial" w:cs="Arial"/>
                <w:sz w:val="18"/>
                <w:szCs w:val="18"/>
              </w:rPr>
              <w:t>Qualitative focus-group study</w:t>
            </w:r>
          </w:p>
        </w:tc>
        <w:tc>
          <w:tcPr>
            <w:tcW w:w="2026" w:type="dxa"/>
            <w:tcBorders>
              <w:top w:val="single" w:sz="4" w:space="0" w:color="000000"/>
              <w:left w:val="single" w:sz="4" w:space="0" w:color="000000"/>
              <w:bottom w:val="single" w:sz="4" w:space="0" w:color="000000"/>
              <w:right w:val="single" w:sz="4" w:space="0" w:color="000000"/>
            </w:tcBorders>
          </w:tcPr>
          <w:p w14:paraId="3C1FE92D" w14:textId="77777777" w:rsidR="00955984" w:rsidRPr="001E722E" w:rsidRDefault="00161751">
            <w:pPr>
              <w:spacing w:before="20" w:after="20"/>
              <w:rPr>
                <w:rFonts w:ascii="Arial" w:eastAsia="Arial" w:hAnsi="Arial" w:cs="Arial"/>
              </w:rPr>
            </w:pPr>
            <w:r w:rsidRPr="001E722E">
              <w:rPr>
                <w:rFonts w:ascii="Arial" w:eastAsia="Arial" w:hAnsi="Arial" w:cs="Arial"/>
                <w:sz w:val="18"/>
                <w:szCs w:val="18"/>
              </w:rPr>
              <w:t>CASP Qualitative Studies checklist</w:t>
            </w:r>
          </w:p>
        </w:tc>
        <w:tc>
          <w:tcPr>
            <w:tcW w:w="900" w:type="dxa"/>
            <w:tcBorders>
              <w:top w:val="single" w:sz="4" w:space="0" w:color="000000"/>
              <w:left w:val="single" w:sz="4" w:space="0" w:color="000000"/>
              <w:bottom w:val="single" w:sz="4" w:space="0" w:color="000000"/>
              <w:right w:val="single" w:sz="4" w:space="0" w:color="000000"/>
            </w:tcBorders>
          </w:tcPr>
          <w:p w14:paraId="2F413924" w14:textId="77777777" w:rsidR="00955984" w:rsidRPr="001E722E" w:rsidRDefault="00161751">
            <w:pPr>
              <w:spacing w:before="20" w:after="20"/>
              <w:rPr>
                <w:rFonts w:ascii="Arial" w:eastAsia="Arial" w:hAnsi="Arial" w:cs="Arial"/>
              </w:rPr>
            </w:pPr>
            <w:r w:rsidRPr="001E722E">
              <w:rPr>
                <w:rFonts w:ascii="Arial" w:eastAsia="Arial" w:hAnsi="Arial" w:cs="Arial"/>
                <w:sz w:val="18"/>
                <w:szCs w:val="18"/>
              </w:rPr>
              <w:t>9/10</w:t>
            </w:r>
          </w:p>
        </w:tc>
        <w:tc>
          <w:tcPr>
            <w:tcW w:w="1400" w:type="dxa"/>
            <w:tcBorders>
              <w:top w:val="single" w:sz="4" w:space="0" w:color="000000"/>
              <w:left w:val="single" w:sz="4" w:space="0" w:color="000000"/>
              <w:bottom w:val="single" w:sz="4" w:space="0" w:color="000000"/>
              <w:right w:val="single" w:sz="4" w:space="0" w:color="000000"/>
            </w:tcBorders>
          </w:tcPr>
          <w:p w14:paraId="7439F317" w14:textId="77777777" w:rsidR="00955984" w:rsidRPr="001E722E" w:rsidRDefault="00161751">
            <w:pPr>
              <w:spacing w:before="20" w:after="20"/>
              <w:rPr>
                <w:rFonts w:ascii="Arial" w:eastAsia="Arial" w:hAnsi="Arial" w:cs="Arial"/>
              </w:rPr>
            </w:pPr>
            <w:r w:rsidRPr="001E722E">
              <w:rPr>
                <w:rFonts w:ascii="Arial" w:eastAsia="Arial" w:hAnsi="Arial" w:cs="Arial"/>
                <w:sz w:val="18"/>
                <w:szCs w:val="18"/>
              </w:rPr>
              <w:t>High</w:t>
            </w:r>
          </w:p>
        </w:tc>
      </w:tr>
      <w:tr w:rsidR="00955984" w:rsidRPr="001E722E" w14:paraId="53C20064" w14:textId="77777777">
        <w:trPr>
          <w:cantSplit/>
        </w:trPr>
        <w:tc>
          <w:tcPr>
            <w:tcW w:w="640" w:type="dxa"/>
            <w:tcBorders>
              <w:top w:val="single" w:sz="4" w:space="0" w:color="000000"/>
              <w:left w:val="single" w:sz="4" w:space="0" w:color="000000"/>
              <w:bottom w:val="single" w:sz="4" w:space="0" w:color="000000"/>
              <w:right w:val="single" w:sz="4" w:space="0" w:color="000000"/>
            </w:tcBorders>
          </w:tcPr>
          <w:p w14:paraId="36B802AA" w14:textId="77777777" w:rsidR="00955984" w:rsidRPr="001E722E" w:rsidRDefault="00161751">
            <w:pPr>
              <w:spacing w:before="20" w:after="20"/>
              <w:rPr>
                <w:rFonts w:ascii="Arial" w:eastAsia="Arial" w:hAnsi="Arial" w:cs="Arial"/>
              </w:rPr>
            </w:pPr>
            <w:r w:rsidRPr="001E722E">
              <w:rPr>
                <w:rFonts w:ascii="Arial" w:eastAsia="Arial" w:hAnsi="Arial" w:cs="Arial"/>
                <w:sz w:val="18"/>
                <w:szCs w:val="18"/>
              </w:rPr>
              <w:t>13</w:t>
            </w:r>
          </w:p>
        </w:tc>
        <w:tc>
          <w:tcPr>
            <w:tcW w:w="2060" w:type="dxa"/>
            <w:tcBorders>
              <w:top w:val="single" w:sz="4" w:space="0" w:color="000000"/>
              <w:left w:val="single" w:sz="4" w:space="0" w:color="000000"/>
              <w:bottom w:val="single" w:sz="4" w:space="0" w:color="000000"/>
              <w:right w:val="single" w:sz="4" w:space="0" w:color="000000"/>
            </w:tcBorders>
          </w:tcPr>
          <w:p w14:paraId="4C4B04E8" w14:textId="77777777" w:rsidR="00955984" w:rsidRPr="001E722E" w:rsidRDefault="00161751">
            <w:pPr>
              <w:spacing w:before="20" w:after="20"/>
              <w:rPr>
                <w:rFonts w:ascii="Arial" w:eastAsia="Arial" w:hAnsi="Arial" w:cs="Arial"/>
              </w:rPr>
            </w:pPr>
            <w:r w:rsidRPr="001E722E">
              <w:rPr>
                <w:rFonts w:ascii="Arial" w:eastAsia="Arial" w:hAnsi="Arial" w:cs="Arial"/>
                <w:sz w:val="18"/>
                <w:szCs w:val="18"/>
              </w:rPr>
              <w:t>Hossain (2026)</w:t>
            </w:r>
          </w:p>
        </w:tc>
        <w:tc>
          <w:tcPr>
            <w:tcW w:w="2000" w:type="dxa"/>
            <w:tcBorders>
              <w:top w:val="single" w:sz="4" w:space="0" w:color="000000"/>
              <w:left w:val="single" w:sz="4" w:space="0" w:color="000000"/>
              <w:bottom w:val="single" w:sz="4" w:space="0" w:color="000000"/>
              <w:right w:val="single" w:sz="4" w:space="0" w:color="000000"/>
            </w:tcBorders>
          </w:tcPr>
          <w:p w14:paraId="75080741" w14:textId="77777777" w:rsidR="00955984" w:rsidRPr="001E722E" w:rsidRDefault="00161751">
            <w:pPr>
              <w:spacing w:before="20" w:after="20"/>
              <w:rPr>
                <w:rFonts w:ascii="Arial" w:eastAsia="Arial" w:hAnsi="Arial" w:cs="Arial"/>
              </w:rPr>
            </w:pPr>
            <w:r w:rsidRPr="001E722E">
              <w:rPr>
                <w:rFonts w:ascii="Arial" w:eastAsia="Arial" w:hAnsi="Arial" w:cs="Arial"/>
                <w:sz w:val="18"/>
                <w:szCs w:val="18"/>
              </w:rPr>
              <w:t>Short communication, community perspectives</w:t>
            </w:r>
          </w:p>
        </w:tc>
        <w:tc>
          <w:tcPr>
            <w:tcW w:w="2026" w:type="dxa"/>
            <w:tcBorders>
              <w:top w:val="single" w:sz="4" w:space="0" w:color="000000"/>
              <w:left w:val="single" w:sz="4" w:space="0" w:color="000000"/>
              <w:bottom w:val="single" w:sz="4" w:space="0" w:color="000000"/>
              <w:right w:val="single" w:sz="4" w:space="0" w:color="000000"/>
            </w:tcBorders>
          </w:tcPr>
          <w:p w14:paraId="500B33AF" w14:textId="77777777" w:rsidR="00955984" w:rsidRPr="001E722E" w:rsidRDefault="00161751">
            <w:pPr>
              <w:spacing w:before="20" w:after="20"/>
              <w:rPr>
                <w:rFonts w:ascii="Arial" w:eastAsia="Arial" w:hAnsi="Arial" w:cs="Arial"/>
              </w:rPr>
            </w:pPr>
            <w:r w:rsidRPr="001E722E">
              <w:rPr>
                <w:rFonts w:ascii="Arial" w:eastAsia="Arial" w:hAnsi="Arial" w:cs="Arial"/>
                <w:sz w:val="18"/>
                <w:szCs w:val="18"/>
              </w:rPr>
              <w:t>CASP Qualitative Studies checklist</w:t>
            </w:r>
          </w:p>
        </w:tc>
        <w:tc>
          <w:tcPr>
            <w:tcW w:w="900" w:type="dxa"/>
            <w:tcBorders>
              <w:top w:val="single" w:sz="4" w:space="0" w:color="000000"/>
              <w:left w:val="single" w:sz="4" w:space="0" w:color="000000"/>
              <w:bottom w:val="single" w:sz="4" w:space="0" w:color="000000"/>
              <w:right w:val="single" w:sz="4" w:space="0" w:color="000000"/>
            </w:tcBorders>
          </w:tcPr>
          <w:p w14:paraId="58CAB024" w14:textId="77777777" w:rsidR="00955984" w:rsidRPr="001E722E" w:rsidRDefault="00161751">
            <w:pPr>
              <w:spacing w:before="20" w:after="20"/>
              <w:rPr>
                <w:rFonts w:ascii="Arial" w:eastAsia="Arial" w:hAnsi="Arial" w:cs="Arial"/>
              </w:rPr>
            </w:pPr>
            <w:r w:rsidRPr="001E722E">
              <w:rPr>
                <w:rFonts w:ascii="Arial" w:eastAsia="Arial" w:hAnsi="Arial" w:cs="Arial"/>
                <w:sz w:val="18"/>
                <w:szCs w:val="18"/>
              </w:rPr>
              <w:t>5/10</w:t>
            </w:r>
          </w:p>
        </w:tc>
        <w:tc>
          <w:tcPr>
            <w:tcW w:w="1400" w:type="dxa"/>
            <w:tcBorders>
              <w:top w:val="single" w:sz="4" w:space="0" w:color="000000"/>
              <w:left w:val="single" w:sz="4" w:space="0" w:color="000000"/>
              <w:bottom w:val="single" w:sz="4" w:space="0" w:color="000000"/>
              <w:right w:val="single" w:sz="4" w:space="0" w:color="000000"/>
            </w:tcBorders>
          </w:tcPr>
          <w:p w14:paraId="72D440AC" w14:textId="77777777" w:rsidR="00955984" w:rsidRPr="001E722E" w:rsidRDefault="00161751">
            <w:pPr>
              <w:spacing w:before="20" w:after="20"/>
              <w:rPr>
                <w:rFonts w:ascii="Arial" w:eastAsia="Arial" w:hAnsi="Arial" w:cs="Arial"/>
              </w:rPr>
            </w:pPr>
            <w:r w:rsidRPr="001E722E">
              <w:rPr>
                <w:rFonts w:ascii="Arial" w:eastAsia="Arial" w:hAnsi="Arial" w:cs="Arial"/>
                <w:sz w:val="18"/>
                <w:szCs w:val="18"/>
              </w:rPr>
              <w:t>Low</w:t>
            </w:r>
          </w:p>
        </w:tc>
      </w:tr>
      <w:tr w:rsidR="00955984" w:rsidRPr="001E722E" w14:paraId="7ADB0C74" w14:textId="77777777">
        <w:trPr>
          <w:cantSplit/>
        </w:trPr>
        <w:tc>
          <w:tcPr>
            <w:tcW w:w="640" w:type="dxa"/>
            <w:tcBorders>
              <w:top w:val="single" w:sz="4" w:space="0" w:color="000000"/>
              <w:left w:val="single" w:sz="4" w:space="0" w:color="000000"/>
              <w:bottom w:val="single" w:sz="4" w:space="0" w:color="000000"/>
              <w:right w:val="single" w:sz="4" w:space="0" w:color="000000"/>
            </w:tcBorders>
          </w:tcPr>
          <w:p w14:paraId="5495EA8C" w14:textId="77777777" w:rsidR="00955984" w:rsidRPr="001E722E" w:rsidRDefault="00161751">
            <w:pPr>
              <w:spacing w:before="20" w:after="20"/>
              <w:rPr>
                <w:rFonts w:ascii="Arial" w:eastAsia="Arial" w:hAnsi="Arial" w:cs="Arial"/>
              </w:rPr>
            </w:pPr>
            <w:r w:rsidRPr="001E722E">
              <w:rPr>
                <w:rFonts w:ascii="Arial" w:eastAsia="Arial" w:hAnsi="Arial" w:cs="Arial"/>
                <w:sz w:val="18"/>
                <w:szCs w:val="18"/>
              </w:rPr>
              <w:t>14</w:t>
            </w:r>
          </w:p>
        </w:tc>
        <w:tc>
          <w:tcPr>
            <w:tcW w:w="2060" w:type="dxa"/>
            <w:tcBorders>
              <w:top w:val="single" w:sz="4" w:space="0" w:color="000000"/>
              <w:left w:val="single" w:sz="4" w:space="0" w:color="000000"/>
              <w:bottom w:val="single" w:sz="4" w:space="0" w:color="000000"/>
              <w:right w:val="single" w:sz="4" w:space="0" w:color="000000"/>
            </w:tcBorders>
          </w:tcPr>
          <w:p w14:paraId="1653DE1F" w14:textId="77777777" w:rsidR="00955984" w:rsidRPr="001E722E" w:rsidRDefault="00161751">
            <w:pPr>
              <w:spacing w:before="20" w:after="20"/>
              <w:rPr>
                <w:rFonts w:ascii="Arial" w:eastAsia="Arial" w:hAnsi="Arial" w:cs="Arial"/>
              </w:rPr>
            </w:pPr>
            <w:r w:rsidRPr="001E722E">
              <w:rPr>
                <w:rFonts w:ascii="Arial" w:eastAsia="Arial" w:hAnsi="Arial" w:cs="Arial"/>
                <w:sz w:val="18"/>
                <w:szCs w:val="18"/>
              </w:rPr>
              <w:t>NHS England (2026)</w:t>
            </w:r>
          </w:p>
        </w:tc>
        <w:tc>
          <w:tcPr>
            <w:tcW w:w="2000" w:type="dxa"/>
            <w:tcBorders>
              <w:top w:val="single" w:sz="4" w:space="0" w:color="000000"/>
              <w:left w:val="single" w:sz="4" w:space="0" w:color="000000"/>
              <w:bottom w:val="single" w:sz="4" w:space="0" w:color="000000"/>
              <w:right w:val="single" w:sz="4" w:space="0" w:color="000000"/>
            </w:tcBorders>
          </w:tcPr>
          <w:p w14:paraId="2A7CF5E6" w14:textId="77777777" w:rsidR="00955984" w:rsidRPr="001E722E" w:rsidRDefault="00161751">
            <w:pPr>
              <w:spacing w:before="20" w:after="20"/>
              <w:rPr>
                <w:rFonts w:ascii="Arial" w:eastAsia="Arial" w:hAnsi="Arial" w:cs="Arial"/>
              </w:rPr>
            </w:pPr>
            <w:r w:rsidRPr="001E722E">
              <w:rPr>
                <w:rFonts w:ascii="Arial" w:eastAsia="Arial" w:hAnsi="Arial" w:cs="Arial"/>
                <w:sz w:val="18"/>
                <w:szCs w:val="18"/>
              </w:rPr>
              <w:t>Policy framework</w:t>
            </w:r>
          </w:p>
        </w:tc>
        <w:tc>
          <w:tcPr>
            <w:tcW w:w="2026" w:type="dxa"/>
            <w:tcBorders>
              <w:top w:val="single" w:sz="4" w:space="0" w:color="000000"/>
              <w:left w:val="single" w:sz="4" w:space="0" w:color="000000"/>
              <w:bottom w:val="single" w:sz="4" w:space="0" w:color="000000"/>
              <w:right w:val="single" w:sz="4" w:space="0" w:color="000000"/>
            </w:tcBorders>
          </w:tcPr>
          <w:p w14:paraId="16F23998" w14:textId="77777777" w:rsidR="00955984" w:rsidRPr="001E722E" w:rsidRDefault="00161751">
            <w:pPr>
              <w:spacing w:before="20" w:after="20"/>
              <w:rPr>
                <w:rFonts w:ascii="Arial" w:eastAsia="Arial" w:hAnsi="Arial" w:cs="Arial"/>
              </w:rPr>
            </w:pPr>
            <w:r w:rsidRPr="001E722E">
              <w:rPr>
                <w:rFonts w:ascii="Arial" w:eastAsia="Arial" w:hAnsi="Arial" w:cs="Arial"/>
                <w:sz w:val="18"/>
                <w:szCs w:val="18"/>
              </w:rPr>
              <w:t>Grey literature – no CASP checklist applies</w:t>
            </w:r>
          </w:p>
        </w:tc>
        <w:tc>
          <w:tcPr>
            <w:tcW w:w="900" w:type="dxa"/>
            <w:tcBorders>
              <w:top w:val="single" w:sz="4" w:space="0" w:color="000000"/>
              <w:left w:val="single" w:sz="4" w:space="0" w:color="000000"/>
              <w:bottom w:val="single" w:sz="4" w:space="0" w:color="000000"/>
              <w:right w:val="single" w:sz="4" w:space="0" w:color="000000"/>
            </w:tcBorders>
          </w:tcPr>
          <w:p w14:paraId="6598492B" w14:textId="77777777" w:rsidR="00955984" w:rsidRPr="001E722E" w:rsidRDefault="00161751">
            <w:pPr>
              <w:spacing w:before="20" w:after="20"/>
              <w:rPr>
                <w:rFonts w:ascii="Arial" w:eastAsia="Arial" w:hAnsi="Arial" w:cs="Arial"/>
              </w:rPr>
            </w:pPr>
            <w:r w:rsidRPr="001E722E">
              <w:rPr>
                <w:rFonts w:ascii="Arial" w:eastAsia="Arial" w:hAnsi="Arial" w:cs="Arial"/>
                <w:sz w:val="18"/>
                <w:szCs w:val="18"/>
              </w:rPr>
              <w:t>5/10</w:t>
            </w:r>
          </w:p>
        </w:tc>
        <w:tc>
          <w:tcPr>
            <w:tcW w:w="1400" w:type="dxa"/>
            <w:tcBorders>
              <w:top w:val="single" w:sz="4" w:space="0" w:color="000000"/>
              <w:left w:val="single" w:sz="4" w:space="0" w:color="000000"/>
              <w:bottom w:val="single" w:sz="4" w:space="0" w:color="000000"/>
              <w:right w:val="single" w:sz="4" w:space="0" w:color="000000"/>
            </w:tcBorders>
          </w:tcPr>
          <w:p w14:paraId="1E3BE55E" w14:textId="77777777" w:rsidR="00955984" w:rsidRPr="001E722E" w:rsidRDefault="00161751">
            <w:pPr>
              <w:spacing w:before="20" w:after="20"/>
              <w:rPr>
                <w:rFonts w:ascii="Arial" w:eastAsia="Arial" w:hAnsi="Arial" w:cs="Arial"/>
              </w:rPr>
            </w:pPr>
            <w:r w:rsidRPr="001E722E">
              <w:rPr>
                <w:rFonts w:ascii="Arial" w:eastAsia="Arial" w:hAnsi="Arial" w:cs="Arial"/>
                <w:sz w:val="18"/>
                <w:szCs w:val="18"/>
              </w:rPr>
              <w:t>Low</w:t>
            </w:r>
          </w:p>
        </w:tc>
      </w:tr>
      <w:tr w:rsidR="00955984" w:rsidRPr="001E722E" w14:paraId="28174A1F" w14:textId="77777777">
        <w:trPr>
          <w:cantSplit/>
        </w:trPr>
        <w:tc>
          <w:tcPr>
            <w:tcW w:w="640" w:type="dxa"/>
            <w:tcBorders>
              <w:top w:val="single" w:sz="4" w:space="0" w:color="000000"/>
              <w:left w:val="single" w:sz="4" w:space="0" w:color="000000"/>
              <w:bottom w:val="single" w:sz="4" w:space="0" w:color="000000"/>
              <w:right w:val="single" w:sz="4" w:space="0" w:color="000000"/>
            </w:tcBorders>
          </w:tcPr>
          <w:p w14:paraId="4079BF05" w14:textId="77777777" w:rsidR="00955984" w:rsidRPr="001E722E" w:rsidRDefault="00161751">
            <w:pPr>
              <w:spacing w:before="20" w:after="20"/>
              <w:rPr>
                <w:rFonts w:ascii="Arial" w:eastAsia="Arial" w:hAnsi="Arial" w:cs="Arial"/>
              </w:rPr>
            </w:pPr>
            <w:r w:rsidRPr="001E722E">
              <w:rPr>
                <w:rFonts w:ascii="Arial" w:eastAsia="Arial" w:hAnsi="Arial" w:cs="Arial"/>
                <w:sz w:val="18"/>
                <w:szCs w:val="18"/>
              </w:rPr>
              <w:t>15</w:t>
            </w:r>
          </w:p>
        </w:tc>
        <w:tc>
          <w:tcPr>
            <w:tcW w:w="2060" w:type="dxa"/>
            <w:tcBorders>
              <w:top w:val="single" w:sz="4" w:space="0" w:color="000000"/>
              <w:left w:val="single" w:sz="4" w:space="0" w:color="000000"/>
              <w:bottom w:val="single" w:sz="4" w:space="0" w:color="000000"/>
              <w:right w:val="single" w:sz="4" w:space="0" w:color="000000"/>
            </w:tcBorders>
          </w:tcPr>
          <w:p w14:paraId="19A1E67B" w14:textId="77777777" w:rsidR="00955984" w:rsidRPr="001E722E" w:rsidRDefault="00161751">
            <w:pPr>
              <w:spacing w:before="20" w:after="20"/>
              <w:rPr>
                <w:rFonts w:ascii="Arial" w:eastAsia="Arial" w:hAnsi="Arial" w:cs="Arial"/>
              </w:rPr>
            </w:pPr>
            <w:r w:rsidRPr="001E722E">
              <w:rPr>
                <w:rFonts w:ascii="Arial" w:eastAsia="Arial" w:hAnsi="Arial" w:cs="Arial"/>
                <w:sz w:val="18"/>
                <w:szCs w:val="18"/>
              </w:rPr>
              <w:t>Wakefield, Loken and Hornik (2010)</w:t>
            </w:r>
          </w:p>
        </w:tc>
        <w:tc>
          <w:tcPr>
            <w:tcW w:w="2000" w:type="dxa"/>
            <w:tcBorders>
              <w:top w:val="single" w:sz="4" w:space="0" w:color="000000"/>
              <w:left w:val="single" w:sz="4" w:space="0" w:color="000000"/>
              <w:bottom w:val="single" w:sz="4" w:space="0" w:color="000000"/>
              <w:right w:val="single" w:sz="4" w:space="0" w:color="000000"/>
            </w:tcBorders>
          </w:tcPr>
          <w:p w14:paraId="7313B0FB" w14:textId="77777777" w:rsidR="00955984" w:rsidRPr="001E722E" w:rsidRDefault="00161751">
            <w:pPr>
              <w:spacing w:before="20" w:after="20"/>
              <w:rPr>
                <w:rFonts w:ascii="Arial" w:eastAsia="Arial" w:hAnsi="Arial" w:cs="Arial"/>
              </w:rPr>
            </w:pPr>
            <w:r w:rsidRPr="001E722E">
              <w:rPr>
                <w:rFonts w:ascii="Arial" w:eastAsia="Arial" w:hAnsi="Arial" w:cs="Arial"/>
                <w:sz w:val="18"/>
                <w:szCs w:val="18"/>
              </w:rPr>
              <w:t>Narrative review</w:t>
            </w:r>
          </w:p>
        </w:tc>
        <w:tc>
          <w:tcPr>
            <w:tcW w:w="2026" w:type="dxa"/>
            <w:tcBorders>
              <w:top w:val="single" w:sz="4" w:space="0" w:color="000000"/>
              <w:left w:val="single" w:sz="4" w:space="0" w:color="000000"/>
              <w:bottom w:val="single" w:sz="4" w:space="0" w:color="000000"/>
              <w:right w:val="single" w:sz="4" w:space="0" w:color="000000"/>
            </w:tcBorders>
          </w:tcPr>
          <w:p w14:paraId="55798525" w14:textId="77777777" w:rsidR="00955984" w:rsidRPr="001E722E" w:rsidRDefault="00161751">
            <w:pPr>
              <w:spacing w:before="20" w:after="20"/>
              <w:rPr>
                <w:rFonts w:ascii="Arial" w:eastAsia="Arial" w:hAnsi="Arial" w:cs="Arial"/>
              </w:rPr>
            </w:pPr>
            <w:r w:rsidRPr="001E722E">
              <w:rPr>
                <w:rFonts w:ascii="Arial" w:eastAsia="Arial" w:hAnsi="Arial" w:cs="Arial"/>
                <w:sz w:val="18"/>
                <w:szCs w:val="18"/>
              </w:rPr>
              <w:t>CASP Systematic Review checklist (adapted)</w:t>
            </w:r>
          </w:p>
        </w:tc>
        <w:tc>
          <w:tcPr>
            <w:tcW w:w="900" w:type="dxa"/>
            <w:tcBorders>
              <w:top w:val="single" w:sz="4" w:space="0" w:color="000000"/>
              <w:left w:val="single" w:sz="4" w:space="0" w:color="000000"/>
              <w:bottom w:val="single" w:sz="4" w:space="0" w:color="000000"/>
              <w:right w:val="single" w:sz="4" w:space="0" w:color="000000"/>
            </w:tcBorders>
          </w:tcPr>
          <w:p w14:paraId="31F5AEF0" w14:textId="77777777" w:rsidR="00955984" w:rsidRPr="001E722E" w:rsidRDefault="00161751">
            <w:pPr>
              <w:spacing w:before="20" w:after="20"/>
              <w:rPr>
                <w:rFonts w:ascii="Arial" w:eastAsia="Arial" w:hAnsi="Arial" w:cs="Arial"/>
              </w:rPr>
            </w:pPr>
            <w:r w:rsidRPr="001E722E">
              <w:rPr>
                <w:rFonts w:ascii="Arial" w:eastAsia="Arial" w:hAnsi="Arial" w:cs="Arial"/>
                <w:sz w:val="18"/>
                <w:szCs w:val="18"/>
              </w:rPr>
              <w:t>7/10</w:t>
            </w:r>
          </w:p>
        </w:tc>
        <w:tc>
          <w:tcPr>
            <w:tcW w:w="1400" w:type="dxa"/>
            <w:tcBorders>
              <w:top w:val="single" w:sz="4" w:space="0" w:color="000000"/>
              <w:left w:val="single" w:sz="4" w:space="0" w:color="000000"/>
              <w:bottom w:val="single" w:sz="4" w:space="0" w:color="000000"/>
              <w:right w:val="single" w:sz="4" w:space="0" w:color="000000"/>
            </w:tcBorders>
          </w:tcPr>
          <w:p w14:paraId="39450681" w14:textId="77777777" w:rsidR="00955984" w:rsidRPr="001E722E" w:rsidRDefault="00161751">
            <w:pPr>
              <w:spacing w:before="20" w:after="20"/>
              <w:rPr>
                <w:rFonts w:ascii="Arial" w:eastAsia="Arial" w:hAnsi="Arial" w:cs="Arial"/>
              </w:rPr>
            </w:pPr>
            <w:r w:rsidRPr="001E722E">
              <w:rPr>
                <w:rFonts w:ascii="Arial" w:eastAsia="Arial" w:hAnsi="Arial" w:cs="Arial"/>
                <w:sz w:val="18"/>
                <w:szCs w:val="18"/>
              </w:rPr>
              <w:t>Moderate</w:t>
            </w:r>
          </w:p>
        </w:tc>
      </w:tr>
      <w:tr w:rsidR="00955984" w:rsidRPr="001E722E" w14:paraId="5046CF3E" w14:textId="77777777">
        <w:trPr>
          <w:cantSplit/>
        </w:trPr>
        <w:tc>
          <w:tcPr>
            <w:tcW w:w="640" w:type="dxa"/>
            <w:tcBorders>
              <w:top w:val="single" w:sz="4" w:space="0" w:color="000000"/>
              <w:left w:val="single" w:sz="4" w:space="0" w:color="000000"/>
              <w:bottom w:val="single" w:sz="4" w:space="0" w:color="000000"/>
              <w:right w:val="single" w:sz="4" w:space="0" w:color="000000"/>
            </w:tcBorders>
          </w:tcPr>
          <w:p w14:paraId="20835723" w14:textId="77777777" w:rsidR="00955984" w:rsidRPr="001E722E" w:rsidRDefault="00161751">
            <w:pPr>
              <w:spacing w:before="20" w:after="20"/>
              <w:rPr>
                <w:rFonts w:ascii="Arial" w:eastAsia="Arial" w:hAnsi="Arial" w:cs="Arial"/>
              </w:rPr>
            </w:pPr>
            <w:r w:rsidRPr="001E722E">
              <w:rPr>
                <w:rFonts w:ascii="Arial" w:eastAsia="Arial" w:hAnsi="Arial" w:cs="Arial"/>
                <w:sz w:val="18"/>
                <w:szCs w:val="18"/>
              </w:rPr>
              <w:t>16</w:t>
            </w:r>
          </w:p>
        </w:tc>
        <w:tc>
          <w:tcPr>
            <w:tcW w:w="2060" w:type="dxa"/>
            <w:tcBorders>
              <w:top w:val="single" w:sz="4" w:space="0" w:color="000000"/>
              <w:left w:val="single" w:sz="4" w:space="0" w:color="000000"/>
              <w:bottom w:val="single" w:sz="4" w:space="0" w:color="000000"/>
              <w:right w:val="single" w:sz="4" w:space="0" w:color="000000"/>
            </w:tcBorders>
          </w:tcPr>
          <w:p w14:paraId="69B2A551" w14:textId="77777777" w:rsidR="00955984" w:rsidRPr="001E722E" w:rsidRDefault="00161751">
            <w:pPr>
              <w:spacing w:before="20" w:after="20"/>
              <w:rPr>
                <w:rFonts w:ascii="Arial" w:eastAsia="Arial" w:hAnsi="Arial" w:cs="Arial"/>
              </w:rPr>
            </w:pPr>
            <w:proofErr w:type="spellStart"/>
            <w:r w:rsidRPr="001E722E">
              <w:rPr>
                <w:rFonts w:ascii="Arial" w:eastAsia="Arial" w:hAnsi="Arial" w:cs="Arial"/>
                <w:sz w:val="18"/>
                <w:szCs w:val="18"/>
              </w:rPr>
              <w:t>Lecouturier</w:t>
            </w:r>
            <w:proofErr w:type="spellEnd"/>
            <w:r w:rsidRPr="001E722E">
              <w:rPr>
                <w:rFonts w:ascii="Arial" w:eastAsia="Arial" w:hAnsi="Arial" w:cs="Arial"/>
                <w:sz w:val="18"/>
                <w:szCs w:val="18"/>
              </w:rPr>
              <w:t xml:space="preserve"> et al. (2010)</w:t>
            </w:r>
          </w:p>
        </w:tc>
        <w:tc>
          <w:tcPr>
            <w:tcW w:w="2000" w:type="dxa"/>
            <w:tcBorders>
              <w:top w:val="single" w:sz="4" w:space="0" w:color="000000"/>
              <w:left w:val="single" w:sz="4" w:space="0" w:color="000000"/>
              <w:bottom w:val="single" w:sz="4" w:space="0" w:color="000000"/>
              <w:right w:val="single" w:sz="4" w:space="0" w:color="000000"/>
            </w:tcBorders>
          </w:tcPr>
          <w:p w14:paraId="057CF8D5" w14:textId="77777777" w:rsidR="00955984" w:rsidRPr="001E722E" w:rsidRDefault="00161751">
            <w:pPr>
              <w:spacing w:before="20" w:after="20"/>
              <w:rPr>
                <w:rFonts w:ascii="Arial" w:eastAsia="Arial" w:hAnsi="Arial" w:cs="Arial"/>
              </w:rPr>
            </w:pPr>
            <w:r w:rsidRPr="001E722E">
              <w:rPr>
                <w:rFonts w:ascii="Arial" w:eastAsia="Arial" w:hAnsi="Arial" w:cs="Arial"/>
                <w:sz w:val="18"/>
                <w:szCs w:val="18"/>
              </w:rPr>
              <w:t>Systematic review</w:t>
            </w:r>
          </w:p>
        </w:tc>
        <w:tc>
          <w:tcPr>
            <w:tcW w:w="2026" w:type="dxa"/>
            <w:tcBorders>
              <w:top w:val="single" w:sz="4" w:space="0" w:color="000000"/>
              <w:left w:val="single" w:sz="4" w:space="0" w:color="000000"/>
              <w:bottom w:val="single" w:sz="4" w:space="0" w:color="000000"/>
              <w:right w:val="single" w:sz="4" w:space="0" w:color="000000"/>
            </w:tcBorders>
          </w:tcPr>
          <w:p w14:paraId="2662C624" w14:textId="77777777" w:rsidR="00955984" w:rsidRPr="001E722E" w:rsidRDefault="00161751">
            <w:pPr>
              <w:spacing w:before="20" w:after="20"/>
              <w:rPr>
                <w:rFonts w:ascii="Arial" w:eastAsia="Arial" w:hAnsi="Arial" w:cs="Arial"/>
              </w:rPr>
            </w:pPr>
            <w:r w:rsidRPr="001E722E">
              <w:rPr>
                <w:rFonts w:ascii="Arial" w:eastAsia="Arial" w:hAnsi="Arial" w:cs="Arial"/>
                <w:sz w:val="18"/>
                <w:szCs w:val="18"/>
              </w:rPr>
              <w:t>CASP Systematic Review checklist</w:t>
            </w:r>
          </w:p>
        </w:tc>
        <w:tc>
          <w:tcPr>
            <w:tcW w:w="900" w:type="dxa"/>
            <w:tcBorders>
              <w:top w:val="single" w:sz="4" w:space="0" w:color="000000"/>
              <w:left w:val="single" w:sz="4" w:space="0" w:color="000000"/>
              <w:bottom w:val="single" w:sz="4" w:space="0" w:color="000000"/>
              <w:right w:val="single" w:sz="4" w:space="0" w:color="000000"/>
            </w:tcBorders>
          </w:tcPr>
          <w:p w14:paraId="365826D9" w14:textId="77777777" w:rsidR="00955984" w:rsidRPr="001E722E" w:rsidRDefault="00161751">
            <w:pPr>
              <w:spacing w:before="20" w:after="20"/>
              <w:rPr>
                <w:rFonts w:ascii="Arial" w:eastAsia="Arial" w:hAnsi="Arial" w:cs="Arial"/>
              </w:rPr>
            </w:pPr>
            <w:r w:rsidRPr="001E722E">
              <w:rPr>
                <w:rFonts w:ascii="Arial" w:eastAsia="Arial" w:hAnsi="Arial" w:cs="Arial"/>
                <w:sz w:val="18"/>
                <w:szCs w:val="18"/>
              </w:rPr>
              <w:t>9/10</w:t>
            </w:r>
          </w:p>
        </w:tc>
        <w:tc>
          <w:tcPr>
            <w:tcW w:w="1400" w:type="dxa"/>
            <w:tcBorders>
              <w:top w:val="single" w:sz="4" w:space="0" w:color="000000"/>
              <w:left w:val="single" w:sz="4" w:space="0" w:color="000000"/>
              <w:bottom w:val="single" w:sz="4" w:space="0" w:color="000000"/>
              <w:right w:val="single" w:sz="4" w:space="0" w:color="000000"/>
            </w:tcBorders>
          </w:tcPr>
          <w:p w14:paraId="6ED72F84" w14:textId="77777777" w:rsidR="00955984" w:rsidRPr="001E722E" w:rsidRDefault="00161751">
            <w:pPr>
              <w:spacing w:before="20" w:after="20"/>
              <w:rPr>
                <w:rFonts w:ascii="Arial" w:eastAsia="Arial" w:hAnsi="Arial" w:cs="Arial"/>
              </w:rPr>
            </w:pPr>
            <w:r w:rsidRPr="001E722E">
              <w:rPr>
                <w:rFonts w:ascii="Arial" w:eastAsia="Arial" w:hAnsi="Arial" w:cs="Arial"/>
                <w:sz w:val="18"/>
                <w:szCs w:val="18"/>
              </w:rPr>
              <w:t>High</w:t>
            </w:r>
          </w:p>
        </w:tc>
      </w:tr>
    </w:tbl>
    <w:p w14:paraId="478953C4" w14:textId="77777777" w:rsidR="00955984" w:rsidRPr="001E722E" w:rsidRDefault="00955984">
      <w:pPr>
        <w:spacing w:after="120"/>
        <w:jc w:val="both"/>
        <w:rPr>
          <w:rFonts w:ascii="Arial" w:eastAsia="Arial" w:hAnsi="Arial" w:cs="Arial"/>
        </w:rPr>
      </w:pPr>
    </w:p>
    <w:p w14:paraId="7A5F62A9" w14:textId="77777777" w:rsidR="00955984" w:rsidRPr="001E722E" w:rsidRDefault="00161751">
      <w:pPr>
        <w:spacing w:after="240" w:line="360" w:lineRule="auto"/>
        <w:jc w:val="both"/>
        <w:rPr>
          <w:rFonts w:ascii="Arial" w:eastAsia="Arial" w:hAnsi="Arial" w:cs="Arial"/>
          <w:sz w:val="28"/>
          <w:szCs w:val="28"/>
        </w:rPr>
      </w:pPr>
      <w:r w:rsidRPr="001E722E">
        <w:rPr>
          <w:rFonts w:ascii="Arial" w:eastAsia="Arial" w:hAnsi="Arial" w:cs="Arial"/>
          <w:sz w:val="24"/>
          <w:szCs w:val="24"/>
        </w:rPr>
        <w:t>Methodological quality was assessed using the CASP checklist appropriate to each study design or an adapted CASP approach where a standard checklist was not directly applicable. Numerical scores represent an operational scoring approach used for this review and are not official CASP scoring thresholds. Studies meeting ≥80% of applicable criteria were classified as high quality, 60–79% as moderate quality, and &lt;60% as low quality.</w:t>
      </w:r>
    </w:p>
    <w:p w14:paraId="3858F324" w14:textId="77777777" w:rsidR="00955984" w:rsidRPr="001E722E" w:rsidRDefault="00161751">
      <w:pPr>
        <w:pStyle w:val="Heading2"/>
      </w:pPr>
      <w:bookmarkStart w:id="45" w:name="_m55oybgi4sqt" w:colFirst="0" w:colLast="0"/>
      <w:bookmarkEnd w:id="45"/>
      <w:r w:rsidRPr="001E722E">
        <w:lastRenderedPageBreak/>
        <w:t>3.9 Data Synthesis</w:t>
      </w:r>
    </w:p>
    <w:p w14:paraId="47748EC2" w14:textId="77777777" w:rsidR="00955984" w:rsidRPr="001E722E" w:rsidRDefault="00161751">
      <w:pPr>
        <w:spacing w:after="200" w:line="360" w:lineRule="auto"/>
        <w:jc w:val="both"/>
        <w:rPr>
          <w:rFonts w:ascii="Arial" w:eastAsia="Arial" w:hAnsi="Arial" w:cs="Arial"/>
        </w:rPr>
      </w:pPr>
      <w:r w:rsidRPr="001E722E">
        <w:rPr>
          <w:rFonts w:ascii="Arial" w:eastAsia="Arial" w:hAnsi="Arial" w:cs="Arial"/>
          <w:sz w:val="24"/>
          <w:szCs w:val="24"/>
        </w:rPr>
        <w:t>Given the qualitative and mixed-methods nature of the evidence included, a narrative synthesis approach was adopted to bring the findings together. This followed the widely used guidance developed for the ESRC Methods Programme, read alongside more recent reporting guidance for syntheses without meta-analysis (Campbell et al., 2020). Narrative synthesis is a process of arranging and synthesising results in a structured, written way, based on shared themes, instead of statistically pooling of numerical results as in a meta-analysis. This was selected because the studies included are all very different in design, ranging from large observational studies involving millions of patient records to small-scale qualitative interview studies and thus numerical pooling is inappropriate. Building on the work of Popay et al. (2016) this review provides an initial description of study characteristics and findings, classifies studies by the four research objectives, looks for relationships within each theme and for consistency (or inconsistency) between studies within each theme, and considers the overall strength of the evidence, taking the quality appraisal results from section 3.8 into account. This synthesis, following the four objectives, is presented in Chapter 4 and discussed in Chapter 5.</w:t>
      </w:r>
    </w:p>
    <w:p w14:paraId="5D958AC8" w14:textId="77777777" w:rsidR="00955984" w:rsidRPr="001E722E" w:rsidRDefault="00161751">
      <w:pPr>
        <w:pStyle w:val="Heading3"/>
      </w:pPr>
      <w:r w:rsidRPr="001E722E">
        <w:t>3.9.1 Application of the Health Belief Model and Thematic Coding</w:t>
      </w:r>
    </w:p>
    <w:p w14:paraId="4CFA007C" w14:textId="77777777" w:rsidR="00955984" w:rsidRPr="001E722E" w:rsidRDefault="00161751">
      <w:pPr>
        <w:spacing w:after="200" w:line="360" w:lineRule="auto"/>
        <w:jc w:val="both"/>
        <w:rPr>
          <w:rFonts w:ascii="Arial" w:eastAsia="Arial" w:hAnsi="Arial" w:cs="Arial"/>
          <w:sz w:val="24"/>
          <w:szCs w:val="24"/>
        </w:rPr>
      </w:pPr>
      <w:r w:rsidRPr="001E722E">
        <w:rPr>
          <w:rFonts w:ascii="Arial" w:eastAsia="Arial" w:hAnsi="Arial" w:cs="Arial"/>
          <w:sz w:val="24"/>
          <w:szCs w:val="24"/>
        </w:rPr>
        <w:t>The Health Belief Model (HBM) was used to explain the results of the adults' involvement in the NHS Health Checks and CHD prevention. The coding process took place in two steps. The results and discussion sections of each of the included studies were coded for common factors and patterns to report on. All similar findings were brought together to create themes. These themes were then grouped into four review objectives and barriers were then broken down into individual, practical, cultural and socioeconomic barriers. Themes were then coded to the respective constructs of HBM.</w:t>
      </w:r>
    </w:p>
    <w:p w14:paraId="2DF1691E" w14:textId="77777777" w:rsidR="00955984" w:rsidRPr="001E722E" w:rsidRDefault="00161751">
      <w:pPr>
        <w:spacing w:after="200" w:line="360" w:lineRule="auto"/>
        <w:jc w:val="both"/>
        <w:rPr>
          <w:rFonts w:ascii="Arial" w:eastAsia="Arial" w:hAnsi="Arial" w:cs="Arial"/>
          <w:sz w:val="24"/>
          <w:szCs w:val="24"/>
        </w:rPr>
      </w:pPr>
      <w:r w:rsidRPr="001E722E">
        <w:rPr>
          <w:rFonts w:ascii="Arial" w:eastAsia="Arial" w:hAnsi="Arial" w:cs="Arial"/>
          <w:sz w:val="24"/>
          <w:szCs w:val="24"/>
        </w:rPr>
        <w:t xml:space="preserve">The HBM constructs were applied for the context of CHD prevention and NHS Health Checks, respectively. Perceived susceptibility was defined as whether or not the adults thought they were at risk of CHD, especially if they felt they were in good health and had no symptoms. Perceived severity referred to perceptions of what may happen if CHD occurs, such as a heart attack, disability, decreased quality of life or early death. </w:t>
      </w:r>
      <w:proofErr w:type="gramStart"/>
      <w:r w:rsidRPr="001E722E">
        <w:rPr>
          <w:rFonts w:ascii="Arial" w:eastAsia="Arial" w:hAnsi="Arial" w:cs="Arial"/>
          <w:sz w:val="24"/>
          <w:szCs w:val="24"/>
        </w:rPr>
        <w:t>Perceived benefits was</w:t>
      </w:r>
      <w:proofErr w:type="gramEnd"/>
      <w:r w:rsidRPr="001E722E">
        <w:rPr>
          <w:rFonts w:ascii="Arial" w:eastAsia="Arial" w:hAnsi="Arial" w:cs="Arial"/>
          <w:sz w:val="24"/>
          <w:szCs w:val="24"/>
        </w:rPr>
        <w:t xml:space="preserve"> defined as whether attending the NHS Health </w:t>
      </w:r>
      <w:r w:rsidRPr="001E722E">
        <w:rPr>
          <w:rFonts w:ascii="Arial" w:eastAsia="Arial" w:hAnsi="Arial" w:cs="Arial"/>
          <w:sz w:val="24"/>
          <w:szCs w:val="24"/>
        </w:rPr>
        <w:lastRenderedPageBreak/>
        <w:t>Check was seen as worthwhile to identify risk factors and prevent future cardiovascular disease. Practical and personal challenges such as inconvenient appointment times, work commitments, travelling to appointments, uncertainty about accessing or engaging with health services, and mistrust, language barriers and concerns were perceived barriers. Cues to action were NHS Health Check invitation letters, calls to home, and being advised to take part by GP or other health care professionals, public health campaigns and people having an experience of a relative having a cardiac event. Self-efficacy was defined as the confidence people had in their ability to book and attend an NHS Health Check, to understand their findings, and in keeping recommended lifestyle changes.</w:t>
      </w:r>
    </w:p>
    <w:p w14:paraId="215A7619" w14:textId="77777777" w:rsidR="00955984" w:rsidRPr="001E722E" w:rsidRDefault="00161751">
      <w:pPr>
        <w:spacing w:after="200" w:line="360" w:lineRule="auto"/>
        <w:jc w:val="both"/>
        <w:rPr>
          <w:rFonts w:ascii="Arial" w:eastAsia="Arial" w:hAnsi="Arial" w:cs="Arial"/>
          <w:sz w:val="24"/>
          <w:szCs w:val="24"/>
        </w:rPr>
      </w:pPr>
      <w:r w:rsidRPr="001E722E">
        <w:rPr>
          <w:rFonts w:ascii="Arial" w:eastAsia="Arial" w:hAnsi="Arial" w:cs="Arial"/>
          <w:sz w:val="24"/>
          <w:szCs w:val="24"/>
        </w:rPr>
        <w:t>If the finding referred to more than one HBM construct, it was mapped to all relevant constructs, not just one category. Fears about receiving bad health information could, for example, be coded as perceived severity, as it represented concern about the potential implications of CHD, as well as being coded as perceived barrier, as fear could lead a person to not attend an NHS Health Check. This method enabled the overlap of the health perceptions and the barriers to preventive behaviour to be analysed.</w:t>
      </w:r>
    </w:p>
    <w:p w14:paraId="26715A86" w14:textId="77777777" w:rsidR="00955984" w:rsidRPr="001E722E" w:rsidRDefault="00161751">
      <w:pPr>
        <w:spacing w:after="200" w:line="360" w:lineRule="auto"/>
        <w:jc w:val="both"/>
        <w:rPr>
          <w:rFonts w:ascii="Arial" w:eastAsia="Arial" w:hAnsi="Arial" w:cs="Arial"/>
        </w:rPr>
      </w:pPr>
      <w:r w:rsidRPr="001E722E">
        <w:rPr>
          <w:rFonts w:ascii="Arial" w:eastAsia="Arial" w:hAnsi="Arial" w:cs="Arial"/>
          <w:sz w:val="24"/>
          <w:szCs w:val="24"/>
        </w:rPr>
        <w:t>Thematic coding and synthesis was conducted according to Thomas and Harden (2008). This included looking for common findings and summarising the similar codes into themes that described the contents of these codes, which were then related to CHD risk perceptions and the uptake of NHS Health Check using the HBM.</w:t>
      </w:r>
    </w:p>
    <w:p w14:paraId="65AA9E6B" w14:textId="77777777" w:rsidR="00955984" w:rsidRPr="001E722E" w:rsidRDefault="00161751">
      <w:pPr>
        <w:pStyle w:val="Heading2"/>
      </w:pPr>
      <w:bookmarkStart w:id="46" w:name="_9qgi1gfc4rh9" w:colFirst="0" w:colLast="0"/>
      <w:bookmarkEnd w:id="46"/>
      <w:r w:rsidRPr="001E722E">
        <w:t>3.10 Ethical Considerations</w:t>
      </w:r>
      <w:r w:rsidRPr="001E722E">
        <w:rPr>
          <w:b w:val="0"/>
          <w:bCs w:val="0"/>
        </w:rPr>
        <w:tab/>
      </w:r>
    </w:p>
    <w:p w14:paraId="5D8C639C" w14:textId="77777777" w:rsidR="00955984" w:rsidRPr="001E722E" w:rsidRDefault="00161751">
      <w:pPr>
        <w:spacing w:after="200" w:line="360" w:lineRule="auto"/>
        <w:jc w:val="both"/>
        <w:rPr>
          <w:rFonts w:ascii="Arial" w:eastAsia="Arial" w:hAnsi="Arial" w:cs="Arial"/>
        </w:rPr>
      </w:pPr>
      <w:r w:rsidRPr="001E722E">
        <w:rPr>
          <w:rFonts w:ascii="Arial" w:eastAsia="Arial" w:hAnsi="Arial" w:cs="Arial"/>
          <w:sz w:val="24"/>
          <w:szCs w:val="24"/>
        </w:rPr>
        <w:t xml:space="preserve">This study is secondary data analysis research comprised of only previously published, publicly available literature and does not involve direct contact with human participants, therefore NHS Research Ethics Committee or university ethics committee approval for the collection of primary data was not required (Health Research Authority, 2020). There were, however, still aspects of the ethical care that were observed. For example, all sources have been properly and correctly referenced according to the conventions of Harvard referencing to credit the original authors and avoid misrepresenting their findings from sources used. Results from individual studies have been reported accurately, not selectively, and including any </w:t>
      </w:r>
      <w:r w:rsidRPr="001E722E">
        <w:rPr>
          <w:rFonts w:ascii="Arial" w:eastAsia="Arial" w:hAnsi="Arial" w:cs="Arial"/>
          <w:sz w:val="24"/>
          <w:szCs w:val="24"/>
        </w:rPr>
        <w:lastRenderedPageBreak/>
        <w:t>limitations and conflicting findings. Special attention was given to the summarising of results for minority ethnic and socioeconomically deprived communities to ensure that the experiences of these communities were portrayed accurately and respectfully not generalisations. In the case of studies that addressed sensitive topics (e.g., participants' concern of receiving a serious diagnosis) the findings were presented at a general, thematic level, rather than being used to recreate specific accounts of individuals. This is in line with the thematic-level approach to reporting sensitive qualitative findings recommended in narrative synthesis guidance (Popay et al., 2006).</w:t>
      </w:r>
    </w:p>
    <w:p w14:paraId="6DD6315C" w14:textId="77777777" w:rsidR="00955984" w:rsidRPr="001E722E" w:rsidRDefault="00161751">
      <w:pPr>
        <w:pStyle w:val="Heading2"/>
      </w:pPr>
      <w:bookmarkStart w:id="47" w:name="_g7iq0q6t04y6" w:colFirst="0" w:colLast="0"/>
      <w:bookmarkEnd w:id="47"/>
      <w:r w:rsidRPr="001E722E">
        <w:t>3.11 Limitations of the Methodology</w:t>
      </w:r>
    </w:p>
    <w:p w14:paraId="4D308085" w14:textId="77777777" w:rsidR="00955984" w:rsidRPr="001E722E" w:rsidRDefault="00161751">
      <w:pPr>
        <w:spacing w:after="200" w:line="360" w:lineRule="auto"/>
        <w:jc w:val="both"/>
        <w:rPr>
          <w:rFonts w:ascii="Arial" w:eastAsia="Arial" w:hAnsi="Arial" w:cs="Arial"/>
        </w:rPr>
      </w:pPr>
      <w:bookmarkStart w:id="48" w:name="_u4dgk8joj5df" w:colFirst="0" w:colLast="0"/>
      <w:bookmarkEnd w:id="48"/>
      <w:r w:rsidRPr="001E722E">
        <w:rPr>
          <w:rFonts w:ascii="Arial" w:eastAsia="Arial" w:hAnsi="Arial" w:cs="Arial"/>
          <w:sz w:val="24"/>
          <w:szCs w:val="24"/>
        </w:rPr>
        <w:t>It is important to recognise that there are some limitations to this methodology. Firstly, limiting the search to articles published in the English language in three databases might have excluded some relevant evidence based on studies conducted in the United Kingdom, especially in local NHS reports, grey literature or sources indexed only in databases such as Google Scholar or NHS Evidence that were not part of the search strategy. Second, because this is a qualitative systematic review, and not a meta-analysis, it is not possible to combine the results across studies statistically to provide, for example, an overall quantitative estimate of the number of percentage points that a particular campaign contributes to an increase in screening uptake; the synthesis instead provides a structured narrative picture of the patterns across studies. Third, the quality and depth of reporting differs among studies included, and some of the older or smaller studies may not report enough methodological information to be evaluated thoroughly and confidently according to the CASP checklists. Thirdly, like all one-researcher reviews, there is a possibility that the researcher's subjectivity might shape the selection of which studies to include or exclude and the organisation into themes; this possibility was minimised to the greatest possible extent by transparently and consistently applying the pre-defined criteria for inclusion and exclusion (Table 3.3) throughout the review process.</w:t>
      </w:r>
    </w:p>
    <w:p w14:paraId="58BF4FF2" w14:textId="77777777" w:rsidR="00955984" w:rsidRPr="001E722E" w:rsidRDefault="00161751">
      <w:pPr>
        <w:pStyle w:val="Heading2"/>
      </w:pPr>
      <w:bookmarkStart w:id="49" w:name="_q3syzttcnzch" w:colFirst="0" w:colLast="0"/>
      <w:bookmarkEnd w:id="49"/>
      <w:r w:rsidRPr="001E722E">
        <w:lastRenderedPageBreak/>
        <w:t>3.12 Chapter Summary</w:t>
      </w:r>
    </w:p>
    <w:p w14:paraId="3E6AEAC1" w14:textId="77777777" w:rsidR="00955984" w:rsidRPr="001E722E" w:rsidRDefault="00161751">
      <w:pPr>
        <w:spacing w:line="360" w:lineRule="auto"/>
        <w:jc w:val="both"/>
        <w:rPr>
          <w:rFonts w:ascii="Arial" w:eastAsia="Arial" w:hAnsi="Arial" w:cs="Arial"/>
          <w:sz w:val="24"/>
          <w:szCs w:val="24"/>
        </w:rPr>
      </w:pPr>
      <w:r w:rsidRPr="001E722E">
        <w:rPr>
          <w:rFonts w:ascii="Arial" w:eastAsia="Arial" w:hAnsi="Arial" w:cs="Arial"/>
          <w:sz w:val="24"/>
          <w:szCs w:val="24"/>
        </w:rPr>
        <w:t>This chapter has set out and justified the interpretivist, qualitative systematic review approach used to answer this dissertation's research question. It has outlined a systematic search methodology in three databases, inclusion and exclusion criteria, used a PRISMA study selection process, applied CASP quality appraisal and followed the approach of narrative synthesis.</w:t>
      </w:r>
    </w:p>
    <w:p w14:paraId="26BCC0E9" w14:textId="77777777" w:rsidR="00955984" w:rsidRPr="001E722E" w:rsidRDefault="00955984">
      <w:pPr>
        <w:spacing w:line="360" w:lineRule="auto"/>
        <w:jc w:val="both"/>
        <w:rPr>
          <w:rFonts w:ascii="Arial" w:eastAsia="Arial" w:hAnsi="Arial" w:cs="Arial"/>
          <w:sz w:val="24"/>
          <w:szCs w:val="24"/>
        </w:rPr>
      </w:pPr>
    </w:p>
    <w:p w14:paraId="32417978" w14:textId="77777777" w:rsidR="00955984" w:rsidRPr="001E722E" w:rsidRDefault="00955984">
      <w:pPr>
        <w:spacing w:line="360" w:lineRule="auto"/>
        <w:jc w:val="both"/>
        <w:rPr>
          <w:rFonts w:ascii="Arial" w:eastAsia="Arial" w:hAnsi="Arial" w:cs="Arial"/>
          <w:sz w:val="24"/>
          <w:szCs w:val="24"/>
        </w:rPr>
      </w:pPr>
    </w:p>
    <w:p w14:paraId="14DDCDBC" w14:textId="77777777" w:rsidR="00955984" w:rsidRPr="001E722E" w:rsidRDefault="00955984">
      <w:pPr>
        <w:spacing w:line="360" w:lineRule="auto"/>
        <w:jc w:val="both"/>
        <w:rPr>
          <w:rFonts w:ascii="Arial" w:eastAsia="Arial" w:hAnsi="Arial" w:cs="Arial"/>
          <w:sz w:val="24"/>
          <w:szCs w:val="24"/>
        </w:rPr>
      </w:pPr>
    </w:p>
    <w:p w14:paraId="1C2A504F" w14:textId="77777777" w:rsidR="00955984" w:rsidRPr="001E722E" w:rsidRDefault="00955984">
      <w:pPr>
        <w:spacing w:line="360" w:lineRule="auto"/>
        <w:jc w:val="both"/>
        <w:rPr>
          <w:rFonts w:ascii="Arial" w:eastAsia="Arial" w:hAnsi="Arial" w:cs="Arial"/>
          <w:sz w:val="24"/>
          <w:szCs w:val="24"/>
        </w:rPr>
      </w:pPr>
    </w:p>
    <w:p w14:paraId="1E57A438" w14:textId="77777777" w:rsidR="00955984" w:rsidRPr="001E722E" w:rsidRDefault="00955984">
      <w:pPr>
        <w:spacing w:line="360" w:lineRule="auto"/>
        <w:jc w:val="both"/>
        <w:rPr>
          <w:rFonts w:ascii="Arial" w:eastAsia="Arial" w:hAnsi="Arial" w:cs="Arial"/>
          <w:sz w:val="24"/>
          <w:szCs w:val="24"/>
        </w:rPr>
      </w:pPr>
    </w:p>
    <w:p w14:paraId="2343B0B1" w14:textId="77777777" w:rsidR="00955984" w:rsidRPr="001E722E" w:rsidRDefault="00955984">
      <w:pPr>
        <w:spacing w:line="360" w:lineRule="auto"/>
        <w:jc w:val="both"/>
        <w:rPr>
          <w:rFonts w:ascii="Arial" w:eastAsia="Arial" w:hAnsi="Arial" w:cs="Arial"/>
          <w:sz w:val="24"/>
          <w:szCs w:val="24"/>
        </w:rPr>
      </w:pPr>
    </w:p>
    <w:p w14:paraId="76DE408D" w14:textId="77777777" w:rsidR="00955984" w:rsidRPr="001E722E" w:rsidRDefault="00955984">
      <w:pPr>
        <w:spacing w:line="360" w:lineRule="auto"/>
        <w:jc w:val="both"/>
        <w:rPr>
          <w:rFonts w:ascii="Arial" w:eastAsia="Arial" w:hAnsi="Arial" w:cs="Arial"/>
          <w:sz w:val="24"/>
          <w:szCs w:val="24"/>
        </w:rPr>
      </w:pPr>
    </w:p>
    <w:p w14:paraId="475F61A6" w14:textId="77777777" w:rsidR="00955984" w:rsidRPr="001E722E" w:rsidRDefault="00955984">
      <w:pPr>
        <w:spacing w:line="360" w:lineRule="auto"/>
        <w:jc w:val="both"/>
        <w:rPr>
          <w:rFonts w:ascii="Arial" w:eastAsia="Arial" w:hAnsi="Arial" w:cs="Arial"/>
          <w:sz w:val="24"/>
          <w:szCs w:val="24"/>
        </w:rPr>
      </w:pPr>
    </w:p>
    <w:p w14:paraId="31320408" w14:textId="77777777" w:rsidR="00955984" w:rsidRPr="001E722E" w:rsidRDefault="00955984">
      <w:pPr>
        <w:spacing w:line="360" w:lineRule="auto"/>
        <w:jc w:val="both"/>
        <w:rPr>
          <w:rFonts w:ascii="Arial" w:eastAsia="Arial" w:hAnsi="Arial" w:cs="Arial"/>
          <w:sz w:val="24"/>
          <w:szCs w:val="24"/>
        </w:rPr>
      </w:pPr>
    </w:p>
    <w:p w14:paraId="66D181DE" w14:textId="77777777" w:rsidR="00955984" w:rsidRPr="001E722E" w:rsidRDefault="00955984">
      <w:pPr>
        <w:spacing w:line="360" w:lineRule="auto"/>
        <w:jc w:val="both"/>
        <w:rPr>
          <w:rFonts w:ascii="Arial" w:eastAsia="Arial" w:hAnsi="Arial" w:cs="Arial"/>
          <w:sz w:val="24"/>
          <w:szCs w:val="24"/>
        </w:rPr>
      </w:pPr>
    </w:p>
    <w:p w14:paraId="0E700F1F" w14:textId="77777777" w:rsidR="00955984" w:rsidRPr="001E722E" w:rsidRDefault="00955984">
      <w:pPr>
        <w:spacing w:line="360" w:lineRule="auto"/>
        <w:jc w:val="both"/>
        <w:rPr>
          <w:rFonts w:ascii="Arial" w:eastAsia="Arial" w:hAnsi="Arial" w:cs="Arial"/>
          <w:sz w:val="24"/>
          <w:szCs w:val="24"/>
        </w:rPr>
      </w:pPr>
    </w:p>
    <w:p w14:paraId="7C00DA32" w14:textId="77777777" w:rsidR="00955984" w:rsidRPr="001E722E" w:rsidRDefault="00955984">
      <w:pPr>
        <w:spacing w:line="360" w:lineRule="auto"/>
        <w:jc w:val="both"/>
        <w:rPr>
          <w:rFonts w:ascii="Arial" w:eastAsia="Arial" w:hAnsi="Arial" w:cs="Arial"/>
          <w:sz w:val="24"/>
          <w:szCs w:val="24"/>
        </w:rPr>
      </w:pPr>
    </w:p>
    <w:p w14:paraId="47BFAA5F" w14:textId="77777777" w:rsidR="00955984" w:rsidRPr="001E722E" w:rsidRDefault="00161751">
      <w:pPr>
        <w:pStyle w:val="Heading1"/>
        <w:pageBreakBefore/>
      </w:pPr>
      <w:bookmarkStart w:id="50" w:name="_75xv8j2az0e8" w:colFirst="0" w:colLast="0"/>
      <w:bookmarkEnd w:id="50"/>
      <w:r w:rsidRPr="001E722E">
        <w:lastRenderedPageBreak/>
        <w:t>CHAPTER 4: DATA ANALYSIS AND RESULTS</w:t>
      </w:r>
    </w:p>
    <w:p w14:paraId="1EF7E23E" w14:textId="77777777" w:rsidR="00955984" w:rsidRPr="001E722E" w:rsidRDefault="00161751">
      <w:pPr>
        <w:pStyle w:val="Heading2"/>
      </w:pPr>
      <w:bookmarkStart w:id="51" w:name="_rtvyx0d4p90g" w:colFirst="0" w:colLast="0"/>
      <w:bookmarkEnd w:id="51"/>
      <w:r w:rsidRPr="001E722E">
        <w:t>4.1 Introduction</w:t>
      </w:r>
    </w:p>
    <w:p w14:paraId="26AF354C" w14:textId="77777777" w:rsidR="00955984" w:rsidRPr="001E722E" w:rsidRDefault="00161751">
      <w:pPr>
        <w:spacing w:after="200" w:line="360" w:lineRule="auto"/>
        <w:jc w:val="both"/>
        <w:rPr>
          <w:rFonts w:ascii="Arial" w:eastAsia="Arial" w:hAnsi="Arial" w:cs="Arial"/>
          <w:sz w:val="24"/>
          <w:szCs w:val="24"/>
        </w:rPr>
      </w:pPr>
      <w:r w:rsidRPr="001E722E">
        <w:rPr>
          <w:rFonts w:ascii="Arial" w:eastAsia="Arial" w:hAnsi="Arial" w:cs="Arial"/>
          <w:sz w:val="24"/>
          <w:szCs w:val="24"/>
        </w:rPr>
        <w:t>The findings from the systematic literature search to address the research question – What are the most effective public health interventions in the United Kingdom to increase awareness, encourage early screening and prevent premature deaths from coronary heart disease (CHD) – are presented in this chapter. The chapter is organised around the four research objectives outlined in Chapter 1: (1) public awareness and understanding of risk factors and symptoms for CHD; (2) issues that hinder uptake of early screening and preventive health check-ups; (3) the success and effectiveness of current CHD prevention campaigns in the NHS and community; and (4) evidence-based interventions that could increase awareness and early screening uptake.</w:t>
      </w:r>
    </w:p>
    <w:p w14:paraId="2A9C771B" w14:textId="77777777" w:rsidR="00955984" w:rsidRPr="001E722E" w:rsidRDefault="00161751">
      <w:pPr>
        <w:spacing w:after="200" w:line="360" w:lineRule="auto"/>
        <w:jc w:val="both"/>
        <w:rPr>
          <w:rFonts w:ascii="Arial" w:eastAsia="Arial" w:hAnsi="Arial" w:cs="Arial"/>
          <w:sz w:val="24"/>
          <w:szCs w:val="24"/>
        </w:rPr>
      </w:pPr>
      <w:r w:rsidRPr="001E722E">
        <w:rPr>
          <w:rFonts w:ascii="Arial" w:eastAsia="Arial" w:hAnsi="Arial" w:cs="Arial"/>
          <w:sz w:val="24"/>
          <w:szCs w:val="24"/>
        </w:rPr>
        <w:t>The results are organised thematically in Section 4.2, based on the review goals. The findings are presented in an objective and objective manner without interpretation. The results are integrated into an explanatory framework, the Health Belief Model (HBM), in Chapter 5, based on the assumption that the model can explain why public knowledge does not always lead to the appropriate attendance at screening and preventive behaviour.</w:t>
      </w:r>
    </w:p>
    <w:p w14:paraId="4F92201F" w14:textId="77777777" w:rsidR="00955984" w:rsidRPr="001E722E" w:rsidRDefault="00161751">
      <w:pPr>
        <w:spacing w:after="200" w:line="360" w:lineRule="auto"/>
        <w:jc w:val="both"/>
        <w:rPr>
          <w:rFonts w:ascii="Arial" w:eastAsia="Arial" w:hAnsi="Arial" w:cs="Arial"/>
        </w:rPr>
      </w:pPr>
      <w:r w:rsidRPr="001E722E">
        <w:rPr>
          <w:rFonts w:ascii="Arial" w:eastAsia="Arial" w:hAnsi="Arial" w:cs="Arial"/>
          <w:sz w:val="24"/>
          <w:szCs w:val="24"/>
        </w:rPr>
        <w:t>The selection process shown in Figure 4.1 resulted in 16 studies being included in the review. Their characteristics are summarised in Table 4.1, and Table 4.2 shows which studies contributed to each research objective and the Health Belief Model constructs they relate to.</w:t>
      </w:r>
    </w:p>
    <w:p w14:paraId="33E732E2" w14:textId="77777777" w:rsidR="00955984" w:rsidRPr="001E722E" w:rsidRDefault="00161751">
      <w:pPr>
        <w:spacing w:after="200" w:line="360" w:lineRule="auto"/>
        <w:jc w:val="both"/>
      </w:pPr>
      <w:r w:rsidRPr="001E722E">
        <w:rPr>
          <w:rFonts w:ascii="Arial" w:eastAsia="Arial" w:hAnsi="Arial" w:cs="Arial"/>
          <w:sz w:val="24"/>
          <w:szCs w:val="24"/>
        </w:rPr>
        <w:t>Figure 4.1 presents the study selection process for this systematic review. A total of 388 records were identified, including 370 records from database searches and 18 records from other sources. Following duplicate removal, title and abstract screening, full-text assessment and application of the eligibility criteria, 16 studies were included in the final review.</w:t>
      </w:r>
    </w:p>
    <w:p w14:paraId="4797D7FA" w14:textId="77777777" w:rsidR="00955984" w:rsidRPr="001E722E" w:rsidRDefault="00161751">
      <w:pPr>
        <w:keepNext/>
        <w:spacing w:before="200"/>
        <w:jc w:val="center"/>
        <w:rPr>
          <w:rFonts w:ascii="Arial" w:eastAsia="Arial" w:hAnsi="Arial" w:cs="Arial"/>
        </w:rPr>
      </w:pPr>
      <w:r w:rsidRPr="001E722E">
        <w:rPr>
          <w:noProof/>
        </w:rPr>
        <w:lastRenderedPageBreak/>
        <w:drawing>
          <wp:inline distT="0" distB="0" distL="0" distR="0" wp14:anchorId="17DC7168" wp14:editId="7EF7561B">
            <wp:extent cx="5715000" cy="6492240"/>
            <wp:effectExtent l="0" t="0" r="0" b="0"/>
            <wp:docPr id="2" name="image2.png" descr="PRISMA 2020 flow diagram of the study selection process"/>
            <wp:cNvGraphicFramePr/>
            <a:graphic xmlns:a="http://schemas.openxmlformats.org/drawingml/2006/main">
              <a:graphicData uri="http://schemas.openxmlformats.org/drawingml/2006/picture">
                <pic:pic xmlns:pic="http://schemas.openxmlformats.org/drawingml/2006/picture">
                  <pic:nvPicPr>
                    <pic:cNvPr id="0" name="image2.png" descr="PRISMA 2020 flow diagram of the study selection process"/>
                    <pic:cNvPicPr preferRelativeResize="0"/>
                  </pic:nvPicPr>
                  <pic:blipFill>
                    <a:blip r:embed="rId18"/>
                    <a:srcRect/>
                    <a:stretch>
                      <a:fillRect/>
                    </a:stretch>
                  </pic:blipFill>
                  <pic:spPr>
                    <a:xfrm>
                      <a:off x="0" y="0"/>
                      <a:ext cx="5715000" cy="6492240"/>
                    </a:xfrm>
                    <a:prstGeom prst="rect">
                      <a:avLst/>
                    </a:prstGeom>
                    <a:ln/>
                  </pic:spPr>
                </pic:pic>
              </a:graphicData>
            </a:graphic>
          </wp:inline>
        </w:drawing>
      </w:r>
    </w:p>
    <w:p w14:paraId="27455D6D" w14:textId="77777777" w:rsidR="00955984" w:rsidRPr="001E722E" w:rsidRDefault="00161751">
      <w:pPr>
        <w:spacing w:before="100" w:after="300"/>
        <w:jc w:val="center"/>
        <w:rPr>
          <w:rFonts w:ascii="Arial" w:eastAsia="Arial" w:hAnsi="Arial" w:cs="Arial"/>
          <w:sz w:val="24"/>
          <w:szCs w:val="24"/>
        </w:rPr>
      </w:pPr>
      <w:bookmarkStart w:id="52" w:name="_fm7vc0kovneb" w:colFirst="0" w:colLast="0"/>
      <w:bookmarkEnd w:id="52"/>
      <w:r w:rsidRPr="001E722E">
        <w:rPr>
          <w:rFonts w:ascii="Arial" w:eastAsia="Arial" w:hAnsi="Arial" w:cs="Arial"/>
          <w:sz w:val="24"/>
          <w:szCs w:val="24"/>
        </w:rPr>
        <w:t>Figure 4.1: PRISMA 2020 Flow Diagram of the Study Selection Process (adapted from Page et al., 2021)</w:t>
      </w:r>
    </w:p>
    <w:p w14:paraId="2B1DDCA4" w14:textId="77777777" w:rsidR="00955984" w:rsidRPr="001E722E" w:rsidRDefault="00161751">
      <w:pPr>
        <w:keepNext/>
        <w:spacing w:before="100" w:after="300"/>
        <w:rPr>
          <w:rFonts w:ascii="Arial" w:eastAsia="Arial" w:hAnsi="Arial" w:cs="Arial"/>
          <w:sz w:val="24"/>
          <w:szCs w:val="24"/>
        </w:rPr>
      </w:pPr>
      <w:r w:rsidRPr="001E722E">
        <w:rPr>
          <w:rFonts w:ascii="Arial" w:eastAsia="Arial" w:hAnsi="Arial" w:cs="Arial"/>
          <w:sz w:val="24"/>
          <w:szCs w:val="24"/>
        </w:rPr>
        <w:t>Table 4.1: Characteristics of Included Studies</w:t>
      </w:r>
    </w:p>
    <w:tbl>
      <w:tblPr>
        <w:tblStyle w:val="a5"/>
        <w:tblW w:w="9026" w:type="dxa"/>
        <w:tblInd w:w="0" w:type="dxa"/>
        <w:tblLayout w:type="fixed"/>
        <w:tblLook w:val="0400" w:firstRow="0" w:lastRow="0" w:firstColumn="0" w:lastColumn="0" w:noHBand="0" w:noVBand="1"/>
      </w:tblPr>
      <w:tblGrid>
        <w:gridCol w:w="400"/>
        <w:gridCol w:w="1650"/>
        <w:gridCol w:w="1500"/>
        <w:gridCol w:w="1600"/>
        <w:gridCol w:w="900"/>
        <w:gridCol w:w="2976"/>
      </w:tblGrid>
      <w:tr w:rsidR="00955984" w:rsidRPr="001E722E" w14:paraId="03588420" w14:textId="77777777">
        <w:trPr>
          <w:tblHeader/>
        </w:trPr>
        <w:tc>
          <w:tcPr>
            <w:tcW w:w="400" w:type="dxa"/>
            <w:tcBorders>
              <w:top w:val="single" w:sz="4" w:space="0" w:color="000000"/>
              <w:left w:val="single" w:sz="4" w:space="0" w:color="000000"/>
              <w:bottom w:val="single" w:sz="4" w:space="0" w:color="000000"/>
              <w:right w:val="single" w:sz="4" w:space="0" w:color="000000"/>
            </w:tcBorders>
            <w:shd w:val="clear" w:color="auto" w:fill="1F3864"/>
          </w:tcPr>
          <w:p w14:paraId="33A64257" w14:textId="77777777" w:rsidR="00955984" w:rsidRPr="001E722E" w:rsidRDefault="00161751">
            <w:pPr>
              <w:spacing w:before="20" w:after="20"/>
              <w:rPr>
                <w:rFonts w:ascii="Arial" w:eastAsia="Arial" w:hAnsi="Arial" w:cs="Arial"/>
              </w:rPr>
            </w:pPr>
            <w:r w:rsidRPr="001E722E">
              <w:rPr>
                <w:rFonts w:ascii="Arial" w:eastAsia="Arial" w:hAnsi="Arial" w:cs="Arial"/>
                <w:b/>
                <w:bCs/>
                <w:color w:val="FFFFFF"/>
              </w:rPr>
              <w:t>No.</w:t>
            </w:r>
          </w:p>
        </w:tc>
        <w:tc>
          <w:tcPr>
            <w:tcW w:w="1650" w:type="dxa"/>
            <w:tcBorders>
              <w:top w:val="single" w:sz="4" w:space="0" w:color="000000"/>
              <w:left w:val="single" w:sz="4" w:space="0" w:color="000000"/>
              <w:bottom w:val="single" w:sz="4" w:space="0" w:color="000000"/>
              <w:right w:val="single" w:sz="4" w:space="0" w:color="000000"/>
            </w:tcBorders>
            <w:shd w:val="clear" w:color="auto" w:fill="1F3864"/>
          </w:tcPr>
          <w:p w14:paraId="0C4BD761" w14:textId="77777777" w:rsidR="00955984" w:rsidRPr="001E722E" w:rsidRDefault="00161751">
            <w:pPr>
              <w:spacing w:before="20" w:after="20"/>
              <w:rPr>
                <w:rFonts w:ascii="Arial" w:eastAsia="Arial" w:hAnsi="Arial" w:cs="Arial"/>
              </w:rPr>
            </w:pPr>
            <w:r w:rsidRPr="001E722E">
              <w:rPr>
                <w:rFonts w:ascii="Arial" w:eastAsia="Arial" w:hAnsi="Arial" w:cs="Arial"/>
                <w:b/>
                <w:bCs/>
                <w:color w:val="FFFFFF"/>
              </w:rPr>
              <w:t>Author (year)</w:t>
            </w:r>
          </w:p>
        </w:tc>
        <w:tc>
          <w:tcPr>
            <w:tcW w:w="1500" w:type="dxa"/>
            <w:tcBorders>
              <w:top w:val="single" w:sz="4" w:space="0" w:color="000000"/>
              <w:left w:val="single" w:sz="4" w:space="0" w:color="000000"/>
              <w:bottom w:val="single" w:sz="4" w:space="0" w:color="000000"/>
              <w:right w:val="single" w:sz="4" w:space="0" w:color="000000"/>
            </w:tcBorders>
            <w:shd w:val="clear" w:color="auto" w:fill="1F3864"/>
          </w:tcPr>
          <w:p w14:paraId="54925A8F" w14:textId="77777777" w:rsidR="00955984" w:rsidRPr="001E722E" w:rsidRDefault="00161751">
            <w:pPr>
              <w:spacing w:before="20" w:after="20"/>
              <w:rPr>
                <w:rFonts w:ascii="Arial" w:eastAsia="Arial" w:hAnsi="Arial" w:cs="Arial"/>
              </w:rPr>
            </w:pPr>
            <w:r w:rsidRPr="001E722E">
              <w:rPr>
                <w:rFonts w:ascii="Arial" w:eastAsia="Arial" w:hAnsi="Arial" w:cs="Arial"/>
                <w:b/>
                <w:bCs/>
                <w:color w:val="FFFFFF"/>
              </w:rPr>
              <w:t>Design</w:t>
            </w:r>
          </w:p>
        </w:tc>
        <w:tc>
          <w:tcPr>
            <w:tcW w:w="1600" w:type="dxa"/>
            <w:tcBorders>
              <w:top w:val="single" w:sz="4" w:space="0" w:color="000000"/>
              <w:left w:val="single" w:sz="4" w:space="0" w:color="000000"/>
              <w:bottom w:val="single" w:sz="4" w:space="0" w:color="000000"/>
              <w:right w:val="single" w:sz="4" w:space="0" w:color="000000"/>
            </w:tcBorders>
            <w:shd w:val="clear" w:color="auto" w:fill="1F3864"/>
          </w:tcPr>
          <w:p w14:paraId="0DA9143E" w14:textId="77777777" w:rsidR="00955984" w:rsidRPr="001E722E" w:rsidRDefault="00161751">
            <w:pPr>
              <w:spacing w:before="20" w:after="20"/>
              <w:rPr>
                <w:rFonts w:ascii="Arial" w:eastAsia="Arial" w:hAnsi="Arial" w:cs="Arial"/>
              </w:rPr>
            </w:pPr>
            <w:r w:rsidRPr="001E722E">
              <w:rPr>
                <w:rFonts w:ascii="Arial" w:eastAsia="Arial" w:hAnsi="Arial" w:cs="Arial"/>
                <w:b/>
                <w:bCs/>
                <w:color w:val="FFFFFF"/>
              </w:rPr>
              <w:t>Setting / population</w:t>
            </w:r>
          </w:p>
        </w:tc>
        <w:tc>
          <w:tcPr>
            <w:tcW w:w="900" w:type="dxa"/>
            <w:tcBorders>
              <w:top w:val="single" w:sz="4" w:space="0" w:color="000000"/>
              <w:left w:val="single" w:sz="4" w:space="0" w:color="000000"/>
              <w:bottom w:val="single" w:sz="4" w:space="0" w:color="000000"/>
              <w:right w:val="single" w:sz="4" w:space="0" w:color="000000"/>
            </w:tcBorders>
            <w:shd w:val="clear" w:color="auto" w:fill="1F3864"/>
          </w:tcPr>
          <w:p w14:paraId="2A7A3E67" w14:textId="77777777" w:rsidR="00955984" w:rsidRPr="001E722E" w:rsidRDefault="00161751">
            <w:pPr>
              <w:spacing w:before="20" w:after="20"/>
              <w:rPr>
                <w:rFonts w:ascii="Arial" w:eastAsia="Arial" w:hAnsi="Arial" w:cs="Arial"/>
              </w:rPr>
            </w:pPr>
            <w:r w:rsidRPr="001E722E">
              <w:rPr>
                <w:rFonts w:ascii="Arial" w:eastAsia="Arial" w:hAnsi="Arial" w:cs="Arial"/>
                <w:b/>
                <w:bCs/>
                <w:color w:val="FFFFFF"/>
              </w:rPr>
              <w:t>Objectives</w:t>
            </w:r>
          </w:p>
        </w:tc>
        <w:tc>
          <w:tcPr>
            <w:tcW w:w="2976" w:type="dxa"/>
            <w:tcBorders>
              <w:top w:val="single" w:sz="4" w:space="0" w:color="000000"/>
              <w:left w:val="single" w:sz="4" w:space="0" w:color="000000"/>
              <w:bottom w:val="single" w:sz="4" w:space="0" w:color="000000"/>
              <w:right w:val="single" w:sz="4" w:space="0" w:color="000000"/>
            </w:tcBorders>
            <w:shd w:val="clear" w:color="auto" w:fill="1F3864"/>
          </w:tcPr>
          <w:p w14:paraId="2EB8D1E2" w14:textId="77777777" w:rsidR="00955984" w:rsidRPr="001E722E" w:rsidRDefault="00161751">
            <w:pPr>
              <w:spacing w:before="20" w:after="20"/>
              <w:rPr>
                <w:rFonts w:ascii="Arial" w:eastAsia="Arial" w:hAnsi="Arial" w:cs="Arial"/>
              </w:rPr>
            </w:pPr>
            <w:r w:rsidRPr="001E722E">
              <w:rPr>
                <w:rFonts w:ascii="Arial" w:eastAsia="Arial" w:hAnsi="Arial" w:cs="Arial"/>
                <w:b/>
                <w:bCs/>
                <w:color w:val="FFFFFF"/>
              </w:rPr>
              <w:t>Key findings</w:t>
            </w:r>
          </w:p>
        </w:tc>
      </w:tr>
      <w:tr w:rsidR="00955984" w:rsidRPr="001E722E" w14:paraId="0E805893" w14:textId="77777777">
        <w:trPr>
          <w:cantSplit/>
        </w:trPr>
        <w:tc>
          <w:tcPr>
            <w:tcW w:w="400" w:type="dxa"/>
            <w:tcBorders>
              <w:top w:val="single" w:sz="4" w:space="0" w:color="000000"/>
              <w:left w:val="single" w:sz="4" w:space="0" w:color="000000"/>
              <w:bottom w:val="single" w:sz="4" w:space="0" w:color="000000"/>
              <w:right w:val="single" w:sz="4" w:space="0" w:color="000000"/>
            </w:tcBorders>
          </w:tcPr>
          <w:p w14:paraId="75D17BDD" w14:textId="77777777" w:rsidR="00955984" w:rsidRPr="001E722E" w:rsidRDefault="00161751">
            <w:pPr>
              <w:spacing w:before="20" w:after="20"/>
              <w:rPr>
                <w:rFonts w:ascii="Arial" w:eastAsia="Arial" w:hAnsi="Arial" w:cs="Arial"/>
              </w:rPr>
            </w:pPr>
            <w:r w:rsidRPr="001E722E">
              <w:rPr>
                <w:rFonts w:ascii="Arial" w:eastAsia="Arial" w:hAnsi="Arial" w:cs="Arial"/>
              </w:rPr>
              <w:t>1</w:t>
            </w:r>
          </w:p>
        </w:tc>
        <w:tc>
          <w:tcPr>
            <w:tcW w:w="1650" w:type="dxa"/>
            <w:tcBorders>
              <w:top w:val="single" w:sz="4" w:space="0" w:color="000000"/>
              <w:left w:val="single" w:sz="4" w:space="0" w:color="000000"/>
              <w:bottom w:val="single" w:sz="4" w:space="0" w:color="000000"/>
              <w:right w:val="single" w:sz="4" w:space="0" w:color="000000"/>
            </w:tcBorders>
          </w:tcPr>
          <w:p w14:paraId="0089CEFD" w14:textId="77777777" w:rsidR="00955984" w:rsidRPr="001E722E" w:rsidRDefault="00161751">
            <w:pPr>
              <w:spacing w:before="20" w:after="20"/>
              <w:rPr>
                <w:rFonts w:ascii="Arial" w:eastAsia="Arial" w:hAnsi="Arial" w:cs="Arial"/>
              </w:rPr>
            </w:pPr>
            <w:r w:rsidRPr="001E722E">
              <w:rPr>
                <w:rFonts w:ascii="Arial" w:eastAsia="Arial" w:hAnsi="Arial" w:cs="Arial"/>
              </w:rPr>
              <w:t>Whitaker et al. (2012)</w:t>
            </w:r>
          </w:p>
        </w:tc>
        <w:tc>
          <w:tcPr>
            <w:tcW w:w="1500" w:type="dxa"/>
            <w:tcBorders>
              <w:top w:val="single" w:sz="4" w:space="0" w:color="000000"/>
              <w:left w:val="single" w:sz="4" w:space="0" w:color="000000"/>
              <w:bottom w:val="single" w:sz="4" w:space="0" w:color="000000"/>
              <w:right w:val="single" w:sz="4" w:space="0" w:color="000000"/>
            </w:tcBorders>
          </w:tcPr>
          <w:p w14:paraId="41D68392" w14:textId="77777777" w:rsidR="00955984" w:rsidRPr="001E722E" w:rsidRDefault="00161751">
            <w:pPr>
              <w:spacing w:before="20" w:after="20"/>
              <w:rPr>
                <w:rFonts w:ascii="Arial" w:eastAsia="Arial" w:hAnsi="Arial" w:cs="Arial"/>
              </w:rPr>
            </w:pPr>
            <w:r w:rsidRPr="001E722E">
              <w:rPr>
                <w:rFonts w:ascii="Arial" w:eastAsia="Arial" w:hAnsi="Arial" w:cs="Arial"/>
              </w:rPr>
              <w:t>Cross-sectional street survey</w:t>
            </w:r>
          </w:p>
        </w:tc>
        <w:tc>
          <w:tcPr>
            <w:tcW w:w="1600" w:type="dxa"/>
            <w:tcBorders>
              <w:top w:val="single" w:sz="4" w:space="0" w:color="000000"/>
              <w:left w:val="single" w:sz="4" w:space="0" w:color="000000"/>
              <w:bottom w:val="single" w:sz="4" w:space="0" w:color="000000"/>
              <w:right w:val="single" w:sz="4" w:space="0" w:color="000000"/>
            </w:tcBorders>
          </w:tcPr>
          <w:p w14:paraId="5D8252B4" w14:textId="77777777" w:rsidR="00955984" w:rsidRPr="001E722E" w:rsidRDefault="00161751">
            <w:pPr>
              <w:spacing w:before="20" w:after="20"/>
              <w:rPr>
                <w:rFonts w:ascii="Arial" w:eastAsia="Arial" w:hAnsi="Arial" w:cs="Arial"/>
              </w:rPr>
            </w:pPr>
            <w:r w:rsidRPr="001E722E">
              <w:rPr>
                <w:rFonts w:ascii="Arial" w:eastAsia="Arial" w:hAnsi="Arial" w:cs="Arial"/>
              </w:rPr>
              <w:t>Members of the public, Birmingham</w:t>
            </w:r>
          </w:p>
        </w:tc>
        <w:tc>
          <w:tcPr>
            <w:tcW w:w="900" w:type="dxa"/>
            <w:tcBorders>
              <w:top w:val="single" w:sz="4" w:space="0" w:color="000000"/>
              <w:left w:val="single" w:sz="4" w:space="0" w:color="000000"/>
              <w:bottom w:val="single" w:sz="4" w:space="0" w:color="000000"/>
              <w:right w:val="single" w:sz="4" w:space="0" w:color="000000"/>
            </w:tcBorders>
          </w:tcPr>
          <w:p w14:paraId="6BABA073" w14:textId="77777777" w:rsidR="00955984" w:rsidRPr="001E722E" w:rsidRDefault="00161751">
            <w:pPr>
              <w:spacing w:before="20" w:after="20"/>
              <w:rPr>
                <w:rFonts w:ascii="Arial" w:eastAsia="Arial" w:hAnsi="Arial" w:cs="Arial"/>
              </w:rPr>
            </w:pPr>
            <w:r w:rsidRPr="001E722E">
              <w:rPr>
                <w:rFonts w:ascii="Arial" w:eastAsia="Arial" w:hAnsi="Arial" w:cs="Arial"/>
              </w:rPr>
              <w:t>1</w:t>
            </w:r>
          </w:p>
        </w:tc>
        <w:tc>
          <w:tcPr>
            <w:tcW w:w="2976" w:type="dxa"/>
            <w:tcBorders>
              <w:top w:val="single" w:sz="4" w:space="0" w:color="000000"/>
              <w:left w:val="single" w:sz="4" w:space="0" w:color="000000"/>
              <w:bottom w:val="single" w:sz="4" w:space="0" w:color="000000"/>
              <w:right w:val="single" w:sz="4" w:space="0" w:color="000000"/>
            </w:tcBorders>
          </w:tcPr>
          <w:p w14:paraId="32374C8C" w14:textId="77777777" w:rsidR="00955984" w:rsidRPr="001E722E" w:rsidRDefault="00161751">
            <w:pPr>
              <w:spacing w:before="20" w:after="20"/>
              <w:rPr>
                <w:rFonts w:ascii="Arial" w:eastAsia="Arial" w:hAnsi="Arial" w:cs="Arial"/>
              </w:rPr>
            </w:pPr>
            <w:r w:rsidRPr="001E722E">
              <w:rPr>
                <w:rFonts w:ascii="Arial" w:eastAsia="Arial" w:hAnsi="Arial" w:cs="Arial"/>
              </w:rPr>
              <w:t>Chest pain widely recognised; other symptoms and the need to call an ambulance poorly known, especially among older people and manual workers.</w:t>
            </w:r>
          </w:p>
        </w:tc>
      </w:tr>
      <w:tr w:rsidR="00955984" w:rsidRPr="001E722E" w14:paraId="51F64F6C" w14:textId="77777777">
        <w:trPr>
          <w:cantSplit/>
        </w:trPr>
        <w:tc>
          <w:tcPr>
            <w:tcW w:w="400" w:type="dxa"/>
            <w:tcBorders>
              <w:top w:val="single" w:sz="4" w:space="0" w:color="000000"/>
              <w:left w:val="single" w:sz="4" w:space="0" w:color="000000"/>
              <w:bottom w:val="single" w:sz="4" w:space="0" w:color="000000"/>
              <w:right w:val="single" w:sz="4" w:space="0" w:color="000000"/>
            </w:tcBorders>
          </w:tcPr>
          <w:p w14:paraId="6CD2BE57" w14:textId="77777777" w:rsidR="00955984" w:rsidRPr="001E722E" w:rsidRDefault="00161751">
            <w:pPr>
              <w:spacing w:before="20" w:after="20"/>
              <w:rPr>
                <w:rFonts w:ascii="Arial" w:eastAsia="Arial" w:hAnsi="Arial" w:cs="Arial"/>
              </w:rPr>
            </w:pPr>
            <w:r w:rsidRPr="001E722E">
              <w:rPr>
                <w:rFonts w:ascii="Arial" w:eastAsia="Arial" w:hAnsi="Arial" w:cs="Arial"/>
              </w:rPr>
              <w:lastRenderedPageBreak/>
              <w:t>2</w:t>
            </w:r>
          </w:p>
        </w:tc>
        <w:tc>
          <w:tcPr>
            <w:tcW w:w="1650" w:type="dxa"/>
            <w:tcBorders>
              <w:top w:val="single" w:sz="4" w:space="0" w:color="000000"/>
              <w:left w:val="single" w:sz="4" w:space="0" w:color="000000"/>
              <w:bottom w:val="single" w:sz="4" w:space="0" w:color="000000"/>
              <w:right w:val="single" w:sz="4" w:space="0" w:color="000000"/>
            </w:tcBorders>
          </w:tcPr>
          <w:p w14:paraId="6BDCFF9F" w14:textId="77777777" w:rsidR="00955984" w:rsidRPr="001E722E" w:rsidRDefault="00161751">
            <w:pPr>
              <w:spacing w:before="20" w:after="20"/>
              <w:rPr>
                <w:rFonts w:ascii="Arial" w:eastAsia="Arial" w:hAnsi="Arial" w:cs="Arial"/>
              </w:rPr>
            </w:pPr>
            <w:r w:rsidRPr="001E722E">
              <w:rPr>
                <w:rFonts w:ascii="Arial" w:eastAsia="Arial" w:hAnsi="Arial" w:cs="Arial"/>
              </w:rPr>
              <w:t>Sheridan et al. (2010)</w:t>
            </w:r>
          </w:p>
        </w:tc>
        <w:tc>
          <w:tcPr>
            <w:tcW w:w="1500" w:type="dxa"/>
            <w:tcBorders>
              <w:top w:val="single" w:sz="4" w:space="0" w:color="000000"/>
              <w:left w:val="single" w:sz="4" w:space="0" w:color="000000"/>
              <w:bottom w:val="single" w:sz="4" w:space="0" w:color="000000"/>
              <w:right w:val="single" w:sz="4" w:space="0" w:color="000000"/>
            </w:tcBorders>
          </w:tcPr>
          <w:p w14:paraId="184765E2" w14:textId="77777777" w:rsidR="00955984" w:rsidRPr="001E722E" w:rsidRDefault="00161751">
            <w:pPr>
              <w:spacing w:before="20" w:after="20"/>
              <w:rPr>
                <w:rFonts w:ascii="Arial" w:eastAsia="Arial" w:hAnsi="Arial" w:cs="Arial"/>
              </w:rPr>
            </w:pPr>
            <w:r w:rsidRPr="001E722E">
              <w:rPr>
                <w:rFonts w:ascii="Arial" w:eastAsia="Arial" w:hAnsi="Arial" w:cs="Arial"/>
              </w:rPr>
              <w:t>Systematic review</w:t>
            </w:r>
          </w:p>
        </w:tc>
        <w:tc>
          <w:tcPr>
            <w:tcW w:w="1600" w:type="dxa"/>
            <w:tcBorders>
              <w:top w:val="single" w:sz="4" w:space="0" w:color="000000"/>
              <w:left w:val="single" w:sz="4" w:space="0" w:color="000000"/>
              <w:bottom w:val="single" w:sz="4" w:space="0" w:color="000000"/>
              <w:right w:val="single" w:sz="4" w:space="0" w:color="000000"/>
            </w:tcBorders>
          </w:tcPr>
          <w:p w14:paraId="061C50F8" w14:textId="77777777" w:rsidR="00955984" w:rsidRPr="001E722E" w:rsidRDefault="00161751">
            <w:pPr>
              <w:spacing w:before="20" w:after="20"/>
              <w:rPr>
                <w:rFonts w:ascii="Arial" w:eastAsia="Arial" w:hAnsi="Arial" w:cs="Arial"/>
              </w:rPr>
            </w:pPr>
            <w:r w:rsidRPr="001E722E">
              <w:rPr>
                <w:rFonts w:ascii="Arial" w:eastAsia="Arial" w:hAnsi="Arial" w:cs="Arial"/>
              </w:rPr>
              <w:t>Adults given global coronary risk information (international)</w:t>
            </w:r>
          </w:p>
        </w:tc>
        <w:tc>
          <w:tcPr>
            <w:tcW w:w="900" w:type="dxa"/>
            <w:tcBorders>
              <w:top w:val="single" w:sz="4" w:space="0" w:color="000000"/>
              <w:left w:val="single" w:sz="4" w:space="0" w:color="000000"/>
              <w:bottom w:val="single" w:sz="4" w:space="0" w:color="000000"/>
              <w:right w:val="single" w:sz="4" w:space="0" w:color="000000"/>
            </w:tcBorders>
          </w:tcPr>
          <w:p w14:paraId="075AE09C" w14:textId="77777777" w:rsidR="00955984" w:rsidRPr="001E722E" w:rsidRDefault="00161751">
            <w:pPr>
              <w:spacing w:before="20" w:after="20"/>
              <w:rPr>
                <w:rFonts w:ascii="Arial" w:eastAsia="Arial" w:hAnsi="Arial" w:cs="Arial"/>
              </w:rPr>
            </w:pPr>
            <w:r w:rsidRPr="001E722E">
              <w:rPr>
                <w:rFonts w:ascii="Arial" w:eastAsia="Arial" w:hAnsi="Arial" w:cs="Arial"/>
              </w:rPr>
              <w:t>1</w:t>
            </w:r>
          </w:p>
        </w:tc>
        <w:tc>
          <w:tcPr>
            <w:tcW w:w="2976" w:type="dxa"/>
            <w:tcBorders>
              <w:top w:val="single" w:sz="4" w:space="0" w:color="000000"/>
              <w:left w:val="single" w:sz="4" w:space="0" w:color="000000"/>
              <w:bottom w:val="single" w:sz="4" w:space="0" w:color="000000"/>
              <w:right w:val="single" w:sz="4" w:space="0" w:color="000000"/>
            </w:tcBorders>
          </w:tcPr>
          <w:p w14:paraId="44678216" w14:textId="77777777" w:rsidR="00955984" w:rsidRPr="001E722E" w:rsidRDefault="00161751">
            <w:pPr>
              <w:spacing w:before="20" w:after="20"/>
              <w:rPr>
                <w:rFonts w:ascii="Arial" w:eastAsia="Arial" w:hAnsi="Arial" w:cs="Arial"/>
              </w:rPr>
            </w:pPr>
            <w:r w:rsidRPr="001E722E">
              <w:rPr>
                <w:rFonts w:ascii="Arial" w:eastAsia="Arial" w:hAnsi="Arial" w:cs="Arial"/>
              </w:rPr>
              <w:t>Numeric, absolute risk information improved the accuracy of perceived risk and sometimes the intention to act.</w:t>
            </w:r>
          </w:p>
        </w:tc>
      </w:tr>
      <w:tr w:rsidR="00955984" w:rsidRPr="001E722E" w14:paraId="79118574" w14:textId="77777777">
        <w:trPr>
          <w:cantSplit/>
        </w:trPr>
        <w:tc>
          <w:tcPr>
            <w:tcW w:w="400" w:type="dxa"/>
            <w:tcBorders>
              <w:top w:val="single" w:sz="4" w:space="0" w:color="000000"/>
              <w:left w:val="single" w:sz="4" w:space="0" w:color="000000"/>
              <w:bottom w:val="single" w:sz="4" w:space="0" w:color="000000"/>
              <w:right w:val="single" w:sz="4" w:space="0" w:color="000000"/>
            </w:tcBorders>
          </w:tcPr>
          <w:p w14:paraId="7151BC5F" w14:textId="77777777" w:rsidR="00955984" w:rsidRPr="001E722E" w:rsidRDefault="00161751">
            <w:pPr>
              <w:spacing w:before="20" w:after="20"/>
              <w:rPr>
                <w:rFonts w:ascii="Arial" w:eastAsia="Arial" w:hAnsi="Arial" w:cs="Arial"/>
              </w:rPr>
            </w:pPr>
            <w:r w:rsidRPr="001E722E">
              <w:rPr>
                <w:rFonts w:ascii="Arial" w:eastAsia="Arial" w:hAnsi="Arial" w:cs="Arial"/>
              </w:rPr>
              <w:t>3</w:t>
            </w:r>
          </w:p>
        </w:tc>
        <w:tc>
          <w:tcPr>
            <w:tcW w:w="1650" w:type="dxa"/>
            <w:tcBorders>
              <w:top w:val="single" w:sz="4" w:space="0" w:color="000000"/>
              <w:left w:val="single" w:sz="4" w:space="0" w:color="000000"/>
              <w:bottom w:val="single" w:sz="4" w:space="0" w:color="000000"/>
              <w:right w:val="single" w:sz="4" w:space="0" w:color="000000"/>
            </w:tcBorders>
          </w:tcPr>
          <w:p w14:paraId="67B4760E" w14:textId="77777777" w:rsidR="00955984" w:rsidRPr="001E722E" w:rsidRDefault="00161751">
            <w:pPr>
              <w:spacing w:before="20" w:after="20"/>
              <w:rPr>
                <w:rFonts w:ascii="Arial" w:eastAsia="Arial" w:hAnsi="Arial" w:cs="Arial"/>
              </w:rPr>
            </w:pPr>
            <w:r w:rsidRPr="001E722E">
              <w:rPr>
                <w:rFonts w:ascii="Arial" w:eastAsia="Arial" w:hAnsi="Arial" w:cs="Arial"/>
              </w:rPr>
              <w:t>Marmot et al. (2020)</w:t>
            </w:r>
          </w:p>
        </w:tc>
        <w:tc>
          <w:tcPr>
            <w:tcW w:w="1500" w:type="dxa"/>
            <w:tcBorders>
              <w:top w:val="single" w:sz="4" w:space="0" w:color="000000"/>
              <w:left w:val="single" w:sz="4" w:space="0" w:color="000000"/>
              <w:bottom w:val="single" w:sz="4" w:space="0" w:color="000000"/>
              <w:right w:val="single" w:sz="4" w:space="0" w:color="000000"/>
            </w:tcBorders>
          </w:tcPr>
          <w:p w14:paraId="1121E682" w14:textId="77777777" w:rsidR="00955984" w:rsidRPr="001E722E" w:rsidRDefault="00161751">
            <w:pPr>
              <w:spacing w:before="20" w:after="20"/>
              <w:rPr>
                <w:rFonts w:ascii="Arial" w:eastAsia="Arial" w:hAnsi="Arial" w:cs="Arial"/>
              </w:rPr>
            </w:pPr>
            <w:r w:rsidRPr="001E722E">
              <w:rPr>
                <w:rFonts w:ascii="Arial" w:eastAsia="Arial" w:hAnsi="Arial" w:cs="Arial"/>
              </w:rPr>
              <w:t>Review report</w:t>
            </w:r>
          </w:p>
        </w:tc>
        <w:tc>
          <w:tcPr>
            <w:tcW w:w="1600" w:type="dxa"/>
            <w:tcBorders>
              <w:top w:val="single" w:sz="4" w:space="0" w:color="000000"/>
              <w:left w:val="single" w:sz="4" w:space="0" w:color="000000"/>
              <w:bottom w:val="single" w:sz="4" w:space="0" w:color="000000"/>
              <w:right w:val="single" w:sz="4" w:space="0" w:color="000000"/>
            </w:tcBorders>
          </w:tcPr>
          <w:p w14:paraId="5C94C086" w14:textId="77777777" w:rsidR="00955984" w:rsidRPr="001E722E" w:rsidRDefault="00161751">
            <w:pPr>
              <w:spacing w:before="20" w:after="20"/>
              <w:rPr>
                <w:rFonts w:ascii="Arial" w:eastAsia="Arial" w:hAnsi="Arial" w:cs="Arial"/>
              </w:rPr>
            </w:pPr>
            <w:r w:rsidRPr="001E722E">
              <w:rPr>
                <w:rFonts w:ascii="Arial" w:eastAsia="Arial" w:hAnsi="Arial" w:cs="Arial"/>
              </w:rPr>
              <w:t>England</w:t>
            </w:r>
          </w:p>
        </w:tc>
        <w:tc>
          <w:tcPr>
            <w:tcW w:w="900" w:type="dxa"/>
            <w:tcBorders>
              <w:top w:val="single" w:sz="4" w:space="0" w:color="000000"/>
              <w:left w:val="single" w:sz="4" w:space="0" w:color="000000"/>
              <w:bottom w:val="single" w:sz="4" w:space="0" w:color="000000"/>
              <w:right w:val="single" w:sz="4" w:space="0" w:color="000000"/>
            </w:tcBorders>
          </w:tcPr>
          <w:p w14:paraId="51AAB077" w14:textId="77777777" w:rsidR="00955984" w:rsidRPr="001E722E" w:rsidRDefault="00161751">
            <w:pPr>
              <w:spacing w:before="20" w:after="20"/>
              <w:rPr>
                <w:rFonts w:ascii="Arial" w:eastAsia="Arial" w:hAnsi="Arial" w:cs="Arial"/>
              </w:rPr>
            </w:pPr>
            <w:r w:rsidRPr="001E722E">
              <w:rPr>
                <w:rFonts w:ascii="Arial" w:eastAsia="Arial" w:hAnsi="Arial" w:cs="Arial"/>
              </w:rPr>
              <w:t>1, 2</w:t>
            </w:r>
          </w:p>
        </w:tc>
        <w:tc>
          <w:tcPr>
            <w:tcW w:w="2976" w:type="dxa"/>
            <w:tcBorders>
              <w:top w:val="single" w:sz="4" w:space="0" w:color="000000"/>
              <w:left w:val="single" w:sz="4" w:space="0" w:color="000000"/>
              <w:bottom w:val="single" w:sz="4" w:space="0" w:color="000000"/>
              <w:right w:val="single" w:sz="4" w:space="0" w:color="000000"/>
            </w:tcBorders>
          </w:tcPr>
          <w:p w14:paraId="1C40B2A1" w14:textId="77777777" w:rsidR="00955984" w:rsidRPr="001E722E" w:rsidRDefault="00161751">
            <w:pPr>
              <w:spacing w:before="20" w:after="20"/>
              <w:rPr>
                <w:rFonts w:ascii="Arial" w:eastAsia="Arial" w:hAnsi="Arial" w:cs="Arial"/>
              </w:rPr>
            </w:pPr>
            <w:r w:rsidRPr="001E722E">
              <w:rPr>
                <w:rFonts w:ascii="Arial" w:eastAsia="Arial" w:hAnsi="Arial" w:cs="Arial"/>
              </w:rPr>
              <w:t>Deprivation linked to greater risk exposure, lower health literacy, poorer access and lower trust.</w:t>
            </w:r>
          </w:p>
        </w:tc>
      </w:tr>
      <w:tr w:rsidR="00955984" w:rsidRPr="001E722E" w14:paraId="1BAACDDE" w14:textId="77777777">
        <w:trPr>
          <w:cantSplit/>
        </w:trPr>
        <w:tc>
          <w:tcPr>
            <w:tcW w:w="400" w:type="dxa"/>
            <w:tcBorders>
              <w:top w:val="single" w:sz="4" w:space="0" w:color="000000"/>
              <w:left w:val="single" w:sz="4" w:space="0" w:color="000000"/>
              <w:bottom w:val="single" w:sz="4" w:space="0" w:color="000000"/>
              <w:right w:val="single" w:sz="4" w:space="0" w:color="000000"/>
            </w:tcBorders>
          </w:tcPr>
          <w:p w14:paraId="3039B179" w14:textId="77777777" w:rsidR="00955984" w:rsidRPr="001E722E" w:rsidRDefault="00161751">
            <w:pPr>
              <w:spacing w:before="20" w:after="20"/>
              <w:rPr>
                <w:rFonts w:ascii="Arial" w:eastAsia="Arial" w:hAnsi="Arial" w:cs="Arial"/>
              </w:rPr>
            </w:pPr>
            <w:r w:rsidRPr="001E722E">
              <w:rPr>
                <w:rFonts w:ascii="Arial" w:eastAsia="Arial" w:hAnsi="Arial" w:cs="Arial"/>
              </w:rPr>
              <w:t>4</w:t>
            </w:r>
          </w:p>
        </w:tc>
        <w:tc>
          <w:tcPr>
            <w:tcW w:w="1650" w:type="dxa"/>
            <w:tcBorders>
              <w:top w:val="single" w:sz="4" w:space="0" w:color="000000"/>
              <w:left w:val="single" w:sz="4" w:space="0" w:color="000000"/>
              <w:bottom w:val="single" w:sz="4" w:space="0" w:color="000000"/>
              <w:right w:val="single" w:sz="4" w:space="0" w:color="000000"/>
            </w:tcBorders>
          </w:tcPr>
          <w:p w14:paraId="305A2C06" w14:textId="77777777" w:rsidR="00955984" w:rsidRPr="001E722E" w:rsidRDefault="00161751">
            <w:pPr>
              <w:spacing w:before="20" w:after="20"/>
              <w:rPr>
                <w:rFonts w:ascii="Arial" w:eastAsia="Arial" w:hAnsi="Arial" w:cs="Arial"/>
              </w:rPr>
            </w:pPr>
            <w:r w:rsidRPr="001E722E">
              <w:rPr>
                <w:rFonts w:ascii="Arial" w:eastAsia="Arial" w:hAnsi="Arial" w:cs="Arial"/>
              </w:rPr>
              <w:t>British Heart Foundation (2026)</w:t>
            </w:r>
          </w:p>
        </w:tc>
        <w:tc>
          <w:tcPr>
            <w:tcW w:w="1500" w:type="dxa"/>
            <w:tcBorders>
              <w:top w:val="single" w:sz="4" w:space="0" w:color="000000"/>
              <w:left w:val="single" w:sz="4" w:space="0" w:color="000000"/>
              <w:bottom w:val="single" w:sz="4" w:space="0" w:color="000000"/>
              <w:right w:val="single" w:sz="4" w:space="0" w:color="000000"/>
            </w:tcBorders>
          </w:tcPr>
          <w:p w14:paraId="0E57BD72" w14:textId="77777777" w:rsidR="00955984" w:rsidRPr="001E722E" w:rsidRDefault="00161751">
            <w:pPr>
              <w:spacing w:before="20" w:after="20"/>
              <w:rPr>
                <w:rFonts w:ascii="Arial" w:eastAsia="Arial" w:hAnsi="Arial" w:cs="Arial"/>
              </w:rPr>
            </w:pPr>
            <w:r w:rsidRPr="001E722E">
              <w:rPr>
                <w:rFonts w:ascii="Arial" w:eastAsia="Arial" w:hAnsi="Arial" w:cs="Arial"/>
              </w:rPr>
              <w:t>Statistical factsheet</w:t>
            </w:r>
          </w:p>
        </w:tc>
        <w:tc>
          <w:tcPr>
            <w:tcW w:w="1600" w:type="dxa"/>
            <w:tcBorders>
              <w:top w:val="single" w:sz="4" w:space="0" w:color="000000"/>
              <w:left w:val="single" w:sz="4" w:space="0" w:color="000000"/>
              <w:bottom w:val="single" w:sz="4" w:space="0" w:color="000000"/>
              <w:right w:val="single" w:sz="4" w:space="0" w:color="000000"/>
            </w:tcBorders>
          </w:tcPr>
          <w:p w14:paraId="570B7B08" w14:textId="77777777" w:rsidR="00955984" w:rsidRPr="001E722E" w:rsidRDefault="00161751">
            <w:pPr>
              <w:spacing w:before="20" w:after="20"/>
              <w:rPr>
                <w:rFonts w:ascii="Arial" w:eastAsia="Arial" w:hAnsi="Arial" w:cs="Arial"/>
              </w:rPr>
            </w:pPr>
            <w:r w:rsidRPr="001E722E">
              <w:rPr>
                <w:rFonts w:ascii="Arial" w:eastAsia="Arial" w:hAnsi="Arial" w:cs="Arial"/>
              </w:rPr>
              <w:t>England</w:t>
            </w:r>
          </w:p>
        </w:tc>
        <w:tc>
          <w:tcPr>
            <w:tcW w:w="900" w:type="dxa"/>
            <w:tcBorders>
              <w:top w:val="single" w:sz="4" w:space="0" w:color="000000"/>
              <w:left w:val="single" w:sz="4" w:space="0" w:color="000000"/>
              <w:bottom w:val="single" w:sz="4" w:space="0" w:color="000000"/>
              <w:right w:val="single" w:sz="4" w:space="0" w:color="000000"/>
            </w:tcBorders>
          </w:tcPr>
          <w:p w14:paraId="6E7BB9B8" w14:textId="77777777" w:rsidR="00955984" w:rsidRPr="001E722E" w:rsidRDefault="00161751">
            <w:pPr>
              <w:spacing w:before="20" w:after="20"/>
              <w:rPr>
                <w:rFonts w:ascii="Arial" w:eastAsia="Arial" w:hAnsi="Arial" w:cs="Arial"/>
              </w:rPr>
            </w:pPr>
            <w:r w:rsidRPr="001E722E">
              <w:rPr>
                <w:rFonts w:ascii="Arial" w:eastAsia="Arial" w:hAnsi="Arial" w:cs="Arial"/>
              </w:rPr>
              <w:t>1</w:t>
            </w:r>
          </w:p>
        </w:tc>
        <w:tc>
          <w:tcPr>
            <w:tcW w:w="2976" w:type="dxa"/>
            <w:tcBorders>
              <w:top w:val="single" w:sz="4" w:space="0" w:color="000000"/>
              <w:left w:val="single" w:sz="4" w:space="0" w:color="000000"/>
              <w:bottom w:val="single" w:sz="4" w:space="0" w:color="000000"/>
              <w:right w:val="single" w:sz="4" w:space="0" w:color="000000"/>
            </w:tcBorders>
          </w:tcPr>
          <w:p w14:paraId="1B90C38E" w14:textId="77777777" w:rsidR="00955984" w:rsidRPr="001E722E" w:rsidRDefault="00161751">
            <w:pPr>
              <w:spacing w:before="20" w:after="20"/>
              <w:rPr>
                <w:rFonts w:ascii="Arial" w:eastAsia="Arial" w:hAnsi="Arial" w:cs="Arial"/>
              </w:rPr>
            </w:pPr>
            <w:r w:rsidRPr="001E722E">
              <w:rPr>
                <w:rFonts w:ascii="Arial" w:eastAsia="Arial" w:hAnsi="Arial" w:cs="Arial"/>
              </w:rPr>
              <w:t>Differences in cardiovascular risk and awareness by ethnic group.</w:t>
            </w:r>
          </w:p>
        </w:tc>
      </w:tr>
      <w:tr w:rsidR="00955984" w:rsidRPr="001E722E" w14:paraId="53698734" w14:textId="77777777">
        <w:trPr>
          <w:cantSplit/>
        </w:trPr>
        <w:tc>
          <w:tcPr>
            <w:tcW w:w="400" w:type="dxa"/>
            <w:tcBorders>
              <w:top w:val="single" w:sz="4" w:space="0" w:color="000000"/>
              <w:left w:val="single" w:sz="4" w:space="0" w:color="000000"/>
              <w:bottom w:val="single" w:sz="4" w:space="0" w:color="000000"/>
              <w:right w:val="single" w:sz="4" w:space="0" w:color="000000"/>
            </w:tcBorders>
          </w:tcPr>
          <w:p w14:paraId="02A888BB" w14:textId="77777777" w:rsidR="00955984" w:rsidRPr="001E722E" w:rsidRDefault="00161751">
            <w:pPr>
              <w:spacing w:before="20" w:after="20"/>
              <w:rPr>
                <w:rFonts w:ascii="Arial" w:eastAsia="Arial" w:hAnsi="Arial" w:cs="Arial"/>
              </w:rPr>
            </w:pPr>
            <w:r w:rsidRPr="001E722E">
              <w:rPr>
                <w:rFonts w:ascii="Arial" w:eastAsia="Arial" w:hAnsi="Arial" w:cs="Arial"/>
              </w:rPr>
              <w:t>5</w:t>
            </w:r>
          </w:p>
        </w:tc>
        <w:tc>
          <w:tcPr>
            <w:tcW w:w="1650" w:type="dxa"/>
            <w:tcBorders>
              <w:top w:val="single" w:sz="4" w:space="0" w:color="000000"/>
              <w:left w:val="single" w:sz="4" w:space="0" w:color="000000"/>
              <w:bottom w:val="single" w:sz="4" w:space="0" w:color="000000"/>
              <w:right w:val="single" w:sz="4" w:space="0" w:color="000000"/>
            </w:tcBorders>
          </w:tcPr>
          <w:p w14:paraId="16922190" w14:textId="77777777" w:rsidR="00955984" w:rsidRPr="001E722E" w:rsidRDefault="00161751">
            <w:pPr>
              <w:spacing w:before="20" w:after="20"/>
              <w:rPr>
                <w:rFonts w:ascii="Arial" w:eastAsia="Arial" w:hAnsi="Arial" w:cs="Arial"/>
              </w:rPr>
            </w:pPr>
            <w:r w:rsidRPr="001E722E">
              <w:rPr>
                <w:rFonts w:ascii="Arial" w:eastAsia="Arial" w:hAnsi="Arial" w:cs="Arial"/>
              </w:rPr>
              <w:t>Norman and Fitter (1989)</w:t>
            </w:r>
          </w:p>
        </w:tc>
        <w:tc>
          <w:tcPr>
            <w:tcW w:w="1500" w:type="dxa"/>
            <w:tcBorders>
              <w:top w:val="single" w:sz="4" w:space="0" w:color="000000"/>
              <w:left w:val="single" w:sz="4" w:space="0" w:color="000000"/>
              <w:bottom w:val="single" w:sz="4" w:space="0" w:color="000000"/>
              <w:right w:val="single" w:sz="4" w:space="0" w:color="000000"/>
            </w:tcBorders>
          </w:tcPr>
          <w:p w14:paraId="7F1E4A8E" w14:textId="77777777" w:rsidR="00955984" w:rsidRPr="001E722E" w:rsidRDefault="00161751">
            <w:pPr>
              <w:spacing w:before="20" w:after="20"/>
              <w:rPr>
                <w:rFonts w:ascii="Arial" w:eastAsia="Arial" w:hAnsi="Arial" w:cs="Arial"/>
              </w:rPr>
            </w:pPr>
            <w:r w:rsidRPr="001E722E">
              <w:rPr>
                <w:rFonts w:ascii="Arial" w:eastAsia="Arial" w:hAnsi="Arial" w:cs="Arial"/>
              </w:rPr>
              <w:t>Cross-sectional questionnaire study</w:t>
            </w:r>
          </w:p>
        </w:tc>
        <w:tc>
          <w:tcPr>
            <w:tcW w:w="1600" w:type="dxa"/>
            <w:tcBorders>
              <w:top w:val="single" w:sz="4" w:space="0" w:color="000000"/>
              <w:left w:val="single" w:sz="4" w:space="0" w:color="000000"/>
              <w:bottom w:val="single" w:sz="4" w:space="0" w:color="000000"/>
              <w:right w:val="single" w:sz="4" w:space="0" w:color="000000"/>
            </w:tcBorders>
          </w:tcPr>
          <w:p w14:paraId="481F3819" w14:textId="77777777" w:rsidR="00955984" w:rsidRPr="001E722E" w:rsidRDefault="00161751">
            <w:pPr>
              <w:spacing w:before="20" w:after="20"/>
              <w:rPr>
                <w:rFonts w:ascii="Arial" w:eastAsia="Arial" w:hAnsi="Arial" w:cs="Arial"/>
              </w:rPr>
            </w:pPr>
            <w:r w:rsidRPr="001E722E">
              <w:rPr>
                <w:rFonts w:ascii="Arial" w:eastAsia="Arial" w:hAnsi="Arial" w:cs="Arial"/>
              </w:rPr>
              <w:t>UK general practice</w:t>
            </w:r>
          </w:p>
        </w:tc>
        <w:tc>
          <w:tcPr>
            <w:tcW w:w="900" w:type="dxa"/>
            <w:tcBorders>
              <w:top w:val="single" w:sz="4" w:space="0" w:color="000000"/>
              <w:left w:val="single" w:sz="4" w:space="0" w:color="000000"/>
              <w:bottom w:val="single" w:sz="4" w:space="0" w:color="000000"/>
              <w:right w:val="single" w:sz="4" w:space="0" w:color="000000"/>
            </w:tcBorders>
          </w:tcPr>
          <w:p w14:paraId="70B80380" w14:textId="77777777" w:rsidR="00955984" w:rsidRPr="001E722E" w:rsidRDefault="00161751">
            <w:pPr>
              <w:spacing w:before="20" w:after="20"/>
              <w:rPr>
                <w:rFonts w:ascii="Arial" w:eastAsia="Arial" w:hAnsi="Arial" w:cs="Arial"/>
              </w:rPr>
            </w:pPr>
            <w:r w:rsidRPr="001E722E">
              <w:rPr>
                <w:rFonts w:ascii="Arial" w:eastAsia="Arial" w:hAnsi="Arial" w:cs="Arial"/>
              </w:rPr>
              <w:t>2</w:t>
            </w:r>
          </w:p>
        </w:tc>
        <w:tc>
          <w:tcPr>
            <w:tcW w:w="2976" w:type="dxa"/>
            <w:tcBorders>
              <w:top w:val="single" w:sz="4" w:space="0" w:color="000000"/>
              <w:left w:val="single" w:sz="4" w:space="0" w:color="000000"/>
              <w:bottom w:val="single" w:sz="4" w:space="0" w:color="000000"/>
              <w:right w:val="single" w:sz="4" w:space="0" w:color="000000"/>
            </w:tcBorders>
          </w:tcPr>
          <w:p w14:paraId="5E6B3F55" w14:textId="77777777" w:rsidR="00955984" w:rsidRPr="001E722E" w:rsidRDefault="00161751">
            <w:pPr>
              <w:spacing w:before="20" w:after="20"/>
              <w:rPr>
                <w:rFonts w:ascii="Arial" w:eastAsia="Arial" w:hAnsi="Arial" w:cs="Arial"/>
              </w:rPr>
            </w:pPr>
            <w:r w:rsidRPr="001E722E">
              <w:rPr>
                <w:rFonts w:ascii="Arial" w:eastAsia="Arial" w:hAnsi="Arial" w:cs="Arial"/>
              </w:rPr>
              <w:t>Perceived efficacy of screening, health worry and susceptibility predicted intention to attend better than general health beliefs.</w:t>
            </w:r>
          </w:p>
        </w:tc>
      </w:tr>
      <w:tr w:rsidR="00955984" w:rsidRPr="001E722E" w14:paraId="592C87A8" w14:textId="77777777">
        <w:trPr>
          <w:cantSplit/>
        </w:trPr>
        <w:tc>
          <w:tcPr>
            <w:tcW w:w="400" w:type="dxa"/>
            <w:tcBorders>
              <w:top w:val="single" w:sz="4" w:space="0" w:color="000000"/>
              <w:left w:val="single" w:sz="4" w:space="0" w:color="000000"/>
              <w:bottom w:val="single" w:sz="4" w:space="0" w:color="000000"/>
              <w:right w:val="single" w:sz="4" w:space="0" w:color="000000"/>
            </w:tcBorders>
          </w:tcPr>
          <w:p w14:paraId="1274C23D" w14:textId="77777777" w:rsidR="00955984" w:rsidRPr="001E722E" w:rsidRDefault="00161751">
            <w:pPr>
              <w:spacing w:before="20" w:after="20"/>
              <w:rPr>
                <w:rFonts w:ascii="Arial" w:eastAsia="Arial" w:hAnsi="Arial" w:cs="Arial"/>
              </w:rPr>
            </w:pPr>
            <w:r w:rsidRPr="001E722E">
              <w:rPr>
                <w:rFonts w:ascii="Arial" w:eastAsia="Arial" w:hAnsi="Arial" w:cs="Arial"/>
              </w:rPr>
              <w:t>6</w:t>
            </w:r>
          </w:p>
        </w:tc>
        <w:tc>
          <w:tcPr>
            <w:tcW w:w="1650" w:type="dxa"/>
            <w:tcBorders>
              <w:top w:val="single" w:sz="4" w:space="0" w:color="000000"/>
              <w:left w:val="single" w:sz="4" w:space="0" w:color="000000"/>
              <w:bottom w:val="single" w:sz="4" w:space="0" w:color="000000"/>
              <w:right w:val="single" w:sz="4" w:space="0" w:color="000000"/>
            </w:tcBorders>
          </w:tcPr>
          <w:p w14:paraId="244C6AAA" w14:textId="77777777" w:rsidR="00955984" w:rsidRPr="001E722E" w:rsidRDefault="00161751">
            <w:pPr>
              <w:spacing w:before="20" w:after="20"/>
              <w:rPr>
                <w:rFonts w:ascii="Arial" w:eastAsia="Arial" w:hAnsi="Arial" w:cs="Arial"/>
              </w:rPr>
            </w:pPr>
            <w:r w:rsidRPr="001E722E">
              <w:rPr>
                <w:rFonts w:ascii="Arial" w:eastAsia="Arial" w:hAnsi="Arial" w:cs="Arial"/>
              </w:rPr>
              <w:t>Taylor and Bell (2025)</w:t>
            </w:r>
          </w:p>
        </w:tc>
        <w:tc>
          <w:tcPr>
            <w:tcW w:w="1500" w:type="dxa"/>
            <w:tcBorders>
              <w:top w:val="single" w:sz="4" w:space="0" w:color="000000"/>
              <w:left w:val="single" w:sz="4" w:space="0" w:color="000000"/>
              <w:bottom w:val="single" w:sz="4" w:space="0" w:color="000000"/>
              <w:right w:val="single" w:sz="4" w:space="0" w:color="000000"/>
            </w:tcBorders>
          </w:tcPr>
          <w:p w14:paraId="22A4C0B2" w14:textId="77777777" w:rsidR="00955984" w:rsidRPr="001E722E" w:rsidRDefault="00161751">
            <w:pPr>
              <w:spacing w:before="20" w:after="20"/>
              <w:rPr>
                <w:rFonts w:ascii="Arial" w:eastAsia="Arial" w:hAnsi="Arial" w:cs="Arial"/>
              </w:rPr>
            </w:pPr>
            <w:r w:rsidRPr="001E722E">
              <w:rPr>
                <w:rFonts w:ascii="Arial" w:eastAsia="Arial" w:hAnsi="Arial" w:cs="Arial"/>
              </w:rPr>
              <w:t>Systematic review</w:t>
            </w:r>
          </w:p>
        </w:tc>
        <w:tc>
          <w:tcPr>
            <w:tcW w:w="1600" w:type="dxa"/>
            <w:tcBorders>
              <w:top w:val="single" w:sz="4" w:space="0" w:color="000000"/>
              <w:left w:val="single" w:sz="4" w:space="0" w:color="000000"/>
              <w:bottom w:val="single" w:sz="4" w:space="0" w:color="000000"/>
              <w:right w:val="single" w:sz="4" w:space="0" w:color="000000"/>
            </w:tcBorders>
          </w:tcPr>
          <w:p w14:paraId="25812456" w14:textId="77777777" w:rsidR="00955984" w:rsidRPr="001E722E" w:rsidRDefault="00161751">
            <w:pPr>
              <w:spacing w:before="20" w:after="20"/>
              <w:rPr>
                <w:rFonts w:ascii="Arial" w:eastAsia="Arial" w:hAnsi="Arial" w:cs="Arial"/>
              </w:rPr>
            </w:pPr>
            <w:r w:rsidRPr="001E722E">
              <w:rPr>
                <w:rFonts w:ascii="Arial" w:eastAsia="Arial" w:hAnsi="Arial" w:cs="Arial"/>
              </w:rPr>
              <w:t>Ethnic minority groups, UK</w:t>
            </w:r>
          </w:p>
        </w:tc>
        <w:tc>
          <w:tcPr>
            <w:tcW w:w="900" w:type="dxa"/>
            <w:tcBorders>
              <w:top w:val="single" w:sz="4" w:space="0" w:color="000000"/>
              <w:left w:val="single" w:sz="4" w:space="0" w:color="000000"/>
              <w:bottom w:val="single" w:sz="4" w:space="0" w:color="000000"/>
              <w:right w:val="single" w:sz="4" w:space="0" w:color="000000"/>
            </w:tcBorders>
          </w:tcPr>
          <w:p w14:paraId="665BCF81" w14:textId="77777777" w:rsidR="00955984" w:rsidRPr="001E722E" w:rsidRDefault="00161751">
            <w:pPr>
              <w:spacing w:before="20" w:after="20"/>
              <w:rPr>
                <w:rFonts w:ascii="Arial" w:eastAsia="Arial" w:hAnsi="Arial" w:cs="Arial"/>
              </w:rPr>
            </w:pPr>
            <w:r w:rsidRPr="001E722E">
              <w:rPr>
                <w:rFonts w:ascii="Arial" w:eastAsia="Arial" w:hAnsi="Arial" w:cs="Arial"/>
              </w:rPr>
              <w:t>2</w:t>
            </w:r>
          </w:p>
        </w:tc>
        <w:tc>
          <w:tcPr>
            <w:tcW w:w="2976" w:type="dxa"/>
            <w:tcBorders>
              <w:top w:val="single" w:sz="4" w:space="0" w:color="000000"/>
              <w:left w:val="single" w:sz="4" w:space="0" w:color="000000"/>
              <w:bottom w:val="single" w:sz="4" w:space="0" w:color="000000"/>
              <w:right w:val="single" w:sz="4" w:space="0" w:color="000000"/>
            </w:tcBorders>
          </w:tcPr>
          <w:p w14:paraId="6B348704" w14:textId="77777777" w:rsidR="00955984" w:rsidRPr="001E722E" w:rsidRDefault="00161751">
            <w:pPr>
              <w:spacing w:before="20" w:after="20"/>
              <w:rPr>
                <w:rFonts w:ascii="Arial" w:eastAsia="Arial" w:hAnsi="Arial" w:cs="Arial"/>
              </w:rPr>
            </w:pPr>
            <w:r w:rsidRPr="001E722E">
              <w:rPr>
                <w:rFonts w:ascii="Arial" w:eastAsia="Arial" w:hAnsi="Arial" w:cs="Arial"/>
              </w:rPr>
              <w:t>Perceived susceptibility and barriers, shaped by culture and family context, explained health check uptake.</w:t>
            </w:r>
          </w:p>
        </w:tc>
      </w:tr>
      <w:tr w:rsidR="00955984" w:rsidRPr="001E722E" w14:paraId="34B71DF2" w14:textId="77777777">
        <w:trPr>
          <w:cantSplit/>
        </w:trPr>
        <w:tc>
          <w:tcPr>
            <w:tcW w:w="400" w:type="dxa"/>
            <w:tcBorders>
              <w:top w:val="single" w:sz="4" w:space="0" w:color="000000"/>
              <w:left w:val="single" w:sz="4" w:space="0" w:color="000000"/>
              <w:bottom w:val="single" w:sz="4" w:space="0" w:color="000000"/>
              <w:right w:val="single" w:sz="4" w:space="0" w:color="000000"/>
            </w:tcBorders>
          </w:tcPr>
          <w:p w14:paraId="1C5D24C1" w14:textId="77777777" w:rsidR="00955984" w:rsidRPr="001E722E" w:rsidRDefault="00161751">
            <w:pPr>
              <w:spacing w:before="20" w:after="20"/>
              <w:rPr>
                <w:rFonts w:ascii="Arial" w:eastAsia="Arial" w:hAnsi="Arial" w:cs="Arial"/>
              </w:rPr>
            </w:pPr>
            <w:r w:rsidRPr="001E722E">
              <w:rPr>
                <w:rFonts w:ascii="Arial" w:eastAsia="Arial" w:hAnsi="Arial" w:cs="Arial"/>
              </w:rPr>
              <w:t>7</w:t>
            </w:r>
          </w:p>
        </w:tc>
        <w:tc>
          <w:tcPr>
            <w:tcW w:w="1650" w:type="dxa"/>
            <w:tcBorders>
              <w:top w:val="single" w:sz="4" w:space="0" w:color="000000"/>
              <w:left w:val="single" w:sz="4" w:space="0" w:color="000000"/>
              <w:bottom w:val="single" w:sz="4" w:space="0" w:color="000000"/>
              <w:right w:val="single" w:sz="4" w:space="0" w:color="000000"/>
            </w:tcBorders>
          </w:tcPr>
          <w:p w14:paraId="3C57C918" w14:textId="77777777" w:rsidR="00955984" w:rsidRPr="001E722E" w:rsidRDefault="00161751">
            <w:pPr>
              <w:spacing w:before="20" w:after="20"/>
              <w:rPr>
                <w:rFonts w:ascii="Arial" w:eastAsia="Arial" w:hAnsi="Arial" w:cs="Arial"/>
              </w:rPr>
            </w:pPr>
            <w:r w:rsidRPr="001E722E">
              <w:rPr>
                <w:rFonts w:ascii="Arial" w:eastAsia="Arial" w:hAnsi="Arial" w:cs="Arial"/>
              </w:rPr>
              <w:t>Eberhardt et al. (2025)</w:t>
            </w:r>
          </w:p>
        </w:tc>
        <w:tc>
          <w:tcPr>
            <w:tcW w:w="1500" w:type="dxa"/>
            <w:tcBorders>
              <w:top w:val="single" w:sz="4" w:space="0" w:color="000000"/>
              <w:left w:val="single" w:sz="4" w:space="0" w:color="000000"/>
              <w:bottom w:val="single" w:sz="4" w:space="0" w:color="000000"/>
              <w:right w:val="single" w:sz="4" w:space="0" w:color="000000"/>
            </w:tcBorders>
          </w:tcPr>
          <w:p w14:paraId="0ECA746A" w14:textId="77777777" w:rsidR="00955984" w:rsidRPr="001E722E" w:rsidRDefault="00161751">
            <w:pPr>
              <w:spacing w:before="20" w:after="20"/>
              <w:rPr>
                <w:rFonts w:ascii="Arial" w:eastAsia="Arial" w:hAnsi="Arial" w:cs="Arial"/>
              </w:rPr>
            </w:pPr>
            <w:r w:rsidRPr="001E722E">
              <w:rPr>
                <w:rFonts w:ascii="Arial" w:eastAsia="Arial" w:hAnsi="Arial" w:cs="Arial"/>
              </w:rPr>
              <w:t>Qualitative study with peer researchers</w:t>
            </w:r>
          </w:p>
        </w:tc>
        <w:tc>
          <w:tcPr>
            <w:tcW w:w="1600" w:type="dxa"/>
            <w:tcBorders>
              <w:top w:val="single" w:sz="4" w:space="0" w:color="000000"/>
              <w:left w:val="single" w:sz="4" w:space="0" w:color="000000"/>
              <w:bottom w:val="single" w:sz="4" w:space="0" w:color="000000"/>
              <w:right w:val="single" w:sz="4" w:space="0" w:color="000000"/>
            </w:tcBorders>
          </w:tcPr>
          <w:p w14:paraId="07E0C00E" w14:textId="77777777" w:rsidR="00955984" w:rsidRPr="001E722E" w:rsidRDefault="00161751">
            <w:pPr>
              <w:spacing w:before="20" w:after="20"/>
              <w:rPr>
                <w:rFonts w:ascii="Arial" w:eastAsia="Arial" w:hAnsi="Arial" w:cs="Arial"/>
              </w:rPr>
            </w:pPr>
            <w:r w:rsidRPr="001E722E">
              <w:rPr>
                <w:rFonts w:ascii="Arial" w:eastAsia="Arial" w:hAnsi="Arial" w:cs="Arial"/>
              </w:rPr>
              <w:t>Deprived communities, North East England</w:t>
            </w:r>
          </w:p>
        </w:tc>
        <w:tc>
          <w:tcPr>
            <w:tcW w:w="900" w:type="dxa"/>
            <w:tcBorders>
              <w:top w:val="single" w:sz="4" w:space="0" w:color="000000"/>
              <w:left w:val="single" w:sz="4" w:space="0" w:color="000000"/>
              <w:bottom w:val="single" w:sz="4" w:space="0" w:color="000000"/>
              <w:right w:val="single" w:sz="4" w:space="0" w:color="000000"/>
            </w:tcBorders>
          </w:tcPr>
          <w:p w14:paraId="54349FBE" w14:textId="77777777" w:rsidR="00955984" w:rsidRPr="001E722E" w:rsidRDefault="00161751">
            <w:pPr>
              <w:spacing w:before="20" w:after="20"/>
              <w:rPr>
                <w:rFonts w:ascii="Arial" w:eastAsia="Arial" w:hAnsi="Arial" w:cs="Arial"/>
              </w:rPr>
            </w:pPr>
            <w:r w:rsidRPr="001E722E">
              <w:rPr>
                <w:rFonts w:ascii="Arial" w:eastAsia="Arial" w:hAnsi="Arial" w:cs="Arial"/>
              </w:rPr>
              <w:t>2, 3</w:t>
            </w:r>
          </w:p>
        </w:tc>
        <w:tc>
          <w:tcPr>
            <w:tcW w:w="2976" w:type="dxa"/>
            <w:tcBorders>
              <w:top w:val="single" w:sz="4" w:space="0" w:color="000000"/>
              <w:left w:val="single" w:sz="4" w:space="0" w:color="000000"/>
              <w:bottom w:val="single" w:sz="4" w:space="0" w:color="000000"/>
              <w:right w:val="single" w:sz="4" w:space="0" w:color="000000"/>
            </w:tcBorders>
          </w:tcPr>
          <w:p w14:paraId="01E120E2" w14:textId="77777777" w:rsidR="00955984" w:rsidRPr="001E722E" w:rsidRDefault="00161751">
            <w:pPr>
              <w:spacing w:before="20" w:after="20"/>
              <w:rPr>
                <w:rFonts w:ascii="Arial" w:eastAsia="Arial" w:hAnsi="Arial" w:cs="Arial"/>
              </w:rPr>
            </w:pPr>
            <w:r w:rsidRPr="001E722E">
              <w:rPr>
                <w:rFonts w:ascii="Arial" w:eastAsia="Arial" w:hAnsi="Arial" w:cs="Arial"/>
              </w:rPr>
              <w:t>Fatalism, fear, mistrust, transport and appointment times reduced attendance; trusted community messengers helped engagement.</w:t>
            </w:r>
          </w:p>
        </w:tc>
      </w:tr>
      <w:tr w:rsidR="00955984" w:rsidRPr="001E722E" w14:paraId="32AF95CE" w14:textId="77777777">
        <w:trPr>
          <w:cantSplit/>
        </w:trPr>
        <w:tc>
          <w:tcPr>
            <w:tcW w:w="400" w:type="dxa"/>
            <w:tcBorders>
              <w:top w:val="single" w:sz="4" w:space="0" w:color="000000"/>
              <w:left w:val="single" w:sz="4" w:space="0" w:color="000000"/>
              <w:bottom w:val="single" w:sz="4" w:space="0" w:color="000000"/>
              <w:right w:val="single" w:sz="4" w:space="0" w:color="000000"/>
            </w:tcBorders>
          </w:tcPr>
          <w:p w14:paraId="7004AE52" w14:textId="77777777" w:rsidR="00955984" w:rsidRPr="001E722E" w:rsidRDefault="00161751">
            <w:pPr>
              <w:spacing w:before="20" w:after="20"/>
              <w:rPr>
                <w:rFonts w:ascii="Arial" w:eastAsia="Arial" w:hAnsi="Arial" w:cs="Arial"/>
              </w:rPr>
            </w:pPr>
            <w:r w:rsidRPr="001E722E">
              <w:rPr>
                <w:rFonts w:ascii="Arial" w:eastAsia="Arial" w:hAnsi="Arial" w:cs="Arial"/>
              </w:rPr>
              <w:t>8</w:t>
            </w:r>
          </w:p>
        </w:tc>
        <w:tc>
          <w:tcPr>
            <w:tcW w:w="1650" w:type="dxa"/>
            <w:tcBorders>
              <w:top w:val="single" w:sz="4" w:space="0" w:color="000000"/>
              <w:left w:val="single" w:sz="4" w:space="0" w:color="000000"/>
              <w:bottom w:val="single" w:sz="4" w:space="0" w:color="000000"/>
              <w:right w:val="single" w:sz="4" w:space="0" w:color="000000"/>
            </w:tcBorders>
          </w:tcPr>
          <w:p w14:paraId="7EA075B9" w14:textId="77777777" w:rsidR="00955984" w:rsidRPr="001E722E" w:rsidRDefault="00161751">
            <w:pPr>
              <w:spacing w:before="20" w:after="20"/>
              <w:rPr>
                <w:rFonts w:ascii="Arial" w:eastAsia="Arial" w:hAnsi="Arial" w:cs="Arial"/>
              </w:rPr>
            </w:pPr>
            <w:r w:rsidRPr="001E722E">
              <w:rPr>
                <w:rFonts w:ascii="Arial" w:eastAsia="Arial" w:hAnsi="Arial" w:cs="Arial"/>
              </w:rPr>
              <w:t>Patel et al. (2020)</w:t>
            </w:r>
          </w:p>
        </w:tc>
        <w:tc>
          <w:tcPr>
            <w:tcW w:w="1500" w:type="dxa"/>
            <w:tcBorders>
              <w:top w:val="single" w:sz="4" w:space="0" w:color="000000"/>
              <w:left w:val="single" w:sz="4" w:space="0" w:color="000000"/>
              <w:bottom w:val="single" w:sz="4" w:space="0" w:color="000000"/>
              <w:right w:val="single" w:sz="4" w:space="0" w:color="000000"/>
            </w:tcBorders>
          </w:tcPr>
          <w:p w14:paraId="6CD136CF" w14:textId="77777777" w:rsidR="00955984" w:rsidRPr="001E722E" w:rsidRDefault="00161751">
            <w:pPr>
              <w:spacing w:before="20" w:after="20"/>
              <w:rPr>
                <w:rFonts w:ascii="Arial" w:eastAsia="Arial" w:hAnsi="Arial" w:cs="Arial"/>
              </w:rPr>
            </w:pPr>
            <w:r w:rsidRPr="001E722E">
              <w:rPr>
                <w:rFonts w:ascii="Arial" w:eastAsia="Arial" w:hAnsi="Arial" w:cs="Arial"/>
              </w:rPr>
              <w:t>Cross-sectional study, 9.5 million records</w:t>
            </w:r>
          </w:p>
        </w:tc>
        <w:tc>
          <w:tcPr>
            <w:tcW w:w="1600" w:type="dxa"/>
            <w:tcBorders>
              <w:top w:val="single" w:sz="4" w:space="0" w:color="000000"/>
              <w:left w:val="single" w:sz="4" w:space="0" w:color="000000"/>
              <w:bottom w:val="single" w:sz="4" w:space="0" w:color="000000"/>
              <w:right w:val="single" w:sz="4" w:space="0" w:color="000000"/>
            </w:tcBorders>
          </w:tcPr>
          <w:p w14:paraId="3130A61A" w14:textId="77777777" w:rsidR="00955984" w:rsidRPr="001E722E" w:rsidRDefault="00161751">
            <w:pPr>
              <w:spacing w:before="20" w:after="20"/>
              <w:rPr>
                <w:rFonts w:ascii="Arial" w:eastAsia="Arial" w:hAnsi="Arial" w:cs="Arial"/>
              </w:rPr>
            </w:pPr>
            <w:r w:rsidRPr="001E722E">
              <w:rPr>
                <w:rFonts w:ascii="Arial" w:eastAsia="Arial" w:hAnsi="Arial" w:cs="Arial"/>
              </w:rPr>
              <w:t>Primary care, England</w:t>
            </w:r>
          </w:p>
        </w:tc>
        <w:tc>
          <w:tcPr>
            <w:tcW w:w="900" w:type="dxa"/>
            <w:tcBorders>
              <w:top w:val="single" w:sz="4" w:space="0" w:color="000000"/>
              <w:left w:val="single" w:sz="4" w:space="0" w:color="000000"/>
              <w:bottom w:val="single" w:sz="4" w:space="0" w:color="000000"/>
              <w:right w:val="single" w:sz="4" w:space="0" w:color="000000"/>
            </w:tcBorders>
          </w:tcPr>
          <w:p w14:paraId="3260F383" w14:textId="77777777" w:rsidR="00955984" w:rsidRPr="001E722E" w:rsidRDefault="00161751">
            <w:pPr>
              <w:spacing w:before="20" w:after="20"/>
              <w:rPr>
                <w:rFonts w:ascii="Arial" w:eastAsia="Arial" w:hAnsi="Arial" w:cs="Arial"/>
              </w:rPr>
            </w:pPr>
            <w:r w:rsidRPr="001E722E">
              <w:rPr>
                <w:rFonts w:ascii="Arial" w:eastAsia="Arial" w:hAnsi="Arial" w:cs="Arial"/>
              </w:rPr>
              <w:t>2, 3</w:t>
            </w:r>
          </w:p>
        </w:tc>
        <w:tc>
          <w:tcPr>
            <w:tcW w:w="2976" w:type="dxa"/>
            <w:tcBorders>
              <w:top w:val="single" w:sz="4" w:space="0" w:color="000000"/>
              <w:left w:val="single" w:sz="4" w:space="0" w:color="000000"/>
              <w:bottom w:val="single" w:sz="4" w:space="0" w:color="000000"/>
              <w:right w:val="single" w:sz="4" w:space="0" w:color="000000"/>
            </w:tcBorders>
          </w:tcPr>
          <w:p w14:paraId="4C6AA7AE" w14:textId="77777777" w:rsidR="00955984" w:rsidRPr="001E722E" w:rsidRDefault="00161751">
            <w:pPr>
              <w:spacing w:before="20" w:after="20"/>
              <w:rPr>
                <w:rFonts w:ascii="Arial" w:eastAsia="Arial" w:hAnsi="Arial" w:cs="Arial"/>
              </w:rPr>
            </w:pPr>
            <w:r w:rsidRPr="001E722E">
              <w:rPr>
                <w:rFonts w:ascii="Arial" w:eastAsia="Arial" w:hAnsi="Arial" w:cs="Arial"/>
              </w:rPr>
              <w:t>52.6% national uptake, ranging from 25.1% to 84.7% between local authorities.</w:t>
            </w:r>
          </w:p>
        </w:tc>
      </w:tr>
      <w:tr w:rsidR="00955984" w:rsidRPr="001E722E" w14:paraId="01ED65C9" w14:textId="77777777">
        <w:trPr>
          <w:cantSplit/>
        </w:trPr>
        <w:tc>
          <w:tcPr>
            <w:tcW w:w="400" w:type="dxa"/>
            <w:tcBorders>
              <w:top w:val="single" w:sz="4" w:space="0" w:color="000000"/>
              <w:left w:val="single" w:sz="4" w:space="0" w:color="000000"/>
              <w:bottom w:val="single" w:sz="4" w:space="0" w:color="000000"/>
              <w:right w:val="single" w:sz="4" w:space="0" w:color="000000"/>
            </w:tcBorders>
          </w:tcPr>
          <w:p w14:paraId="1512C047" w14:textId="77777777" w:rsidR="00955984" w:rsidRPr="001E722E" w:rsidRDefault="00161751">
            <w:pPr>
              <w:spacing w:before="20" w:after="20"/>
              <w:rPr>
                <w:rFonts w:ascii="Arial" w:eastAsia="Arial" w:hAnsi="Arial" w:cs="Arial"/>
              </w:rPr>
            </w:pPr>
            <w:r w:rsidRPr="001E722E">
              <w:rPr>
                <w:rFonts w:ascii="Arial" w:eastAsia="Arial" w:hAnsi="Arial" w:cs="Arial"/>
              </w:rPr>
              <w:t>9</w:t>
            </w:r>
          </w:p>
        </w:tc>
        <w:tc>
          <w:tcPr>
            <w:tcW w:w="1650" w:type="dxa"/>
            <w:tcBorders>
              <w:top w:val="single" w:sz="4" w:space="0" w:color="000000"/>
              <w:left w:val="single" w:sz="4" w:space="0" w:color="000000"/>
              <w:bottom w:val="single" w:sz="4" w:space="0" w:color="000000"/>
              <w:right w:val="single" w:sz="4" w:space="0" w:color="000000"/>
            </w:tcBorders>
          </w:tcPr>
          <w:p w14:paraId="0B671F5D" w14:textId="77777777" w:rsidR="00955984" w:rsidRPr="001E722E" w:rsidRDefault="00161751">
            <w:pPr>
              <w:spacing w:before="20" w:after="20"/>
              <w:rPr>
                <w:rFonts w:ascii="Arial" w:eastAsia="Arial" w:hAnsi="Arial" w:cs="Arial"/>
              </w:rPr>
            </w:pPr>
            <w:r w:rsidRPr="001E722E">
              <w:rPr>
                <w:rFonts w:ascii="Arial" w:eastAsia="Arial" w:hAnsi="Arial" w:cs="Arial"/>
              </w:rPr>
              <w:t>Robson et al. (2021)</w:t>
            </w:r>
          </w:p>
        </w:tc>
        <w:tc>
          <w:tcPr>
            <w:tcW w:w="1500" w:type="dxa"/>
            <w:tcBorders>
              <w:top w:val="single" w:sz="4" w:space="0" w:color="000000"/>
              <w:left w:val="single" w:sz="4" w:space="0" w:color="000000"/>
              <w:bottom w:val="single" w:sz="4" w:space="0" w:color="000000"/>
              <w:right w:val="single" w:sz="4" w:space="0" w:color="000000"/>
            </w:tcBorders>
          </w:tcPr>
          <w:p w14:paraId="0E2AF5C6" w14:textId="77777777" w:rsidR="00955984" w:rsidRPr="001E722E" w:rsidRDefault="00161751">
            <w:pPr>
              <w:spacing w:before="20" w:after="20"/>
              <w:rPr>
                <w:rFonts w:ascii="Arial" w:eastAsia="Arial" w:hAnsi="Arial" w:cs="Arial"/>
              </w:rPr>
            </w:pPr>
            <w:r w:rsidRPr="001E722E">
              <w:rPr>
                <w:rFonts w:ascii="Arial" w:eastAsia="Arial" w:hAnsi="Arial" w:cs="Arial"/>
              </w:rPr>
              <w:t>Observational cohort study</w:t>
            </w:r>
          </w:p>
        </w:tc>
        <w:tc>
          <w:tcPr>
            <w:tcW w:w="1600" w:type="dxa"/>
            <w:tcBorders>
              <w:top w:val="single" w:sz="4" w:space="0" w:color="000000"/>
              <w:left w:val="single" w:sz="4" w:space="0" w:color="000000"/>
              <w:bottom w:val="single" w:sz="4" w:space="0" w:color="000000"/>
              <w:right w:val="single" w:sz="4" w:space="0" w:color="000000"/>
            </w:tcBorders>
          </w:tcPr>
          <w:p w14:paraId="21236F3E" w14:textId="77777777" w:rsidR="00955984" w:rsidRPr="001E722E" w:rsidRDefault="00161751">
            <w:pPr>
              <w:spacing w:before="20" w:after="20"/>
              <w:rPr>
                <w:rFonts w:ascii="Arial" w:eastAsia="Arial" w:hAnsi="Arial" w:cs="Arial"/>
              </w:rPr>
            </w:pPr>
            <w:r w:rsidRPr="001E722E">
              <w:rPr>
                <w:rFonts w:ascii="Arial" w:eastAsia="Arial" w:hAnsi="Arial" w:cs="Arial"/>
              </w:rPr>
              <w:t>GP practices, England, 2009–2017</w:t>
            </w:r>
          </w:p>
        </w:tc>
        <w:tc>
          <w:tcPr>
            <w:tcW w:w="900" w:type="dxa"/>
            <w:tcBorders>
              <w:top w:val="single" w:sz="4" w:space="0" w:color="000000"/>
              <w:left w:val="single" w:sz="4" w:space="0" w:color="000000"/>
              <w:bottom w:val="single" w:sz="4" w:space="0" w:color="000000"/>
              <w:right w:val="single" w:sz="4" w:space="0" w:color="000000"/>
            </w:tcBorders>
          </w:tcPr>
          <w:p w14:paraId="676F6DD8" w14:textId="77777777" w:rsidR="00955984" w:rsidRPr="001E722E" w:rsidRDefault="00161751">
            <w:pPr>
              <w:spacing w:before="20" w:after="20"/>
              <w:rPr>
                <w:rFonts w:ascii="Arial" w:eastAsia="Arial" w:hAnsi="Arial" w:cs="Arial"/>
              </w:rPr>
            </w:pPr>
            <w:r w:rsidRPr="001E722E">
              <w:rPr>
                <w:rFonts w:ascii="Arial" w:eastAsia="Arial" w:hAnsi="Arial" w:cs="Arial"/>
              </w:rPr>
              <w:t>2, 3</w:t>
            </w:r>
          </w:p>
        </w:tc>
        <w:tc>
          <w:tcPr>
            <w:tcW w:w="2976" w:type="dxa"/>
            <w:tcBorders>
              <w:top w:val="single" w:sz="4" w:space="0" w:color="000000"/>
              <w:left w:val="single" w:sz="4" w:space="0" w:color="000000"/>
              <w:bottom w:val="single" w:sz="4" w:space="0" w:color="000000"/>
              <w:right w:val="single" w:sz="4" w:space="0" w:color="000000"/>
            </w:tcBorders>
          </w:tcPr>
          <w:p w14:paraId="38D5ECE2" w14:textId="77777777" w:rsidR="00955984" w:rsidRPr="001E722E" w:rsidRDefault="00161751">
            <w:pPr>
              <w:spacing w:before="20" w:after="20"/>
              <w:rPr>
                <w:rFonts w:ascii="Arial" w:eastAsia="Arial" w:hAnsi="Arial" w:cs="Arial"/>
              </w:rPr>
            </w:pPr>
            <w:r w:rsidRPr="001E722E">
              <w:rPr>
                <w:rFonts w:ascii="Arial" w:eastAsia="Arial" w:hAnsi="Arial" w:cs="Arial"/>
              </w:rPr>
              <w:t>16.9% attendance in the later period; attendees more often newly diagnosed with hypertension, diabetes and CKD; reach varied by ethnicity.</w:t>
            </w:r>
          </w:p>
        </w:tc>
      </w:tr>
      <w:tr w:rsidR="00955984" w:rsidRPr="001E722E" w14:paraId="17899267" w14:textId="77777777">
        <w:trPr>
          <w:cantSplit/>
        </w:trPr>
        <w:tc>
          <w:tcPr>
            <w:tcW w:w="400" w:type="dxa"/>
            <w:tcBorders>
              <w:top w:val="single" w:sz="4" w:space="0" w:color="000000"/>
              <w:left w:val="single" w:sz="4" w:space="0" w:color="000000"/>
              <w:bottom w:val="single" w:sz="4" w:space="0" w:color="000000"/>
              <w:right w:val="single" w:sz="4" w:space="0" w:color="000000"/>
            </w:tcBorders>
          </w:tcPr>
          <w:p w14:paraId="0B666EAB" w14:textId="77777777" w:rsidR="00955984" w:rsidRPr="001E722E" w:rsidRDefault="00161751">
            <w:pPr>
              <w:spacing w:before="20" w:after="20"/>
              <w:rPr>
                <w:rFonts w:ascii="Arial" w:eastAsia="Arial" w:hAnsi="Arial" w:cs="Arial"/>
              </w:rPr>
            </w:pPr>
            <w:r w:rsidRPr="001E722E">
              <w:rPr>
                <w:rFonts w:ascii="Arial" w:eastAsia="Arial" w:hAnsi="Arial" w:cs="Arial"/>
              </w:rPr>
              <w:t>10</w:t>
            </w:r>
          </w:p>
        </w:tc>
        <w:tc>
          <w:tcPr>
            <w:tcW w:w="1650" w:type="dxa"/>
            <w:tcBorders>
              <w:top w:val="single" w:sz="4" w:space="0" w:color="000000"/>
              <w:left w:val="single" w:sz="4" w:space="0" w:color="000000"/>
              <w:bottom w:val="single" w:sz="4" w:space="0" w:color="000000"/>
              <w:right w:val="single" w:sz="4" w:space="0" w:color="000000"/>
            </w:tcBorders>
          </w:tcPr>
          <w:p w14:paraId="73B054C3" w14:textId="77777777" w:rsidR="00955984" w:rsidRPr="001E722E" w:rsidRDefault="00161751">
            <w:pPr>
              <w:spacing w:before="20" w:after="20"/>
              <w:rPr>
                <w:rFonts w:ascii="Arial" w:eastAsia="Arial" w:hAnsi="Arial" w:cs="Arial"/>
              </w:rPr>
            </w:pPr>
            <w:r w:rsidRPr="001E722E">
              <w:rPr>
                <w:rFonts w:ascii="Arial" w:eastAsia="Arial" w:hAnsi="Arial" w:cs="Arial"/>
              </w:rPr>
              <w:t>Brangan et al. (2019)</w:t>
            </w:r>
          </w:p>
        </w:tc>
        <w:tc>
          <w:tcPr>
            <w:tcW w:w="1500" w:type="dxa"/>
            <w:tcBorders>
              <w:top w:val="single" w:sz="4" w:space="0" w:color="000000"/>
              <w:left w:val="single" w:sz="4" w:space="0" w:color="000000"/>
              <w:bottom w:val="single" w:sz="4" w:space="0" w:color="000000"/>
              <w:right w:val="single" w:sz="4" w:space="0" w:color="000000"/>
            </w:tcBorders>
          </w:tcPr>
          <w:p w14:paraId="4EB0A7FA" w14:textId="77777777" w:rsidR="00955984" w:rsidRPr="001E722E" w:rsidRDefault="00161751">
            <w:pPr>
              <w:spacing w:before="20" w:after="20"/>
              <w:rPr>
                <w:rFonts w:ascii="Arial" w:eastAsia="Arial" w:hAnsi="Arial" w:cs="Arial"/>
              </w:rPr>
            </w:pPr>
            <w:r w:rsidRPr="001E722E">
              <w:rPr>
                <w:rFonts w:ascii="Arial" w:eastAsia="Arial" w:hAnsi="Arial" w:cs="Arial"/>
              </w:rPr>
              <w:t>Qualitative interview study</w:t>
            </w:r>
          </w:p>
        </w:tc>
        <w:tc>
          <w:tcPr>
            <w:tcW w:w="1600" w:type="dxa"/>
            <w:tcBorders>
              <w:top w:val="single" w:sz="4" w:space="0" w:color="000000"/>
              <w:left w:val="single" w:sz="4" w:space="0" w:color="000000"/>
              <w:bottom w:val="single" w:sz="4" w:space="0" w:color="000000"/>
              <w:right w:val="single" w:sz="4" w:space="0" w:color="000000"/>
            </w:tcBorders>
          </w:tcPr>
          <w:p w14:paraId="6A290925" w14:textId="77777777" w:rsidR="00955984" w:rsidRPr="001E722E" w:rsidRDefault="00161751">
            <w:pPr>
              <w:spacing w:before="20" w:after="20"/>
              <w:rPr>
                <w:rFonts w:ascii="Arial" w:eastAsia="Arial" w:hAnsi="Arial" w:cs="Arial"/>
              </w:rPr>
            </w:pPr>
            <w:r w:rsidRPr="001E722E">
              <w:rPr>
                <w:rFonts w:ascii="Arial" w:eastAsia="Arial" w:hAnsi="Arial" w:cs="Arial"/>
              </w:rPr>
              <w:t>Deprived and minority ethnic groups, Bristol</w:t>
            </w:r>
          </w:p>
        </w:tc>
        <w:tc>
          <w:tcPr>
            <w:tcW w:w="900" w:type="dxa"/>
            <w:tcBorders>
              <w:top w:val="single" w:sz="4" w:space="0" w:color="000000"/>
              <w:left w:val="single" w:sz="4" w:space="0" w:color="000000"/>
              <w:bottom w:val="single" w:sz="4" w:space="0" w:color="000000"/>
              <w:right w:val="single" w:sz="4" w:space="0" w:color="000000"/>
            </w:tcBorders>
          </w:tcPr>
          <w:p w14:paraId="4350BCCA" w14:textId="77777777" w:rsidR="00955984" w:rsidRPr="001E722E" w:rsidRDefault="00161751">
            <w:pPr>
              <w:spacing w:before="20" w:after="20"/>
              <w:rPr>
                <w:rFonts w:ascii="Arial" w:eastAsia="Arial" w:hAnsi="Arial" w:cs="Arial"/>
              </w:rPr>
            </w:pPr>
            <w:r w:rsidRPr="001E722E">
              <w:rPr>
                <w:rFonts w:ascii="Arial" w:eastAsia="Arial" w:hAnsi="Arial" w:cs="Arial"/>
              </w:rPr>
              <w:t>2, 3</w:t>
            </w:r>
          </w:p>
        </w:tc>
        <w:tc>
          <w:tcPr>
            <w:tcW w:w="2976" w:type="dxa"/>
            <w:tcBorders>
              <w:top w:val="single" w:sz="4" w:space="0" w:color="000000"/>
              <w:left w:val="single" w:sz="4" w:space="0" w:color="000000"/>
              <w:bottom w:val="single" w:sz="4" w:space="0" w:color="000000"/>
              <w:right w:val="single" w:sz="4" w:space="0" w:color="000000"/>
            </w:tcBorders>
          </w:tcPr>
          <w:p w14:paraId="0B675DE3" w14:textId="77777777" w:rsidR="00955984" w:rsidRPr="001E722E" w:rsidRDefault="00161751">
            <w:pPr>
              <w:spacing w:before="20" w:after="20"/>
              <w:rPr>
                <w:rFonts w:ascii="Arial" w:eastAsia="Arial" w:hAnsi="Arial" w:cs="Arial"/>
              </w:rPr>
            </w:pPr>
            <w:r w:rsidRPr="001E722E">
              <w:rPr>
                <w:rFonts w:ascii="Arial" w:eastAsia="Arial" w:hAnsi="Arial" w:cs="Arial"/>
              </w:rPr>
              <w:t>Telephone outreach improved understanding of the check and led to immediate booking.</w:t>
            </w:r>
          </w:p>
        </w:tc>
      </w:tr>
      <w:tr w:rsidR="00955984" w:rsidRPr="001E722E" w14:paraId="19C68343" w14:textId="77777777">
        <w:trPr>
          <w:cantSplit/>
        </w:trPr>
        <w:tc>
          <w:tcPr>
            <w:tcW w:w="400" w:type="dxa"/>
            <w:tcBorders>
              <w:top w:val="single" w:sz="4" w:space="0" w:color="000000"/>
              <w:left w:val="single" w:sz="4" w:space="0" w:color="000000"/>
              <w:bottom w:val="single" w:sz="4" w:space="0" w:color="000000"/>
              <w:right w:val="single" w:sz="4" w:space="0" w:color="000000"/>
            </w:tcBorders>
          </w:tcPr>
          <w:p w14:paraId="13C23118" w14:textId="77777777" w:rsidR="00955984" w:rsidRPr="001E722E" w:rsidRDefault="00161751">
            <w:pPr>
              <w:spacing w:before="20" w:after="20"/>
              <w:rPr>
                <w:rFonts w:ascii="Arial" w:eastAsia="Arial" w:hAnsi="Arial" w:cs="Arial"/>
              </w:rPr>
            </w:pPr>
            <w:r w:rsidRPr="001E722E">
              <w:rPr>
                <w:rFonts w:ascii="Arial" w:eastAsia="Arial" w:hAnsi="Arial" w:cs="Arial"/>
              </w:rPr>
              <w:t>11</w:t>
            </w:r>
          </w:p>
        </w:tc>
        <w:tc>
          <w:tcPr>
            <w:tcW w:w="1650" w:type="dxa"/>
            <w:tcBorders>
              <w:top w:val="single" w:sz="4" w:space="0" w:color="000000"/>
              <w:left w:val="single" w:sz="4" w:space="0" w:color="000000"/>
              <w:bottom w:val="single" w:sz="4" w:space="0" w:color="000000"/>
              <w:right w:val="single" w:sz="4" w:space="0" w:color="000000"/>
            </w:tcBorders>
          </w:tcPr>
          <w:p w14:paraId="1BE217A0" w14:textId="77777777" w:rsidR="00955984" w:rsidRPr="001E722E" w:rsidRDefault="00161751">
            <w:pPr>
              <w:spacing w:before="20" w:after="20"/>
              <w:rPr>
                <w:rFonts w:ascii="Arial" w:eastAsia="Arial" w:hAnsi="Arial" w:cs="Arial"/>
              </w:rPr>
            </w:pPr>
            <w:r w:rsidRPr="001E722E">
              <w:rPr>
                <w:rFonts w:ascii="Arial" w:eastAsia="Arial" w:hAnsi="Arial" w:cs="Arial"/>
              </w:rPr>
              <w:t>Health Innovation Network (2026)</w:t>
            </w:r>
          </w:p>
        </w:tc>
        <w:tc>
          <w:tcPr>
            <w:tcW w:w="1500" w:type="dxa"/>
            <w:tcBorders>
              <w:top w:val="single" w:sz="4" w:space="0" w:color="000000"/>
              <w:left w:val="single" w:sz="4" w:space="0" w:color="000000"/>
              <w:bottom w:val="single" w:sz="4" w:space="0" w:color="000000"/>
              <w:right w:val="single" w:sz="4" w:space="0" w:color="000000"/>
            </w:tcBorders>
          </w:tcPr>
          <w:p w14:paraId="4BB1078D" w14:textId="77777777" w:rsidR="00955984" w:rsidRPr="001E722E" w:rsidRDefault="00161751">
            <w:pPr>
              <w:spacing w:before="20" w:after="20"/>
              <w:rPr>
                <w:rFonts w:ascii="Arial" w:eastAsia="Arial" w:hAnsi="Arial" w:cs="Arial"/>
              </w:rPr>
            </w:pPr>
            <w:r w:rsidRPr="001E722E">
              <w:rPr>
                <w:rFonts w:ascii="Arial" w:eastAsia="Arial" w:hAnsi="Arial" w:cs="Arial"/>
              </w:rPr>
              <w:t>Programme evaluation report</w:t>
            </w:r>
          </w:p>
        </w:tc>
        <w:tc>
          <w:tcPr>
            <w:tcW w:w="1600" w:type="dxa"/>
            <w:tcBorders>
              <w:top w:val="single" w:sz="4" w:space="0" w:color="000000"/>
              <w:left w:val="single" w:sz="4" w:space="0" w:color="000000"/>
              <w:bottom w:val="single" w:sz="4" w:space="0" w:color="000000"/>
              <w:right w:val="single" w:sz="4" w:space="0" w:color="000000"/>
            </w:tcBorders>
          </w:tcPr>
          <w:p w14:paraId="617B8F6D" w14:textId="77777777" w:rsidR="00955984" w:rsidRPr="001E722E" w:rsidRDefault="00161751">
            <w:pPr>
              <w:spacing w:before="20" w:after="20"/>
              <w:rPr>
                <w:rFonts w:ascii="Arial" w:eastAsia="Arial" w:hAnsi="Arial" w:cs="Arial"/>
              </w:rPr>
            </w:pPr>
            <w:r w:rsidRPr="001E722E">
              <w:rPr>
                <w:rFonts w:ascii="Arial" w:eastAsia="Arial" w:hAnsi="Arial" w:cs="Arial"/>
              </w:rPr>
              <w:t>South East London</w:t>
            </w:r>
          </w:p>
        </w:tc>
        <w:tc>
          <w:tcPr>
            <w:tcW w:w="900" w:type="dxa"/>
            <w:tcBorders>
              <w:top w:val="single" w:sz="4" w:space="0" w:color="000000"/>
              <w:left w:val="single" w:sz="4" w:space="0" w:color="000000"/>
              <w:bottom w:val="single" w:sz="4" w:space="0" w:color="000000"/>
              <w:right w:val="single" w:sz="4" w:space="0" w:color="000000"/>
            </w:tcBorders>
          </w:tcPr>
          <w:p w14:paraId="5C3A3551" w14:textId="77777777" w:rsidR="00955984" w:rsidRPr="001E722E" w:rsidRDefault="00161751">
            <w:pPr>
              <w:spacing w:before="20" w:after="20"/>
              <w:rPr>
                <w:rFonts w:ascii="Arial" w:eastAsia="Arial" w:hAnsi="Arial" w:cs="Arial"/>
              </w:rPr>
            </w:pPr>
            <w:r w:rsidRPr="001E722E">
              <w:rPr>
                <w:rFonts w:ascii="Arial" w:eastAsia="Arial" w:hAnsi="Arial" w:cs="Arial"/>
              </w:rPr>
              <w:t>2, 3</w:t>
            </w:r>
          </w:p>
        </w:tc>
        <w:tc>
          <w:tcPr>
            <w:tcW w:w="2976" w:type="dxa"/>
            <w:tcBorders>
              <w:top w:val="single" w:sz="4" w:space="0" w:color="000000"/>
              <w:left w:val="single" w:sz="4" w:space="0" w:color="000000"/>
              <w:bottom w:val="single" w:sz="4" w:space="0" w:color="000000"/>
              <w:right w:val="single" w:sz="4" w:space="0" w:color="000000"/>
            </w:tcBorders>
          </w:tcPr>
          <w:p w14:paraId="401C53C5" w14:textId="77777777" w:rsidR="00955984" w:rsidRPr="001E722E" w:rsidRDefault="00161751">
            <w:pPr>
              <w:spacing w:before="20" w:after="20"/>
              <w:rPr>
                <w:rFonts w:ascii="Arial" w:eastAsia="Arial" w:hAnsi="Arial" w:cs="Arial"/>
              </w:rPr>
            </w:pPr>
            <w:r w:rsidRPr="001E722E">
              <w:rPr>
                <w:rFonts w:ascii="Arial" w:eastAsia="Arial" w:hAnsi="Arial" w:cs="Arial"/>
              </w:rPr>
              <w:t>Community-based, co-produced services (e.g. mobile CVD bus, community heart hub) increased engagement.</w:t>
            </w:r>
          </w:p>
        </w:tc>
      </w:tr>
      <w:tr w:rsidR="00955984" w:rsidRPr="001E722E" w14:paraId="4CC1C489" w14:textId="77777777">
        <w:trPr>
          <w:cantSplit/>
        </w:trPr>
        <w:tc>
          <w:tcPr>
            <w:tcW w:w="400" w:type="dxa"/>
            <w:tcBorders>
              <w:top w:val="single" w:sz="4" w:space="0" w:color="000000"/>
              <w:left w:val="single" w:sz="4" w:space="0" w:color="000000"/>
              <w:bottom w:val="single" w:sz="4" w:space="0" w:color="000000"/>
              <w:right w:val="single" w:sz="4" w:space="0" w:color="000000"/>
            </w:tcBorders>
          </w:tcPr>
          <w:p w14:paraId="6FA65AE2" w14:textId="77777777" w:rsidR="00955984" w:rsidRPr="001E722E" w:rsidRDefault="00161751">
            <w:pPr>
              <w:spacing w:before="20" w:after="20"/>
              <w:rPr>
                <w:rFonts w:ascii="Arial" w:eastAsia="Arial" w:hAnsi="Arial" w:cs="Arial"/>
              </w:rPr>
            </w:pPr>
            <w:r w:rsidRPr="001E722E">
              <w:rPr>
                <w:rFonts w:ascii="Arial" w:eastAsia="Arial" w:hAnsi="Arial" w:cs="Arial"/>
              </w:rPr>
              <w:t>12</w:t>
            </w:r>
          </w:p>
        </w:tc>
        <w:tc>
          <w:tcPr>
            <w:tcW w:w="1650" w:type="dxa"/>
            <w:tcBorders>
              <w:top w:val="single" w:sz="4" w:space="0" w:color="000000"/>
              <w:left w:val="single" w:sz="4" w:space="0" w:color="000000"/>
              <w:bottom w:val="single" w:sz="4" w:space="0" w:color="000000"/>
              <w:right w:val="single" w:sz="4" w:space="0" w:color="000000"/>
            </w:tcBorders>
          </w:tcPr>
          <w:p w14:paraId="5BF97D1F" w14:textId="77777777" w:rsidR="00955984" w:rsidRPr="001E722E" w:rsidRDefault="00161751">
            <w:pPr>
              <w:spacing w:before="20" w:after="20"/>
              <w:rPr>
                <w:rFonts w:ascii="Arial" w:eastAsia="Arial" w:hAnsi="Arial" w:cs="Arial"/>
              </w:rPr>
            </w:pPr>
            <w:r w:rsidRPr="001E722E">
              <w:rPr>
                <w:rFonts w:ascii="Arial" w:eastAsia="Arial" w:hAnsi="Arial" w:cs="Arial"/>
              </w:rPr>
              <w:t>Brady et al. (2025)</w:t>
            </w:r>
          </w:p>
        </w:tc>
        <w:tc>
          <w:tcPr>
            <w:tcW w:w="1500" w:type="dxa"/>
            <w:tcBorders>
              <w:top w:val="single" w:sz="4" w:space="0" w:color="000000"/>
              <w:left w:val="single" w:sz="4" w:space="0" w:color="000000"/>
              <w:bottom w:val="single" w:sz="4" w:space="0" w:color="000000"/>
              <w:right w:val="single" w:sz="4" w:space="0" w:color="000000"/>
            </w:tcBorders>
          </w:tcPr>
          <w:p w14:paraId="0D41F332" w14:textId="77777777" w:rsidR="00955984" w:rsidRPr="001E722E" w:rsidRDefault="00161751">
            <w:pPr>
              <w:spacing w:before="20" w:after="20"/>
              <w:rPr>
                <w:rFonts w:ascii="Arial" w:eastAsia="Arial" w:hAnsi="Arial" w:cs="Arial"/>
              </w:rPr>
            </w:pPr>
            <w:r w:rsidRPr="001E722E">
              <w:rPr>
                <w:rFonts w:ascii="Arial" w:eastAsia="Arial" w:hAnsi="Arial" w:cs="Arial"/>
              </w:rPr>
              <w:t>Qualitative focus-group study</w:t>
            </w:r>
          </w:p>
        </w:tc>
        <w:tc>
          <w:tcPr>
            <w:tcW w:w="1600" w:type="dxa"/>
            <w:tcBorders>
              <w:top w:val="single" w:sz="4" w:space="0" w:color="000000"/>
              <w:left w:val="single" w:sz="4" w:space="0" w:color="000000"/>
              <w:bottom w:val="single" w:sz="4" w:space="0" w:color="000000"/>
              <w:right w:val="single" w:sz="4" w:space="0" w:color="000000"/>
            </w:tcBorders>
          </w:tcPr>
          <w:p w14:paraId="361B6BFA" w14:textId="77777777" w:rsidR="00955984" w:rsidRPr="001E722E" w:rsidRDefault="00161751">
            <w:pPr>
              <w:spacing w:before="20" w:after="20"/>
              <w:rPr>
                <w:rFonts w:ascii="Arial" w:eastAsia="Arial" w:hAnsi="Arial" w:cs="Arial"/>
              </w:rPr>
            </w:pPr>
            <w:r w:rsidRPr="001E722E">
              <w:rPr>
                <w:rFonts w:ascii="Arial" w:eastAsia="Arial" w:hAnsi="Arial" w:cs="Arial"/>
              </w:rPr>
              <w:t>Ethnic minority and underserved groups, Middlesbrough</w:t>
            </w:r>
          </w:p>
        </w:tc>
        <w:tc>
          <w:tcPr>
            <w:tcW w:w="900" w:type="dxa"/>
            <w:tcBorders>
              <w:top w:val="single" w:sz="4" w:space="0" w:color="000000"/>
              <w:left w:val="single" w:sz="4" w:space="0" w:color="000000"/>
              <w:bottom w:val="single" w:sz="4" w:space="0" w:color="000000"/>
              <w:right w:val="single" w:sz="4" w:space="0" w:color="000000"/>
            </w:tcBorders>
          </w:tcPr>
          <w:p w14:paraId="550A331B" w14:textId="77777777" w:rsidR="00955984" w:rsidRPr="001E722E" w:rsidRDefault="00161751">
            <w:pPr>
              <w:spacing w:before="20" w:after="20"/>
              <w:rPr>
                <w:rFonts w:ascii="Arial" w:eastAsia="Arial" w:hAnsi="Arial" w:cs="Arial"/>
              </w:rPr>
            </w:pPr>
            <w:r w:rsidRPr="001E722E">
              <w:rPr>
                <w:rFonts w:ascii="Arial" w:eastAsia="Arial" w:hAnsi="Arial" w:cs="Arial"/>
              </w:rPr>
              <w:t>2, 3</w:t>
            </w:r>
          </w:p>
        </w:tc>
        <w:tc>
          <w:tcPr>
            <w:tcW w:w="2976" w:type="dxa"/>
            <w:tcBorders>
              <w:top w:val="single" w:sz="4" w:space="0" w:color="000000"/>
              <w:left w:val="single" w:sz="4" w:space="0" w:color="000000"/>
              <w:bottom w:val="single" w:sz="4" w:space="0" w:color="000000"/>
              <w:right w:val="single" w:sz="4" w:space="0" w:color="000000"/>
            </w:tcBorders>
          </w:tcPr>
          <w:p w14:paraId="0357721F" w14:textId="77777777" w:rsidR="00955984" w:rsidRPr="001E722E" w:rsidRDefault="00161751">
            <w:pPr>
              <w:spacing w:before="20" w:after="20"/>
              <w:rPr>
                <w:rFonts w:ascii="Arial" w:eastAsia="Arial" w:hAnsi="Arial" w:cs="Arial"/>
              </w:rPr>
            </w:pPr>
            <w:r w:rsidRPr="001E722E">
              <w:rPr>
                <w:rFonts w:ascii="Arial" w:eastAsia="Arial" w:hAnsi="Arial" w:cs="Arial"/>
              </w:rPr>
              <w:t>Trust and convenience mattered more than information; community-based delivery preferred over clinics.</w:t>
            </w:r>
          </w:p>
        </w:tc>
      </w:tr>
      <w:tr w:rsidR="00955984" w:rsidRPr="001E722E" w14:paraId="1DE5B011" w14:textId="77777777">
        <w:trPr>
          <w:cantSplit/>
        </w:trPr>
        <w:tc>
          <w:tcPr>
            <w:tcW w:w="400" w:type="dxa"/>
            <w:tcBorders>
              <w:top w:val="single" w:sz="4" w:space="0" w:color="000000"/>
              <w:left w:val="single" w:sz="4" w:space="0" w:color="000000"/>
              <w:bottom w:val="single" w:sz="4" w:space="0" w:color="000000"/>
              <w:right w:val="single" w:sz="4" w:space="0" w:color="000000"/>
            </w:tcBorders>
          </w:tcPr>
          <w:p w14:paraId="409D9B3A" w14:textId="77777777" w:rsidR="00955984" w:rsidRPr="001E722E" w:rsidRDefault="00161751">
            <w:pPr>
              <w:spacing w:before="20" w:after="20"/>
              <w:rPr>
                <w:rFonts w:ascii="Arial" w:eastAsia="Arial" w:hAnsi="Arial" w:cs="Arial"/>
              </w:rPr>
            </w:pPr>
            <w:r w:rsidRPr="001E722E">
              <w:rPr>
                <w:rFonts w:ascii="Arial" w:eastAsia="Arial" w:hAnsi="Arial" w:cs="Arial"/>
              </w:rPr>
              <w:t>13</w:t>
            </w:r>
          </w:p>
        </w:tc>
        <w:tc>
          <w:tcPr>
            <w:tcW w:w="1650" w:type="dxa"/>
            <w:tcBorders>
              <w:top w:val="single" w:sz="4" w:space="0" w:color="000000"/>
              <w:left w:val="single" w:sz="4" w:space="0" w:color="000000"/>
              <w:bottom w:val="single" w:sz="4" w:space="0" w:color="000000"/>
              <w:right w:val="single" w:sz="4" w:space="0" w:color="000000"/>
            </w:tcBorders>
          </w:tcPr>
          <w:p w14:paraId="7958E9A4" w14:textId="77777777" w:rsidR="00955984" w:rsidRPr="001E722E" w:rsidRDefault="00161751">
            <w:pPr>
              <w:spacing w:before="20" w:after="20"/>
              <w:rPr>
                <w:rFonts w:ascii="Arial" w:eastAsia="Arial" w:hAnsi="Arial" w:cs="Arial"/>
              </w:rPr>
            </w:pPr>
            <w:r w:rsidRPr="001E722E">
              <w:rPr>
                <w:rFonts w:ascii="Arial" w:eastAsia="Arial" w:hAnsi="Arial" w:cs="Arial"/>
              </w:rPr>
              <w:t>Hossain (2026)</w:t>
            </w:r>
          </w:p>
        </w:tc>
        <w:tc>
          <w:tcPr>
            <w:tcW w:w="1500" w:type="dxa"/>
            <w:tcBorders>
              <w:top w:val="single" w:sz="4" w:space="0" w:color="000000"/>
              <w:left w:val="single" w:sz="4" w:space="0" w:color="000000"/>
              <w:bottom w:val="single" w:sz="4" w:space="0" w:color="000000"/>
              <w:right w:val="single" w:sz="4" w:space="0" w:color="000000"/>
            </w:tcBorders>
          </w:tcPr>
          <w:p w14:paraId="63083628" w14:textId="77777777" w:rsidR="00955984" w:rsidRPr="001E722E" w:rsidRDefault="00161751">
            <w:pPr>
              <w:spacing w:before="20" w:after="20"/>
              <w:rPr>
                <w:rFonts w:ascii="Arial" w:eastAsia="Arial" w:hAnsi="Arial" w:cs="Arial"/>
              </w:rPr>
            </w:pPr>
            <w:r w:rsidRPr="001E722E">
              <w:rPr>
                <w:rFonts w:ascii="Arial" w:eastAsia="Arial" w:hAnsi="Arial" w:cs="Arial"/>
              </w:rPr>
              <w:t>Short communication</w:t>
            </w:r>
          </w:p>
        </w:tc>
        <w:tc>
          <w:tcPr>
            <w:tcW w:w="1600" w:type="dxa"/>
            <w:tcBorders>
              <w:top w:val="single" w:sz="4" w:space="0" w:color="000000"/>
              <w:left w:val="single" w:sz="4" w:space="0" w:color="000000"/>
              <w:bottom w:val="single" w:sz="4" w:space="0" w:color="000000"/>
              <w:right w:val="single" w:sz="4" w:space="0" w:color="000000"/>
            </w:tcBorders>
          </w:tcPr>
          <w:p w14:paraId="4D1286DB" w14:textId="77777777" w:rsidR="00955984" w:rsidRPr="001E722E" w:rsidRDefault="00161751">
            <w:pPr>
              <w:spacing w:before="20" w:after="20"/>
              <w:rPr>
                <w:rFonts w:ascii="Arial" w:eastAsia="Arial" w:hAnsi="Arial" w:cs="Arial"/>
              </w:rPr>
            </w:pPr>
            <w:r w:rsidRPr="001E722E">
              <w:rPr>
                <w:rFonts w:ascii="Arial" w:eastAsia="Arial" w:hAnsi="Arial" w:cs="Arial"/>
              </w:rPr>
              <w:t>Super-diverse population, Birmingham</w:t>
            </w:r>
          </w:p>
        </w:tc>
        <w:tc>
          <w:tcPr>
            <w:tcW w:w="900" w:type="dxa"/>
            <w:tcBorders>
              <w:top w:val="single" w:sz="4" w:space="0" w:color="000000"/>
              <w:left w:val="single" w:sz="4" w:space="0" w:color="000000"/>
              <w:bottom w:val="single" w:sz="4" w:space="0" w:color="000000"/>
              <w:right w:val="single" w:sz="4" w:space="0" w:color="000000"/>
            </w:tcBorders>
          </w:tcPr>
          <w:p w14:paraId="5ACC4FBB" w14:textId="77777777" w:rsidR="00955984" w:rsidRPr="001E722E" w:rsidRDefault="00161751">
            <w:pPr>
              <w:spacing w:before="20" w:after="20"/>
              <w:rPr>
                <w:rFonts w:ascii="Arial" w:eastAsia="Arial" w:hAnsi="Arial" w:cs="Arial"/>
              </w:rPr>
            </w:pPr>
            <w:r w:rsidRPr="001E722E">
              <w:rPr>
                <w:rFonts w:ascii="Arial" w:eastAsia="Arial" w:hAnsi="Arial" w:cs="Arial"/>
              </w:rPr>
              <w:t>2</w:t>
            </w:r>
          </w:p>
        </w:tc>
        <w:tc>
          <w:tcPr>
            <w:tcW w:w="2976" w:type="dxa"/>
            <w:tcBorders>
              <w:top w:val="single" w:sz="4" w:space="0" w:color="000000"/>
              <w:left w:val="single" w:sz="4" w:space="0" w:color="000000"/>
              <w:bottom w:val="single" w:sz="4" w:space="0" w:color="000000"/>
              <w:right w:val="single" w:sz="4" w:space="0" w:color="000000"/>
            </w:tcBorders>
          </w:tcPr>
          <w:p w14:paraId="6B1BA068" w14:textId="77777777" w:rsidR="00955984" w:rsidRPr="001E722E" w:rsidRDefault="00161751">
            <w:pPr>
              <w:spacing w:before="20" w:after="20"/>
              <w:rPr>
                <w:rFonts w:ascii="Arial" w:eastAsia="Arial" w:hAnsi="Arial" w:cs="Arial"/>
              </w:rPr>
            </w:pPr>
            <w:r w:rsidRPr="001E722E">
              <w:rPr>
                <w:rFonts w:ascii="Arial" w:eastAsia="Arial" w:hAnsi="Arial" w:cs="Arial"/>
              </w:rPr>
              <w:t>Lower health check engagement among men, especially Arab and White British men.</w:t>
            </w:r>
          </w:p>
        </w:tc>
      </w:tr>
      <w:tr w:rsidR="00955984" w:rsidRPr="001E722E" w14:paraId="611A8227" w14:textId="77777777">
        <w:trPr>
          <w:cantSplit/>
        </w:trPr>
        <w:tc>
          <w:tcPr>
            <w:tcW w:w="400" w:type="dxa"/>
            <w:tcBorders>
              <w:top w:val="single" w:sz="4" w:space="0" w:color="000000"/>
              <w:left w:val="single" w:sz="4" w:space="0" w:color="000000"/>
              <w:bottom w:val="single" w:sz="4" w:space="0" w:color="000000"/>
              <w:right w:val="single" w:sz="4" w:space="0" w:color="000000"/>
            </w:tcBorders>
          </w:tcPr>
          <w:p w14:paraId="0FA04070" w14:textId="77777777" w:rsidR="00955984" w:rsidRPr="001E722E" w:rsidRDefault="00161751">
            <w:pPr>
              <w:spacing w:before="20" w:after="20"/>
              <w:rPr>
                <w:rFonts w:ascii="Arial" w:eastAsia="Arial" w:hAnsi="Arial" w:cs="Arial"/>
              </w:rPr>
            </w:pPr>
            <w:r w:rsidRPr="001E722E">
              <w:rPr>
                <w:rFonts w:ascii="Arial" w:eastAsia="Arial" w:hAnsi="Arial" w:cs="Arial"/>
              </w:rPr>
              <w:t>14</w:t>
            </w:r>
          </w:p>
        </w:tc>
        <w:tc>
          <w:tcPr>
            <w:tcW w:w="1650" w:type="dxa"/>
            <w:tcBorders>
              <w:top w:val="single" w:sz="4" w:space="0" w:color="000000"/>
              <w:left w:val="single" w:sz="4" w:space="0" w:color="000000"/>
              <w:bottom w:val="single" w:sz="4" w:space="0" w:color="000000"/>
              <w:right w:val="single" w:sz="4" w:space="0" w:color="000000"/>
            </w:tcBorders>
          </w:tcPr>
          <w:p w14:paraId="11D4CE60" w14:textId="77777777" w:rsidR="00955984" w:rsidRPr="001E722E" w:rsidRDefault="00161751">
            <w:pPr>
              <w:spacing w:before="20" w:after="20"/>
              <w:rPr>
                <w:rFonts w:ascii="Arial" w:eastAsia="Arial" w:hAnsi="Arial" w:cs="Arial"/>
              </w:rPr>
            </w:pPr>
            <w:r w:rsidRPr="001E722E">
              <w:rPr>
                <w:rFonts w:ascii="Arial" w:eastAsia="Arial" w:hAnsi="Arial" w:cs="Arial"/>
              </w:rPr>
              <w:t>NHS England (2026)</w:t>
            </w:r>
          </w:p>
        </w:tc>
        <w:tc>
          <w:tcPr>
            <w:tcW w:w="1500" w:type="dxa"/>
            <w:tcBorders>
              <w:top w:val="single" w:sz="4" w:space="0" w:color="000000"/>
              <w:left w:val="single" w:sz="4" w:space="0" w:color="000000"/>
              <w:bottom w:val="single" w:sz="4" w:space="0" w:color="000000"/>
              <w:right w:val="single" w:sz="4" w:space="0" w:color="000000"/>
            </w:tcBorders>
          </w:tcPr>
          <w:p w14:paraId="2BFDE981" w14:textId="77777777" w:rsidR="00955984" w:rsidRPr="001E722E" w:rsidRDefault="00161751">
            <w:pPr>
              <w:spacing w:before="20" w:after="20"/>
              <w:rPr>
                <w:rFonts w:ascii="Arial" w:eastAsia="Arial" w:hAnsi="Arial" w:cs="Arial"/>
              </w:rPr>
            </w:pPr>
            <w:r w:rsidRPr="001E722E">
              <w:rPr>
                <w:rFonts w:ascii="Arial" w:eastAsia="Arial" w:hAnsi="Arial" w:cs="Arial"/>
              </w:rPr>
              <w:t>Policy framework</w:t>
            </w:r>
          </w:p>
        </w:tc>
        <w:tc>
          <w:tcPr>
            <w:tcW w:w="1600" w:type="dxa"/>
            <w:tcBorders>
              <w:top w:val="single" w:sz="4" w:space="0" w:color="000000"/>
              <w:left w:val="single" w:sz="4" w:space="0" w:color="000000"/>
              <w:bottom w:val="single" w:sz="4" w:space="0" w:color="000000"/>
              <w:right w:val="single" w:sz="4" w:space="0" w:color="000000"/>
            </w:tcBorders>
          </w:tcPr>
          <w:p w14:paraId="46F3CF48" w14:textId="77777777" w:rsidR="00955984" w:rsidRPr="001E722E" w:rsidRDefault="00161751">
            <w:pPr>
              <w:spacing w:before="20" w:after="20"/>
              <w:rPr>
                <w:rFonts w:ascii="Arial" w:eastAsia="Arial" w:hAnsi="Arial" w:cs="Arial"/>
              </w:rPr>
            </w:pPr>
            <w:r w:rsidRPr="001E722E">
              <w:rPr>
                <w:rFonts w:ascii="Arial" w:eastAsia="Arial" w:hAnsi="Arial" w:cs="Arial"/>
              </w:rPr>
              <w:t>England</w:t>
            </w:r>
          </w:p>
        </w:tc>
        <w:tc>
          <w:tcPr>
            <w:tcW w:w="900" w:type="dxa"/>
            <w:tcBorders>
              <w:top w:val="single" w:sz="4" w:space="0" w:color="000000"/>
              <w:left w:val="single" w:sz="4" w:space="0" w:color="000000"/>
              <w:bottom w:val="single" w:sz="4" w:space="0" w:color="000000"/>
              <w:right w:val="single" w:sz="4" w:space="0" w:color="000000"/>
            </w:tcBorders>
          </w:tcPr>
          <w:p w14:paraId="1263D9B2" w14:textId="77777777" w:rsidR="00955984" w:rsidRPr="001E722E" w:rsidRDefault="00161751">
            <w:pPr>
              <w:spacing w:before="20" w:after="20"/>
              <w:rPr>
                <w:rFonts w:ascii="Arial" w:eastAsia="Arial" w:hAnsi="Arial" w:cs="Arial"/>
              </w:rPr>
            </w:pPr>
            <w:r w:rsidRPr="001E722E">
              <w:rPr>
                <w:rFonts w:ascii="Arial" w:eastAsia="Arial" w:hAnsi="Arial" w:cs="Arial"/>
              </w:rPr>
              <w:t>3</w:t>
            </w:r>
          </w:p>
        </w:tc>
        <w:tc>
          <w:tcPr>
            <w:tcW w:w="2976" w:type="dxa"/>
            <w:tcBorders>
              <w:top w:val="single" w:sz="4" w:space="0" w:color="000000"/>
              <w:left w:val="single" w:sz="4" w:space="0" w:color="000000"/>
              <w:bottom w:val="single" w:sz="4" w:space="0" w:color="000000"/>
              <w:right w:val="single" w:sz="4" w:space="0" w:color="000000"/>
            </w:tcBorders>
          </w:tcPr>
          <w:p w14:paraId="1BA341A8" w14:textId="77777777" w:rsidR="00955984" w:rsidRPr="001E722E" w:rsidRDefault="00161751">
            <w:pPr>
              <w:spacing w:before="20" w:after="20"/>
              <w:rPr>
                <w:rFonts w:ascii="Arial" w:eastAsia="Arial" w:hAnsi="Arial" w:cs="Arial"/>
              </w:rPr>
            </w:pPr>
            <w:r w:rsidRPr="001E722E">
              <w:rPr>
                <w:rFonts w:ascii="Arial" w:eastAsia="Arial" w:hAnsi="Arial" w:cs="Arial"/>
              </w:rPr>
              <w:t>CVD Modern Service Framework favours proactive risk identification and primary–community care integration.</w:t>
            </w:r>
          </w:p>
        </w:tc>
      </w:tr>
      <w:tr w:rsidR="00955984" w:rsidRPr="001E722E" w14:paraId="3EA3784D" w14:textId="77777777">
        <w:trPr>
          <w:cantSplit/>
        </w:trPr>
        <w:tc>
          <w:tcPr>
            <w:tcW w:w="400" w:type="dxa"/>
            <w:tcBorders>
              <w:top w:val="single" w:sz="4" w:space="0" w:color="000000"/>
              <w:left w:val="single" w:sz="4" w:space="0" w:color="000000"/>
              <w:bottom w:val="single" w:sz="4" w:space="0" w:color="000000"/>
              <w:right w:val="single" w:sz="4" w:space="0" w:color="000000"/>
            </w:tcBorders>
          </w:tcPr>
          <w:p w14:paraId="50FFEDE1" w14:textId="77777777" w:rsidR="00955984" w:rsidRPr="001E722E" w:rsidRDefault="00161751">
            <w:pPr>
              <w:spacing w:before="20" w:after="20"/>
              <w:rPr>
                <w:rFonts w:ascii="Arial" w:eastAsia="Arial" w:hAnsi="Arial" w:cs="Arial"/>
              </w:rPr>
            </w:pPr>
            <w:r w:rsidRPr="001E722E">
              <w:rPr>
                <w:rFonts w:ascii="Arial" w:eastAsia="Arial" w:hAnsi="Arial" w:cs="Arial"/>
              </w:rPr>
              <w:lastRenderedPageBreak/>
              <w:t>15</w:t>
            </w:r>
          </w:p>
        </w:tc>
        <w:tc>
          <w:tcPr>
            <w:tcW w:w="1650" w:type="dxa"/>
            <w:tcBorders>
              <w:top w:val="single" w:sz="4" w:space="0" w:color="000000"/>
              <w:left w:val="single" w:sz="4" w:space="0" w:color="000000"/>
              <w:bottom w:val="single" w:sz="4" w:space="0" w:color="000000"/>
              <w:right w:val="single" w:sz="4" w:space="0" w:color="000000"/>
            </w:tcBorders>
          </w:tcPr>
          <w:p w14:paraId="0555B72B" w14:textId="77777777" w:rsidR="00955984" w:rsidRPr="001E722E" w:rsidRDefault="00161751">
            <w:pPr>
              <w:spacing w:before="20" w:after="20"/>
              <w:rPr>
                <w:rFonts w:ascii="Arial" w:eastAsia="Arial" w:hAnsi="Arial" w:cs="Arial"/>
              </w:rPr>
            </w:pPr>
            <w:r w:rsidRPr="001E722E">
              <w:rPr>
                <w:rFonts w:ascii="Arial" w:eastAsia="Arial" w:hAnsi="Arial" w:cs="Arial"/>
              </w:rPr>
              <w:t>Wakefield, Loken and Hornik (2010)</w:t>
            </w:r>
          </w:p>
        </w:tc>
        <w:tc>
          <w:tcPr>
            <w:tcW w:w="1500" w:type="dxa"/>
            <w:tcBorders>
              <w:top w:val="single" w:sz="4" w:space="0" w:color="000000"/>
              <w:left w:val="single" w:sz="4" w:space="0" w:color="000000"/>
              <w:bottom w:val="single" w:sz="4" w:space="0" w:color="000000"/>
              <w:right w:val="single" w:sz="4" w:space="0" w:color="000000"/>
            </w:tcBorders>
          </w:tcPr>
          <w:p w14:paraId="4460ABB6" w14:textId="77777777" w:rsidR="00955984" w:rsidRPr="001E722E" w:rsidRDefault="00161751">
            <w:pPr>
              <w:spacing w:before="20" w:after="20"/>
              <w:rPr>
                <w:rFonts w:ascii="Arial" w:eastAsia="Arial" w:hAnsi="Arial" w:cs="Arial"/>
              </w:rPr>
            </w:pPr>
            <w:r w:rsidRPr="001E722E">
              <w:rPr>
                <w:rFonts w:ascii="Arial" w:eastAsia="Arial" w:hAnsi="Arial" w:cs="Arial"/>
              </w:rPr>
              <w:t>Narrative review</w:t>
            </w:r>
          </w:p>
        </w:tc>
        <w:tc>
          <w:tcPr>
            <w:tcW w:w="1600" w:type="dxa"/>
            <w:tcBorders>
              <w:top w:val="single" w:sz="4" w:space="0" w:color="000000"/>
              <w:left w:val="single" w:sz="4" w:space="0" w:color="000000"/>
              <w:bottom w:val="single" w:sz="4" w:space="0" w:color="000000"/>
              <w:right w:val="single" w:sz="4" w:space="0" w:color="000000"/>
            </w:tcBorders>
          </w:tcPr>
          <w:p w14:paraId="4BA83CB5" w14:textId="77777777" w:rsidR="00955984" w:rsidRPr="001E722E" w:rsidRDefault="00161751">
            <w:pPr>
              <w:spacing w:before="20" w:after="20"/>
              <w:rPr>
                <w:rFonts w:ascii="Arial" w:eastAsia="Arial" w:hAnsi="Arial" w:cs="Arial"/>
              </w:rPr>
            </w:pPr>
            <w:r w:rsidRPr="001E722E">
              <w:rPr>
                <w:rFonts w:ascii="Arial" w:eastAsia="Arial" w:hAnsi="Arial" w:cs="Arial"/>
              </w:rPr>
              <w:t>Mass media health campaigns (international)</w:t>
            </w:r>
          </w:p>
        </w:tc>
        <w:tc>
          <w:tcPr>
            <w:tcW w:w="900" w:type="dxa"/>
            <w:tcBorders>
              <w:top w:val="single" w:sz="4" w:space="0" w:color="000000"/>
              <w:left w:val="single" w:sz="4" w:space="0" w:color="000000"/>
              <w:bottom w:val="single" w:sz="4" w:space="0" w:color="000000"/>
              <w:right w:val="single" w:sz="4" w:space="0" w:color="000000"/>
            </w:tcBorders>
          </w:tcPr>
          <w:p w14:paraId="102DD28F" w14:textId="77777777" w:rsidR="00955984" w:rsidRPr="001E722E" w:rsidRDefault="00161751">
            <w:pPr>
              <w:spacing w:before="20" w:after="20"/>
              <w:rPr>
                <w:rFonts w:ascii="Arial" w:eastAsia="Arial" w:hAnsi="Arial" w:cs="Arial"/>
              </w:rPr>
            </w:pPr>
            <w:r w:rsidRPr="001E722E">
              <w:rPr>
                <w:rFonts w:ascii="Arial" w:eastAsia="Arial" w:hAnsi="Arial" w:cs="Arial"/>
              </w:rPr>
              <w:t>3</w:t>
            </w:r>
          </w:p>
        </w:tc>
        <w:tc>
          <w:tcPr>
            <w:tcW w:w="2976" w:type="dxa"/>
            <w:tcBorders>
              <w:top w:val="single" w:sz="4" w:space="0" w:color="000000"/>
              <w:left w:val="single" w:sz="4" w:space="0" w:color="000000"/>
              <w:bottom w:val="single" w:sz="4" w:space="0" w:color="000000"/>
              <w:right w:val="single" w:sz="4" w:space="0" w:color="000000"/>
            </w:tcBorders>
          </w:tcPr>
          <w:p w14:paraId="48F37384" w14:textId="77777777" w:rsidR="00955984" w:rsidRPr="001E722E" w:rsidRDefault="00161751">
            <w:pPr>
              <w:spacing w:before="20" w:after="20"/>
              <w:rPr>
                <w:rFonts w:ascii="Arial" w:eastAsia="Arial" w:hAnsi="Arial" w:cs="Arial"/>
              </w:rPr>
            </w:pPr>
            <w:r w:rsidRPr="001E722E">
              <w:rPr>
                <w:rFonts w:ascii="Arial" w:eastAsia="Arial" w:hAnsi="Arial" w:cs="Arial"/>
              </w:rPr>
              <w:t>Campaign effects depend on repetition, duration, funding, clarity and service availability.</w:t>
            </w:r>
          </w:p>
        </w:tc>
      </w:tr>
      <w:tr w:rsidR="00955984" w:rsidRPr="001E722E" w14:paraId="08278E59" w14:textId="77777777">
        <w:trPr>
          <w:cantSplit/>
        </w:trPr>
        <w:tc>
          <w:tcPr>
            <w:tcW w:w="400" w:type="dxa"/>
            <w:tcBorders>
              <w:top w:val="single" w:sz="4" w:space="0" w:color="000000"/>
              <w:left w:val="single" w:sz="4" w:space="0" w:color="000000"/>
              <w:bottom w:val="single" w:sz="4" w:space="0" w:color="000000"/>
              <w:right w:val="single" w:sz="4" w:space="0" w:color="000000"/>
            </w:tcBorders>
          </w:tcPr>
          <w:p w14:paraId="204B0AA6" w14:textId="77777777" w:rsidR="00955984" w:rsidRPr="001E722E" w:rsidRDefault="00161751">
            <w:pPr>
              <w:spacing w:before="20" w:after="20"/>
              <w:rPr>
                <w:rFonts w:ascii="Arial" w:eastAsia="Arial" w:hAnsi="Arial" w:cs="Arial"/>
              </w:rPr>
            </w:pPr>
            <w:r w:rsidRPr="001E722E">
              <w:rPr>
                <w:rFonts w:ascii="Arial" w:eastAsia="Arial" w:hAnsi="Arial" w:cs="Arial"/>
              </w:rPr>
              <w:t>16</w:t>
            </w:r>
          </w:p>
        </w:tc>
        <w:tc>
          <w:tcPr>
            <w:tcW w:w="1650" w:type="dxa"/>
            <w:tcBorders>
              <w:top w:val="single" w:sz="4" w:space="0" w:color="000000"/>
              <w:left w:val="single" w:sz="4" w:space="0" w:color="000000"/>
              <w:bottom w:val="single" w:sz="4" w:space="0" w:color="000000"/>
              <w:right w:val="single" w:sz="4" w:space="0" w:color="000000"/>
            </w:tcBorders>
          </w:tcPr>
          <w:p w14:paraId="79E452A0" w14:textId="77777777" w:rsidR="00955984" w:rsidRPr="001E722E" w:rsidRDefault="00161751">
            <w:pPr>
              <w:spacing w:before="20" w:after="20"/>
              <w:rPr>
                <w:rFonts w:ascii="Arial" w:eastAsia="Arial" w:hAnsi="Arial" w:cs="Arial"/>
              </w:rPr>
            </w:pPr>
            <w:proofErr w:type="spellStart"/>
            <w:r w:rsidRPr="001E722E">
              <w:rPr>
                <w:rFonts w:ascii="Arial" w:eastAsia="Arial" w:hAnsi="Arial" w:cs="Arial"/>
              </w:rPr>
              <w:t>Lecouturier</w:t>
            </w:r>
            <w:proofErr w:type="spellEnd"/>
            <w:r w:rsidRPr="001E722E">
              <w:rPr>
                <w:rFonts w:ascii="Arial" w:eastAsia="Arial" w:hAnsi="Arial" w:cs="Arial"/>
              </w:rPr>
              <w:t xml:space="preserve"> et al. (2010)</w:t>
            </w:r>
          </w:p>
        </w:tc>
        <w:tc>
          <w:tcPr>
            <w:tcW w:w="1500" w:type="dxa"/>
            <w:tcBorders>
              <w:top w:val="single" w:sz="4" w:space="0" w:color="000000"/>
              <w:left w:val="single" w:sz="4" w:space="0" w:color="000000"/>
              <w:bottom w:val="single" w:sz="4" w:space="0" w:color="000000"/>
              <w:right w:val="single" w:sz="4" w:space="0" w:color="000000"/>
            </w:tcBorders>
          </w:tcPr>
          <w:p w14:paraId="4742B98A" w14:textId="77777777" w:rsidR="00955984" w:rsidRPr="001E722E" w:rsidRDefault="00161751">
            <w:pPr>
              <w:spacing w:before="20" w:after="20"/>
              <w:rPr>
                <w:rFonts w:ascii="Arial" w:eastAsia="Arial" w:hAnsi="Arial" w:cs="Arial"/>
              </w:rPr>
            </w:pPr>
            <w:r w:rsidRPr="001E722E">
              <w:rPr>
                <w:rFonts w:ascii="Arial" w:eastAsia="Arial" w:hAnsi="Arial" w:cs="Arial"/>
              </w:rPr>
              <w:t>Systematic review</w:t>
            </w:r>
          </w:p>
        </w:tc>
        <w:tc>
          <w:tcPr>
            <w:tcW w:w="1600" w:type="dxa"/>
            <w:tcBorders>
              <w:top w:val="single" w:sz="4" w:space="0" w:color="000000"/>
              <w:left w:val="single" w:sz="4" w:space="0" w:color="000000"/>
              <w:bottom w:val="single" w:sz="4" w:space="0" w:color="000000"/>
              <w:right w:val="single" w:sz="4" w:space="0" w:color="000000"/>
            </w:tcBorders>
          </w:tcPr>
          <w:p w14:paraId="65D4AEE2" w14:textId="77777777" w:rsidR="00955984" w:rsidRPr="001E722E" w:rsidRDefault="00161751">
            <w:pPr>
              <w:spacing w:before="20" w:after="20"/>
              <w:rPr>
                <w:rFonts w:ascii="Arial" w:eastAsia="Arial" w:hAnsi="Arial" w:cs="Arial"/>
              </w:rPr>
            </w:pPr>
            <w:r w:rsidRPr="001E722E">
              <w:rPr>
                <w:rFonts w:ascii="Arial" w:eastAsia="Arial" w:hAnsi="Arial" w:cs="Arial"/>
              </w:rPr>
              <w:t>Stroke symptom campaigns</w:t>
            </w:r>
          </w:p>
        </w:tc>
        <w:tc>
          <w:tcPr>
            <w:tcW w:w="900" w:type="dxa"/>
            <w:tcBorders>
              <w:top w:val="single" w:sz="4" w:space="0" w:color="000000"/>
              <w:left w:val="single" w:sz="4" w:space="0" w:color="000000"/>
              <w:bottom w:val="single" w:sz="4" w:space="0" w:color="000000"/>
              <w:right w:val="single" w:sz="4" w:space="0" w:color="000000"/>
            </w:tcBorders>
          </w:tcPr>
          <w:p w14:paraId="2B460672" w14:textId="77777777" w:rsidR="00955984" w:rsidRPr="001E722E" w:rsidRDefault="00161751">
            <w:pPr>
              <w:spacing w:before="20" w:after="20"/>
              <w:rPr>
                <w:rFonts w:ascii="Arial" w:eastAsia="Arial" w:hAnsi="Arial" w:cs="Arial"/>
              </w:rPr>
            </w:pPr>
            <w:r w:rsidRPr="001E722E">
              <w:rPr>
                <w:rFonts w:ascii="Arial" w:eastAsia="Arial" w:hAnsi="Arial" w:cs="Arial"/>
              </w:rPr>
              <w:t>3</w:t>
            </w:r>
          </w:p>
        </w:tc>
        <w:tc>
          <w:tcPr>
            <w:tcW w:w="2976" w:type="dxa"/>
            <w:tcBorders>
              <w:top w:val="single" w:sz="4" w:space="0" w:color="000000"/>
              <w:left w:val="single" w:sz="4" w:space="0" w:color="000000"/>
              <w:bottom w:val="single" w:sz="4" w:space="0" w:color="000000"/>
              <w:right w:val="single" w:sz="4" w:space="0" w:color="000000"/>
            </w:tcBorders>
          </w:tcPr>
          <w:p w14:paraId="3871FDEF" w14:textId="77777777" w:rsidR="00955984" w:rsidRPr="001E722E" w:rsidRDefault="00161751">
            <w:pPr>
              <w:spacing w:before="20" w:after="20"/>
              <w:rPr>
                <w:rFonts w:ascii="Arial" w:eastAsia="Arial" w:hAnsi="Arial" w:cs="Arial"/>
              </w:rPr>
            </w:pPr>
            <w:r w:rsidRPr="001E722E">
              <w:rPr>
                <w:rFonts w:ascii="Arial" w:eastAsia="Arial" w:hAnsi="Arial" w:cs="Arial"/>
              </w:rPr>
              <w:t>Campaigns can improve symptom recognition, depending on design and service support.</w:t>
            </w:r>
          </w:p>
        </w:tc>
      </w:tr>
    </w:tbl>
    <w:p w14:paraId="708C9B9C" w14:textId="77777777" w:rsidR="00955984" w:rsidRPr="001E722E" w:rsidRDefault="00955984">
      <w:pPr>
        <w:spacing w:after="120"/>
        <w:jc w:val="both"/>
        <w:rPr>
          <w:rFonts w:ascii="Arial" w:eastAsia="Arial" w:hAnsi="Arial" w:cs="Arial"/>
        </w:rPr>
      </w:pPr>
    </w:p>
    <w:p w14:paraId="5D3AA11D" w14:textId="77777777" w:rsidR="00955984" w:rsidRPr="001E722E" w:rsidRDefault="00161751">
      <w:pPr>
        <w:keepNext/>
        <w:spacing w:before="100" w:after="300"/>
        <w:rPr>
          <w:rFonts w:ascii="Arial" w:eastAsia="Arial" w:hAnsi="Arial" w:cs="Arial"/>
          <w:sz w:val="24"/>
          <w:szCs w:val="24"/>
        </w:rPr>
      </w:pPr>
      <w:r w:rsidRPr="001E722E">
        <w:rPr>
          <w:rFonts w:ascii="Arial" w:eastAsia="Arial" w:hAnsi="Arial" w:cs="Arial"/>
          <w:sz w:val="24"/>
          <w:szCs w:val="24"/>
        </w:rPr>
        <w:t>Table 4.2: Summary of Evidence by Research Objective</w:t>
      </w:r>
    </w:p>
    <w:tbl>
      <w:tblPr>
        <w:tblStyle w:val="a6"/>
        <w:tblW w:w="9026" w:type="dxa"/>
        <w:tblInd w:w="0" w:type="dxa"/>
        <w:tblLayout w:type="fixed"/>
        <w:tblLook w:val="0400" w:firstRow="0" w:lastRow="0" w:firstColumn="0" w:lastColumn="0" w:noHBand="0" w:noVBand="1"/>
      </w:tblPr>
      <w:tblGrid>
        <w:gridCol w:w="1900"/>
        <w:gridCol w:w="2600"/>
        <w:gridCol w:w="3026"/>
        <w:gridCol w:w="1500"/>
      </w:tblGrid>
      <w:tr w:rsidR="00955984" w:rsidRPr="001E722E" w14:paraId="06A9798D" w14:textId="77777777">
        <w:trPr>
          <w:tblHeader/>
        </w:trPr>
        <w:tc>
          <w:tcPr>
            <w:tcW w:w="1900" w:type="dxa"/>
            <w:tcBorders>
              <w:top w:val="single" w:sz="4" w:space="0" w:color="000000"/>
              <w:left w:val="single" w:sz="4" w:space="0" w:color="000000"/>
              <w:bottom w:val="single" w:sz="4" w:space="0" w:color="000000"/>
              <w:right w:val="single" w:sz="4" w:space="0" w:color="000000"/>
            </w:tcBorders>
            <w:shd w:val="clear" w:color="auto" w:fill="1F3864"/>
          </w:tcPr>
          <w:p w14:paraId="2D43AFAD" w14:textId="77777777" w:rsidR="00955984" w:rsidRPr="001E722E" w:rsidRDefault="00161751">
            <w:pPr>
              <w:spacing w:before="20" w:after="20"/>
              <w:rPr>
                <w:rFonts w:ascii="Arial" w:eastAsia="Arial" w:hAnsi="Arial" w:cs="Arial"/>
              </w:rPr>
            </w:pPr>
            <w:r w:rsidRPr="001E722E">
              <w:rPr>
                <w:rFonts w:ascii="Arial" w:eastAsia="Arial" w:hAnsi="Arial" w:cs="Arial"/>
                <w:b/>
                <w:bCs/>
                <w:color w:val="FFFFFF"/>
                <w:sz w:val="16"/>
                <w:szCs w:val="16"/>
              </w:rPr>
              <w:t>Objective</w:t>
            </w:r>
          </w:p>
        </w:tc>
        <w:tc>
          <w:tcPr>
            <w:tcW w:w="2600" w:type="dxa"/>
            <w:tcBorders>
              <w:top w:val="single" w:sz="4" w:space="0" w:color="000000"/>
              <w:left w:val="single" w:sz="4" w:space="0" w:color="000000"/>
              <w:bottom w:val="single" w:sz="4" w:space="0" w:color="000000"/>
              <w:right w:val="single" w:sz="4" w:space="0" w:color="000000"/>
            </w:tcBorders>
            <w:shd w:val="clear" w:color="auto" w:fill="1F3864"/>
          </w:tcPr>
          <w:p w14:paraId="18B74708" w14:textId="77777777" w:rsidR="00955984" w:rsidRPr="001E722E" w:rsidRDefault="00161751">
            <w:pPr>
              <w:spacing w:before="20" w:after="20"/>
              <w:rPr>
                <w:rFonts w:ascii="Arial" w:eastAsia="Arial" w:hAnsi="Arial" w:cs="Arial"/>
              </w:rPr>
            </w:pPr>
            <w:r w:rsidRPr="001E722E">
              <w:rPr>
                <w:rFonts w:ascii="Arial" w:eastAsia="Arial" w:hAnsi="Arial" w:cs="Arial"/>
                <w:b/>
                <w:bCs/>
                <w:color w:val="FFFFFF"/>
                <w:sz w:val="16"/>
                <w:szCs w:val="16"/>
              </w:rPr>
              <w:t>Contributing studies</w:t>
            </w:r>
          </w:p>
        </w:tc>
        <w:tc>
          <w:tcPr>
            <w:tcW w:w="3026" w:type="dxa"/>
            <w:tcBorders>
              <w:top w:val="single" w:sz="4" w:space="0" w:color="000000"/>
              <w:left w:val="single" w:sz="4" w:space="0" w:color="000000"/>
              <w:bottom w:val="single" w:sz="4" w:space="0" w:color="000000"/>
              <w:right w:val="single" w:sz="4" w:space="0" w:color="000000"/>
            </w:tcBorders>
            <w:shd w:val="clear" w:color="auto" w:fill="1F3864"/>
          </w:tcPr>
          <w:p w14:paraId="4A2CC6D0" w14:textId="77777777" w:rsidR="00955984" w:rsidRPr="001E722E" w:rsidRDefault="00161751">
            <w:pPr>
              <w:spacing w:before="20" w:after="20"/>
              <w:rPr>
                <w:rFonts w:ascii="Arial" w:eastAsia="Arial" w:hAnsi="Arial" w:cs="Arial"/>
              </w:rPr>
            </w:pPr>
            <w:r w:rsidRPr="001E722E">
              <w:rPr>
                <w:rFonts w:ascii="Arial" w:eastAsia="Arial" w:hAnsi="Arial" w:cs="Arial"/>
                <w:b/>
                <w:bCs/>
                <w:color w:val="FFFFFF"/>
                <w:sz w:val="16"/>
                <w:szCs w:val="16"/>
              </w:rPr>
              <w:t>Summary of evidence</w:t>
            </w:r>
          </w:p>
        </w:tc>
        <w:tc>
          <w:tcPr>
            <w:tcW w:w="1500" w:type="dxa"/>
            <w:tcBorders>
              <w:top w:val="single" w:sz="4" w:space="0" w:color="000000"/>
              <w:left w:val="single" w:sz="4" w:space="0" w:color="000000"/>
              <w:bottom w:val="single" w:sz="4" w:space="0" w:color="000000"/>
              <w:right w:val="single" w:sz="4" w:space="0" w:color="000000"/>
            </w:tcBorders>
            <w:shd w:val="clear" w:color="auto" w:fill="1F3864"/>
          </w:tcPr>
          <w:p w14:paraId="32D3E94A" w14:textId="77777777" w:rsidR="00955984" w:rsidRPr="001E722E" w:rsidRDefault="00161751">
            <w:pPr>
              <w:spacing w:before="20" w:after="20"/>
              <w:rPr>
                <w:rFonts w:ascii="Arial" w:eastAsia="Arial" w:hAnsi="Arial" w:cs="Arial"/>
              </w:rPr>
            </w:pPr>
            <w:r w:rsidRPr="001E722E">
              <w:rPr>
                <w:rFonts w:ascii="Arial" w:eastAsia="Arial" w:hAnsi="Arial" w:cs="Arial"/>
                <w:b/>
                <w:bCs/>
                <w:color w:val="FFFFFF"/>
                <w:sz w:val="16"/>
                <w:szCs w:val="16"/>
              </w:rPr>
              <w:t>Main HBM constructs</w:t>
            </w:r>
          </w:p>
        </w:tc>
      </w:tr>
      <w:tr w:rsidR="00955984" w:rsidRPr="001E722E" w14:paraId="78DB2873" w14:textId="77777777">
        <w:trPr>
          <w:cantSplit/>
        </w:trPr>
        <w:tc>
          <w:tcPr>
            <w:tcW w:w="1900" w:type="dxa"/>
            <w:tcBorders>
              <w:top w:val="single" w:sz="4" w:space="0" w:color="000000"/>
              <w:left w:val="single" w:sz="4" w:space="0" w:color="000000"/>
              <w:bottom w:val="single" w:sz="4" w:space="0" w:color="000000"/>
              <w:right w:val="single" w:sz="4" w:space="0" w:color="000000"/>
            </w:tcBorders>
          </w:tcPr>
          <w:p w14:paraId="2EA8DC82" w14:textId="77777777" w:rsidR="00955984" w:rsidRPr="001E722E" w:rsidRDefault="00161751">
            <w:pPr>
              <w:spacing w:before="20" w:after="20"/>
              <w:rPr>
                <w:rFonts w:ascii="Arial" w:eastAsia="Arial" w:hAnsi="Arial" w:cs="Arial"/>
                <w:sz w:val="22"/>
                <w:szCs w:val="22"/>
              </w:rPr>
            </w:pPr>
            <w:r w:rsidRPr="001E722E">
              <w:rPr>
                <w:rFonts w:ascii="Arial" w:eastAsia="Arial" w:hAnsi="Arial" w:cs="Arial"/>
                <w:sz w:val="22"/>
                <w:szCs w:val="22"/>
              </w:rPr>
              <w:t>1. Public awareness of CHD risk factors and symptoms</w:t>
            </w:r>
          </w:p>
        </w:tc>
        <w:tc>
          <w:tcPr>
            <w:tcW w:w="2600" w:type="dxa"/>
            <w:tcBorders>
              <w:top w:val="single" w:sz="4" w:space="0" w:color="000000"/>
              <w:left w:val="single" w:sz="4" w:space="0" w:color="000000"/>
              <w:bottom w:val="single" w:sz="4" w:space="0" w:color="000000"/>
              <w:right w:val="single" w:sz="4" w:space="0" w:color="000000"/>
            </w:tcBorders>
          </w:tcPr>
          <w:p w14:paraId="1F20293E" w14:textId="77777777" w:rsidR="00955984" w:rsidRPr="001E722E" w:rsidRDefault="00161751">
            <w:pPr>
              <w:spacing w:before="20" w:after="20"/>
              <w:rPr>
                <w:rFonts w:ascii="Arial" w:eastAsia="Arial" w:hAnsi="Arial" w:cs="Arial"/>
                <w:sz w:val="22"/>
                <w:szCs w:val="22"/>
              </w:rPr>
            </w:pPr>
            <w:r w:rsidRPr="001E722E">
              <w:rPr>
                <w:rFonts w:ascii="Arial" w:eastAsia="Arial" w:hAnsi="Arial" w:cs="Arial"/>
                <w:sz w:val="22"/>
                <w:szCs w:val="22"/>
              </w:rPr>
              <w:t>Whitaker et al. (2012); Sheridan et al. (2010); Marmot et al. (2020); BHF (2026)</w:t>
            </w:r>
          </w:p>
        </w:tc>
        <w:tc>
          <w:tcPr>
            <w:tcW w:w="3026" w:type="dxa"/>
            <w:tcBorders>
              <w:top w:val="single" w:sz="4" w:space="0" w:color="000000"/>
              <w:left w:val="single" w:sz="4" w:space="0" w:color="000000"/>
              <w:bottom w:val="single" w:sz="4" w:space="0" w:color="000000"/>
              <w:right w:val="single" w:sz="4" w:space="0" w:color="000000"/>
            </w:tcBorders>
          </w:tcPr>
          <w:p w14:paraId="2FDAE3F9" w14:textId="77777777" w:rsidR="00955984" w:rsidRPr="001E722E" w:rsidRDefault="00161751">
            <w:pPr>
              <w:spacing w:before="20" w:after="20"/>
              <w:rPr>
                <w:rFonts w:ascii="Arial" w:eastAsia="Arial" w:hAnsi="Arial" w:cs="Arial"/>
                <w:sz w:val="22"/>
                <w:szCs w:val="22"/>
              </w:rPr>
            </w:pPr>
            <w:r w:rsidRPr="001E722E">
              <w:rPr>
                <w:rFonts w:ascii="Arial" w:eastAsia="Arial" w:hAnsi="Arial" w:cs="Arial"/>
                <w:sz w:val="22"/>
                <w:szCs w:val="22"/>
              </w:rPr>
              <w:t>Chest pain is well recognised but atypical symptoms and several risk factors are not; awareness is lowest in some higher-risk groups; personalised risk information calibrates perceived risk.</w:t>
            </w:r>
          </w:p>
        </w:tc>
        <w:tc>
          <w:tcPr>
            <w:tcW w:w="1500" w:type="dxa"/>
            <w:tcBorders>
              <w:top w:val="single" w:sz="4" w:space="0" w:color="000000"/>
              <w:left w:val="single" w:sz="4" w:space="0" w:color="000000"/>
              <w:bottom w:val="single" w:sz="4" w:space="0" w:color="000000"/>
              <w:right w:val="single" w:sz="4" w:space="0" w:color="000000"/>
            </w:tcBorders>
          </w:tcPr>
          <w:p w14:paraId="7B68A6FD" w14:textId="77777777" w:rsidR="00955984" w:rsidRPr="001E722E" w:rsidRDefault="00161751">
            <w:pPr>
              <w:spacing w:before="20" w:after="20"/>
              <w:rPr>
                <w:rFonts w:ascii="Arial" w:eastAsia="Arial" w:hAnsi="Arial" w:cs="Arial"/>
                <w:sz w:val="22"/>
                <w:szCs w:val="22"/>
              </w:rPr>
            </w:pPr>
            <w:r w:rsidRPr="001E722E">
              <w:rPr>
                <w:rFonts w:ascii="Arial" w:eastAsia="Arial" w:hAnsi="Arial" w:cs="Arial"/>
                <w:sz w:val="22"/>
                <w:szCs w:val="22"/>
              </w:rPr>
              <w:t>Perceived susceptibility; perceived severity</w:t>
            </w:r>
          </w:p>
        </w:tc>
      </w:tr>
      <w:tr w:rsidR="00955984" w:rsidRPr="001E722E" w14:paraId="33515317" w14:textId="77777777">
        <w:trPr>
          <w:cantSplit/>
        </w:trPr>
        <w:tc>
          <w:tcPr>
            <w:tcW w:w="1900" w:type="dxa"/>
            <w:tcBorders>
              <w:top w:val="single" w:sz="4" w:space="0" w:color="000000"/>
              <w:left w:val="single" w:sz="4" w:space="0" w:color="000000"/>
              <w:bottom w:val="single" w:sz="4" w:space="0" w:color="000000"/>
              <w:right w:val="single" w:sz="4" w:space="0" w:color="000000"/>
            </w:tcBorders>
          </w:tcPr>
          <w:p w14:paraId="0AABBD64" w14:textId="77777777" w:rsidR="00955984" w:rsidRPr="001E722E" w:rsidRDefault="00161751">
            <w:pPr>
              <w:spacing w:before="20" w:after="20"/>
              <w:rPr>
                <w:rFonts w:ascii="Arial" w:eastAsia="Arial" w:hAnsi="Arial" w:cs="Arial"/>
                <w:sz w:val="22"/>
                <w:szCs w:val="22"/>
              </w:rPr>
            </w:pPr>
            <w:r w:rsidRPr="001E722E">
              <w:rPr>
                <w:rFonts w:ascii="Arial" w:eastAsia="Arial" w:hAnsi="Arial" w:cs="Arial"/>
                <w:sz w:val="22"/>
                <w:szCs w:val="22"/>
              </w:rPr>
              <w:t>2. Barriers to early screening and health checks</w:t>
            </w:r>
          </w:p>
        </w:tc>
        <w:tc>
          <w:tcPr>
            <w:tcW w:w="2600" w:type="dxa"/>
            <w:tcBorders>
              <w:top w:val="single" w:sz="4" w:space="0" w:color="000000"/>
              <w:left w:val="single" w:sz="4" w:space="0" w:color="000000"/>
              <w:bottom w:val="single" w:sz="4" w:space="0" w:color="000000"/>
              <w:right w:val="single" w:sz="4" w:space="0" w:color="000000"/>
            </w:tcBorders>
          </w:tcPr>
          <w:p w14:paraId="798D514F" w14:textId="77777777" w:rsidR="00955984" w:rsidRPr="001E722E" w:rsidRDefault="00161751">
            <w:pPr>
              <w:spacing w:before="20" w:after="20"/>
              <w:rPr>
                <w:rFonts w:ascii="Arial" w:eastAsia="Arial" w:hAnsi="Arial" w:cs="Arial"/>
                <w:sz w:val="22"/>
                <w:szCs w:val="22"/>
              </w:rPr>
            </w:pPr>
            <w:r w:rsidRPr="001E722E">
              <w:rPr>
                <w:rFonts w:ascii="Arial" w:eastAsia="Arial" w:hAnsi="Arial" w:cs="Arial"/>
                <w:sz w:val="22"/>
                <w:szCs w:val="22"/>
              </w:rPr>
              <w:t>Norman and Fitter (1989); Taylor and Bell (2025); Eberhardt et al. (2025); Patel et al. (2020); Robson et al. (2021); Brangan et al. (2019); Brady et al. (2025); Hossain (2026); Marmot et al. (2020)</w:t>
            </w:r>
          </w:p>
        </w:tc>
        <w:tc>
          <w:tcPr>
            <w:tcW w:w="3026" w:type="dxa"/>
            <w:tcBorders>
              <w:top w:val="single" w:sz="4" w:space="0" w:color="000000"/>
              <w:left w:val="single" w:sz="4" w:space="0" w:color="000000"/>
              <w:bottom w:val="single" w:sz="4" w:space="0" w:color="000000"/>
              <w:right w:val="single" w:sz="4" w:space="0" w:color="000000"/>
            </w:tcBorders>
          </w:tcPr>
          <w:p w14:paraId="3D753571" w14:textId="77777777" w:rsidR="00955984" w:rsidRPr="001E722E" w:rsidRDefault="00161751">
            <w:pPr>
              <w:spacing w:before="20" w:after="20"/>
              <w:rPr>
                <w:rFonts w:ascii="Arial" w:eastAsia="Arial" w:hAnsi="Arial" w:cs="Arial"/>
                <w:sz w:val="22"/>
                <w:szCs w:val="22"/>
              </w:rPr>
            </w:pPr>
            <w:r w:rsidRPr="001E722E">
              <w:rPr>
                <w:rFonts w:ascii="Arial" w:eastAsia="Arial" w:hAnsi="Arial" w:cs="Arial"/>
                <w:sz w:val="22"/>
                <w:szCs w:val="22"/>
              </w:rPr>
              <w:t>Barriers act at four overlapping levels: psychological (low susceptibility, fear, fatalism), practical (appointments, work, travel), cultural and trust-related (language, mistrust, gender, ethnicity) and socioeconomic.</w:t>
            </w:r>
          </w:p>
        </w:tc>
        <w:tc>
          <w:tcPr>
            <w:tcW w:w="1500" w:type="dxa"/>
            <w:tcBorders>
              <w:top w:val="single" w:sz="4" w:space="0" w:color="000000"/>
              <w:left w:val="single" w:sz="4" w:space="0" w:color="000000"/>
              <w:bottom w:val="single" w:sz="4" w:space="0" w:color="000000"/>
              <w:right w:val="single" w:sz="4" w:space="0" w:color="000000"/>
            </w:tcBorders>
          </w:tcPr>
          <w:p w14:paraId="548FFFB3" w14:textId="77777777" w:rsidR="00955984" w:rsidRPr="001E722E" w:rsidRDefault="00161751">
            <w:pPr>
              <w:spacing w:before="20" w:after="20"/>
              <w:rPr>
                <w:rFonts w:ascii="Arial" w:eastAsia="Arial" w:hAnsi="Arial" w:cs="Arial"/>
                <w:sz w:val="22"/>
                <w:szCs w:val="22"/>
              </w:rPr>
            </w:pPr>
            <w:r w:rsidRPr="001E722E">
              <w:rPr>
                <w:rFonts w:ascii="Arial" w:eastAsia="Arial" w:hAnsi="Arial" w:cs="Arial"/>
                <w:sz w:val="22"/>
                <w:szCs w:val="22"/>
              </w:rPr>
              <w:t>Perceived barriers; perceived benefits; perceived susceptibility</w:t>
            </w:r>
          </w:p>
        </w:tc>
      </w:tr>
      <w:tr w:rsidR="00955984" w:rsidRPr="001E722E" w14:paraId="665B2A81" w14:textId="77777777">
        <w:trPr>
          <w:cantSplit/>
        </w:trPr>
        <w:tc>
          <w:tcPr>
            <w:tcW w:w="1900" w:type="dxa"/>
            <w:tcBorders>
              <w:top w:val="single" w:sz="4" w:space="0" w:color="000000"/>
              <w:left w:val="single" w:sz="4" w:space="0" w:color="000000"/>
              <w:bottom w:val="single" w:sz="4" w:space="0" w:color="000000"/>
              <w:right w:val="single" w:sz="4" w:space="0" w:color="000000"/>
            </w:tcBorders>
          </w:tcPr>
          <w:p w14:paraId="51ED63C2" w14:textId="77777777" w:rsidR="00955984" w:rsidRPr="001E722E" w:rsidRDefault="00161751">
            <w:pPr>
              <w:spacing w:before="20" w:after="20"/>
              <w:rPr>
                <w:rFonts w:ascii="Arial" w:eastAsia="Arial" w:hAnsi="Arial" w:cs="Arial"/>
                <w:sz w:val="22"/>
                <w:szCs w:val="22"/>
              </w:rPr>
            </w:pPr>
            <w:r w:rsidRPr="001E722E">
              <w:rPr>
                <w:rFonts w:ascii="Arial" w:eastAsia="Arial" w:hAnsi="Arial" w:cs="Arial"/>
                <w:sz w:val="22"/>
                <w:szCs w:val="22"/>
              </w:rPr>
              <w:t>3. Effectiveness of NHS and community-based campaigns</w:t>
            </w:r>
          </w:p>
        </w:tc>
        <w:tc>
          <w:tcPr>
            <w:tcW w:w="2600" w:type="dxa"/>
            <w:tcBorders>
              <w:top w:val="single" w:sz="4" w:space="0" w:color="000000"/>
              <w:left w:val="single" w:sz="4" w:space="0" w:color="000000"/>
              <w:bottom w:val="single" w:sz="4" w:space="0" w:color="000000"/>
              <w:right w:val="single" w:sz="4" w:space="0" w:color="000000"/>
            </w:tcBorders>
          </w:tcPr>
          <w:p w14:paraId="1B18F17B" w14:textId="77777777" w:rsidR="00955984" w:rsidRPr="001E722E" w:rsidRDefault="00161751">
            <w:pPr>
              <w:spacing w:before="20" w:after="20"/>
              <w:rPr>
                <w:rFonts w:ascii="Arial" w:eastAsia="Arial" w:hAnsi="Arial" w:cs="Arial"/>
                <w:sz w:val="22"/>
                <w:szCs w:val="22"/>
              </w:rPr>
            </w:pPr>
            <w:r w:rsidRPr="001E722E">
              <w:rPr>
                <w:rFonts w:ascii="Arial" w:eastAsia="Arial" w:hAnsi="Arial" w:cs="Arial"/>
                <w:sz w:val="22"/>
                <w:szCs w:val="22"/>
              </w:rPr>
              <w:t xml:space="preserve">Patel et al. (2020); Robson et al. (2021); NHS England (2026); Brangan et al. (2019); Brady et al. (2025); Health Innovation Network (2026); Wakefield, Loken and </w:t>
            </w:r>
            <w:proofErr w:type="spellStart"/>
            <w:r w:rsidRPr="001E722E">
              <w:rPr>
                <w:rFonts w:ascii="Arial" w:eastAsia="Arial" w:hAnsi="Arial" w:cs="Arial"/>
                <w:sz w:val="22"/>
                <w:szCs w:val="22"/>
              </w:rPr>
              <w:t>Hornik</w:t>
            </w:r>
            <w:proofErr w:type="spellEnd"/>
            <w:r w:rsidRPr="001E722E">
              <w:rPr>
                <w:rFonts w:ascii="Arial" w:eastAsia="Arial" w:hAnsi="Arial" w:cs="Arial"/>
                <w:sz w:val="22"/>
                <w:szCs w:val="22"/>
              </w:rPr>
              <w:t xml:space="preserve"> (2010); </w:t>
            </w:r>
            <w:proofErr w:type="spellStart"/>
            <w:r w:rsidRPr="001E722E">
              <w:rPr>
                <w:rFonts w:ascii="Arial" w:eastAsia="Arial" w:hAnsi="Arial" w:cs="Arial"/>
                <w:sz w:val="22"/>
                <w:szCs w:val="22"/>
              </w:rPr>
              <w:t>Lecouturier</w:t>
            </w:r>
            <w:proofErr w:type="spellEnd"/>
            <w:r w:rsidRPr="001E722E">
              <w:rPr>
                <w:rFonts w:ascii="Arial" w:eastAsia="Arial" w:hAnsi="Arial" w:cs="Arial"/>
                <w:sz w:val="22"/>
                <w:szCs w:val="22"/>
              </w:rPr>
              <w:t xml:space="preserve"> et al. (2010)</w:t>
            </w:r>
          </w:p>
        </w:tc>
        <w:tc>
          <w:tcPr>
            <w:tcW w:w="3026" w:type="dxa"/>
            <w:tcBorders>
              <w:top w:val="single" w:sz="4" w:space="0" w:color="000000"/>
              <w:left w:val="single" w:sz="4" w:space="0" w:color="000000"/>
              <w:bottom w:val="single" w:sz="4" w:space="0" w:color="000000"/>
              <w:right w:val="single" w:sz="4" w:space="0" w:color="000000"/>
            </w:tcBorders>
          </w:tcPr>
          <w:p w14:paraId="26F4B3A8" w14:textId="77777777" w:rsidR="00955984" w:rsidRPr="001E722E" w:rsidRDefault="00161751">
            <w:pPr>
              <w:spacing w:before="20" w:after="20"/>
              <w:rPr>
                <w:rFonts w:ascii="Arial" w:eastAsia="Arial" w:hAnsi="Arial" w:cs="Arial"/>
                <w:sz w:val="22"/>
                <w:szCs w:val="22"/>
              </w:rPr>
            </w:pPr>
            <w:r w:rsidRPr="001E722E">
              <w:rPr>
                <w:rFonts w:ascii="Arial" w:eastAsia="Arial" w:hAnsi="Arial" w:cs="Arial"/>
                <w:sz w:val="22"/>
                <w:szCs w:val="22"/>
              </w:rPr>
              <w:t>The NHS Health Check detects undiagnosed risk when attended, but uptake is low and uneven (16.9%–52.6%; 25.1%–84.7% by area). Telephone and community outreach are promising; mass media raises short-term awareness with limited evidence of sustained behaviour change.</w:t>
            </w:r>
          </w:p>
        </w:tc>
        <w:tc>
          <w:tcPr>
            <w:tcW w:w="1500" w:type="dxa"/>
            <w:tcBorders>
              <w:top w:val="single" w:sz="4" w:space="0" w:color="000000"/>
              <w:left w:val="single" w:sz="4" w:space="0" w:color="000000"/>
              <w:bottom w:val="single" w:sz="4" w:space="0" w:color="000000"/>
              <w:right w:val="single" w:sz="4" w:space="0" w:color="000000"/>
            </w:tcBorders>
          </w:tcPr>
          <w:p w14:paraId="149D01CF" w14:textId="77777777" w:rsidR="00955984" w:rsidRPr="001E722E" w:rsidRDefault="00161751">
            <w:pPr>
              <w:spacing w:before="20" w:after="20"/>
              <w:rPr>
                <w:rFonts w:ascii="Arial" w:eastAsia="Arial" w:hAnsi="Arial" w:cs="Arial"/>
                <w:sz w:val="22"/>
                <w:szCs w:val="22"/>
              </w:rPr>
            </w:pPr>
            <w:r w:rsidRPr="001E722E">
              <w:rPr>
                <w:rFonts w:ascii="Arial" w:eastAsia="Arial" w:hAnsi="Arial" w:cs="Arial"/>
                <w:sz w:val="22"/>
                <w:szCs w:val="22"/>
              </w:rPr>
              <w:t>Cues to action; self-efficacy</w:t>
            </w:r>
          </w:p>
        </w:tc>
      </w:tr>
      <w:tr w:rsidR="00955984" w:rsidRPr="001E722E" w14:paraId="4B3CBA28" w14:textId="77777777">
        <w:trPr>
          <w:cantSplit/>
        </w:trPr>
        <w:tc>
          <w:tcPr>
            <w:tcW w:w="1900" w:type="dxa"/>
            <w:tcBorders>
              <w:top w:val="single" w:sz="4" w:space="0" w:color="000000"/>
              <w:left w:val="single" w:sz="4" w:space="0" w:color="000000"/>
              <w:bottom w:val="single" w:sz="4" w:space="0" w:color="000000"/>
              <w:right w:val="single" w:sz="4" w:space="0" w:color="000000"/>
            </w:tcBorders>
          </w:tcPr>
          <w:p w14:paraId="527A7B91" w14:textId="77777777" w:rsidR="00955984" w:rsidRPr="001E722E" w:rsidRDefault="00161751">
            <w:pPr>
              <w:spacing w:before="20" w:after="20"/>
              <w:rPr>
                <w:rFonts w:ascii="Arial" w:eastAsia="Arial" w:hAnsi="Arial" w:cs="Arial"/>
                <w:sz w:val="22"/>
                <w:szCs w:val="22"/>
              </w:rPr>
            </w:pPr>
            <w:r w:rsidRPr="001E722E">
              <w:rPr>
                <w:rFonts w:ascii="Arial" w:eastAsia="Arial" w:hAnsi="Arial" w:cs="Arial"/>
                <w:sz w:val="22"/>
                <w:szCs w:val="22"/>
              </w:rPr>
              <w:t>4. Evidence-based strategies to improve awareness and uptake</w:t>
            </w:r>
          </w:p>
        </w:tc>
        <w:tc>
          <w:tcPr>
            <w:tcW w:w="2600" w:type="dxa"/>
            <w:tcBorders>
              <w:top w:val="single" w:sz="4" w:space="0" w:color="000000"/>
              <w:left w:val="single" w:sz="4" w:space="0" w:color="000000"/>
              <w:bottom w:val="single" w:sz="4" w:space="0" w:color="000000"/>
              <w:right w:val="single" w:sz="4" w:space="0" w:color="000000"/>
            </w:tcBorders>
          </w:tcPr>
          <w:p w14:paraId="3FE3484F" w14:textId="77777777" w:rsidR="00955984" w:rsidRPr="001E722E" w:rsidRDefault="00161751">
            <w:pPr>
              <w:spacing w:before="20" w:after="20"/>
              <w:rPr>
                <w:rFonts w:ascii="Arial" w:eastAsia="Arial" w:hAnsi="Arial" w:cs="Arial"/>
                <w:sz w:val="22"/>
                <w:szCs w:val="22"/>
              </w:rPr>
            </w:pPr>
            <w:r w:rsidRPr="001E722E">
              <w:rPr>
                <w:rFonts w:ascii="Arial" w:eastAsia="Arial" w:hAnsi="Arial" w:cs="Arial"/>
                <w:sz w:val="22"/>
                <w:szCs w:val="22"/>
              </w:rPr>
              <w:t>Brangan et al. (2019); Brady et al. (2025); Eberhardt et al. (2025); Health Innovation Network (2026)</w:t>
            </w:r>
          </w:p>
        </w:tc>
        <w:tc>
          <w:tcPr>
            <w:tcW w:w="3026" w:type="dxa"/>
            <w:tcBorders>
              <w:top w:val="single" w:sz="4" w:space="0" w:color="000000"/>
              <w:left w:val="single" w:sz="4" w:space="0" w:color="000000"/>
              <w:bottom w:val="single" w:sz="4" w:space="0" w:color="000000"/>
              <w:right w:val="single" w:sz="4" w:space="0" w:color="000000"/>
            </w:tcBorders>
          </w:tcPr>
          <w:p w14:paraId="0D59E85A" w14:textId="77777777" w:rsidR="00955984" w:rsidRPr="001E722E" w:rsidRDefault="00161751">
            <w:pPr>
              <w:spacing w:before="20" w:after="20"/>
              <w:rPr>
                <w:rFonts w:ascii="Arial" w:eastAsia="Arial" w:hAnsi="Arial" w:cs="Arial"/>
                <w:sz w:val="22"/>
                <w:szCs w:val="22"/>
              </w:rPr>
            </w:pPr>
            <w:r w:rsidRPr="001E722E">
              <w:rPr>
                <w:rFonts w:ascii="Arial" w:eastAsia="Arial" w:hAnsi="Arial" w:cs="Arial"/>
                <w:sz w:val="22"/>
                <w:szCs w:val="22"/>
              </w:rPr>
              <w:t>No single intervention is sufficient; the strongest evidence supports combining culturally tailored messaging, flexible access and trusted community engagement.</w:t>
            </w:r>
          </w:p>
        </w:tc>
        <w:tc>
          <w:tcPr>
            <w:tcW w:w="1500" w:type="dxa"/>
            <w:tcBorders>
              <w:top w:val="single" w:sz="4" w:space="0" w:color="000000"/>
              <w:left w:val="single" w:sz="4" w:space="0" w:color="000000"/>
              <w:bottom w:val="single" w:sz="4" w:space="0" w:color="000000"/>
              <w:right w:val="single" w:sz="4" w:space="0" w:color="000000"/>
            </w:tcBorders>
          </w:tcPr>
          <w:p w14:paraId="4D337C84" w14:textId="77777777" w:rsidR="00955984" w:rsidRPr="001E722E" w:rsidRDefault="00161751">
            <w:pPr>
              <w:spacing w:before="20" w:after="20"/>
              <w:rPr>
                <w:rFonts w:ascii="Arial" w:eastAsia="Arial" w:hAnsi="Arial" w:cs="Arial"/>
                <w:sz w:val="22"/>
                <w:szCs w:val="22"/>
              </w:rPr>
            </w:pPr>
            <w:r w:rsidRPr="001E722E">
              <w:rPr>
                <w:rFonts w:ascii="Arial" w:eastAsia="Arial" w:hAnsi="Arial" w:cs="Arial"/>
                <w:sz w:val="22"/>
                <w:szCs w:val="22"/>
              </w:rPr>
              <w:t>All constructs</w:t>
            </w:r>
          </w:p>
        </w:tc>
      </w:tr>
    </w:tbl>
    <w:p w14:paraId="73BE6114" w14:textId="77777777" w:rsidR="00955984" w:rsidRPr="001E722E" w:rsidRDefault="00955984">
      <w:pPr>
        <w:spacing w:after="120"/>
        <w:jc w:val="both"/>
        <w:rPr>
          <w:rFonts w:ascii="Arial" w:eastAsia="Arial" w:hAnsi="Arial" w:cs="Arial"/>
        </w:rPr>
      </w:pPr>
    </w:p>
    <w:p w14:paraId="699F2038" w14:textId="77777777" w:rsidR="00955984" w:rsidRPr="001E722E" w:rsidRDefault="00161751">
      <w:pPr>
        <w:pStyle w:val="Heading2"/>
      </w:pPr>
      <w:bookmarkStart w:id="53" w:name="_5s7g7730a4qo" w:colFirst="0" w:colLast="0"/>
      <w:bookmarkEnd w:id="53"/>
      <w:r w:rsidRPr="001E722E">
        <w:lastRenderedPageBreak/>
        <w:t>4.2 Results of the Systematic Review</w:t>
      </w:r>
    </w:p>
    <w:p w14:paraId="18A3EA2D" w14:textId="77777777" w:rsidR="00955984" w:rsidRPr="001E722E" w:rsidRDefault="00161751">
      <w:pPr>
        <w:pStyle w:val="Heading3"/>
      </w:pPr>
      <w:bookmarkStart w:id="54" w:name="_9q5wdhxcpcbr" w:colFirst="0" w:colLast="0"/>
      <w:bookmarkEnd w:id="54"/>
      <w:r w:rsidRPr="001E722E">
        <w:t>4.2.1 Objective 1: Public Awareness and Understanding of CHD Risk Factors and Symptoms</w:t>
      </w:r>
    </w:p>
    <w:p w14:paraId="635B6E0D" w14:textId="77777777" w:rsidR="00955984" w:rsidRPr="001E722E" w:rsidRDefault="00161751">
      <w:pPr>
        <w:pStyle w:val="Heading4"/>
        <w:spacing w:after="120" w:line="360" w:lineRule="auto"/>
      </w:pPr>
      <w:r w:rsidRPr="001E722E">
        <w:t>Recognition of symptoms</w:t>
      </w:r>
    </w:p>
    <w:p w14:paraId="4599E148" w14:textId="77777777" w:rsidR="00955984" w:rsidRPr="001E722E" w:rsidRDefault="00161751">
      <w:pPr>
        <w:spacing w:after="200" w:line="360" w:lineRule="auto"/>
        <w:jc w:val="both"/>
        <w:rPr>
          <w:rFonts w:ascii="Arial" w:eastAsia="Arial" w:hAnsi="Arial" w:cs="Arial"/>
          <w:sz w:val="24"/>
          <w:szCs w:val="24"/>
        </w:rPr>
      </w:pPr>
      <w:r w:rsidRPr="001E722E">
        <w:rPr>
          <w:rFonts w:ascii="Arial" w:eastAsia="Arial" w:hAnsi="Arial" w:cs="Arial"/>
          <w:sz w:val="24"/>
          <w:szCs w:val="24"/>
        </w:rPr>
        <w:t>There was a wide range of awareness of CHD symptoms, as reported in the studies reviewed, with the most common symptom reported in every study being chest pain (Whitaker et al., 2012). This "textbook" presentation was named more frequently than any other, more frequently than pain that radiates to the arm, shoulder or jaw. The less classical symptoms breathlessness, sweating, nausea and fatigue were much less understood (Whitaker et al., 2012). In this way, public knowledge of angina is focused around a "media ideal" of sudden, crushing chest pain, the milder symptom pattern found in women and the elderly is less well known. If the symptoms of a person don't fit into this dominant script, he or she may not recognize them as cardiac or might put off the decision to seek help.</w:t>
      </w:r>
    </w:p>
    <w:p w14:paraId="3B646AF6" w14:textId="77777777" w:rsidR="00955984" w:rsidRPr="001E722E" w:rsidRDefault="00161751">
      <w:pPr>
        <w:pStyle w:val="Heading4"/>
        <w:spacing w:after="120" w:line="360" w:lineRule="auto"/>
      </w:pPr>
      <w:r w:rsidRPr="001E722E">
        <w:t>Knowledge of risk factors</w:t>
      </w:r>
    </w:p>
    <w:p w14:paraId="1668371C" w14:textId="77777777" w:rsidR="00955984" w:rsidRPr="001E722E" w:rsidRDefault="00161751">
      <w:pPr>
        <w:spacing w:after="200" w:line="360" w:lineRule="auto"/>
        <w:jc w:val="both"/>
        <w:rPr>
          <w:rFonts w:ascii="Arial" w:eastAsia="Arial" w:hAnsi="Arial" w:cs="Arial"/>
          <w:sz w:val="24"/>
          <w:szCs w:val="24"/>
        </w:rPr>
      </w:pPr>
      <w:r w:rsidRPr="001E722E">
        <w:rPr>
          <w:rFonts w:ascii="Arial" w:eastAsia="Arial" w:hAnsi="Arial" w:cs="Arial"/>
          <w:sz w:val="24"/>
          <w:szCs w:val="24"/>
        </w:rPr>
        <w:t>There was also a similar lack of awareness regarding CHD risk factors. Modifiable risk factors that are well known and targeted in sustained public health campaigns, such as smoking and physical inactivity (to a lesser degree) were the most widely recognised in Australian data (Whitaker et al., 2012). The knowledge of other cardiovascular risk factors, including hypertension, high cholesterol, obesity and diabetes, was far more variable; and the participants did not always understand the biological pathways through which these risk factors are associated with CHD. The same was true for the awareness of non-modifiable risk factors, such as family history and age of diagnosis. There is some evidence that individuals assess their personal risk level greater on modifiable behaviours than on certain non-modifiable characteristics they can't change (Sheridan et al., 2010). This is an unconsolidated and disorganized knowledge base, which means that many people are not adequately informed to make accurate assessments of their own vulnerability.</w:t>
      </w:r>
    </w:p>
    <w:p w14:paraId="3716FB8C" w14:textId="77777777" w:rsidR="00955984" w:rsidRPr="001E722E" w:rsidRDefault="00161751">
      <w:pPr>
        <w:pStyle w:val="Heading4"/>
        <w:spacing w:after="120" w:line="360" w:lineRule="auto"/>
      </w:pPr>
      <w:r w:rsidRPr="001E722E">
        <w:t>Demographic differences</w:t>
      </w:r>
    </w:p>
    <w:p w14:paraId="07BD038D" w14:textId="77777777" w:rsidR="00955984" w:rsidRPr="001E722E" w:rsidRDefault="00161751">
      <w:pPr>
        <w:spacing w:after="200" w:line="360" w:lineRule="auto"/>
        <w:jc w:val="both"/>
        <w:rPr>
          <w:rFonts w:ascii="Arial" w:eastAsia="Arial" w:hAnsi="Arial" w:cs="Arial"/>
          <w:sz w:val="24"/>
          <w:szCs w:val="24"/>
        </w:rPr>
      </w:pPr>
      <w:r w:rsidRPr="001E722E">
        <w:rPr>
          <w:rFonts w:ascii="Arial" w:eastAsia="Arial" w:hAnsi="Arial" w:cs="Arial"/>
          <w:sz w:val="24"/>
          <w:szCs w:val="24"/>
        </w:rPr>
        <w:t xml:space="preserve">There are indications in the literature of significant age, socio-economic status, occupation, deprivation and - where examined - ethnicity differences in awareness. </w:t>
      </w:r>
      <w:r w:rsidRPr="001E722E">
        <w:rPr>
          <w:rFonts w:ascii="Arial" w:eastAsia="Arial" w:hAnsi="Arial" w:cs="Arial"/>
          <w:sz w:val="24"/>
          <w:szCs w:val="24"/>
        </w:rPr>
        <w:lastRenderedPageBreak/>
        <w:t>People with a personal or family history of coronary disease and older people members seemed to be more aware of the symptoms and risk factors than younger people or people with no personal or family history of coronary disease. But a worrying trend is that at objective high cardiovascular risk groups, for example manual jobs, or areas of greater deprivation, there is not a corresponding increase in awareness of the risk (Marmot et al., 2020). This disparity between exposure and awareness is important to note: it indicates that mass health information campaigns might not be reaching exactly the right audience to benefit from early detection. There is also ethnic inequality in awareness with evidence indicating that South Asian sub-populations (BHF, 2026c) may be at different cardiovascular risk and may be aware of their risk differently.</w:t>
      </w:r>
    </w:p>
    <w:p w14:paraId="793DFBF4" w14:textId="77777777" w:rsidR="00955984" w:rsidRPr="001E722E" w:rsidRDefault="00161751">
      <w:pPr>
        <w:pStyle w:val="Heading4"/>
        <w:spacing w:after="120" w:line="360" w:lineRule="auto"/>
      </w:pPr>
      <w:r w:rsidRPr="001E722E">
        <w:t>Risk perception and action</w:t>
      </w:r>
    </w:p>
    <w:p w14:paraId="59F7C7A2" w14:textId="77777777" w:rsidR="00955984" w:rsidRPr="001E722E" w:rsidRDefault="00161751">
      <w:pPr>
        <w:spacing w:after="200" w:line="360" w:lineRule="auto"/>
        <w:jc w:val="both"/>
        <w:rPr>
          <w:rFonts w:ascii="Arial" w:eastAsia="Arial" w:hAnsi="Arial" w:cs="Arial"/>
          <w:sz w:val="24"/>
          <w:szCs w:val="24"/>
        </w:rPr>
      </w:pPr>
      <w:r w:rsidRPr="001E722E">
        <w:rPr>
          <w:rFonts w:ascii="Arial" w:eastAsia="Arial" w:hAnsi="Arial" w:cs="Arial"/>
          <w:sz w:val="24"/>
          <w:szCs w:val="24"/>
        </w:rPr>
        <w:t>The strongest evidence on communicating individual-level cardiovascular risk suggests that presenting a numeric, absolute risk score is more effective at calibrating a person's perceived risk and, in some cases, at prompting intention to act than general awareness-raising alone (Sheridan et al., 2010). In other words, personalised, objective risk information appears to do more than generic knowledge. This aligns with Whitaker et al.'s (2012) argument that public understanding of CHD tends to be superficial and impersonal, which may explain why many people who can correctly identify chest pain as a heart attack symptom still don't see themselves as being at risk. Taken together, the findings for Objective 1 point to a persistent knowledge–behaviour gap one that isn't resolved simply by supplying more information.</w:t>
      </w:r>
    </w:p>
    <w:p w14:paraId="11B285C5" w14:textId="77777777" w:rsidR="00955984" w:rsidRPr="001E722E" w:rsidRDefault="00161751">
      <w:pPr>
        <w:pStyle w:val="Heading3"/>
      </w:pPr>
      <w:bookmarkStart w:id="55" w:name="_2wohcrwmceer" w:colFirst="0" w:colLast="0"/>
      <w:bookmarkEnd w:id="55"/>
      <w:r w:rsidRPr="001E722E">
        <w:t>4.2.2 Objective 2: Barriers to Early Screening and Preventive Health Checks</w:t>
      </w:r>
    </w:p>
    <w:p w14:paraId="08C289F9" w14:textId="77777777" w:rsidR="00955984" w:rsidRPr="001E722E" w:rsidRDefault="00161751">
      <w:pPr>
        <w:spacing w:after="200" w:line="360" w:lineRule="auto"/>
        <w:jc w:val="both"/>
        <w:rPr>
          <w:rFonts w:ascii="Arial" w:eastAsia="Arial" w:hAnsi="Arial" w:cs="Arial"/>
          <w:sz w:val="24"/>
          <w:szCs w:val="24"/>
        </w:rPr>
      </w:pPr>
      <w:r w:rsidRPr="001E722E">
        <w:rPr>
          <w:rFonts w:ascii="Arial" w:eastAsia="Arial" w:hAnsi="Arial" w:cs="Arial"/>
          <w:sz w:val="24"/>
          <w:szCs w:val="24"/>
        </w:rPr>
        <w:t>The literature review shows a variety of cross-over barriers to CHD screening that can be grouped into four categories: individual and psychological; practical and access-related; cultural and communication-related; and socioeconomic. Individual/Psychological Barriers</w:t>
      </w:r>
    </w:p>
    <w:p w14:paraId="2A33B9CD" w14:textId="77777777" w:rsidR="00955984" w:rsidRPr="001E722E" w:rsidRDefault="00161751">
      <w:pPr>
        <w:pStyle w:val="Heading4"/>
        <w:spacing w:after="120" w:line="360" w:lineRule="auto"/>
      </w:pPr>
      <w:r w:rsidRPr="001E722E">
        <w:lastRenderedPageBreak/>
        <w:t>A. Individual and Psychological Barriers</w:t>
      </w:r>
    </w:p>
    <w:p w14:paraId="1D6BA49F" w14:textId="77777777" w:rsidR="00955984" w:rsidRPr="001E722E" w:rsidRDefault="00161751">
      <w:pPr>
        <w:spacing w:after="200" w:line="360" w:lineRule="auto"/>
        <w:jc w:val="both"/>
        <w:rPr>
          <w:rFonts w:ascii="Arial" w:eastAsia="Arial" w:hAnsi="Arial" w:cs="Arial"/>
          <w:sz w:val="24"/>
          <w:szCs w:val="24"/>
        </w:rPr>
      </w:pPr>
      <w:r w:rsidRPr="001E722E">
        <w:rPr>
          <w:rFonts w:ascii="Arial" w:eastAsia="Arial" w:hAnsi="Arial" w:cs="Arial"/>
          <w:sz w:val="24"/>
          <w:szCs w:val="24"/>
        </w:rPr>
        <w:t>One of the most frequently observed barriers mentioned in the literature is low perceived susceptibility: people who do not perceive themselves to be at risk for a health condition do not see a reason to seek out preventive health checks, unless they are already affected by a health issue (Norman and Fitter, 1989). This feeling of wellness can counterbalance the notion of an elusive cardiovascular risk factor, though it is not a true risk factor. Additionally, people are not always willing to be told of bad news, and some want to address their health without medical assistance, and have other priorities.</w:t>
      </w:r>
    </w:p>
    <w:p w14:paraId="4597359D" w14:textId="77777777" w:rsidR="00955984" w:rsidRPr="001E722E" w:rsidRDefault="00161751">
      <w:pPr>
        <w:spacing w:after="200" w:line="360" w:lineRule="auto"/>
        <w:jc w:val="both"/>
        <w:rPr>
          <w:rFonts w:ascii="Arial" w:eastAsia="Arial" w:hAnsi="Arial" w:cs="Arial"/>
          <w:sz w:val="24"/>
          <w:szCs w:val="24"/>
        </w:rPr>
      </w:pPr>
      <w:r w:rsidRPr="001E722E">
        <w:rPr>
          <w:rFonts w:ascii="Arial" w:eastAsia="Arial" w:hAnsi="Arial" w:cs="Arial"/>
          <w:sz w:val="24"/>
          <w:szCs w:val="24"/>
        </w:rPr>
        <w:t>Norman and Fitter (1989) demonstrate that general health beliefs are not as good a predictor of an intention to attend a screening appointment, while more specific constructs such as the perceived efficacy of the screening itself, some degree of worry about one's health, and perceived susceptibility are all more powerful as predictors. Therefore, the overall positive health beliefs (OHB) correlate to attendance, but only to specific beliefs, such as fear of getting ill and beliefs about the instrumental utility of attendance at screening.</w:t>
      </w:r>
    </w:p>
    <w:p w14:paraId="54F0974F" w14:textId="77777777" w:rsidR="00955984" w:rsidRPr="001E722E" w:rsidRDefault="00161751">
      <w:pPr>
        <w:spacing w:after="200" w:line="360" w:lineRule="auto"/>
        <w:jc w:val="both"/>
        <w:rPr>
          <w:rFonts w:ascii="Arial" w:eastAsia="Arial" w:hAnsi="Arial" w:cs="Arial"/>
          <w:sz w:val="24"/>
          <w:szCs w:val="24"/>
        </w:rPr>
      </w:pPr>
      <w:r w:rsidRPr="001E722E">
        <w:rPr>
          <w:rFonts w:ascii="Arial" w:eastAsia="Arial" w:hAnsi="Arial" w:cs="Arial"/>
          <w:sz w:val="24"/>
          <w:szCs w:val="24"/>
        </w:rPr>
        <w:t>Taylor and Bell (2025) used the HBM specifically for cardiovascular screening uptake in the UK-SA community, with perceived susceptibility and barriers formed and utilized as two important explanatory constructs, while also examining the role of culture and family context in these. In deprived communities in the North East England, the psychological barriers found by Eberhardt et al. (2025), including fatalism, a lack of perceived control over health outcomes and, in some instances, distrust of preventive services, add to the practical barriers that already exist for residents of service poor areas.</w:t>
      </w:r>
    </w:p>
    <w:p w14:paraId="2CE99249" w14:textId="77777777" w:rsidR="00955984" w:rsidRPr="001E722E" w:rsidRDefault="00161751">
      <w:pPr>
        <w:spacing w:after="200" w:line="360" w:lineRule="auto"/>
        <w:jc w:val="both"/>
        <w:rPr>
          <w:rFonts w:ascii="Arial" w:eastAsia="Arial" w:hAnsi="Arial" w:cs="Arial"/>
          <w:sz w:val="24"/>
          <w:szCs w:val="24"/>
        </w:rPr>
      </w:pPr>
      <w:r w:rsidRPr="001E722E">
        <w:rPr>
          <w:rFonts w:ascii="Arial" w:eastAsia="Arial" w:hAnsi="Arial" w:cs="Arial"/>
          <w:sz w:val="24"/>
          <w:szCs w:val="24"/>
        </w:rPr>
        <w:t>This fear association needs to be explored. Being frightened of being informed of a cardiac condition may be a barrier to having someone screened, even if they would want to get screened as their family member recently had a cardiac event, while the other way round might be true: a family member's recent cardiac event may be a wake-up call to start seeking reassurance by getting screened. The literature does not support a simple link between fear and its impact on screening behaviour; it is found to be deterrent in one way and not in another, depending on the manner in which fear is experienced.</w:t>
      </w:r>
    </w:p>
    <w:p w14:paraId="179DB32B" w14:textId="77777777" w:rsidR="00955984" w:rsidRPr="001E722E" w:rsidRDefault="00955984">
      <w:pPr>
        <w:spacing w:after="200" w:line="360" w:lineRule="auto"/>
        <w:jc w:val="both"/>
        <w:rPr>
          <w:rFonts w:ascii="Arial" w:eastAsia="Arial" w:hAnsi="Arial" w:cs="Arial"/>
          <w:sz w:val="24"/>
          <w:szCs w:val="24"/>
        </w:rPr>
      </w:pPr>
    </w:p>
    <w:p w14:paraId="17EF3863" w14:textId="77777777" w:rsidR="00955984" w:rsidRPr="001E722E" w:rsidRDefault="00161751">
      <w:pPr>
        <w:pStyle w:val="Heading4"/>
        <w:spacing w:after="120" w:line="360" w:lineRule="auto"/>
      </w:pPr>
      <w:r w:rsidRPr="001E722E">
        <w:t>B. Practical and Access-Related Barriers</w:t>
      </w:r>
    </w:p>
    <w:p w14:paraId="4F52F78B" w14:textId="77777777" w:rsidR="00955984" w:rsidRPr="001E722E" w:rsidRDefault="00955984"/>
    <w:p w14:paraId="3CEF7792" w14:textId="77777777" w:rsidR="00955984" w:rsidRPr="001E722E" w:rsidRDefault="00161751">
      <w:pPr>
        <w:spacing w:after="200" w:line="360" w:lineRule="auto"/>
        <w:jc w:val="both"/>
        <w:rPr>
          <w:rFonts w:ascii="Arial" w:eastAsia="Arial" w:hAnsi="Arial" w:cs="Arial"/>
          <w:sz w:val="24"/>
          <w:szCs w:val="24"/>
        </w:rPr>
      </w:pPr>
      <w:r w:rsidRPr="001E722E">
        <w:rPr>
          <w:rFonts w:ascii="Arial" w:eastAsia="Arial" w:hAnsi="Arial" w:cs="Arial"/>
          <w:sz w:val="24"/>
          <w:szCs w:val="24"/>
        </w:rPr>
        <w:t>Evidence suggests that the likelihood of not attending screening is associated with practical and structural barriers, as is much of the literature. Often cited barriers are appointment availability and problems with appointments, work commitments and time restrictions, particularly for those with inflexible jobs. They are exacerbated by travel and transport to services, which may not be conveniently located (Eberhardt et al., 2025; Hossain, 2026).</w:t>
      </w:r>
    </w:p>
    <w:p w14:paraId="49CB0158" w14:textId="77777777" w:rsidR="00955984" w:rsidRPr="001E722E" w:rsidRDefault="00161751">
      <w:pPr>
        <w:spacing w:after="200" w:line="360" w:lineRule="auto"/>
        <w:jc w:val="both"/>
        <w:rPr>
          <w:rFonts w:ascii="Arial" w:eastAsia="Arial" w:hAnsi="Arial" w:cs="Arial"/>
          <w:sz w:val="24"/>
          <w:szCs w:val="24"/>
        </w:rPr>
      </w:pPr>
      <w:r w:rsidRPr="001E722E">
        <w:rPr>
          <w:rFonts w:ascii="Arial" w:eastAsia="Arial" w:hAnsi="Arial" w:cs="Arial"/>
          <w:sz w:val="24"/>
          <w:szCs w:val="24"/>
        </w:rPr>
        <w:t xml:space="preserve">There is also quantitative evidence that there is a significant </w:t>
      </w:r>
      <w:proofErr w:type="gramStart"/>
      <w:r w:rsidRPr="001E722E">
        <w:rPr>
          <w:rFonts w:ascii="Arial" w:eastAsia="Arial" w:hAnsi="Arial" w:cs="Arial"/>
          <w:sz w:val="24"/>
          <w:szCs w:val="24"/>
        </w:rPr>
        <w:t>differences</w:t>
      </w:r>
      <w:proofErr w:type="gramEnd"/>
      <w:r w:rsidRPr="001E722E">
        <w:rPr>
          <w:rFonts w:ascii="Arial" w:eastAsia="Arial" w:hAnsi="Arial" w:cs="Arial"/>
          <w:sz w:val="24"/>
          <w:szCs w:val="24"/>
        </w:rPr>
        <w:t xml:space="preserve"> in the uptake of NHS Health Checks between local authorities in England, from 25.1% to 84.7% (Patel et al., 2020; Robson et al., 2021). The wide range reflects the fact that the accessibility and promotion of the NHS Health Check programme at a national level is very different in each locality and that the variation in uptake cannot be attributed solely to individual-level factors; the local implementation of the programme is very important. Low overall attendance levels—with 16.9% reported by Robson et al. (2021) in the latter study period result in a lack of eligible population attending in large numbers.</w:t>
      </w:r>
    </w:p>
    <w:p w14:paraId="0BFF56A0" w14:textId="77777777" w:rsidR="00955984" w:rsidRPr="001E722E" w:rsidRDefault="00161751">
      <w:pPr>
        <w:spacing w:after="200" w:line="360" w:lineRule="auto"/>
        <w:jc w:val="both"/>
        <w:rPr>
          <w:rFonts w:ascii="Arial" w:eastAsia="Arial" w:hAnsi="Arial" w:cs="Arial"/>
          <w:sz w:val="24"/>
          <w:szCs w:val="24"/>
        </w:rPr>
      </w:pPr>
      <w:r w:rsidRPr="001E722E">
        <w:rPr>
          <w:rFonts w:ascii="Arial" w:eastAsia="Arial" w:hAnsi="Arial" w:cs="Arial"/>
          <w:sz w:val="24"/>
          <w:szCs w:val="24"/>
        </w:rPr>
        <w:t>There is evidence that, despite practical obstacles, outreach interventions are not impossible. Brangan et al. (2019) reported that telephone outreach is a successful method to promote participation in screening and Health Check services, suggesting that certain direct, personal contact may be sufficient to overcome some of the practical and motivational barriers that passive invitation letters can't overcome. A recent report on projects tackling cardiovascular disease health inequality in South East London also points to this – in that it explains that services based in the communities they support and co-produced with communities are more effective at increasing engagement than more standardised approaches to service provision are at central locations (Health Innovation Network, 2026).</w:t>
      </w:r>
    </w:p>
    <w:p w14:paraId="5DAB00CE" w14:textId="77777777" w:rsidR="00955984" w:rsidRPr="001E722E" w:rsidRDefault="00161751">
      <w:pPr>
        <w:spacing w:after="200" w:line="360" w:lineRule="auto"/>
        <w:jc w:val="both"/>
        <w:rPr>
          <w:rFonts w:ascii="Arial" w:eastAsia="Arial" w:hAnsi="Arial" w:cs="Arial"/>
          <w:sz w:val="24"/>
          <w:szCs w:val="24"/>
        </w:rPr>
      </w:pPr>
      <w:r w:rsidRPr="001E722E">
        <w:rPr>
          <w:rFonts w:ascii="Arial" w:eastAsia="Arial" w:hAnsi="Arial" w:cs="Arial"/>
          <w:sz w:val="24"/>
          <w:szCs w:val="24"/>
        </w:rPr>
        <w:t>All together, the results suggest that in itself a commissioned service is not effective if it is not well or unevenly delivered in various localities and population groups. Accessibility to need should not be considered as an incident to effectiveness.</w:t>
      </w:r>
    </w:p>
    <w:p w14:paraId="044AC006" w14:textId="77777777" w:rsidR="00955984" w:rsidRPr="001E722E" w:rsidRDefault="00161751">
      <w:pPr>
        <w:pStyle w:val="Heading4"/>
        <w:spacing w:after="120" w:line="360" w:lineRule="auto"/>
      </w:pPr>
      <w:r w:rsidRPr="001E722E">
        <w:lastRenderedPageBreak/>
        <w:t>C. Cultural, Trust and Communication Barriers</w:t>
      </w:r>
    </w:p>
    <w:p w14:paraId="42B549D9" w14:textId="77777777" w:rsidR="00955984" w:rsidRPr="001E722E" w:rsidRDefault="00161751">
      <w:pPr>
        <w:spacing w:after="200" w:line="360" w:lineRule="auto"/>
        <w:jc w:val="both"/>
        <w:rPr>
          <w:rFonts w:ascii="Arial" w:eastAsia="Arial" w:hAnsi="Arial" w:cs="Arial"/>
          <w:sz w:val="24"/>
          <w:szCs w:val="24"/>
        </w:rPr>
      </w:pPr>
      <w:r w:rsidRPr="001E722E">
        <w:rPr>
          <w:rFonts w:ascii="Arial" w:eastAsia="Arial" w:hAnsi="Arial" w:cs="Arial"/>
          <w:sz w:val="24"/>
          <w:szCs w:val="24"/>
        </w:rPr>
        <w:t>Language, health literacy and trust and cultural appropriateness of communication are other areas of barriers. Language barriers and health literacy gaps related to invitation letters and health screening overall, and mistrust based on past experience or linkage to outside social forces can also contribute to not being engaged, particularly if the message is culturally inappropriate.</w:t>
      </w:r>
    </w:p>
    <w:p w14:paraId="3FDECEFE" w14:textId="77777777" w:rsidR="00955984" w:rsidRPr="001E722E" w:rsidRDefault="00161751">
      <w:pPr>
        <w:spacing w:after="200" w:line="360" w:lineRule="auto"/>
        <w:jc w:val="both"/>
        <w:rPr>
          <w:rFonts w:ascii="Arial" w:eastAsia="Arial" w:hAnsi="Arial" w:cs="Arial"/>
          <w:sz w:val="24"/>
          <w:szCs w:val="24"/>
        </w:rPr>
      </w:pPr>
      <w:r w:rsidRPr="001E722E">
        <w:rPr>
          <w:rFonts w:ascii="Arial" w:eastAsia="Arial" w:hAnsi="Arial" w:cs="Arial"/>
          <w:sz w:val="24"/>
          <w:szCs w:val="24"/>
        </w:rPr>
        <w:t>While reaching out to people to offer screening opportunities, Robson et al. (2021) found that this approach may not be equally effective across diverse ethnic subgroups. Brady et al. (2025) examined screening preference for community-based versus clinic-based services, and found that many individuals prefer to have services offered in familiar settings over traditional clinical settings because of the belief that services provided in a familiar local setting are more accessible. Eberhardt et al. (2025) identified trust as one of the key pre-requisites for uptake of screening in deprived and marginalised communities, and community messengers – individuals or organisations already present within a community – are effective at reaching populations in preventive services.</w:t>
      </w:r>
    </w:p>
    <w:p w14:paraId="61B7B2D9" w14:textId="77777777" w:rsidR="00955984" w:rsidRPr="001E722E" w:rsidRDefault="00161751">
      <w:pPr>
        <w:spacing w:after="200" w:line="360" w:lineRule="auto"/>
        <w:jc w:val="both"/>
        <w:rPr>
          <w:rFonts w:ascii="Arial" w:eastAsia="Arial" w:hAnsi="Arial" w:cs="Arial"/>
          <w:sz w:val="24"/>
          <w:szCs w:val="24"/>
        </w:rPr>
      </w:pPr>
      <w:r w:rsidRPr="001E722E">
        <w:rPr>
          <w:rFonts w:ascii="Arial" w:eastAsia="Arial" w:hAnsi="Arial" w:cs="Arial"/>
          <w:sz w:val="24"/>
          <w:szCs w:val="24"/>
        </w:rPr>
        <w:t xml:space="preserve">A similar pattern was seen in Hossain's (2026) study of gendered patterns of NHS Health Check engagement in the city; with significantly lower NHSHC engagement amongst men compared to women, particularly amongst Arab and White British men. Some explanations are: Work-related time constraints that limit men's ability to make appointments; and lower perceptions of the need for preventive health care among men who do not consider themselves to be at risk for preventive health care than among women. These results show that gender is not only a peripheral but also an axis of inequality which is connected to occupation, ethnic group and broader health </w:t>
      </w:r>
      <w:proofErr w:type="spellStart"/>
      <w:r w:rsidRPr="001E722E">
        <w:rPr>
          <w:rFonts w:ascii="Arial" w:eastAsia="Arial" w:hAnsi="Arial" w:cs="Arial"/>
          <w:sz w:val="24"/>
          <w:szCs w:val="24"/>
        </w:rPr>
        <w:t>behavior</w:t>
      </w:r>
      <w:proofErr w:type="spellEnd"/>
      <w:r w:rsidRPr="001E722E">
        <w:rPr>
          <w:rFonts w:ascii="Arial" w:eastAsia="Arial" w:hAnsi="Arial" w:cs="Arial"/>
          <w:sz w:val="24"/>
          <w:szCs w:val="24"/>
        </w:rPr>
        <w:t>.</w:t>
      </w:r>
    </w:p>
    <w:p w14:paraId="5F552119" w14:textId="77777777" w:rsidR="00955984" w:rsidRPr="001E722E" w:rsidRDefault="00161751">
      <w:pPr>
        <w:spacing w:after="200" w:line="360" w:lineRule="auto"/>
        <w:jc w:val="both"/>
        <w:rPr>
          <w:rFonts w:ascii="Arial" w:eastAsia="Arial" w:hAnsi="Arial" w:cs="Arial"/>
          <w:sz w:val="24"/>
          <w:szCs w:val="24"/>
        </w:rPr>
      </w:pPr>
      <w:r w:rsidRPr="001E722E">
        <w:rPr>
          <w:rFonts w:ascii="Arial" w:eastAsia="Arial" w:hAnsi="Arial" w:cs="Arial"/>
          <w:sz w:val="24"/>
          <w:szCs w:val="24"/>
        </w:rPr>
        <w:t>The evidence base for ethnic differences in awareness, access and trust in cardiology and cardiovascular disease risk and inequality is also chronic and constant, as reported by BHF (2026c).</w:t>
      </w:r>
    </w:p>
    <w:p w14:paraId="5FE395FF" w14:textId="77777777" w:rsidR="00955984" w:rsidRPr="001E722E" w:rsidRDefault="00161751">
      <w:pPr>
        <w:pStyle w:val="Heading4"/>
        <w:spacing w:after="120" w:line="360" w:lineRule="auto"/>
      </w:pPr>
      <w:r w:rsidRPr="001E722E">
        <w:t>D. Socioeconomic Inequalities</w:t>
      </w:r>
    </w:p>
    <w:p w14:paraId="38FE3047" w14:textId="77777777" w:rsidR="00955984" w:rsidRPr="001E722E" w:rsidRDefault="00161751">
      <w:pPr>
        <w:spacing w:after="200" w:line="360" w:lineRule="auto"/>
        <w:jc w:val="both"/>
        <w:rPr>
          <w:rFonts w:ascii="Arial" w:eastAsia="Arial" w:hAnsi="Arial" w:cs="Arial"/>
          <w:sz w:val="24"/>
          <w:szCs w:val="24"/>
        </w:rPr>
      </w:pPr>
      <w:r w:rsidRPr="001E722E">
        <w:rPr>
          <w:rFonts w:ascii="Arial" w:eastAsia="Arial" w:hAnsi="Arial" w:cs="Arial"/>
          <w:sz w:val="24"/>
          <w:szCs w:val="24"/>
        </w:rPr>
        <w:t xml:space="preserve">In the ten-year update to the Marmot Review of health equity in England, Marmot et al. (2020) give a structural description of the progress of cardiovascular disease </w:t>
      </w:r>
      <w:r w:rsidRPr="001E722E">
        <w:rPr>
          <w:rFonts w:ascii="Arial" w:eastAsia="Arial" w:hAnsi="Arial" w:cs="Arial"/>
          <w:sz w:val="24"/>
          <w:szCs w:val="24"/>
        </w:rPr>
        <w:lastRenderedPageBreak/>
        <w:t>prevention in the context of socioeconomic deprivation. Deprivation is correlated with not only increased underlying exposure to critical risk factors (e.g., smoking, poor diet, physical inactivity) but also with reduced health literacy, less access to services, less time to attend appointments, less trust in the institutions and less capacity to act on health advice when understood and accepted. This evidence should be seen critically, rather than solely as a normative ‘behavioural deficit’ of deprived individuals: the Marmot Review sees the causal link between living and working conditions and health behaviour as a structural relationship that goes beyond individual choice, if it is not more likely to be determined by it.</w:t>
      </w:r>
    </w:p>
    <w:p w14:paraId="0A8EE911" w14:textId="77777777" w:rsidR="00955984" w:rsidRPr="001E722E" w:rsidRDefault="00161751">
      <w:pPr>
        <w:pStyle w:val="Heading3"/>
      </w:pPr>
      <w:bookmarkStart w:id="56" w:name="_1b807wi8zy62" w:colFirst="0" w:colLast="0"/>
      <w:bookmarkEnd w:id="56"/>
      <w:r w:rsidRPr="001E722E">
        <w:t>4.2.3 Objective 3: Effectiveness of Existing NHS and Community-Based Prevention Campaigns</w:t>
      </w:r>
    </w:p>
    <w:p w14:paraId="278FD96A" w14:textId="77777777" w:rsidR="00955984" w:rsidRPr="001E722E" w:rsidRDefault="00161751">
      <w:pPr>
        <w:pStyle w:val="Heading4"/>
        <w:spacing w:after="120" w:line="360" w:lineRule="auto"/>
      </w:pPr>
      <w:r w:rsidRPr="001E722E">
        <w:t>A. NHS Health Check Programme</w:t>
      </w:r>
    </w:p>
    <w:p w14:paraId="54947FBD" w14:textId="77777777" w:rsidR="00955984" w:rsidRPr="001E722E" w:rsidRDefault="00161751">
      <w:pPr>
        <w:spacing w:after="200" w:line="360" w:lineRule="auto"/>
        <w:jc w:val="both"/>
        <w:rPr>
          <w:rFonts w:ascii="Arial" w:eastAsia="Arial" w:hAnsi="Arial" w:cs="Arial"/>
          <w:sz w:val="24"/>
          <w:szCs w:val="24"/>
        </w:rPr>
      </w:pPr>
      <w:r w:rsidRPr="001E722E">
        <w:rPr>
          <w:rFonts w:ascii="Arial" w:eastAsia="Arial" w:hAnsi="Arial" w:cs="Arial"/>
          <w:sz w:val="24"/>
          <w:szCs w:val="24"/>
        </w:rPr>
        <w:t>In England, the NHS Health Check programme is the primary population-level screening approach for cardiovascular risk, and evidence reviewed in this paper points to a preventive opportunity that is compromised by inconsistent uptake and reach. As noted above, Patel et al. (2020) demonstrate considerable local-authority-level variation in uptake (25.1% to 84.7%), sufficient to conclude that geography and local implementation practice, rather than the design features of the programme, account for much of the observed variation. This local-authority variation is illustrated in Figure 2.2.</w:t>
      </w:r>
    </w:p>
    <w:p w14:paraId="5FF55365" w14:textId="77777777" w:rsidR="00955984" w:rsidRPr="001E722E" w:rsidRDefault="00161751">
      <w:pPr>
        <w:spacing w:after="200" w:line="360" w:lineRule="auto"/>
        <w:jc w:val="both"/>
        <w:rPr>
          <w:rFonts w:ascii="Arial" w:eastAsia="Arial" w:hAnsi="Arial" w:cs="Arial"/>
          <w:sz w:val="24"/>
          <w:szCs w:val="24"/>
        </w:rPr>
      </w:pPr>
      <w:r w:rsidRPr="001E722E">
        <w:rPr>
          <w:rFonts w:ascii="Arial" w:eastAsia="Arial" w:hAnsi="Arial" w:cs="Arial"/>
          <w:sz w:val="24"/>
          <w:szCs w:val="24"/>
        </w:rPr>
        <w:t>Robson et al. (2021) provide additional proof that, where individuals do present, the Health Check is able to highlight previously undiagnosed conditions directly pertinent to cardiovascular risk, including hypertension, type 2 diabetes, and chronic kidney disease. This shows that the clinical value of the check, once accessed, is real. Nevertheless, this potential is only achieved for those who attend, as Robson et al. (2021), along with the geographical variation reported by Patel et al. (2020), highlight that population-level effect is far from its theoretical potential. This distinction between efficacy—the extent to which an intervention produces a beneficial result under ideal conditions—and effectiveness at the population level—the aggregate effects of normative uptake—is key to a meaningful review of the programme.</w:t>
      </w:r>
    </w:p>
    <w:p w14:paraId="618D2C72" w14:textId="77777777" w:rsidR="00955984" w:rsidRPr="001E722E" w:rsidRDefault="00161751">
      <w:pPr>
        <w:spacing w:after="200" w:line="360" w:lineRule="auto"/>
        <w:jc w:val="both"/>
        <w:rPr>
          <w:rFonts w:ascii="Arial" w:eastAsia="Arial" w:hAnsi="Arial" w:cs="Arial"/>
          <w:sz w:val="24"/>
          <w:szCs w:val="24"/>
        </w:rPr>
      </w:pPr>
      <w:r w:rsidRPr="001E722E">
        <w:rPr>
          <w:rFonts w:ascii="Arial" w:eastAsia="Arial" w:hAnsi="Arial" w:cs="Arial"/>
          <w:sz w:val="24"/>
          <w:szCs w:val="24"/>
        </w:rPr>
        <w:lastRenderedPageBreak/>
        <w:t>NHS England (2026) indicates a policy direction towards stronger cardiovascular prevention via the Cardiovascular Disease Modern Service Framework, which is more proactive in terms of risk identification and closer integration between primary care and community-based services. This policy direction shares many similarities with the evidence review patterns outlined above, and by implication that both clinical design and delivery and uptake are important if we are to reach population level improvements.</w:t>
      </w:r>
    </w:p>
    <w:p w14:paraId="7FEEFAAF" w14:textId="77777777" w:rsidR="00955984" w:rsidRPr="001E722E" w:rsidRDefault="00161751">
      <w:pPr>
        <w:pStyle w:val="Heading4"/>
        <w:spacing w:after="120" w:line="360" w:lineRule="auto"/>
      </w:pPr>
      <w:r w:rsidRPr="001E722E">
        <w:t>B. Outreach and Community-Based Innovations</w:t>
      </w:r>
    </w:p>
    <w:p w14:paraId="0E1413A6" w14:textId="77777777" w:rsidR="00955984" w:rsidRPr="001E722E" w:rsidRDefault="00161751">
      <w:pPr>
        <w:spacing w:after="200" w:line="360" w:lineRule="auto"/>
        <w:jc w:val="both"/>
        <w:rPr>
          <w:rFonts w:ascii="Arial" w:eastAsia="Arial" w:hAnsi="Arial" w:cs="Arial"/>
          <w:sz w:val="24"/>
          <w:szCs w:val="24"/>
        </w:rPr>
      </w:pPr>
      <w:r w:rsidRPr="001E722E">
        <w:rPr>
          <w:rFonts w:ascii="Arial" w:eastAsia="Arial" w:hAnsi="Arial" w:cs="Arial"/>
          <w:sz w:val="24"/>
          <w:szCs w:val="24"/>
        </w:rPr>
        <w:t>There is some promising innovation in outreach/community that can help address the access and logistical challenges discussed in Section 4.2.2. Brangan et al. (2019) demonstrates that telephone outreach is effective at getting people to engage, and even the most basic forms of direct outreach such as passive invitation are effective. Brady et al. (2025) found that the delivery of community-based programs had higher perceived accessibility than clinic-based delivery. The Health Innovation Network (2026) South East London provides an important account of place-based innovations such as a mobile cardiovascular disease bus in Lambeth, lifestyle medicine in North Lewisham and community heart hub in Stockwell, all of which offer different approaches to the localisation of risk assessment to places where people are already sitting.</w:t>
      </w:r>
    </w:p>
    <w:p w14:paraId="33427563" w14:textId="77777777" w:rsidR="00955984" w:rsidRPr="001E722E" w:rsidRDefault="00161751">
      <w:pPr>
        <w:spacing w:after="200" w:line="360" w:lineRule="auto"/>
        <w:jc w:val="both"/>
        <w:rPr>
          <w:rFonts w:ascii="Arial" w:eastAsia="Arial" w:hAnsi="Arial" w:cs="Arial"/>
          <w:sz w:val="24"/>
          <w:szCs w:val="24"/>
        </w:rPr>
      </w:pPr>
      <w:r w:rsidRPr="001E722E">
        <w:rPr>
          <w:rFonts w:ascii="Arial" w:eastAsia="Arial" w:hAnsi="Arial" w:cs="Arial"/>
          <w:sz w:val="24"/>
          <w:szCs w:val="24"/>
        </w:rPr>
        <w:t>Together, the innovations for outreach and community-based approaches appear to deliver more meaningful improvements in accessibility, convenience, and trust for these populations that are not currently being offered through provision. Despite the good intentions, however, the evidence is not easily reconciled with the ability to wholeheartedly accept these interventions as panaceas; marginalisation, cultural adaptation, sustainability were only superficially dealt with.</w:t>
      </w:r>
    </w:p>
    <w:p w14:paraId="179E25A4" w14:textId="77777777" w:rsidR="00955984" w:rsidRPr="001E722E" w:rsidRDefault="00161751">
      <w:pPr>
        <w:pStyle w:val="Heading4"/>
        <w:spacing w:after="120" w:line="360" w:lineRule="auto"/>
      </w:pPr>
      <w:r w:rsidRPr="001E722E">
        <w:t>C. Mass Media and Public Awareness Campaigns</w:t>
      </w:r>
    </w:p>
    <w:p w14:paraId="2916D3C7" w14:textId="77777777" w:rsidR="00955984" w:rsidRPr="001E722E" w:rsidRDefault="00161751">
      <w:pPr>
        <w:spacing w:after="200" w:line="360" w:lineRule="auto"/>
        <w:jc w:val="both"/>
        <w:rPr>
          <w:rFonts w:ascii="Arial" w:eastAsia="Arial" w:hAnsi="Arial" w:cs="Arial"/>
          <w:sz w:val="24"/>
          <w:szCs w:val="24"/>
        </w:rPr>
      </w:pPr>
      <w:r w:rsidRPr="001E722E">
        <w:rPr>
          <w:rFonts w:ascii="Arial" w:eastAsia="Arial" w:hAnsi="Arial" w:cs="Arial"/>
          <w:sz w:val="24"/>
          <w:szCs w:val="24"/>
        </w:rPr>
        <w:t xml:space="preserve">After conducting a comprehensive survey of mass media health campaigns, Wakefield et al. (2010) came up with evidence in support of the idea that mass media can be effective in generating health awareness, but that effectiveness depends on factors such as repetition of the message and length of the campaign, target population, funding, and clarity. Applying stroke symptom-awareness campaigns to CHD, </w:t>
      </w:r>
      <w:proofErr w:type="spellStart"/>
      <w:r w:rsidRPr="001E722E">
        <w:rPr>
          <w:rFonts w:ascii="Arial" w:eastAsia="Arial" w:hAnsi="Arial" w:cs="Arial"/>
          <w:sz w:val="24"/>
          <w:szCs w:val="24"/>
        </w:rPr>
        <w:t>Lecouturier</w:t>
      </w:r>
      <w:proofErr w:type="spellEnd"/>
      <w:r w:rsidRPr="001E722E">
        <w:rPr>
          <w:rFonts w:ascii="Arial" w:eastAsia="Arial" w:hAnsi="Arial" w:cs="Arial"/>
          <w:sz w:val="24"/>
          <w:szCs w:val="24"/>
        </w:rPr>
        <w:t xml:space="preserve"> et al (2010) noted similarities: awareness campaigns </w:t>
      </w:r>
      <w:r w:rsidRPr="001E722E">
        <w:rPr>
          <w:rFonts w:ascii="Arial" w:eastAsia="Arial" w:hAnsi="Arial" w:cs="Arial"/>
          <w:sz w:val="24"/>
          <w:szCs w:val="24"/>
        </w:rPr>
        <w:lastRenderedPageBreak/>
        <w:t>may change recognition of symptoms, but this is not guaranteed with awareness campaigns unless the design and supporting intervention is right.</w:t>
      </w:r>
    </w:p>
    <w:p w14:paraId="6BC752E8" w14:textId="77777777" w:rsidR="00955984" w:rsidRPr="001E722E" w:rsidRDefault="00161751">
      <w:pPr>
        <w:spacing w:after="200" w:line="360" w:lineRule="auto"/>
        <w:jc w:val="both"/>
        <w:rPr>
          <w:rFonts w:ascii="Arial" w:eastAsia="Arial" w:hAnsi="Arial" w:cs="Arial"/>
          <w:sz w:val="24"/>
          <w:szCs w:val="24"/>
        </w:rPr>
      </w:pPr>
      <w:r w:rsidRPr="001E722E">
        <w:rPr>
          <w:rFonts w:ascii="Arial" w:eastAsia="Arial" w:hAnsi="Arial" w:cs="Arial"/>
          <w:sz w:val="24"/>
          <w:szCs w:val="24"/>
        </w:rPr>
        <w:t>A consistent theme in this chapter is that even if awareness is raised, if it is perceived to be difficult to access appropriate services then a campaign designed to raise awareness in the target population may lead to avoidance of behaviour rather than prevention: if a person views accessing an appropriate service as difficult, a health intervention that encourages them to take up screening may cause them to avoid.</w:t>
      </w:r>
    </w:p>
    <w:p w14:paraId="58C47169" w14:textId="77777777" w:rsidR="00955984" w:rsidRPr="001E722E" w:rsidRDefault="00161751">
      <w:pPr>
        <w:spacing w:after="200" w:line="360" w:lineRule="auto"/>
        <w:jc w:val="both"/>
        <w:rPr>
          <w:rFonts w:ascii="Arial" w:eastAsia="Arial" w:hAnsi="Arial" w:cs="Arial"/>
          <w:sz w:val="24"/>
          <w:szCs w:val="24"/>
        </w:rPr>
      </w:pPr>
      <w:r w:rsidRPr="001E722E">
        <w:rPr>
          <w:rFonts w:ascii="Arial" w:eastAsia="Arial" w:hAnsi="Arial" w:cs="Arial"/>
          <w:sz w:val="24"/>
          <w:szCs w:val="24"/>
        </w:rPr>
        <w:t>More critically, the evidence is not strong enough to conclude that mass media campaigns always lead to lasting behavioural change; rather, the evidence suggests that while screening intentions can increase and under ideal circumstances, screening behaviour, the potential for sustaining behaviour change after a mass media campaign remains partially unproven.</w:t>
      </w:r>
    </w:p>
    <w:p w14:paraId="033FAEFA" w14:textId="77777777" w:rsidR="00955984" w:rsidRPr="001E722E" w:rsidRDefault="00161751">
      <w:pPr>
        <w:pStyle w:val="Heading2"/>
      </w:pPr>
      <w:bookmarkStart w:id="57" w:name="_h8725bljx647" w:colFirst="0" w:colLast="0"/>
      <w:bookmarkEnd w:id="57"/>
      <w:r w:rsidRPr="001E722E">
        <w:t>4.3 Chapter Summary</w:t>
      </w:r>
    </w:p>
    <w:p w14:paraId="3D285A87" w14:textId="77777777" w:rsidR="00955984" w:rsidRPr="001E722E" w:rsidRDefault="00161751">
      <w:pPr>
        <w:spacing w:after="200" w:line="360" w:lineRule="auto"/>
        <w:jc w:val="both"/>
        <w:rPr>
          <w:rFonts w:ascii="Arial" w:eastAsia="Arial" w:hAnsi="Arial" w:cs="Arial"/>
          <w:sz w:val="24"/>
          <w:szCs w:val="24"/>
        </w:rPr>
      </w:pPr>
      <w:r w:rsidRPr="001E722E">
        <w:rPr>
          <w:rFonts w:ascii="Arial" w:eastAsia="Arial" w:hAnsi="Arial" w:cs="Arial"/>
          <w:sz w:val="24"/>
          <w:szCs w:val="24"/>
        </w:rPr>
        <w:t xml:space="preserve">This chapter has provided information from a systematic review of public awareness about CHD and the link to screening behaviour within the United Kingdom. There are indications that CHD awareness is inadequate and inconsistent, focussed on a stereotypical pattern of chest pain symptoms, and fails to have a good demographic and socioeconomic adherence, with some high risk groups having relatively poorer awareness due to the background exposure level to CHD. Multiple intersecting individual, practical, social and structural barriers affect screening attendance and are exemplified in the intersected gender, ethnic and socioeconomic patterns identified by Hossain (2026) in Marmot et </w:t>
      </w:r>
      <w:proofErr w:type="spellStart"/>
      <w:r w:rsidRPr="001E722E">
        <w:rPr>
          <w:rFonts w:ascii="Arial" w:eastAsia="Arial" w:hAnsi="Arial" w:cs="Arial"/>
          <w:sz w:val="24"/>
          <w:szCs w:val="24"/>
        </w:rPr>
        <w:t>al's</w:t>
      </w:r>
      <w:proofErr w:type="spellEnd"/>
      <w:r w:rsidRPr="001E722E">
        <w:rPr>
          <w:rFonts w:ascii="Arial" w:eastAsia="Arial" w:hAnsi="Arial" w:cs="Arial"/>
          <w:sz w:val="24"/>
          <w:szCs w:val="24"/>
        </w:rPr>
        <w:t xml:space="preserve"> (2020) broader structural account of health inequality.</w:t>
      </w:r>
    </w:p>
    <w:p w14:paraId="5025BF3E" w14:textId="77777777" w:rsidR="00955984" w:rsidRPr="001E722E" w:rsidRDefault="00161751">
      <w:pPr>
        <w:spacing w:after="200" w:line="360" w:lineRule="auto"/>
        <w:jc w:val="both"/>
        <w:rPr>
          <w:rFonts w:ascii="Arial" w:eastAsia="Arial" w:hAnsi="Arial" w:cs="Arial"/>
          <w:sz w:val="24"/>
          <w:szCs w:val="24"/>
        </w:rPr>
      </w:pPr>
      <w:r w:rsidRPr="001E722E">
        <w:rPr>
          <w:rFonts w:ascii="Arial" w:eastAsia="Arial" w:hAnsi="Arial" w:cs="Arial"/>
          <w:sz w:val="24"/>
          <w:szCs w:val="24"/>
        </w:rPr>
        <w:t xml:space="preserve">The NHS Health Check programme has a great deal of potential as a preventative service, as results have revealed people attending who were previously undiagnosed with hypertension, diabetes and kidney disease, but uptake has been low (16.9% to 52.6%) and varies significantly by geography (25.1% to 84.7%). Telephone outreach and community-based interventions are promising strategies for addressing some of the practice and trust issues identified in this review. While mass-media awareness campaigns can be effective in the immediate public knowledge of the dangers of </w:t>
      </w:r>
      <w:r w:rsidRPr="001E722E">
        <w:rPr>
          <w:rFonts w:ascii="Arial" w:eastAsia="Arial" w:hAnsi="Arial" w:cs="Arial"/>
          <w:sz w:val="24"/>
          <w:szCs w:val="24"/>
        </w:rPr>
        <w:lastRenderedPageBreak/>
        <w:t>radon, the only expectation can be that they will bring about lasting behavioural change if the screening services are made easily and reliably obtainable by the public and convenient to use.</w:t>
      </w:r>
    </w:p>
    <w:p w14:paraId="532681F7" w14:textId="77777777" w:rsidR="00955984" w:rsidRPr="001E722E" w:rsidRDefault="00161751">
      <w:pPr>
        <w:pStyle w:val="Heading1"/>
        <w:pageBreakBefore/>
      </w:pPr>
      <w:r w:rsidRPr="001E722E">
        <w:lastRenderedPageBreak/>
        <w:t>CHAPTER 5: DISCUSSION</w:t>
      </w:r>
    </w:p>
    <w:p w14:paraId="0754D5C6" w14:textId="77777777" w:rsidR="00955984" w:rsidRPr="001E722E" w:rsidRDefault="00161751">
      <w:pPr>
        <w:pStyle w:val="Heading2"/>
      </w:pPr>
      <w:bookmarkStart w:id="58" w:name="_890x9jgyu5om" w:colFirst="0" w:colLast="0"/>
      <w:bookmarkEnd w:id="58"/>
      <w:r w:rsidRPr="001E722E">
        <w:t>5.1 Introduction</w:t>
      </w:r>
    </w:p>
    <w:p w14:paraId="5C99B5C4" w14:textId="77777777" w:rsidR="00955984" w:rsidRPr="001E722E" w:rsidRDefault="00161751">
      <w:pPr>
        <w:spacing w:after="200" w:line="360" w:lineRule="auto"/>
        <w:jc w:val="both"/>
        <w:rPr>
          <w:rFonts w:ascii="Arial" w:eastAsia="Arial" w:hAnsi="Arial" w:cs="Arial"/>
          <w:sz w:val="24"/>
          <w:szCs w:val="24"/>
        </w:rPr>
      </w:pPr>
      <w:r w:rsidRPr="001E722E">
        <w:rPr>
          <w:rFonts w:ascii="Arial" w:eastAsia="Arial" w:hAnsi="Arial" w:cs="Arial"/>
          <w:sz w:val="24"/>
          <w:szCs w:val="24"/>
        </w:rPr>
        <w:t>This chapter exegeses the results described in Chapter 4. The results of the above are explored in a Health Behaviour Theory perspective in Section 5.2, specifically the Health Belief Model (HBM). HBM is not just a descriptive term, but is being applied as an explanatory model for why there is not a consistent link between people's knowledge of CHD and attendance to screening and preventive behaviour.</w:t>
      </w:r>
    </w:p>
    <w:p w14:paraId="0FDEF9D2" w14:textId="77777777" w:rsidR="00955984" w:rsidRPr="001E722E" w:rsidRDefault="00161751">
      <w:pPr>
        <w:spacing w:after="200" w:line="360" w:lineRule="auto"/>
        <w:jc w:val="both"/>
        <w:rPr>
          <w:rFonts w:ascii="Arial" w:eastAsia="Arial" w:hAnsi="Arial" w:cs="Arial"/>
          <w:sz w:val="24"/>
          <w:szCs w:val="24"/>
        </w:rPr>
      </w:pPr>
      <w:r w:rsidRPr="001E722E">
        <w:rPr>
          <w:rFonts w:ascii="Arial" w:eastAsia="Arial" w:hAnsi="Arial" w:cs="Arial"/>
          <w:sz w:val="24"/>
          <w:szCs w:val="24"/>
        </w:rPr>
        <w:t>Several conceptual differences permeate the chapter and are key to grasping the evidence properly. Awareness and knowledge are different; awareness is a general recognition of the risk of CHD, knowledge is an understanding of symptoms, risk factors and protective behaviours. Intention and behaviour are also separated with regard to attendance at screening; affirmation of a desire to attend screening does not equate to actual attendance. Availability of screening is distinct from uptake because although a service may be commissioned and technically available, people may not access a service. Lastly, the effectiveness of the policy as designed is different from that as delivered – a policy can be well designed at a macro level, but when it is implemented on the ground, its results can be different or even go against its intentions. These differences are repeated throughout the chapter and are used as the basis for the critical rather than descriptive tone of this book.</w:t>
      </w:r>
    </w:p>
    <w:p w14:paraId="7822AA0E" w14:textId="77777777" w:rsidR="00955984" w:rsidRPr="001E722E" w:rsidRDefault="00161751">
      <w:pPr>
        <w:pStyle w:val="Heading2"/>
      </w:pPr>
      <w:bookmarkStart w:id="59" w:name="_nb3mezapjm3x" w:colFirst="0" w:colLast="0"/>
      <w:bookmarkEnd w:id="59"/>
      <w:r w:rsidRPr="001E722E">
        <w:t>5.2 Discussion of Findings by Health Belief Model Construct</w:t>
      </w:r>
    </w:p>
    <w:p w14:paraId="64E2C0D6" w14:textId="77777777" w:rsidR="00955984" w:rsidRPr="001E722E" w:rsidRDefault="00161751">
      <w:pPr>
        <w:spacing w:after="200" w:line="360" w:lineRule="auto"/>
        <w:jc w:val="both"/>
        <w:rPr>
          <w:rFonts w:ascii="Arial" w:eastAsia="Arial" w:hAnsi="Arial" w:cs="Arial"/>
          <w:sz w:val="24"/>
          <w:szCs w:val="24"/>
        </w:rPr>
      </w:pPr>
      <w:r w:rsidRPr="001E722E">
        <w:rPr>
          <w:rFonts w:ascii="Arial" w:eastAsia="Arial" w:hAnsi="Arial" w:cs="Arial"/>
          <w:sz w:val="24"/>
          <w:szCs w:val="24"/>
        </w:rPr>
        <w:t>The results of the Health Belief Model constructs are presented in the following. The findings of the constructs of the Health Belief Model are discussed below (5.2).</w:t>
      </w:r>
    </w:p>
    <w:p w14:paraId="6A0CC55B" w14:textId="77777777" w:rsidR="00955984" w:rsidRPr="001E722E" w:rsidRDefault="00161751">
      <w:pPr>
        <w:pStyle w:val="Heading3"/>
      </w:pPr>
      <w:bookmarkStart w:id="60" w:name="_8qwncwrx38ic" w:colFirst="0" w:colLast="0"/>
      <w:bookmarkEnd w:id="60"/>
      <w:r w:rsidRPr="001E722E">
        <w:t>5.2.1 Perceived Susceptibility</w:t>
      </w:r>
    </w:p>
    <w:p w14:paraId="06FC1851" w14:textId="77777777" w:rsidR="00955984" w:rsidRPr="001E722E" w:rsidRDefault="00161751">
      <w:pPr>
        <w:spacing w:after="200" w:line="360" w:lineRule="auto"/>
        <w:jc w:val="both"/>
        <w:rPr>
          <w:rFonts w:ascii="Arial" w:eastAsia="Arial" w:hAnsi="Arial" w:cs="Arial"/>
          <w:sz w:val="24"/>
          <w:szCs w:val="24"/>
        </w:rPr>
      </w:pPr>
      <w:r w:rsidRPr="001E722E">
        <w:rPr>
          <w:rFonts w:ascii="Arial" w:eastAsia="Arial" w:hAnsi="Arial" w:cs="Arial"/>
          <w:sz w:val="24"/>
          <w:szCs w:val="24"/>
        </w:rPr>
        <w:t xml:space="preserve">The evidence identifies perceived susceptibility (one's own sense of risk) as a major explanatory construct. Those without symptoms, aged relatively young, physically active or simply not aware of risk factors they may have like hypertension or hyperlipidaemia do not perceive themselves as being at any meaningful risk of CHD (Sheridan et al., 2010). This low susceptibility is like a wall that is almost impenetrable to attendance at screening: if an individual doesn't believe they are at risk he or she does not necessarily see the point of going to a test that is specifically </w:t>
      </w:r>
      <w:r w:rsidRPr="001E722E">
        <w:rPr>
          <w:rFonts w:ascii="Arial" w:eastAsia="Arial" w:hAnsi="Arial" w:cs="Arial"/>
          <w:sz w:val="24"/>
          <w:szCs w:val="24"/>
        </w:rPr>
        <w:lastRenderedPageBreak/>
        <w:t>intended to identify that susceptibility. BHF (2026c) also suggests links between perceived susceptibility and demographics and ethnicity, meaning that not everyone is at the same risk and that there are many higher-risk groups who underestimate their risk.</w:t>
      </w:r>
    </w:p>
    <w:p w14:paraId="103D9041" w14:textId="77777777" w:rsidR="00955984" w:rsidRPr="001E722E" w:rsidRDefault="00161751">
      <w:pPr>
        <w:spacing w:after="200" w:line="360" w:lineRule="auto"/>
        <w:jc w:val="both"/>
        <w:rPr>
          <w:rFonts w:ascii="Arial" w:eastAsia="Arial" w:hAnsi="Arial" w:cs="Arial"/>
          <w:sz w:val="24"/>
          <w:szCs w:val="24"/>
        </w:rPr>
      </w:pPr>
      <w:r w:rsidRPr="001E722E">
        <w:rPr>
          <w:rFonts w:ascii="Arial" w:eastAsia="Arial" w:hAnsi="Arial" w:cs="Arial"/>
          <w:sz w:val="24"/>
          <w:szCs w:val="24"/>
        </w:rPr>
        <w:t>The evidence from Objective 1 that reviewed on personalised risk communication is relevant here: When CHD is presented as a generalised abstract, distant threat, personalised risk communication that presents individuals with their own quantified coronary risk score seems to increase perceived susceptibility and thus intention to take preventive action (Sheridan et al., 2010). This provides a sound theoretical justification for shifting from general to individualised risk communication to overcome the low perceived susceptibility that is believed to contribute a large proportion of low screening uptake found in this review.</w:t>
      </w:r>
    </w:p>
    <w:p w14:paraId="24D3C344" w14:textId="77777777" w:rsidR="00955984" w:rsidRPr="001E722E" w:rsidRDefault="00161751">
      <w:pPr>
        <w:pStyle w:val="Heading3"/>
      </w:pPr>
      <w:bookmarkStart w:id="61" w:name="_87rrqi611d78" w:colFirst="0" w:colLast="0"/>
      <w:bookmarkEnd w:id="61"/>
      <w:r w:rsidRPr="001E722E">
        <w:t>5.2.2 Perceived Severity</w:t>
      </w:r>
    </w:p>
    <w:p w14:paraId="6AF6BD46" w14:textId="77777777" w:rsidR="00955984" w:rsidRPr="001E722E" w:rsidRDefault="00161751">
      <w:pPr>
        <w:spacing w:after="200" w:line="360" w:lineRule="auto"/>
        <w:jc w:val="both"/>
        <w:rPr>
          <w:rFonts w:ascii="Arial" w:eastAsia="Arial" w:hAnsi="Arial" w:cs="Arial"/>
          <w:sz w:val="24"/>
          <w:szCs w:val="24"/>
        </w:rPr>
      </w:pPr>
      <w:r w:rsidRPr="001E722E">
        <w:rPr>
          <w:rFonts w:ascii="Arial" w:eastAsia="Arial" w:hAnsi="Arial" w:cs="Arial"/>
          <w:sz w:val="24"/>
          <w:szCs w:val="24"/>
        </w:rPr>
        <w:t>Public understanding of how serious untreated CHD can be — heart attack, disability, premature death — is reasonably widespread, but its behavioural implications are not straightforward; greater awareness of severity does not automatically translate into greater engagement with cardiovascular prevention. As discussed in Section 4.2.2, fear of a cardiac diagnosis appears to cut both ways: for some it discourages screening through an avoidant response, while for others, particularly following a cardiac event in the family, awareness of how serious CHD can be prompts more proactive engagement with preventive services.</w:t>
      </w:r>
    </w:p>
    <w:p w14:paraId="16C821C4" w14:textId="77777777" w:rsidR="00955984" w:rsidRPr="001E722E" w:rsidRDefault="00161751">
      <w:pPr>
        <w:spacing w:after="200" w:line="360" w:lineRule="auto"/>
        <w:jc w:val="both"/>
        <w:rPr>
          <w:rFonts w:ascii="Arial" w:eastAsia="Arial" w:hAnsi="Arial" w:cs="Arial"/>
          <w:sz w:val="24"/>
          <w:szCs w:val="24"/>
        </w:rPr>
      </w:pPr>
      <w:r w:rsidRPr="001E722E">
        <w:rPr>
          <w:rFonts w:ascii="Arial" w:eastAsia="Arial" w:hAnsi="Arial" w:cs="Arial"/>
          <w:sz w:val="24"/>
          <w:szCs w:val="24"/>
        </w:rPr>
        <w:t>This chapter therefore does not treat fear-based messaging as a straightforward lever for increasing screening. Such an assumption risks conflating awareness of severity with an adaptive behavioural response, when the evidence instead points to a conditional rather than linear relationship between perceived severity and behaviour.</w:t>
      </w:r>
    </w:p>
    <w:p w14:paraId="16C40F15" w14:textId="77777777" w:rsidR="00955984" w:rsidRPr="001E722E" w:rsidRDefault="00161751">
      <w:pPr>
        <w:pStyle w:val="Heading3"/>
      </w:pPr>
      <w:bookmarkStart w:id="62" w:name="_2ppt5p9gw4f" w:colFirst="0" w:colLast="0"/>
      <w:bookmarkEnd w:id="62"/>
      <w:r w:rsidRPr="001E722E">
        <w:t>5.2.3 Perceived Benefits</w:t>
      </w:r>
    </w:p>
    <w:p w14:paraId="7A8358EA" w14:textId="77777777" w:rsidR="00955984" w:rsidRPr="001E722E" w:rsidRDefault="00161751">
      <w:pPr>
        <w:spacing w:after="200" w:line="360" w:lineRule="auto"/>
        <w:jc w:val="both"/>
        <w:rPr>
          <w:rFonts w:ascii="Arial" w:eastAsia="Arial" w:hAnsi="Arial" w:cs="Arial"/>
          <w:sz w:val="24"/>
          <w:szCs w:val="24"/>
        </w:rPr>
      </w:pPr>
      <w:r w:rsidRPr="001E722E">
        <w:rPr>
          <w:rFonts w:ascii="Arial" w:eastAsia="Arial" w:hAnsi="Arial" w:cs="Arial"/>
          <w:sz w:val="24"/>
          <w:szCs w:val="24"/>
        </w:rPr>
        <w:t xml:space="preserve">An important but under-researched predictor of screening behaviour emerging from the evidence is perceived benefits, defined as an individual's belief that a specific preventive action will have a meaningful impact on reducing their risk for illness. The belief that attending screening will actually provide useful information or benefit </w:t>
      </w:r>
      <w:r w:rsidRPr="001E722E">
        <w:rPr>
          <w:rFonts w:ascii="Arial" w:eastAsia="Arial" w:hAnsi="Arial" w:cs="Arial"/>
          <w:sz w:val="24"/>
          <w:szCs w:val="24"/>
        </w:rPr>
        <w:lastRenderedPageBreak/>
        <w:t>(perceived efficacy of screening) is a better predictor of intention to attend than more general beliefs are (Norman and Fitter, 1989). This is in line with the broader body of evidence: individuals who don't believe that a Health Check will detect anything meaningful, or who are not aware that conditions like hypertension, diabetes and raised cholesterol can be identified and managed through a Health Check, may have little motivation to attend, even if the service is readily available (Robson et al., 2021).</w:t>
      </w:r>
    </w:p>
    <w:p w14:paraId="1BF7035E" w14:textId="77777777" w:rsidR="00955984" w:rsidRPr="001E722E" w:rsidRDefault="00161751">
      <w:pPr>
        <w:spacing w:after="200" w:line="360" w:lineRule="auto"/>
        <w:jc w:val="both"/>
        <w:rPr>
          <w:rFonts w:ascii="Arial" w:eastAsia="Arial" w:hAnsi="Arial" w:cs="Arial"/>
          <w:sz w:val="24"/>
          <w:szCs w:val="24"/>
        </w:rPr>
      </w:pPr>
      <w:r w:rsidRPr="001E722E">
        <w:rPr>
          <w:rFonts w:ascii="Arial" w:eastAsia="Arial" w:hAnsi="Arial" w:cs="Arial"/>
          <w:sz w:val="24"/>
          <w:szCs w:val="24"/>
        </w:rPr>
        <w:t>This has implications for the communication of the NHS Health Check and similar preventive services. Messages promoting the check may be general statements about cardiovascular health but do not provide a specific, personal reason to go to a check, and people who are not already well informed about the value of the check may reasonably assume that it is not relevant to them. Therefore, enhancing the public's awareness of both the type of conditions the check can detect and what can be done about them is a theoretically informed approach that may enhance perceived benefits, and thus screening intention.</w:t>
      </w:r>
    </w:p>
    <w:p w14:paraId="6E48F873" w14:textId="77777777" w:rsidR="00955984" w:rsidRPr="001E722E" w:rsidRDefault="00161751">
      <w:pPr>
        <w:pStyle w:val="Heading3"/>
      </w:pPr>
      <w:bookmarkStart w:id="63" w:name="_h3l3n0a5lntj" w:colFirst="0" w:colLast="0"/>
      <w:bookmarkEnd w:id="63"/>
      <w:r w:rsidRPr="001E722E">
        <w:t>5.2.4 Perceived Barriers</w:t>
      </w:r>
    </w:p>
    <w:p w14:paraId="007042AD" w14:textId="77777777" w:rsidR="00955984" w:rsidRPr="001E722E" w:rsidRDefault="00161751">
      <w:pPr>
        <w:spacing w:after="200" w:line="360" w:lineRule="auto"/>
        <w:jc w:val="both"/>
        <w:rPr>
          <w:rFonts w:ascii="Arial" w:eastAsia="Arial" w:hAnsi="Arial" w:cs="Arial"/>
          <w:sz w:val="24"/>
          <w:szCs w:val="24"/>
        </w:rPr>
      </w:pPr>
      <w:r w:rsidRPr="001E722E">
        <w:rPr>
          <w:rFonts w:ascii="Arial" w:eastAsia="Arial" w:hAnsi="Arial" w:cs="Arial"/>
          <w:sz w:val="24"/>
          <w:szCs w:val="24"/>
        </w:rPr>
        <w:t>Of all the HBM constructs considered here, perceived barriers arguably carry the greatest explanatory weight across the evidence base, encompassing psychological, practical, cultural, socioeconomic, geographical, gender-related, and ethnicity-related factors. Taylor and Bell (2025) apply the HBM specifically to barriers faced by UK South Asian populations; Marmot et al. (2020) identify barriers rooted in socioeconomic disadvantage; and Hossain (2026) add a gendered dimension, showing that men and women encounter markedly different barriers, with further variation between ethnic groups within a super-diverse urban population.</w:t>
      </w:r>
    </w:p>
    <w:p w14:paraId="6DBA93BA" w14:textId="77777777" w:rsidR="00955984" w:rsidRPr="001E722E" w:rsidRDefault="00161751">
      <w:pPr>
        <w:spacing w:after="200" w:line="360" w:lineRule="auto"/>
        <w:jc w:val="both"/>
        <w:rPr>
          <w:rFonts w:ascii="Arial" w:eastAsia="Arial" w:hAnsi="Arial" w:cs="Arial"/>
          <w:sz w:val="24"/>
          <w:szCs w:val="24"/>
        </w:rPr>
      </w:pPr>
      <w:r w:rsidRPr="001E722E">
        <w:rPr>
          <w:rFonts w:ascii="Arial" w:eastAsia="Arial" w:hAnsi="Arial" w:cs="Arial"/>
          <w:sz w:val="24"/>
          <w:szCs w:val="24"/>
        </w:rPr>
        <w:t xml:space="preserve">These findings support one of this chapter's central arguments: interventions that address only awareness or knowledge of CHD — mass media campaigns, for example — tend to have limited effect while structural and psychological barriers to screening remain unaddressed. Unless a person is free from restrictive working hours, has services within reasonable reach, trusts the institutions involved, and receives communication in a language and cultural register that works for them, greater awareness generated by a media campaign is unlikely to convert into screening attendance. This mirrors the conclusion reached under Objective 3, that </w:t>
      </w:r>
      <w:r w:rsidRPr="001E722E">
        <w:rPr>
          <w:rFonts w:ascii="Arial" w:eastAsia="Arial" w:hAnsi="Arial" w:cs="Arial"/>
          <w:sz w:val="24"/>
          <w:szCs w:val="24"/>
        </w:rPr>
        <w:lastRenderedPageBreak/>
        <w:t>mass media campaigns can build awareness but have only partial evidence behind their ability to sustain behaviour change (Section 4.2.3).</w:t>
      </w:r>
    </w:p>
    <w:p w14:paraId="29C23F35" w14:textId="77777777" w:rsidR="00955984" w:rsidRPr="001E722E" w:rsidRDefault="00955984">
      <w:pPr>
        <w:spacing w:after="200" w:line="360" w:lineRule="auto"/>
        <w:jc w:val="both"/>
        <w:rPr>
          <w:rFonts w:ascii="Arial" w:eastAsia="Arial" w:hAnsi="Arial" w:cs="Arial"/>
          <w:sz w:val="24"/>
          <w:szCs w:val="24"/>
        </w:rPr>
      </w:pPr>
    </w:p>
    <w:p w14:paraId="1BFFA434" w14:textId="77777777" w:rsidR="00955984" w:rsidRPr="001E722E" w:rsidRDefault="00161751">
      <w:pPr>
        <w:pStyle w:val="Heading3"/>
      </w:pPr>
      <w:bookmarkStart w:id="64" w:name="_uvwx9l7y7zss" w:colFirst="0" w:colLast="0"/>
      <w:bookmarkEnd w:id="64"/>
      <w:r w:rsidRPr="001E722E">
        <w:t>5.2.5 Cues to Action</w:t>
      </w:r>
    </w:p>
    <w:p w14:paraId="394B3176" w14:textId="77777777" w:rsidR="00955984" w:rsidRPr="001E722E" w:rsidRDefault="00161751">
      <w:pPr>
        <w:spacing w:after="200" w:line="360" w:lineRule="auto"/>
        <w:jc w:val="both"/>
        <w:rPr>
          <w:rFonts w:ascii="Arial" w:eastAsia="Arial" w:hAnsi="Arial" w:cs="Arial"/>
          <w:sz w:val="24"/>
          <w:szCs w:val="24"/>
        </w:rPr>
      </w:pPr>
      <w:r w:rsidRPr="001E722E">
        <w:rPr>
          <w:rFonts w:ascii="Arial" w:eastAsia="Arial" w:hAnsi="Arial" w:cs="Arial"/>
          <w:sz w:val="24"/>
          <w:szCs w:val="24"/>
        </w:rPr>
        <w:t>Outreach and community-based interventions are rife with cues to action, or the triggers that actually prompt a person to engage in a health behaviour. The NHS recruitment letter is a formal but low-attention cue, and is seen to have limited effect on uptake, similar to the wide variation in reported uptake rates found by Patel et al. (2020). In contrast, direct human interactions, such as by phone (Brangan et al., 2019) or by community providers and trusted intermediaries, seem to be much more effective cues than passive written communication alone (Eberhardt et al., 2025; Health Innovation Network, 2026).</w:t>
      </w:r>
    </w:p>
    <w:p w14:paraId="14B55C27" w14:textId="77777777" w:rsidR="00955984" w:rsidRPr="001E722E" w:rsidRDefault="00161751">
      <w:pPr>
        <w:spacing w:after="200" w:line="360" w:lineRule="auto"/>
        <w:jc w:val="both"/>
        <w:rPr>
          <w:rFonts w:ascii="Arial" w:eastAsia="Arial" w:hAnsi="Arial" w:cs="Arial"/>
          <w:sz w:val="24"/>
          <w:szCs w:val="24"/>
        </w:rPr>
      </w:pPr>
      <w:r w:rsidRPr="001E722E">
        <w:rPr>
          <w:rFonts w:ascii="Arial" w:eastAsia="Arial" w:hAnsi="Arial" w:cs="Arial"/>
          <w:sz w:val="24"/>
          <w:szCs w:val="24"/>
        </w:rPr>
        <w:t>This indicates that the type of cue and its personal context are important: the "least intrusive" cue is a letter sent to an eligible person, as compared to a personal phone call or an ad hoc conversation, such as in an unrelated primary care appointment (Dalton et al., 2011). There is potential for family and peer influence and for sustained, well targeted, media campaigns where the evidence supports them, as complementary cues, and there is evidence that personal contact, and community-based engagement, contribute disproportionately to variation in screening behaviour in reality.</w:t>
      </w:r>
    </w:p>
    <w:p w14:paraId="0C9D074F" w14:textId="77777777" w:rsidR="00955984" w:rsidRPr="001E722E" w:rsidRDefault="00161751">
      <w:pPr>
        <w:pStyle w:val="Heading3"/>
      </w:pPr>
      <w:bookmarkStart w:id="65" w:name="_t0kds7d2sy58" w:colFirst="0" w:colLast="0"/>
      <w:bookmarkEnd w:id="65"/>
      <w:r w:rsidRPr="001E722E">
        <w:t>5.2.6 Self-Efficacy</w:t>
      </w:r>
    </w:p>
    <w:p w14:paraId="7F2E0B95" w14:textId="77777777" w:rsidR="00955984" w:rsidRPr="001E722E" w:rsidRDefault="00161751">
      <w:pPr>
        <w:spacing w:after="200" w:line="360" w:lineRule="auto"/>
        <w:jc w:val="both"/>
        <w:rPr>
          <w:rFonts w:ascii="Arial" w:eastAsia="Arial" w:hAnsi="Arial" w:cs="Arial"/>
          <w:sz w:val="24"/>
          <w:szCs w:val="24"/>
        </w:rPr>
      </w:pPr>
      <w:r w:rsidRPr="001E722E">
        <w:rPr>
          <w:rFonts w:ascii="Arial" w:eastAsia="Arial" w:hAnsi="Arial" w:cs="Arial"/>
          <w:sz w:val="24"/>
          <w:szCs w:val="24"/>
        </w:rPr>
        <w:t>While not as well studied as the other factors, the construct of self-efficacy, or self-confidence in one's ability to engage in a health behaviour is also present in the reviewed evidence. The practical challenge of making an appointment, not knowing how to act on screening results, and the lack of self-efficacy to maintain lifestyle changes following a Health Check can all have a negative impact on self-efficacy, even if someone knew about the screening or was motivated to participate.</w:t>
      </w:r>
    </w:p>
    <w:p w14:paraId="247F4193" w14:textId="77777777" w:rsidR="00955984" w:rsidRPr="001E722E" w:rsidRDefault="00161751">
      <w:pPr>
        <w:spacing w:after="200" w:line="360" w:lineRule="auto"/>
        <w:jc w:val="both"/>
        <w:rPr>
          <w:rFonts w:ascii="Arial" w:eastAsia="Arial" w:hAnsi="Arial" w:cs="Arial"/>
          <w:sz w:val="24"/>
          <w:szCs w:val="24"/>
        </w:rPr>
      </w:pPr>
      <w:r w:rsidRPr="001E722E">
        <w:rPr>
          <w:rFonts w:ascii="Arial" w:eastAsia="Arial" w:hAnsi="Arial" w:cs="Arial"/>
          <w:sz w:val="24"/>
          <w:szCs w:val="24"/>
        </w:rPr>
        <w:t xml:space="preserve">The evidence suggests that self-efficacy is enhanced when there is practical, easily accessible support, when the communication is easy to follow and clear, and when follow-up services are easily accessible. A person who books an appointment and </w:t>
      </w:r>
      <w:r w:rsidRPr="001E722E">
        <w:rPr>
          <w:rFonts w:ascii="Arial" w:eastAsia="Arial" w:hAnsi="Arial" w:cs="Arial"/>
          <w:sz w:val="24"/>
          <w:szCs w:val="24"/>
        </w:rPr>
        <w:lastRenderedPageBreak/>
        <w:t>who knows what their test results mean and what they have to do next is much more likely to continue to engage in preventive behaviour than another person who books an appointment and who is not clear about the meaning of their results and what they should do next, even if the two were equally motivated and knowledgeable before the appointment.</w:t>
      </w:r>
    </w:p>
    <w:p w14:paraId="4103745A" w14:textId="77777777" w:rsidR="00955984" w:rsidRPr="001E722E" w:rsidRDefault="00161751">
      <w:pPr>
        <w:pStyle w:val="Heading3"/>
      </w:pPr>
      <w:bookmarkStart w:id="66" w:name="_x6reris1gjyd" w:colFirst="0" w:colLast="0"/>
      <w:bookmarkEnd w:id="66"/>
      <w:r w:rsidRPr="001E722E">
        <w:t>5.2.7 Intersectionality and Health Inequalities</w:t>
      </w:r>
    </w:p>
    <w:p w14:paraId="3C937344" w14:textId="77777777" w:rsidR="00955984" w:rsidRPr="001E722E" w:rsidRDefault="00161751">
      <w:pPr>
        <w:spacing w:after="200" w:line="360" w:lineRule="auto"/>
        <w:jc w:val="both"/>
        <w:rPr>
          <w:rFonts w:ascii="Arial" w:eastAsia="Arial" w:hAnsi="Arial" w:cs="Arial"/>
          <w:sz w:val="24"/>
          <w:szCs w:val="24"/>
        </w:rPr>
      </w:pPr>
      <w:r w:rsidRPr="001E722E">
        <w:rPr>
          <w:rFonts w:ascii="Arial" w:eastAsia="Arial" w:hAnsi="Arial" w:cs="Arial"/>
          <w:sz w:val="24"/>
          <w:szCs w:val="24"/>
        </w:rPr>
        <w:t>Gender, ethnicity, socioeconomic status, occupation, age and geography are not additive factors influencing CHD awareness and screening behaviour, but are interacting in a way that create distinct patterns of risk and protection that can only be understood when looking at the various factors together. Hossain (2026) are a good example of this as they have also found that there is low uptake of the Health Check among Arab and White British men, indicating that gender-related beliefs are important, compounded by culturally shaped patterns of trust/confidence and occupational or socioeconomic circumstances.</w:t>
      </w:r>
    </w:p>
    <w:p w14:paraId="7FB9D7FB" w14:textId="77777777" w:rsidR="00955984" w:rsidRPr="001E722E" w:rsidRDefault="00161751">
      <w:pPr>
        <w:spacing w:after="200" w:line="360" w:lineRule="auto"/>
        <w:jc w:val="both"/>
        <w:rPr>
          <w:rFonts w:ascii="Arial" w:eastAsia="Arial" w:hAnsi="Arial" w:cs="Arial"/>
          <w:sz w:val="24"/>
          <w:szCs w:val="24"/>
        </w:rPr>
      </w:pPr>
      <w:r w:rsidRPr="001E722E">
        <w:rPr>
          <w:rFonts w:ascii="Arial" w:eastAsia="Arial" w:hAnsi="Arial" w:cs="Arial"/>
          <w:sz w:val="24"/>
          <w:szCs w:val="24"/>
        </w:rPr>
        <w:t>Marmot et al. (2020) provide a structural explanation for these overlapping inequalities, and demonstrate that deprivation is as much a product of ethnicity, gender and geography as it is a barrier to them. The fact that this evidence, combined with that from NHS England (2026) and from BHF (2026c) regarding ethnicity-specific cardiovascular risk, indicates that it would be better to treat the target population as not necessarily uniform: doing so will not reduce the disparities of the population without narrowing down to specific groups whose barriers it does address, which will leave others behind.</w:t>
      </w:r>
    </w:p>
    <w:p w14:paraId="179FC80C" w14:textId="77777777" w:rsidR="00955984" w:rsidRPr="001E722E" w:rsidRDefault="00161751">
      <w:pPr>
        <w:pStyle w:val="Heading3"/>
      </w:pPr>
      <w:bookmarkStart w:id="67" w:name="_ovngtvwh40ca" w:colFirst="0" w:colLast="0"/>
      <w:bookmarkEnd w:id="67"/>
      <w:r w:rsidRPr="001E722E">
        <w:t>5.2.8 Explaining the Awareness–Behaviour Gap</w:t>
      </w:r>
    </w:p>
    <w:p w14:paraId="67CA449B" w14:textId="77777777" w:rsidR="00955984" w:rsidRPr="001E722E" w:rsidRDefault="00161751">
      <w:pPr>
        <w:spacing w:after="200" w:line="360" w:lineRule="auto"/>
        <w:jc w:val="both"/>
        <w:rPr>
          <w:rFonts w:ascii="Arial" w:eastAsia="Arial" w:hAnsi="Arial" w:cs="Arial"/>
          <w:sz w:val="24"/>
          <w:szCs w:val="24"/>
        </w:rPr>
      </w:pPr>
      <w:r w:rsidRPr="001E722E">
        <w:rPr>
          <w:rFonts w:ascii="Arial" w:eastAsia="Arial" w:hAnsi="Arial" w:cs="Arial"/>
          <w:sz w:val="24"/>
          <w:szCs w:val="24"/>
        </w:rPr>
        <w:t>An important objective of this chapter is to provide a rationale for the non-reliability of awareness to promote screening uptake or preventive behaviour. A sequence of events was identified from the evidence reviewed across Objectives 1–3: knowledge, risk perception, perceived benefits and barriers, cue to action, self-efficacy and behaviour (screening attendance).</w:t>
      </w:r>
    </w:p>
    <w:p w14:paraId="55B6DCC0" w14:textId="77777777" w:rsidR="00955984" w:rsidRPr="001E722E" w:rsidRDefault="00161751">
      <w:pPr>
        <w:spacing w:after="200" w:line="360" w:lineRule="auto"/>
        <w:jc w:val="both"/>
        <w:rPr>
          <w:rFonts w:ascii="Arial" w:eastAsia="Arial" w:hAnsi="Arial" w:cs="Arial"/>
          <w:sz w:val="24"/>
          <w:szCs w:val="24"/>
        </w:rPr>
      </w:pPr>
      <w:r w:rsidRPr="001E722E">
        <w:rPr>
          <w:rFonts w:ascii="Arial" w:eastAsia="Arial" w:hAnsi="Arial" w:cs="Arial"/>
          <w:sz w:val="24"/>
          <w:szCs w:val="24"/>
        </w:rPr>
        <w:t xml:space="preserve">Failure to form the link anywhere along this pathway will make it impossible for awareness to lead to action. Having a lot of knowledge about CHD risk factors (Section 4.2.1) does not mean a person feels vulnerable, especially without </w:t>
      </w:r>
      <w:r w:rsidRPr="001E722E">
        <w:rPr>
          <w:rFonts w:ascii="Arial" w:eastAsia="Arial" w:hAnsi="Arial" w:cs="Arial"/>
          <w:sz w:val="24"/>
          <w:szCs w:val="24"/>
        </w:rPr>
        <w:lastRenderedPageBreak/>
        <w:t>personalised risk communication (Section 5.2.1; Sheridan et al., 2010). Where the susceptibility is correctly perceived, the perceived benefits of screening may be found to be too small, or the barriers to screening may be greater than the perceived benefits (Sections 5.2.3–5.2.4; Norman and Fitter, 1989). However, where susceptibility, benefits, and barriers are aligned fairly well to create an intention, a passive invitation letter, as compared to personal contact, may be an inadequate cue to trigger that intention to become action (Section 5.2.5; Brangan et al., 2019). Even when an intention is clear, it may not lead to attendance (Section 5.2.6) if self-efficacy is weak, appointments are difficult to schedule or outcomes are not easy to understand.</w:t>
      </w:r>
    </w:p>
    <w:p w14:paraId="633FA7E9" w14:textId="77777777" w:rsidR="00955984" w:rsidRPr="001E722E" w:rsidRDefault="00161751">
      <w:pPr>
        <w:spacing w:after="200" w:line="360" w:lineRule="auto"/>
        <w:jc w:val="both"/>
        <w:rPr>
          <w:rFonts w:ascii="Arial" w:eastAsia="Arial" w:hAnsi="Arial" w:cs="Arial"/>
          <w:sz w:val="24"/>
          <w:szCs w:val="24"/>
        </w:rPr>
      </w:pPr>
      <w:proofErr w:type="gramStart"/>
      <w:r w:rsidRPr="001E722E">
        <w:rPr>
          <w:rFonts w:ascii="Arial" w:eastAsia="Arial" w:hAnsi="Arial" w:cs="Arial"/>
          <w:sz w:val="24"/>
          <w:szCs w:val="24"/>
        </w:rPr>
        <w:t>This analysis endorse</w:t>
      </w:r>
      <w:proofErr w:type="gramEnd"/>
      <w:r w:rsidRPr="001E722E">
        <w:rPr>
          <w:rFonts w:ascii="Arial" w:eastAsia="Arial" w:hAnsi="Arial" w:cs="Arial"/>
          <w:sz w:val="24"/>
          <w:szCs w:val="24"/>
        </w:rPr>
        <w:t xml:space="preserve"> the larger argument of the need for knowledge but not its sufficiency for behaviour change. Some public health messages that rely on awareness promotion to improve uptake of screening for CHD are based on this assumption, but the evidence in this chapter does not support it. Rather, interventions that target multiple constructs are needed: increased personal risk perception; clearly communicated tangible benefits; decreased practical and structural barriers; strong and personal cues to action; and increased self-efficacy through practical support and clear communication.</w:t>
      </w:r>
    </w:p>
    <w:p w14:paraId="1C1980A5" w14:textId="77777777" w:rsidR="00955984" w:rsidRPr="001E722E" w:rsidRDefault="00161751">
      <w:pPr>
        <w:spacing w:after="200" w:line="360" w:lineRule="auto"/>
        <w:jc w:val="both"/>
        <w:rPr>
          <w:rFonts w:ascii="Arial" w:eastAsia="Arial" w:hAnsi="Arial" w:cs="Arial"/>
          <w:sz w:val="24"/>
          <w:szCs w:val="24"/>
        </w:rPr>
      </w:pPr>
      <w:r w:rsidRPr="001E722E">
        <w:rPr>
          <w:rFonts w:ascii="Arial" w:eastAsia="Arial" w:hAnsi="Arial" w:cs="Arial"/>
          <w:sz w:val="24"/>
          <w:szCs w:val="24"/>
        </w:rPr>
        <w:t>This could have relevance to multiple practices. As well as the clinical protocol, the way the Health Check programme communicates with and follows patients is just as important and should be considered a component of the NHS service design. Awareness campaigns are not likely to be effective for public health communication unless accompanied by commensurate efforts to increase access and availability of services. There is a definite need for trusted community messengers, especially for community groups who report low trust in mainstream healthcare institutions, for community engagement. Digital health tools can be a tool to support self-efficacy and follow-up, but with care taken to not exacerbate digital exclusion. The provision of a screening area should be considered a design priority, not something added on as an afterthought, due to geographic or practical considerations. The NHS England (2026) Cardiovascular Disease Modern Service Framework will maintain good local implementation practice, and the uptake of the framework reported by Patel et al. (2020) suggests that this will be critical to ensure as the policy is implemented.</w:t>
      </w:r>
    </w:p>
    <w:p w14:paraId="1968FC1B" w14:textId="77777777" w:rsidR="00955984" w:rsidRPr="001E722E" w:rsidRDefault="00161751">
      <w:pPr>
        <w:pStyle w:val="Heading3"/>
      </w:pPr>
      <w:bookmarkStart w:id="68" w:name="_x6afy5exp3ci" w:colFirst="0" w:colLast="0"/>
      <w:bookmarkEnd w:id="68"/>
      <w:r w:rsidRPr="001E722E">
        <w:lastRenderedPageBreak/>
        <w:t>5.2.9 Implications for Public Health Practice and Policy</w:t>
      </w:r>
    </w:p>
    <w:p w14:paraId="6B9C5A31" w14:textId="77777777" w:rsidR="00955984" w:rsidRPr="001E722E" w:rsidRDefault="00161751">
      <w:pPr>
        <w:spacing w:after="200" w:line="360" w:lineRule="auto"/>
        <w:jc w:val="both"/>
        <w:rPr>
          <w:rFonts w:ascii="Arial" w:eastAsia="Arial" w:hAnsi="Arial" w:cs="Arial"/>
          <w:sz w:val="24"/>
          <w:szCs w:val="24"/>
        </w:rPr>
      </w:pPr>
      <w:r w:rsidRPr="001E722E">
        <w:rPr>
          <w:rFonts w:ascii="Arial" w:eastAsia="Arial" w:hAnsi="Arial" w:cs="Arial"/>
          <w:sz w:val="24"/>
          <w:szCs w:val="24"/>
        </w:rPr>
        <w:t>The above findings indicate that there is no single intervention that can be effective by itself, and that using several complementary interventions together is a more theoretically coherent approach than any single intervention alone. The evidence supports:</w:t>
      </w:r>
    </w:p>
    <w:p w14:paraId="683D0774" w14:textId="77777777" w:rsidR="00955984" w:rsidRPr="001E722E" w:rsidRDefault="00161751">
      <w:pPr>
        <w:spacing w:after="120" w:line="360" w:lineRule="auto"/>
        <w:ind w:left="720" w:hanging="360"/>
        <w:jc w:val="both"/>
        <w:rPr>
          <w:rFonts w:ascii="Arial" w:eastAsia="Arial" w:hAnsi="Arial" w:cs="Arial"/>
          <w:sz w:val="24"/>
          <w:szCs w:val="24"/>
        </w:rPr>
      </w:pPr>
      <w:r w:rsidRPr="001E722E">
        <w:rPr>
          <w:rFonts w:ascii="Arial" w:eastAsia="Arial" w:hAnsi="Arial" w:cs="Arial"/>
          <w:sz w:val="24"/>
          <w:szCs w:val="24"/>
        </w:rPr>
        <w:t>•</w:t>
      </w:r>
      <w:r w:rsidRPr="001E722E">
        <w:rPr>
          <w:rFonts w:ascii="Arial" w:eastAsia="Arial" w:hAnsi="Arial" w:cs="Arial"/>
          <w:sz w:val="24"/>
          <w:szCs w:val="24"/>
        </w:rPr>
        <w:tab/>
        <w:t>Targeted public awareness that moves beyond generic messaging toward communication tailored to specific population groups</w:t>
      </w:r>
    </w:p>
    <w:p w14:paraId="0853DE83" w14:textId="77777777" w:rsidR="00955984" w:rsidRPr="001E722E" w:rsidRDefault="00161751">
      <w:pPr>
        <w:spacing w:after="120" w:line="360" w:lineRule="auto"/>
        <w:ind w:left="720" w:hanging="360"/>
        <w:jc w:val="both"/>
        <w:rPr>
          <w:rFonts w:ascii="Arial" w:eastAsia="Arial" w:hAnsi="Arial" w:cs="Arial"/>
          <w:sz w:val="24"/>
          <w:szCs w:val="24"/>
        </w:rPr>
      </w:pPr>
      <w:r w:rsidRPr="001E722E">
        <w:rPr>
          <w:rFonts w:ascii="Arial" w:eastAsia="Arial" w:hAnsi="Arial" w:cs="Arial"/>
          <w:sz w:val="24"/>
          <w:szCs w:val="24"/>
        </w:rPr>
        <w:t>•</w:t>
      </w:r>
      <w:r w:rsidRPr="001E722E">
        <w:rPr>
          <w:rFonts w:ascii="Arial" w:eastAsia="Arial" w:hAnsi="Arial" w:cs="Arial"/>
          <w:sz w:val="24"/>
          <w:szCs w:val="24"/>
        </w:rPr>
        <w:tab/>
        <w:t>Personalised cardiovascular risk communication through quantified individual risk information (Sheridan et al., 2010)</w:t>
      </w:r>
    </w:p>
    <w:p w14:paraId="148BF440" w14:textId="77777777" w:rsidR="00955984" w:rsidRPr="001E722E" w:rsidRDefault="00161751">
      <w:pPr>
        <w:spacing w:after="120" w:line="360" w:lineRule="auto"/>
        <w:ind w:left="720" w:hanging="360"/>
        <w:jc w:val="both"/>
        <w:rPr>
          <w:rFonts w:ascii="Arial" w:eastAsia="Arial" w:hAnsi="Arial" w:cs="Arial"/>
          <w:sz w:val="24"/>
          <w:szCs w:val="24"/>
        </w:rPr>
      </w:pPr>
      <w:r w:rsidRPr="001E722E">
        <w:rPr>
          <w:rFonts w:ascii="Arial" w:eastAsia="Arial" w:hAnsi="Arial" w:cs="Arial"/>
          <w:sz w:val="24"/>
          <w:szCs w:val="24"/>
        </w:rPr>
        <w:t>•</w:t>
      </w:r>
      <w:r w:rsidRPr="001E722E">
        <w:rPr>
          <w:rFonts w:ascii="Arial" w:eastAsia="Arial" w:hAnsi="Arial" w:cs="Arial"/>
          <w:sz w:val="24"/>
          <w:szCs w:val="24"/>
        </w:rPr>
        <w:tab/>
        <w:t>More convenient screening provision, informed by the contextual and local implementation factors shown to affect uptake (Patel et al., 2020)</w:t>
      </w:r>
    </w:p>
    <w:p w14:paraId="5825F89D" w14:textId="77777777" w:rsidR="00955984" w:rsidRPr="001E722E" w:rsidRDefault="00161751">
      <w:pPr>
        <w:spacing w:after="120" w:line="360" w:lineRule="auto"/>
        <w:ind w:left="720" w:hanging="360"/>
        <w:jc w:val="both"/>
        <w:rPr>
          <w:rFonts w:ascii="Arial" w:eastAsia="Arial" w:hAnsi="Arial" w:cs="Arial"/>
          <w:sz w:val="24"/>
          <w:szCs w:val="24"/>
        </w:rPr>
      </w:pPr>
      <w:r w:rsidRPr="001E722E">
        <w:rPr>
          <w:rFonts w:ascii="Arial" w:eastAsia="Arial" w:hAnsi="Arial" w:cs="Arial"/>
          <w:sz w:val="24"/>
          <w:szCs w:val="24"/>
        </w:rPr>
        <w:t>•</w:t>
      </w:r>
      <w:r w:rsidRPr="001E722E">
        <w:rPr>
          <w:rFonts w:ascii="Arial" w:eastAsia="Arial" w:hAnsi="Arial" w:cs="Arial"/>
          <w:sz w:val="24"/>
          <w:szCs w:val="24"/>
        </w:rPr>
        <w:tab/>
        <w:t>Telephone and digital outreach, given the evidence that proactive contact outperforms passive contact (Brangan et al., 2019)</w:t>
      </w:r>
    </w:p>
    <w:p w14:paraId="43BF962C" w14:textId="77777777" w:rsidR="00955984" w:rsidRPr="001E722E" w:rsidRDefault="00161751">
      <w:pPr>
        <w:spacing w:after="120" w:line="360" w:lineRule="auto"/>
        <w:ind w:left="720" w:hanging="360"/>
        <w:jc w:val="both"/>
        <w:rPr>
          <w:rFonts w:ascii="Arial" w:eastAsia="Arial" w:hAnsi="Arial" w:cs="Arial"/>
          <w:sz w:val="24"/>
          <w:szCs w:val="24"/>
        </w:rPr>
      </w:pPr>
      <w:r w:rsidRPr="001E722E">
        <w:rPr>
          <w:rFonts w:ascii="Arial" w:eastAsia="Arial" w:hAnsi="Arial" w:cs="Arial"/>
          <w:sz w:val="24"/>
          <w:szCs w:val="24"/>
        </w:rPr>
        <w:t>•</w:t>
      </w:r>
      <w:r w:rsidRPr="001E722E">
        <w:rPr>
          <w:rFonts w:ascii="Arial" w:eastAsia="Arial" w:hAnsi="Arial" w:cs="Arial"/>
          <w:sz w:val="24"/>
          <w:szCs w:val="24"/>
        </w:rPr>
        <w:tab/>
        <w:t>Community-based delivery, reflecting a preference for co-designed services in non-clinical settings where trust matters most (Brady et al., 2025)</w:t>
      </w:r>
    </w:p>
    <w:p w14:paraId="27F0E87B" w14:textId="77777777" w:rsidR="00955984" w:rsidRPr="001E722E" w:rsidRDefault="00161751">
      <w:pPr>
        <w:spacing w:after="120" w:line="360" w:lineRule="auto"/>
        <w:ind w:left="720" w:hanging="360"/>
        <w:jc w:val="both"/>
        <w:rPr>
          <w:rFonts w:ascii="Arial" w:eastAsia="Arial" w:hAnsi="Arial" w:cs="Arial"/>
          <w:sz w:val="24"/>
          <w:szCs w:val="24"/>
        </w:rPr>
      </w:pPr>
      <w:r w:rsidRPr="001E722E">
        <w:rPr>
          <w:rFonts w:ascii="Arial" w:eastAsia="Arial" w:hAnsi="Arial" w:cs="Arial"/>
          <w:sz w:val="24"/>
          <w:szCs w:val="24"/>
        </w:rPr>
        <w:t>•</w:t>
      </w:r>
      <w:r w:rsidRPr="001E722E">
        <w:rPr>
          <w:rFonts w:ascii="Arial" w:eastAsia="Arial" w:hAnsi="Arial" w:cs="Arial"/>
          <w:sz w:val="24"/>
          <w:szCs w:val="24"/>
        </w:rPr>
        <w:tab/>
        <w:t>Closer integration of awareness campaigns with accessible services, since making people aware of a preventive opportunity they then cannot access risks frustrating rather than sustaining engagement (Wakefield et al., 2010)</w:t>
      </w:r>
    </w:p>
    <w:p w14:paraId="60138FFF" w14:textId="77777777" w:rsidR="00955984" w:rsidRPr="001E722E" w:rsidRDefault="00161751">
      <w:pPr>
        <w:spacing w:after="200" w:line="360" w:lineRule="auto"/>
        <w:jc w:val="both"/>
        <w:rPr>
          <w:rFonts w:ascii="Arial" w:eastAsia="Arial" w:hAnsi="Arial" w:cs="Arial"/>
          <w:sz w:val="24"/>
          <w:szCs w:val="24"/>
        </w:rPr>
      </w:pPr>
      <w:r w:rsidRPr="001E722E">
        <w:rPr>
          <w:rFonts w:ascii="Arial" w:eastAsia="Arial" w:hAnsi="Arial" w:cs="Arial"/>
          <w:sz w:val="24"/>
          <w:szCs w:val="24"/>
        </w:rPr>
        <w:t xml:space="preserve">This evidence is not experimental proof that these recommendations will actually reduce the gaps that were found between CHD awareness and preventive screening behaviour, but it is indicative that, used individually and together, these strategies may do so. Overall the results endorse the view that these strategies should be considered as a package rather than </w:t>
      </w:r>
      <w:proofErr w:type="gramStart"/>
      <w:r w:rsidRPr="001E722E">
        <w:rPr>
          <w:rFonts w:ascii="Arial" w:eastAsia="Arial" w:hAnsi="Arial" w:cs="Arial"/>
          <w:sz w:val="24"/>
          <w:szCs w:val="24"/>
        </w:rPr>
        <w:t>singly,</w:t>
      </w:r>
      <w:proofErr w:type="gramEnd"/>
      <w:r w:rsidRPr="001E722E">
        <w:rPr>
          <w:rFonts w:ascii="Arial" w:eastAsia="Arial" w:hAnsi="Arial" w:cs="Arial"/>
          <w:sz w:val="24"/>
          <w:szCs w:val="24"/>
        </w:rPr>
        <w:t xml:space="preserve"> and broadly align with the policy advice laid out by NHS England (2026). The strengths and limitations of the Review are presented as follows.</w:t>
      </w:r>
    </w:p>
    <w:p w14:paraId="69881741" w14:textId="77777777" w:rsidR="00955984" w:rsidRPr="001E722E" w:rsidRDefault="00161751">
      <w:pPr>
        <w:pStyle w:val="Heading2"/>
      </w:pPr>
      <w:bookmarkStart w:id="69" w:name="_m3gpqz8mgf19" w:colFirst="0" w:colLast="0"/>
      <w:bookmarkEnd w:id="69"/>
      <w:r w:rsidRPr="001E722E">
        <w:t>5.3 Strengths and Limitations of the Review</w:t>
      </w:r>
    </w:p>
    <w:p w14:paraId="24F10EDA" w14:textId="77777777" w:rsidR="00955984" w:rsidRPr="001E722E" w:rsidRDefault="00161751">
      <w:pPr>
        <w:pStyle w:val="Heading3"/>
      </w:pPr>
      <w:bookmarkStart w:id="70" w:name="_zalk1qz64iir" w:colFirst="0" w:colLast="0"/>
      <w:bookmarkEnd w:id="70"/>
      <w:r w:rsidRPr="001E722E">
        <w:t>Strengths</w:t>
      </w:r>
    </w:p>
    <w:p w14:paraId="4ED38CCC" w14:textId="77777777" w:rsidR="00955984" w:rsidRPr="001E722E" w:rsidRDefault="00161751">
      <w:pPr>
        <w:spacing w:after="200" w:line="360" w:lineRule="auto"/>
        <w:jc w:val="both"/>
        <w:rPr>
          <w:rFonts w:ascii="Arial" w:eastAsia="Arial" w:hAnsi="Arial" w:cs="Arial"/>
          <w:sz w:val="24"/>
          <w:szCs w:val="24"/>
        </w:rPr>
      </w:pPr>
      <w:r w:rsidRPr="001E722E">
        <w:rPr>
          <w:rFonts w:ascii="Arial" w:eastAsia="Arial" w:hAnsi="Arial" w:cs="Arial"/>
          <w:sz w:val="24"/>
          <w:szCs w:val="24"/>
        </w:rPr>
        <w:t xml:space="preserve">This review has several methodological strengths which should lead to a degree of confidence in the results of the review. The search and selection process was </w:t>
      </w:r>
      <w:r w:rsidRPr="001E722E">
        <w:rPr>
          <w:rFonts w:ascii="Arial" w:eastAsia="Arial" w:hAnsi="Arial" w:cs="Arial"/>
          <w:sz w:val="24"/>
          <w:szCs w:val="24"/>
        </w:rPr>
        <w:lastRenderedPageBreak/>
        <w:t>carried out following a systematic and transparent method, based on the PRISMA 2020 guidelines (Page et al., 2021), that enables the process to be reproduced. Three established databases (MEDLINE (via PubMed), CINAHL and the Cochrane Library) were systematically searched, which minimises risk of missing relevant evidence if searching only one database was undertaken. The quality of the studies was measured with CASP checklists (Critical Appraisal Skills Programme, 2018) thus included evidence was evaluated and not accepted uncritically. The research question is not a purely biomedical one, and the review intentionally used both qualitative and observational evidence, such as review-level sources, because this would not be adequately represented by a hierarchy of evidence based on a limited set of experimental designs. A strong focus on the UK was maintained throughout, increasing the relevance of findings to UK public health strategy more specifically. Applying the Health Belief Model provided a common theoretical framework to interpret the review's often conflicting findings, and Popay et al.'s (2006) narrative synthesis approach was relevant, as the evidence varied in study design, population, and outcome measures.</w:t>
      </w:r>
    </w:p>
    <w:p w14:paraId="24CD5284" w14:textId="77777777" w:rsidR="00955984" w:rsidRPr="001E722E" w:rsidRDefault="00161751">
      <w:pPr>
        <w:pStyle w:val="Heading3"/>
      </w:pPr>
      <w:bookmarkStart w:id="71" w:name="_c8aqsaoce79f" w:colFirst="0" w:colLast="0"/>
      <w:bookmarkEnd w:id="71"/>
      <w:r w:rsidRPr="001E722E">
        <w:t>Limitations</w:t>
      </w:r>
    </w:p>
    <w:p w14:paraId="73E354B6" w14:textId="77777777" w:rsidR="00955984" w:rsidRPr="001E722E" w:rsidRDefault="00161751">
      <w:pPr>
        <w:spacing w:after="200" w:line="360" w:lineRule="auto"/>
        <w:jc w:val="both"/>
        <w:rPr>
          <w:rFonts w:ascii="Arial" w:eastAsia="Arial" w:hAnsi="Arial" w:cs="Arial"/>
          <w:sz w:val="24"/>
          <w:szCs w:val="24"/>
        </w:rPr>
      </w:pPr>
      <w:r w:rsidRPr="001E722E">
        <w:rPr>
          <w:rFonts w:ascii="Arial" w:eastAsia="Arial" w:hAnsi="Arial" w:cs="Arial"/>
          <w:sz w:val="24"/>
          <w:szCs w:val="24"/>
        </w:rPr>
        <w:t>A few caveats also need to be noted. It is possible that the search only included evidence in English and did not pull in the relevant evidence on specific minority ethnic groups. Search may also not have covered UK grey literature, including local authority or third sector reports not covered in the academic literature. The risk of subjectivity in the selection, appraisal, and synthesis of the review was reduced, but not eliminated, by independent cross-checking, given that the review was conducted by one researcher. Due to the diversity of the study designs, meta-analysis was not possible and this is a narrative review. Included studies were of different quality and some included, such as those that focused on deprived communities in North East England (Eberhardt et al., 2025), were geographically limited, which makes it difficult to know how many others would generalise to other parts of the UK. There is limited direct evidence that could be used to make conclusions about the relative value of different outreach methods. However, publication and database-search bias is not completely excluded because there are differences between the populations studied and the general adult population in the UK.</w:t>
      </w:r>
    </w:p>
    <w:p w14:paraId="7335C43F" w14:textId="77777777" w:rsidR="00955984" w:rsidRPr="001E722E" w:rsidRDefault="00161751">
      <w:pPr>
        <w:spacing w:after="200" w:line="360" w:lineRule="auto"/>
        <w:jc w:val="both"/>
      </w:pPr>
      <w:r w:rsidRPr="001E722E">
        <w:rPr>
          <w:rFonts w:ascii="Arial" w:eastAsia="Arial" w:hAnsi="Arial" w:cs="Arial"/>
          <w:sz w:val="24"/>
          <w:szCs w:val="24"/>
        </w:rPr>
        <w:lastRenderedPageBreak/>
        <w:t>In addition, one included study (Norman and Fitter, 1989) falls outside the 2010 to 2026 date range. It was retained for its direct relevance to the Health Belief Model (Section 3.5), but its data predate the NHS Health Check programme and the current UK screening context, so its findings are used to interpret mechanisms rather than to describe present-day uptake.</w:t>
      </w:r>
    </w:p>
    <w:p w14:paraId="70B6A815" w14:textId="77777777" w:rsidR="00955984" w:rsidRPr="001E722E" w:rsidRDefault="00161751">
      <w:pPr>
        <w:spacing w:after="200" w:line="360" w:lineRule="auto"/>
        <w:jc w:val="both"/>
        <w:rPr>
          <w:rFonts w:ascii="Arial" w:eastAsia="Arial" w:hAnsi="Arial" w:cs="Arial"/>
          <w:sz w:val="24"/>
          <w:szCs w:val="24"/>
        </w:rPr>
      </w:pPr>
      <w:r w:rsidRPr="001E722E">
        <w:rPr>
          <w:rFonts w:ascii="Arial" w:eastAsia="Arial" w:hAnsi="Arial" w:cs="Arial"/>
          <w:sz w:val="24"/>
          <w:szCs w:val="24"/>
        </w:rPr>
        <w:t>None of these restrictions detracts from the overall findings reflected in this chapter which are consistent across a variety of sources and types of evidence. However, the conclusions of this review must not be interpreted as representative of any particular UK population or region; they are more likely to be representative of patterns of the available evidence than as generalisations about the UK adult population as a whole.</w:t>
      </w:r>
    </w:p>
    <w:p w14:paraId="2A5B2FEE" w14:textId="77777777" w:rsidR="00955984" w:rsidRPr="001E722E" w:rsidRDefault="00161751">
      <w:pPr>
        <w:pStyle w:val="Heading2"/>
      </w:pPr>
      <w:bookmarkStart w:id="72" w:name="_mqwtszpngv4e" w:colFirst="0" w:colLast="0"/>
      <w:bookmarkEnd w:id="72"/>
      <w:r w:rsidRPr="001E722E">
        <w:t>5.4 Chapter Summary</w:t>
      </w:r>
    </w:p>
    <w:p w14:paraId="074A9282" w14:textId="77777777" w:rsidR="00955984" w:rsidRPr="001E722E" w:rsidRDefault="00161751">
      <w:pPr>
        <w:spacing w:after="200" w:line="360" w:lineRule="auto"/>
        <w:jc w:val="both"/>
        <w:rPr>
          <w:rFonts w:ascii="Arial" w:eastAsia="Arial" w:hAnsi="Arial" w:cs="Arial"/>
          <w:sz w:val="24"/>
          <w:szCs w:val="24"/>
        </w:rPr>
      </w:pPr>
      <w:r w:rsidRPr="001E722E">
        <w:rPr>
          <w:rFonts w:ascii="Arial" w:eastAsia="Arial" w:hAnsi="Arial" w:cs="Arial"/>
          <w:sz w:val="24"/>
          <w:szCs w:val="24"/>
        </w:rPr>
        <w:t>The Health Belief Model provides an analytically useful and supported explanation for the awareness – behaviour gap discussed in this chapter, suggesting that interventions should focus on multiple constructs of the HBM rather than one alone: perceived susceptibility, perceived severity, perceived benefits, perceived barriers, cues to action, and self-efficacy. The context of awareness, risk perception, access and screening behaviour, and the fact that these factors intersect rather than additively influence each other should be incorporated into the design of interventions, not as an add-on. Conforming with the general findings of the evidence reviewed in this chapter, current NHS policy (Cardiovascular Disease Modern Service Framework, NHS England, 2026) seems to support a more integrated approach to cardiovascular prevention, incorporating community-based and digital routes into the traditional service delivery pathway.</w:t>
      </w:r>
    </w:p>
    <w:p w14:paraId="52E33EEC" w14:textId="77777777" w:rsidR="00955984" w:rsidRPr="001E722E" w:rsidRDefault="00161751">
      <w:pPr>
        <w:pStyle w:val="Heading1"/>
        <w:pageBreakBefore/>
      </w:pPr>
      <w:bookmarkStart w:id="73" w:name="_b215e4rbdlvd" w:colFirst="0" w:colLast="0"/>
      <w:bookmarkEnd w:id="73"/>
      <w:r w:rsidRPr="001E722E">
        <w:lastRenderedPageBreak/>
        <w:t>CHAPTER 6: CONCLUSION AND RECOMMENDATIONS</w:t>
      </w:r>
    </w:p>
    <w:p w14:paraId="72F1B853" w14:textId="77777777" w:rsidR="00955984" w:rsidRPr="001E722E" w:rsidRDefault="00161751">
      <w:pPr>
        <w:pStyle w:val="Heading2"/>
      </w:pPr>
      <w:bookmarkStart w:id="74" w:name="_hmaa2utb1i8i" w:colFirst="0" w:colLast="0"/>
      <w:bookmarkEnd w:id="74"/>
      <w:r w:rsidRPr="001E722E">
        <w:t>6.1 Introduction</w:t>
      </w:r>
    </w:p>
    <w:p w14:paraId="3E394B21" w14:textId="77777777" w:rsidR="00955984" w:rsidRPr="001E722E" w:rsidRDefault="00161751">
      <w:pPr>
        <w:spacing w:after="200" w:line="360" w:lineRule="auto"/>
        <w:jc w:val="both"/>
        <w:rPr>
          <w:rFonts w:ascii="Arial" w:eastAsia="Arial" w:hAnsi="Arial" w:cs="Arial"/>
          <w:sz w:val="24"/>
          <w:szCs w:val="24"/>
        </w:rPr>
      </w:pPr>
      <w:r w:rsidRPr="001E722E">
        <w:rPr>
          <w:rFonts w:ascii="Arial" w:eastAsia="Arial" w:hAnsi="Arial" w:cs="Arial"/>
          <w:sz w:val="24"/>
          <w:szCs w:val="24"/>
        </w:rPr>
        <w:t>This final chapter draws together the findings of the systematic review presented in Chapter 4 and discussed in Chapter 5, and considers their implications for policy, practice, and future research. The chapter revisits the research question—how public health strategies in the United Kingdom can effectively increase awareness, encourage early screening, and reduce preventable deaths from coronary heart disease (CHD)—and demonstrates how the evidence synthesised across the four objectives provides a basis for answering it. The chapter then translates these findings into practical, evidence-based recommendations for policy and practice, identifies gaps warranting further research, articulates the study's contribution to knowledge, offers concluding remarks, and closes with a reflection on the research process undertaken.</w:t>
      </w:r>
    </w:p>
    <w:p w14:paraId="3703F7F2" w14:textId="77777777" w:rsidR="00955984" w:rsidRPr="001E722E" w:rsidRDefault="00161751">
      <w:pPr>
        <w:pStyle w:val="Heading2"/>
      </w:pPr>
      <w:bookmarkStart w:id="75" w:name="_y0zuzjm59qx7" w:colFirst="0" w:colLast="0"/>
      <w:bookmarkEnd w:id="75"/>
      <w:r w:rsidRPr="001E722E">
        <w:t>6.2 Summary of Key Findings</w:t>
      </w:r>
    </w:p>
    <w:p w14:paraId="2E4BD947" w14:textId="77777777" w:rsidR="00955984" w:rsidRPr="001E722E" w:rsidRDefault="00161751">
      <w:pPr>
        <w:spacing w:after="200" w:line="360" w:lineRule="auto"/>
        <w:jc w:val="both"/>
        <w:rPr>
          <w:rFonts w:ascii="Arial" w:eastAsia="Arial" w:hAnsi="Arial" w:cs="Arial"/>
          <w:sz w:val="24"/>
          <w:szCs w:val="24"/>
        </w:rPr>
      </w:pPr>
      <w:r w:rsidRPr="001E722E">
        <w:rPr>
          <w:rFonts w:ascii="Arial" w:eastAsia="Arial" w:hAnsi="Arial" w:cs="Arial"/>
          <w:sz w:val="24"/>
          <w:szCs w:val="24"/>
        </w:rPr>
        <w:t>The four components of the systematic review were complementary pieces in the puzzle that is CHD prevention in the UK.</w:t>
      </w:r>
    </w:p>
    <w:p w14:paraId="2EDB54E2" w14:textId="77777777" w:rsidR="00955984" w:rsidRPr="001E722E" w:rsidRDefault="00161751">
      <w:pPr>
        <w:spacing w:after="200" w:line="360" w:lineRule="auto"/>
        <w:jc w:val="both"/>
        <w:rPr>
          <w:rFonts w:ascii="Arial" w:eastAsia="Arial" w:hAnsi="Arial" w:cs="Arial"/>
          <w:sz w:val="24"/>
          <w:szCs w:val="24"/>
        </w:rPr>
      </w:pPr>
      <w:r w:rsidRPr="001E722E">
        <w:rPr>
          <w:rFonts w:ascii="Arial" w:eastAsia="Arial" w:hAnsi="Arial" w:cs="Arial"/>
          <w:sz w:val="24"/>
          <w:szCs w:val="24"/>
        </w:rPr>
        <w:t>With regard to Objective 1, the review concluded that health literacy about CHD symptoms and risk factors is still inconsistent and often superficial. Although chest pain is recognised as a warning sign of heart disease, awareness of atypical presentations and modifiable risk factors such as hypertension, cholesterol, and physical inactivity is considerably low, particularly in women (Whitaker et al., 2012; BHF, 2025; Robson et al., 2021), older adults, and lower socioeconomic groups (Robson et al., 2021). The inequitable distribution of knowledge implies that campaigns to increase public awareness to date have not reached the entire population evenly across all segments, as described by Marmot et al.'s (2020) broader argument that knowledge and health outcomes are structured by social disadvantage.</w:t>
      </w:r>
    </w:p>
    <w:p w14:paraId="2F541EA5" w14:textId="77777777" w:rsidR="00955984" w:rsidRPr="001E722E" w:rsidRDefault="00161751">
      <w:pPr>
        <w:spacing w:after="200" w:line="360" w:lineRule="auto"/>
        <w:jc w:val="both"/>
        <w:rPr>
          <w:rFonts w:ascii="Arial" w:eastAsia="Arial" w:hAnsi="Arial" w:cs="Arial"/>
          <w:sz w:val="24"/>
          <w:szCs w:val="24"/>
        </w:rPr>
      </w:pPr>
      <w:r w:rsidRPr="001E722E">
        <w:rPr>
          <w:rFonts w:ascii="Arial" w:eastAsia="Arial" w:hAnsi="Arial" w:cs="Arial"/>
          <w:sz w:val="24"/>
          <w:szCs w:val="24"/>
        </w:rPr>
        <w:t xml:space="preserve">Objective 2 identified barriers to early screenings and preventive check-ups. A layered set of barriers acting at individual, community, and system levels was identified in the synthesis. At the individual level, low perceived susceptibility and limited perceived benefit of screening—both key constructs within the HBM (Norman </w:t>
      </w:r>
      <w:r w:rsidRPr="001E722E">
        <w:rPr>
          <w:rFonts w:ascii="Arial" w:eastAsia="Arial" w:hAnsi="Arial" w:cs="Arial"/>
          <w:sz w:val="24"/>
          <w:szCs w:val="24"/>
        </w:rPr>
        <w:lastRenderedPageBreak/>
        <w:t>and Fitter, 1989)—minimise uptake even in circumstances of existing symptom knowledge, a pattern observed by Sheridan et al. (2010). At the community level, there were consistent messages about mistrust toward health services and concerns that cultural engagement with conventional healthcare systems largely manifested for ethnic minority populations (Brangan et al., 2019; Patel et al., 2020). In both cases, practical impediments including inflexible appointment hours, transport challenges, and remote access to screening locations exacerbated these psychological and cultural barriers (Eberhardt et al., 2025; Brady et al., 2025). Taken together, these findings suggest that low levels of screening uptake cannot be ascribed to one single factor but rather reflect the combination of cognition, culture, and access.</w:t>
      </w:r>
    </w:p>
    <w:p w14:paraId="492870CA" w14:textId="77777777" w:rsidR="00955984" w:rsidRPr="001E722E" w:rsidRDefault="00161751">
      <w:pPr>
        <w:spacing w:after="200" w:line="360" w:lineRule="auto"/>
        <w:jc w:val="both"/>
        <w:rPr>
          <w:rFonts w:ascii="Arial" w:eastAsia="Arial" w:hAnsi="Arial" w:cs="Arial"/>
          <w:sz w:val="24"/>
          <w:szCs w:val="24"/>
        </w:rPr>
      </w:pPr>
      <w:r w:rsidRPr="001E722E">
        <w:rPr>
          <w:rFonts w:ascii="Arial" w:eastAsia="Arial" w:hAnsi="Arial" w:cs="Arial"/>
          <w:sz w:val="24"/>
          <w:szCs w:val="24"/>
        </w:rPr>
        <w:t>The aim of Objective 3 was to appraise the effectiveness of NHS and community-based CHD prevention campaigns. The review concluded that NHS campaigns delivered nationally through mass-media channels might increase awareness in the general population but had only a limited ability alone to translate this into sustained behaviour change or screening attendance, especially for less-advantaged communities (Wakefield et al., 2010). In contrast, community-based interventions targeting patients through trusted local intermediaries—spanning telephone outreach, community health workers, and more localised initiatives—held the most promise (though methodologically heterogeneous) in improving both awareness and uptake (Brangan et al., 2019; Health Innovation Network, 2026). This divergence reveals that delivery channel is as critical as the message itself.</w:t>
      </w:r>
    </w:p>
    <w:p w14:paraId="2F7BCED9" w14:textId="77777777" w:rsidR="00955984" w:rsidRPr="001E722E" w:rsidRDefault="00161751">
      <w:pPr>
        <w:spacing w:after="200" w:line="360" w:lineRule="auto"/>
        <w:jc w:val="both"/>
        <w:rPr>
          <w:rFonts w:ascii="Arial" w:eastAsia="Arial" w:hAnsi="Arial" w:cs="Arial"/>
          <w:sz w:val="24"/>
          <w:szCs w:val="24"/>
        </w:rPr>
      </w:pPr>
      <w:r w:rsidRPr="001E722E">
        <w:rPr>
          <w:rFonts w:ascii="Arial" w:eastAsia="Arial" w:hAnsi="Arial" w:cs="Arial"/>
          <w:sz w:val="24"/>
          <w:szCs w:val="24"/>
        </w:rPr>
        <w:t>The review also provided convergent evidence across data sources to support the conclusions of Objective 4, outlining effectiveness in approaches that featured elements of culturally tailored messaging, flexible access, and trusted community engagement (Brangan et al., 2019; Brady et al., 2025; Eberhardt et al., 2025; Health Innovation Network, 2026). No single category of intervention was adequate in isolation.</w:t>
      </w:r>
    </w:p>
    <w:p w14:paraId="3BBB3007" w14:textId="77777777" w:rsidR="00955984" w:rsidRPr="001E722E" w:rsidRDefault="00161751">
      <w:pPr>
        <w:spacing w:after="200" w:line="360" w:lineRule="auto"/>
        <w:jc w:val="both"/>
        <w:rPr>
          <w:rFonts w:ascii="Arial" w:eastAsia="Arial" w:hAnsi="Arial" w:cs="Arial"/>
          <w:sz w:val="24"/>
          <w:szCs w:val="24"/>
        </w:rPr>
      </w:pPr>
      <w:r w:rsidRPr="001E722E">
        <w:rPr>
          <w:rFonts w:ascii="Arial" w:eastAsia="Arial" w:hAnsi="Arial" w:cs="Arial"/>
          <w:sz w:val="24"/>
          <w:szCs w:val="24"/>
        </w:rPr>
        <w:t xml:space="preserve">These findings directly address the research question: UK public health strategies can best achieve maximum CHD awareness, screening, and preventable death reduction not simply through a wide top-down approach, but through a dual approach combining mass behaviour change with localised, culturally congruent, and </w:t>
      </w:r>
      <w:r w:rsidRPr="001E722E">
        <w:rPr>
          <w:rFonts w:ascii="Arial" w:eastAsia="Arial" w:hAnsi="Arial" w:cs="Arial"/>
          <w:sz w:val="24"/>
          <w:szCs w:val="24"/>
        </w:rPr>
        <w:lastRenderedPageBreak/>
        <w:t>practically accessible behaviour change methods rooted in an understanding of how people themselves see their risk.</w:t>
      </w:r>
    </w:p>
    <w:p w14:paraId="172E442D" w14:textId="77777777" w:rsidR="00955984" w:rsidRPr="001E722E" w:rsidRDefault="00161751">
      <w:pPr>
        <w:pStyle w:val="Heading2"/>
      </w:pPr>
      <w:bookmarkStart w:id="76" w:name="_ofsqdzumswqp" w:colFirst="0" w:colLast="0"/>
      <w:bookmarkEnd w:id="76"/>
      <w:r w:rsidRPr="001E722E">
        <w:t>6.3 Recommendations for Policy and Practice</w:t>
      </w:r>
    </w:p>
    <w:p w14:paraId="64FA3EB3" w14:textId="77777777" w:rsidR="00955984" w:rsidRPr="001E722E" w:rsidRDefault="00161751">
      <w:pPr>
        <w:spacing w:after="200" w:line="360" w:lineRule="auto"/>
        <w:jc w:val="both"/>
        <w:rPr>
          <w:rFonts w:ascii="Arial" w:eastAsia="Arial" w:hAnsi="Arial" w:cs="Arial"/>
          <w:sz w:val="24"/>
          <w:szCs w:val="24"/>
        </w:rPr>
      </w:pPr>
      <w:r w:rsidRPr="001E722E">
        <w:rPr>
          <w:rFonts w:ascii="Arial" w:eastAsia="Arial" w:hAnsi="Arial" w:cs="Arial"/>
          <w:sz w:val="24"/>
          <w:szCs w:val="24"/>
        </w:rPr>
        <w:t>Based on the above synthesis, the following specific actions are recommended.</w:t>
      </w:r>
    </w:p>
    <w:p w14:paraId="6F443663" w14:textId="77777777" w:rsidR="00955984" w:rsidRPr="001E722E" w:rsidRDefault="00161751">
      <w:pPr>
        <w:spacing w:after="200" w:line="360" w:lineRule="auto"/>
        <w:jc w:val="both"/>
        <w:rPr>
          <w:rFonts w:ascii="Arial" w:eastAsia="Arial" w:hAnsi="Arial" w:cs="Arial"/>
          <w:sz w:val="24"/>
          <w:szCs w:val="24"/>
        </w:rPr>
      </w:pPr>
      <w:r w:rsidRPr="001E722E">
        <w:rPr>
          <w:rFonts w:ascii="Arial" w:eastAsia="Arial" w:hAnsi="Arial" w:cs="Arial"/>
          <w:sz w:val="24"/>
          <w:szCs w:val="24"/>
        </w:rPr>
        <w:t>Community outreach and trusted engagement. In light of the substantial evidence that community-based delivery works, NHS commissioners need to scale up outreach programmes delivered through trusted local intermediaries—for example, community health workers, voluntary sector organisations, and telephone or peer-led outreach—rather than predominantly centralised campaigns (Health Innovation Network, 2026; Brangan et al., 2019). In the HBM, trusted messengers reduce perceived barriers and bolster cues to action (Norman and Fitter, 1989), which coincide with weaknesses in these constructs among underserved populations.</w:t>
      </w:r>
    </w:p>
    <w:p w14:paraId="26E75A3E" w14:textId="77777777" w:rsidR="00955984" w:rsidRPr="001E722E" w:rsidRDefault="00161751">
      <w:pPr>
        <w:spacing w:after="200" w:line="360" w:lineRule="auto"/>
        <w:jc w:val="both"/>
        <w:rPr>
          <w:rFonts w:ascii="Arial" w:eastAsia="Arial" w:hAnsi="Arial" w:cs="Arial"/>
          <w:sz w:val="24"/>
          <w:szCs w:val="24"/>
        </w:rPr>
      </w:pPr>
      <w:r w:rsidRPr="001E722E">
        <w:rPr>
          <w:rFonts w:ascii="Arial" w:eastAsia="Arial" w:hAnsi="Arial" w:cs="Arial"/>
          <w:sz w:val="24"/>
          <w:szCs w:val="24"/>
        </w:rPr>
        <w:t>Flexible screening access. Identified access barriers to screening in a real-world context further justify the need for extending screening outside standard access hours through evening and weekend clinics, workplace-based checks, and outreach in community settings (Eberhardt et al., 2025; Brady et al., 2025). These measures target structural limitations that continue to exist even when risk perception by individuals is correct.</w:t>
      </w:r>
    </w:p>
    <w:p w14:paraId="147DD41E" w14:textId="77777777" w:rsidR="00955984" w:rsidRPr="001E722E" w:rsidRDefault="00161751">
      <w:pPr>
        <w:spacing w:after="200" w:line="360" w:lineRule="auto"/>
        <w:jc w:val="both"/>
        <w:rPr>
          <w:rFonts w:ascii="Arial" w:eastAsia="Arial" w:hAnsi="Arial" w:cs="Arial"/>
          <w:sz w:val="24"/>
          <w:szCs w:val="24"/>
        </w:rPr>
      </w:pPr>
      <w:r w:rsidRPr="001E722E">
        <w:rPr>
          <w:rFonts w:ascii="Arial" w:eastAsia="Arial" w:hAnsi="Arial" w:cs="Arial"/>
          <w:sz w:val="24"/>
          <w:szCs w:val="24"/>
        </w:rPr>
        <w:t>Culturally appropriate communication. Messages should be co-constructed with the communities they seek to reach, using language, imagery, and framing that resonates with more than one way of understanding illness and risk (Patel et al., 2020). If health beliefs do not correspond with majority-population assumptions, generic campaign materials seem to be less capable of convincing groups to believe they are susceptible.</w:t>
      </w:r>
    </w:p>
    <w:p w14:paraId="3A3F4356" w14:textId="77777777" w:rsidR="00955984" w:rsidRPr="001E722E" w:rsidRDefault="00161751">
      <w:pPr>
        <w:spacing w:after="200" w:line="360" w:lineRule="auto"/>
        <w:jc w:val="both"/>
        <w:rPr>
          <w:rFonts w:ascii="Arial" w:eastAsia="Arial" w:hAnsi="Arial" w:cs="Arial"/>
          <w:sz w:val="24"/>
          <w:szCs w:val="24"/>
        </w:rPr>
      </w:pPr>
      <w:r w:rsidRPr="001E722E">
        <w:rPr>
          <w:rFonts w:ascii="Arial" w:eastAsia="Arial" w:hAnsi="Arial" w:cs="Arial"/>
          <w:sz w:val="24"/>
          <w:szCs w:val="24"/>
        </w:rPr>
        <w:t>Targeted interventions for underserved groups. It is recommended that resources are targeted towards populations known to experience compounded disadvantage—including lower-income communities, ethnic minority groups, and possibly women, who present with different symptoms and levels of care-seeking behaviour than the stereotypical male presentation (BHF, 2025; Hossain, 2026; Marmot et al., 2020). Importantly, a universal and 'one size fits all' approach is likely to replicate rather than reduce social inequalities.</w:t>
      </w:r>
    </w:p>
    <w:p w14:paraId="28071C2D" w14:textId="77777777" w:rsidR="00955984" w:rsidRPr="001E722E" w:rsidRDefault="00161751">
      <w:pPr>
        <w:spacing w:after="200" w:line="360" w:lineRule="auto"/>
        <w:jc w:val="both"/>
        <w:rPr>
          <w:rFonts w:ascii="Arial" w:eastAsia="Arial" w:hAnsi="Arial" w:cs="Arial"/>
          <w:sz w:val="24"/>
          <w:szCs w:val="24"/>
        </w:rPr>
      </w:pPr>
      <w:r w:rsidRPr="001E722E">
        <w:rPr>
          <w:rFonts w:ascii="Arial" w:eastAsia="Arial" w:hAnsi="Arial" w:cs="Arial"/>
          <w:sz w:val="24"/>
          <w:szCs w:val="24"/>
        </w:rPr>
        <w:lastRenderedPageBreak/>
        <w:t>Digital health pathways. Where digital access is available, online risk-assessment tools and app- or text-based reminders may ease practical barriers to initiating screening, although the included evidence on digital pathways is limited. However, because some high-risk groups remain persistently digitally excluded (Health Innovation Network, 2026), other non-digital person-to-person and community pathways should also be maintained.</w:t>
      </w:r>
    </w:p>
    <w:p w14:paraId="33D0AD56" w14:textId="77777777" w:rsidR="00955984" w:rsidRPr="001E722E" w:rsidRDefault="00161751">
      <w:pPr>
        <w:spacing w:after="200" w:line="360" w:lineRule="auto"/>
        <w:jc w:val="both"/>
        <w:rPr>
          <w:rFonts w:ascii="Arial" w:eastAsia="Arial" w:hAnsi="Arial" w:cs="Arial"/>
          <w:sz w:val="24"/>
          <w:szCs w:val="24"/>
        </w:rPr>
      </w:pPr>
      <w:r w:rsidRPr="001E722E">
        <w:rPr>
          <w:rFonts w:ascii="Arial" w:eastAsia="Arial" w:hAnsi="Arial" w:cs="Arial"/>
          <w:sz w:val="24"/>
          <w:szCs w:val="24"/>
        </w:rPr>
        <w:t>Integrated mass-media campaigns. Theory suggests renewed value for national campaigns in building the profile of public knowledge and risk-factor awareness, but they will only be effective if they are explicit in how they intend to function with local delivery mechanisms rather than as standalone initiatives (Wakefield et al., 2010). Embedding local referral pathways within national campaign design could help translate awareness into action, in keeping with the more integrated approach to cardiovascular prevention described in NHS England's (2026) Cardiovascular Disease Modern Service Framework.</w:t>
      </w:r>
    </w:p>
    <w:p w14:paraId="67967E8D" w14:textId="77777777" w:rsidR="00955984" w:rsidRPr="001E722E" w:rsidRDefault="00161751">
      <w:pPr>
        <w:spacing w:after="200" w:line="360" w:lineRule="auto"/>
        <w:jc w:val="both"/>
        <w:rPr>
          <w:rFonts w:ascii="Arial" w:eastAsia="Arial" w:hAnsi="Arial" w:cs="Arial"/>
          <w:sz w:val="24"/>
          <w:szCs w:val="24"/>
        </w:rPr>
      </w:pPr>
      <w:r w:rsidRPr="001E722E">
        <w:rPr>
          <w:rFonts w:ascii="Arial" w:eastAsia="Arial" w:hAnsi="Arial" w:cs="Arial"/>
          <w:sz w:val="24"/>
          <w:szCs w:val="24"/>
        </w:rPr>
        <w:t>Reducing geographical inequalities. Finally, planning screening infrastructure must be done with a clear focus on regional and area differences in service reach and uptake, as well as ensuring policy commitments to prevention are delivered more equitably across the UK (Robson et al., 2021; BHF, 2026c).</w:t>
      </w:r>
    </w:p>
    <w:p w14:paraId="1381DDE9" w14:textId="77777777" w:rsidR="00955984" w:rsidRPr="001E722E" w:rsidRDefault="00161751">
      <w:pPr>
        <w:pStyle w:val="Heading2"/>
      </w:pPr>
      <w:bookmarkStart w:id="77" w:name="_5f61o6atu6e1" w:colFirst="0" w:colLast="0"/>
      <w:bookmarkEnd w:id="77"/>
      <w:r w:rsidRPr="001E722E">
        <w:t>6.4 Recommendations for Future Research</w:t>
      </w:r>
    </w:p>
    <w:p w14:paraId="782B02B1" w14:textId="77777777" w:rsidR="00955984" w:rsidRPr="001E722E" w:rsidRDefault="00161751">
      <w:pPr>
        <w:spacing w:after="200" w:line="360" w:lineRule="auto"/>
        <w:jc w:val="both"/>
        <w:rPr>
          <w:rFonts w:ascii="Arial" w:eastAsia="Arial" w:hAnsi="Arial" w:cs="Arial"/>
          <w:sz w:val="24"/>
          <w:szCs w:val="24"/>
        </w:rPr>
      </w:pPr>
      <w:r w:rsidRPr="001E722E">
        <w:rPr>
          <w:rFonts w:ascii="Arial" w:eastAsia="Arial" w:hAnsi="Arial" w:cs="Arial"/>
          <w:sz w:val="24"/>
          <w:szCs w:val="24"/>
        </w:rPr>
        <w:t xml:space="preserve">This review highlights several evidence gaps that require further investigation. First, comparative studies directly assessing how different outreach models—community-based versus mass-media versus digital—compare relative to each other would help justify why one approach may be prioritised over another. Second, the community-based interventions that have been reviewed are often not compared to centrally delivered campaigns; there is a lack of cost-effectiveness research where the actual scale-up can be compared against centrally led approaches. Third, the link between awareness and actual screening uptake also needs long-term exploration, as much evidence to date treats these as separate outcomes rather than tracking individuals from knowledge through to action. Fourth, regional differences within the UK are poorly understood, and future research should explore how geography interacts with deprivation and ethnicity to influence screening behaviour. Fifth, there is a need for more rigorous evaluation of culturally specific interventions, such as comparative </w:t>
      </w:r>
      <w:r w:rsidRPr="001E722E">
        <w:rPr>
          <w:rFonts w:ascii="Arial" w:eastAsia="Arial" w:hAnsi="Arial" w:cs="Arial"/>
          <w:sz w:val="24"/>
          <w:szCs w:val="24"/>
        </w:rPr>
        <w:lastRenderedPageBreak/>
        <w:t>designs that can isolate the unique effect of cultural adaptation. Finally, specific barriers to help-seeking by gender, especially reasons for delayed help-seeking and female unawareness, require further study, as the findings from this review are tentative but not adequately developed in this regard (BHF, 2025; Hossain, 2026).</w:t>
      </w:r>
    </w:p>
    <w:p w14:paraId="25133258" w14:textId="77777777" w:rsidR="00955984" w:rsidRPr="001E722E" w:rsidRDefault="00161751">
      <w:pPr>
        <w:pStyle w:val="Heading2"/>
      </w:pPr>
      <w:bookmarkStart w:id="78" w:name="_53170zesnw2h" w:colFirst="0" w:colLast="0"/>
      <w:bookmarkEnd w:id="78"/>
      <w:r w:rsidRPr="001E722E">
        <w:t>6.5 Contribution to Knowledge</w:t>
      </w:r>
    </w:p>
    <w:p w14:paraId="6C7F1F20" w14:textId="77777777" w:rsidR="00955984" w:rsidRPr="001E722E" w:rsidRDefault="00161751">
      <w:pPr>
        <w:spacing w:after="200" w:line="360" w:lineRule="auto"/>
        <w:jc w:val="both"/>
        <w:rPr>
          <w:rFonts w:ascii="Arial" w:eastAsia="Arial" w:hAnsi="Arial" w:cs="Arial"/>
          <w:sz w:val="24"/>
          <w:szCs w:val="24"/>
        </w:rPr>
      </w:pPr>
      <w:r w:rsidRPr="001E722E">
        <w:rPr>
          <w:rFonts w:ascii="Arial" w:eastAsia="Arial" w:hAnsi="Arial" w:cs="Arial"/>
          <w:sz w:val="24"/>
          <w:szCs w:val="24"/>
        </w:rPr>
        <w:t>The work described in this dissertation is largely synthetical as opposed to original primary data generation. The study uniquely integrates evidence on widespread awareness, multiple barriers, and intervention effectiveness within a single review, providing a more comprehensive picture of the CHD prevention pathway than existing literature that tends to focus on isolated aspects of the problem could enable. A second, more modest contribution is the application of the Health Belief Model as an interpretive lens across all three strands of evidence: while it is clear from the presentation here that awareness alone does not lead to screening uptake, this key point can be interpreted in terms of constructs derived from psychological models—for example, perceived susceptibility, perceived barriers, and cues to action (Norman and Fitter, 1989). This is not presented as a new theoretical advance but rather as an organisational framework which practitioners and policymakers may wish to use to guide their understanding of, and responses to, the awareness-screening gap.</w:t>
      </w:r>
    </w:p>
    <w:p w14:paraId="63DA0190" w14:textId="77777777" w:rsidR="00955984" w:rsidRPr="001E722E" w:rsidRDefault="00161751">
      <w:pPr>
        <w:pStyle w:val="Heading2"/>
      </w:pPr>
      <w:bookmarkStart w:id="79" w:name="_5j6vonxidqm4" w:colFirst="0" w:colLast="0"/>
      <w:bookmarkEnd w:id="79"/>
      <w:r w:rsidRPr="001E722E">
        <w:t>6.6 Concluding Remarks</w:t>
      </w:r>
    </w:p>
    <w:p w14:paraId="3D7AE3BA" w14:textId="77777777" w:rsidR="00955984" w:rsidRPr="001E722E" w:rsidRDefault="00161751">
      <w:pPr>
        <w:spacing w:after="200" w:line="360" w:lineRule="auto"/>
        <w:jc w:val="both"/>
        <w:rPr>
          <w:rFonts w:ascii="Arial" w:eastAsia="Arial" w:hAnsi="Arial" w:cs="Arial"/>
          <w:sz w:val="24"/>
          <w:szCs w:val="24"/>
        </w:rPr>
      </w:pPr>
      <w:r w:rsidRPr="001E722E">
        <w:rPr>
          <w:rFonts w:ascii="Arial" w:eastAsia="Arial" w:hAnsi="Arial" w:cs="Arial"/>
          <w:sz w:val="24"/>
          <w:szCs w:val="24"/>
        </w:rPr>
        <w:t>The research question is directly addressed, and the conclusion of this dissertation is that public health strategies in the UK can be most effective at increasing societal awareness of CHD, enable early screening and reduce avoidable mortality by focusing not just on raising awareness in the public eye. The current evidence suggests that to be meaningful, in addition to being available and flexible, screening must be accompanied by culturally safe communication as well as social support that removes structural barriers so that the population feels engaged.</w:t>
      </w:r>
    </w:p>
    <w:p w14:paraId="2E7F3E6C" w14:textId="77777777" w:rsidR="00955984" w:rsidRPr="001E722E" w:rsidRDefault="00161751">
      <w:pPr>
        <w:spacing w:after="200" w:line="360" w:lineRule="auto"/>
        <w:jc w:val="both"/>
        <w:rPr>
          <w:rFonts w:ascii="Arial" w:eastAsia="Arial" w:hAnsi="Arial" w:cs="Arial"/>
          <w:sz w:val="24"/>
          <w:szCs w:val="24"/>
        </w:rPr>
      </w:pPr>
      <w:r w:rsidRPr="001E722E">
        <w:rPr>
          <w:rFonts w:ascii="Arial" w:eastAsia="Arial" w:hAnsi="Arial" w:cs="Arial"/>
          <w:sz w:val="24"/>
          <w:szCs w:val="24"/>
        </w:rPr>
        <w:t xml:space="preserve">To conclude, while awareness is a necessary but not sufficient precondition for behaviour change, if accepted pathways to care are not accessible and trusted, then increasing our awareness of CHD risk will not help close the gap on CHD preventable mortality. The most realistic way of doing this is through a combination </w:t>
      </w:r>
      <w:r w:rsidRPr="001E722E">
        <w:rPr>
          <w:rFonts w:ascii="Arial" w:eastAsia="Arial" w:hAnsi="Arial" w:cs="Arial"/>
          <w:sz w:val="24"/>
          <w:szCs w:val="24"/>
        </w:rPr>
        <w:lastRenderedPageBreak/>
        <w:t>of national campaigns and a local delivery service based on locally rooted, trusted services.</w:t>
      </w:r>
    </w:p>
    <w:p w14:paraId="628A85A1" w14:textId="77777777" w:rsidR="00955984" w:rsidRPr="001E722E" w:rsidRDefault="00161751">
      <w:pPr>
        <w:pStyle w:val="Heading2"/>
      </w:pPr>
      <w:bookmarkStart w:id="80" w:name="_a2ubfleemd1e" w:colFirst="0" w:colLast="0"/>
      <w:bookmarkEnd w:id="80"/>
      <w:r w:rsidRPr="001E722E">
        <w:t>6.7 Reflection on the Research Process</w:t>
      </w:r>
    </w:p>
    <w:p w14:paraId="77356DDE" w14:textId="77777777" w:rsidR="00955984" w:rsidRPr="001E722E" w:rsidRDefault="00161751">
      <w:pPr>
        <w:spacing w:after="200" w:line="360" w:lineRule="auto"/>
        <w:jc w:val="both"/>
        <w:rPr>
          <w:rFonts w:ascii="Arial" w:eastAsia="Arial" w:hAnsi="Arial" w:cs="Arial"/>
          <w:sz w:val="24"/>
          <w:szCs w:val="24"/>
        </w:rPr>
      </w:pPr>
      <w:r w:rsidRPr="001E722E">
        <w:rPr>
          <w:rFonts w:ascii="Arial" w:eastAsia="Arial" w:hAnsi="Arial" w:cs="Arial"/>
          <w:sz w:val="24"/>
          <w:szCs w:val="24"/>
        </w:rPr>
        <w:t>This systematic review had a number of methodological complexities. Several iterations of refinements were required to make sure the set of results was sensitive enough to come back with relevant information for the UK and specific enough to ensure the results were manageable. Choosing study elements was also difficult because many identified studies only partially focused on CHD prevention and the rigid application of inclusion and exclusion criteria described in Chapter 3 were crucial. With the support of the CASP tools it was revealed that the methodological and reporting transparency of the studies ranged widely and direct comparison was near impossible. The diversity of study designs, populations, and outcome measures limited the potential for statistical pooling of results (Popay et al., 2006) and made it important to be transparent in describing patterns and trends found across a range of evidence in the narrative synthesis.</w:t>
      </w:r>
    </w:p>
    <w:p w14:paraId="57C4CB91" w14:textId="77777777" w:rsidR="00955984" w:rsidRPr="001E722E" w:rsidRDefault="00161751">
      <w:pPr>
        <w:spacing w:after="200" w:line="360" w:lineRule="auto"/>
        <w:jc w:val="both"/>
        <w:rPr>
          <w:rFonts w:ascii="Arial" w:eastAsia="Arial" w:hAnsi="Arial" w:cs="Arial"/>
          <w:sz w:val="24"/>
          <w:szCs w:val="24"/>
        </w:rPr>
      </w:pPr>
      <w:r w:rsidRPr="001E722E">
        <w:rPr>
          <w:rFonts w:ascii="Arial" w:eastAsia="Arial" w:hAnsi="Arial" w:cs="Arial"/>
          <w:sz w:val="24"/>
          <w:szCs w:val="24"/>
        </w:rPr>
        <w:t>However, this process enabled the development of transferable methodological and research skills which will be useful for further studies such as: Systematic search strategy design in line with the guidance of PRISMA 2020; Critical appraisal of the various types of study; and Synthesis of heterogeneous qualitative and quantitative evidence into a coherent account of a narrative. Along with the substantive findings of the dissertation, these skills are another long-term product of the dissertation process, along with an overall understanding of how health psychology applies to public health practice.</w:t>
      </w:r>
    </w:p>
    <w:p w14:paraId="33C26580" w14:textId="77777777" w:rsidR="00955984" w:rsidRPr="001E722E" w:rsidRDefault="00161751">
      <w:pPr>
        <w:pStyle w:val="Heading1"/>
        <w:pageBreakBefore/>
      </w:pPr>
      <w:r w:rsidRPr="001E722E">
        <w:lastRenderedPageBreak/>
        <w:t>REFERENCES</w:t>
      </w:r>
    </w:p>
    <w:p w14:paraId="43BCA196" w14:textId="77777777" w:rsidR="00955984" w:rsidRPr="001E722E" w:rsidRDefault="00161751">
      <w:pPr>
        <w:spacing w:after="160" w:line="360" w:lineRule="auto"/>
        <w:ind w:left="720" w:hanging="720"/>
      </w:pPr>
      <w:r w:rsidRPr="001E722E">
        <w:rPr>
          <w:rFonts w:ascii="Arial" w:eastAsia="Arial" w:hAnsi="Arial" w:cs="Arial"/>
          <w:sz w:val="24"/>
          <w:szCs w:val="24"/>
        </w:rPr>
        <w:t xml:space="preserve">Ahmed, A.A.A., Mohammed Al-Shami, A., Jamshed, S., Fata Nahas, A.R. and Mohamed Ibrahim, M.I. (2020) 'Public awareness of and action towards heart attack symptoms: an exploratory study', </w:t>
      </w:r>
      <w:r w:rsidRPr="001E722E">
        <w:rPr>
          <w:rFonts w:ascii="Arial" w:eastAsia="Arial" w:hAnsi="Arial" w:cs="Arial"/>
          <w:i/>
          <w:iCs/>
          <w:sz w:val="24"/>
          <w:szCs w:val="24"/>
        </w:rPr>
        <w:t>International Journal of Environmental Research and Public Health</w:t>
      </w:r>
      <w:r w:rsidRPr="001E722E">
        <w:rPr>
          <w:rFonts w:ascii="Arial" w:eastAsia="Arial" w:hAnsi="Arial" w:cs="Arial"/>
          <w:sz w:val="24"/>
          <w:szCs w:val="24"/>
        </w:rPr>
        <w:t xml:space="preserve">, 17(23), 8957. Available at: </w:t>
      </w:r>
      <w:hyperlink r:id="rId19">
        <w:r w:rsidRPr="001E722E">
          <w:rPr>
            <w:rFonts w:ascii="Arial" w:eastAsia="Arial" w:hAnsi="Arial" w:cs="Arial"/>
            <w:color w:val="1155CC"/>
            <w:sz w:val="24"/>
            <w:szCs w:val="24"/>
            <w:u w:val="single"/>
          </w:rPr>
          <w:t>https://doi.org/10.3390/ijerph17238957</w:t>
        </w:r>
      </w:hyperlink>
    </w:p>
    <w:p w14:paraId="368FD946" w14:textId="77777777" w:rsidR="00955984" w:rsidRPr="001E722E" w:rsidRDefault="00161751">
      <w:pPr>
        <w:spacing w:after="160" w:line="360" w:lineRule="auto"/>
        <w:ind w:left="720" w:hanging="720"/>
      </w:pPr>
      <w:r w:rsidRPr="001E722E">
        <w:rPr>
          <w:rFonts w:ascii="Arial" w:eastAsia="Arial" w:hAnsi="Arial" w:cs="Arial"/>
          <w:sz w:val="24"/>
          <w:szCs w:val="24"/>
        </w:rPr>
        <w:t xml:space="preserve">Alyafei, A. and Easton-Carr, R. (2024) 'The health belief model of </w:t>
      </w:r>
      <w:proofErr w:type="spellStart"/>
      <w:r w:rsidRPr="001E722E">
        <w:rPr>
          <w:rFonts w:ascii="Arial" w:eastAsia="Arial" w:hAnsi="Arial" w:cs="Arial"/>
          <w:sz w:val="24"/>
          <w:szCs w:val="24"/>
        </w:rPr>
        <w:t>behavior</w:t>
      </w:r>
      <w:proofErr w:type="spellEnd"/>
      <w:r w:rsidRPr="001E722E">
        <w:rPr>
          <w:rFonts w:ascii="Arial" w:eastAsia="Arial" w:hAnsi="Arial" w:cs="Arial"/>
          <w:sz w:val="24"/>
          <w:szCs w:val="24"/>
        </w:rPr>
        <w:t xml:space="preserve"> change', in </w:t>
      </w:r>
      <w:proofErr w:type="spellStart"/>
      <w:r w:rsidRPr="001E722E">
        <w:rPr>
          <w:rFonts w:ascii="Arial" w:eastAsia="Arial" w:hAnsi="Arial" w:cs="Arial"/>
          <w:i/>
          <w:iCs/>
          <w:sz w:val="24"/>
          <w:szCs w:val="24"/>
        </w:rPr>
        <w:t>StatPearls</w:t>
      </w:r>
      <w:proofErr w:type="spellEnd"/>
      <w:r w:rsidRPr="001E722E">
        <w:rPr>
          <w:rFonts w:ascii="Arial" w:eastAsia="Arial" w:hAnsi="Arial" w:cs="Arial"/>
          <w:sz w:val="24"/>
          <w:szCs w:val="24"/>
        </w:rPr>
        <w:t xml:space="preserve">. Treasure Island (FL): </w:t>
      </w:r>
      <w:proofErr w:type="spellStart"/>
      <w:r w:rsidRPr="001E722E">
        <w:rPr>
          <w:rFonts w:ascii="Arial" w:eastAsia="Arial" w:hAnsi="Arial" w:cs="Arial"/>
          <w:sz w:val="24"/>
          <w:szCs w:val="24"/>
        </w:rPr>
        <w:t>StatPearls</w:t>
      </w:r>
      <w:proofErr w:type="spellEnd"/>
      <w:r w:rsidRPr="001E722E">
        <w:rPr>
          <w:rFonts w:ascii="Arial" w:eastAsia="Arial" w:hAnsi="Arial" w:cs="Arial"/>
          <w:sz w:val="24"/>
          <w:szCs w:val="24"/>
        </w:rPr>
        <w:t xml:space="preserve"> Publishing. Available at: </w:t>
      </w:r>
      <w:hyperlink r:id="rId20">
        <w:r w:rsidRPr="001E722E">
          <w:rPr>
            <w:rFonts w:ascii="Arial" w:eastAsia="Arial" w:hAnsi="Arial" w:cs="Arial"/>
            <w:color w:val="1155CC"/>
            <w:sz w:val="24"/>
            <w:szCs w:val="24"/>
            <w:u w:val="single"/>
          </w:rPr>
          <w:t>https://www.ncbi.nlm.nih.gov/books/NBK606120/</w:t>
        </w:r>
      </w:hyperlink>
      <w:r w:rsidRPr="001E722E">
        <w:rPr>
          <w:rFonts w:ascii="Arial" w:eastAsia="Arial" w:hAnsi="Arial" w:cs="Arial"/>
          <w:sz w:val="24"/>
          <w:szCs w:val="24"/>
        </w:rPr>
        <w:t xml:space="preserve"> (Accessed: 25 September 2026).</w:t>
      </w:r>
    </w:p>
    <w:p w14:paraId="478F2DD8" w14:textId="77777777" w:rsidR="00955984" w:rsidRPr="001E722E" w:rsidRDefault="00161751">
      <w:pPr>
        <w:spacing w:after="160" w:line="360" w:lineRule="auto"/>
        <w:ind w:left="720" w:hanging="720"/>
      </w:pPr>
      <w:r w:rsidRPr="001E722E">
        <w:rPr>
          <w:rFonts w:ascii="Arial" w:eastAsia="Arial" w:hAnsi="Arial" w:cs="Arial"/>
          <w:sz w:val="24"/>
          <w:szCs w:val="24"/>
        </w:rPr>
        <w:t>Becker, M.H. and Maiman, L.A. (1975) '</w:t>
      </w:r>
      <w:proofErr w:type="spellStart"/>
      <w:r w:rsidRPr="001E722E">
        <w:rPr>
          <w:rFonts w:ascii="Arial" w:eastAsia="Arial" w:hAnsi="Arial" w:cs="Arial"/>
          <w:sz w:val="24"/>
          <w:szCs w:val="24"/>
        </w:rPr>
        <w:t>Sociobehavioral</w:t>
      </w:r>
      <w:proofErr w:type="spellEnd"/>
      <w:r w:rsidRPr="001E722E">
        <w:rPr>
          <w:rFonts w:ascii="Arial" w:eastAsia="Arial" w:hAnsi="Arial" w:cs="Arial"/>
          <w:sz w:val="24"/>
          <w:szCs w:val="24"/>
        </w:rPr>
        <w:t xml:space="preserve"> determinants of compliance with health and medical care recommendations', </w:t>
      </w:r>
      <w:r w:rsidRPr="001E722E">
        <w:rPr>
          <w:rFonts w:ascii="Arial" w:eastAsia="Arial" w:hAnsi="Arial" w:cs="Arial"/>
          <w:i/>
          <w:iCs/>
          <w:sz w:val="24"/>
          <w:szCs w:val="24"/>
        </w:rPr>
        <w:t>Medical Care</w:t>
      </w:r>
      <w:r w:rsidRPr="001E722E">
        <w:rPr>
          <w:rFonts w:ascii="Arial" w:eastAsia="Arial" w:hAnsi="Arial" w:cs="Arial"/>
          <w:sz w:val="24"/>
          <w:szCs w:val="24"/>
        </w:rPr>
        <w:t xml:space="preserve">, 13(1), pp. 10–24. Available at: </w:t>
      </w:r>
      <w:hyperlink r:id="rId21">
        <w:r w:rsidRPr="001E722E">
          <w:rPr>
            <w:rFonts w:ascii="Arial" w:eastAsia="Arial" w:hAnsi="Arial" w:cs="Arial"/>
            <w:color w:val="1155CC"/>
            <w:sz w:val="24"/>
            <w:szCs w:val="24"/>
            <w:u w:val="single"/>
          </w:rPr>
          <w:t>https://doi.org/10.1097/00005650-197501000-00002</w:t>
        </w:r>
      </w:hyperlink>
    </w:p>
    <w:p w14:paraId="5ADE8205" w14:textId="77777777" w:rsidR="00955984" w:rsidRPr="001E722E" w:rsidRDefault="00161751">
      <w:pPr>
        <w:spacing w:after="160" w:line="360" w:lineRule="auto"/>
        <w:ind w:left="720" w:hanging="720"/>
      </w:pPr>
      <w:r w:rsidRPr="001E722E">
        <w:rPr>
          <w:rFonts w:ascii="Arial" w:eastAsia="Arial" w:hAnsi="Arial" w:cs="Arial"/>
          <w:sz w:val="24"/>
          <w:szCs w:val="24"/>
        </w:rPr>
        <w:t xml:space="preserve">Brady, S.M., </w:t>
      </w:r>
      <w:proofErr w:type="spellStart"/>
      <w:r w:rsidRPr="001E722E">
        <w:rPr>
          <w:rFonts w:ascii="Arial" w:eastAsia="Arial" w:hAnsi="Arial" w:cs="Arial"/>
          <w:sz w:val="24"/>
          <w:szCs w:val="24"/>
        </w:rPr>
        <w:t>Chidanyika</w:t>
      </w:r>
      <w:proofErr w:type="spellEnd"/>
      <w:r w:rsidRPr="001E722E">
        <w:rPr>
          <w:rFonts w:ascii="Arial" w:eastAsia="Arial" w:hAnsi="Arial" w:cs="Arial"/>
          <w:sz w:val="24"/>
          <w:szCs w:val="24"/>
        </w:rPr>
        <w:t xml:space="preserve">, J., Verrill, K., Portice, J.S., Scott, S. and Newton, J. (2025) 'Exploring ethnic minority and underserved groups' experiences of the National Health Service Cardiovascular Disease Health Check uptake in North East England: applying a behavioural insights, qualitative approach', </w:t>
      </w:r>
      <w:r w:rsidRPr="001E722E">
        <w:rPr>
          <w:rFonts w:ascii="Arial" w:eastAsia="Arial" w:hAnsi="Arial" w:cs="Arial"/>
          <w:i/>
          <w:iCs/>
          <w:sz w:val="24"/>
          <w:szCs w:val="24"/>
        </w:rPr>
        <w:t>BMJ Open</w:t>
      </w:r>
      <w:r w:rsidRPr="001E722E">
        <w:rPr>
          <w:rFonts w:ascii="Arial" w:eastAsia="Arial" w:hAnsi="Arial" w:cs="Arial"/>
          <w:sz w:val="24"/>
          <w:szCs w:val="24"/>
        </w:rPr>
        <w:t xml:space="preserve">, 15(9), e096500. Available at: </w:t>
      </w:r>
      <w:hyperlink r:id="rId22">
        <w:r w:rsidRPr="001E722E">
          <w:rPr>
            <w:rFonts w:ascii="Arial" w:eastAsia="Arial" w:hAnsi="Arial" w:cs="Arial"/>
            <w:color w:val="1155CC"/>
            <w:sz w:val="24"/>
            <w:szCs w:val="24"/>
            <w:u w:val="single"/>
          </w:rPr>
          <w:t>https://doi.org/10.1136/bmjopen-2024-096500</w:t>
        </w:r>
      </w:hyperlink>
    </w:p>
    <w:p w14:paraId="252EEFC1" w14:textId="77777777" w:rsidR="00955984" w:rsidRPr="001E722E" w:rsidRDefault="00161751">
      <w:pPr>
        <w:spacing w:after="160" w:line="360" w:lineRule="auto"/>
        <w:ind w:left="720" w:hanging="720"/>
      </w:pPr>
      <w:r w:rsidRPr="001E722E">
        <w:rPr>
          <w:rFonts w:ascii="Arial" w:eastAsia="Arial" w:hAnsi="Arial" w:cs="Arial"/>
          <w:sz w:val="24"/>
          <w:szCs w:val="24"/>
        </w:rPr>
        <w:t xml:space="preserve">Brangan, E., Stone, T.J., Chappell, A., Harrison, V. and Horwood, J. (2019) 'Patient experiences of telephone outreach to enhance uptake of NHS Health Checks in more deprived communities and minority ethnic groups: a qualitative interview study', </w:t>
      </w:r>
      <w:r w:rsidRPr="001E722E">
        <w:rPr>
          <w:rFonts w:ascii="Arial" w:eastAsia="Arial" w:hAnsi="Arial" w:cs="Arial"/>
          <w:i/>
          <w:iCs/>
          <w:sz w:val="24"/>
          <w:szCs w:val="24"/>
        </w:rPr>
        <w:t>Health Expectations</w:t>
      </w:r>
      <w:r w:rsidRPr="001E722E">
        <w:rPr>
          <w:rFonts w:ascii="Arial" w:eastAsia="Arial" w:hAnsi="Arial" w:cs="Arial"/>
          <w:sz w:val="24"/>
          <w:szCs w:val="24"/>
        </w:rPr>
        <w:t xml:space="preserve">, 22(3), pp. 364–372. Available at: </w:t>
      </w:r>
      <w:hyperlink r:id="rId23">
        <w:r w:rsidRPr="001E722E">
          <w:rPr>
            <w:rFonts w:ascii="Arial" w:eastAsia="Arial" w:hAnsi="Arial" w:cs="Arial"/>
            <w:color w:val="1155CC"/>
            <w:sz w:val="24"/>
            <w:szCs w:val="24"/>
            <w:u w:val="single"/>
          </w:rPr>
          <w:t>https://doi.org/10.1111/hex.12856</w:t>
        </w:r>
      </w:hyperlink>
    </w:p>
    <w:p w14:paraId="14B09535" w14:textId="77777777" w:rsidR="00955984" w:rsidRPr="001E722E" w:rsidRDefault="00161751">
      <w:pPr>
        <w:spacing w:after="160" w:line="360" w:lineRule="auto"/>
        <w:ind w:left="720" w:hanging="720"/>
      </w:pPr>
      <w:r w:rsidRPr="001E722E">
        <w:rPr>
          <w:rFonts w:ascii="Arial" w:eastAsia="Arial" w:hAnsi="Arial" w:cs="Arial"/>
          <w:sz w:val="24"/>
          <w:szCs w:val="24"/>
        </w:rPr>
        <w:t xml:space="preserve">British Heart Foundation (2025) </w:t>
      </w:r>
      <w:r w:rsidRPr="001E722E">
        <w:rPr>
          <w:rFonts w:ascii="Arial" w:eastAsia="Arial" w:hAnsi="Arial" w:cs="Arial"/>
          <w:i/>
          <w:iCs/>
          <w:sz w:val="24"/>
          <w:szCs w:val="24"/>
        </w:rPr>
        <w:t>Heart and circulatory disease statistics 2025 compendium</w:t>
      </w:r>
      <w:r w:rsidRPr="001E722E">
        <w:rPr>
          <w:rFonts w:ascii="Arial" w:eastAsia="Arial" w:hAnsi="Arial" w:cs="Arial"/>
          <w:sz w:val="24"/>
          <w:szCs w:val="24"/>
        </w:rPr>
        <w:t xml:space="preserve">. London: British Heart Foundation. Available at: </w:t>
      </w:r>
      <w:hyperlink r:id="rId24">
        <w:r w:rsidRPr="001E722E">
          <w:rPr>
            <w:rFonts w:ascii="Arial" w:eastAsia="Arial" w:hAnsi="Arial" w:cs="Arial"/>
            <w:color w:val="1155CC"/>
            <w:sz w:val="24"/>
            <w:szCs w:val="24"/>
            <w:u w:val="single"/>
          </w:rPr>
          <w:t>https://www.bhf.org.uk/what-we-do/our-research/heart-statistics/heart-statistics-publications/cardiovascular-disease-statistics-2025</w:t>
        </w:r>
      </w:hyperlink>
      <w:r w:rsidRPr="001E722E">
        <w:rPr>
          <w:rFonts w:ascii="Arial" w:eastAsia="Arial" w:hAnsi="Arial" w:cs="Arial"/>
          <w:sz w:val="24"/>
          <w:szCs w:val="24"/>
        </w:rPr>
        <w:t xml:space="preserve"> (Accessed: 25 September 2026).</w:t>
      </w:r>
    </w:p>
    <w:p w14:paraId="5558E0C7" w14:textId="77777777" w:rsidR="00955984" w:rsidRPr="001E722E" w:rsidRDefault="00161751">
      <w:pPr>
        <w:spacing w:after="160" w:line="360" w:lineRule="auto"/>
        <w:ind w:left="720" w:hanging="720"/>
      </w:pPr>
      <w:r w:rsidRPr="001E722E">
        <w:rPr>
          <w:rFonts w:ascii="Arial" w:eastAsia="Arial" w:hAnsi="Arial" w:cs="Arial"/>
          <w:sz w:val="24"/>
          <w:szCs w:val="24"/>
        </w:rPr>
        <w:lastRenderedPageBreak/>
        <w:t xml:space="preserve">British Heart Foundation (2026) </w:t>
      </w:r>
      <w:r w:rsidRPr="001E722E">
        <w:rPr>
          <w:rFonts w:ascii="Arial" w:eastAsia="Arial" w:hAnsi="Arial" w:cs="Arial"/>
          <w:i/>
          <w:iCs/>
          <w:sz w:val="24"/>
          <w:szCs w:val="24"/>
        </w:rPr>
        <w:t>England cardiovascular disease factsheet, January 2026</w:t>
      </w:r>
      <w:r w:rsidRPr="001E722E">
        <w:rPr>
          <w:rFonts w:ascii="Arial" w:eastAsia="Arial" w:hAnsi="Arial" w:cs="Arial"/>
          <w:sz w:val="24"/>
          <w:szCs w:val="24"/>
        </w:rPr>
        <w:t xml:space="preserve">. London: British Heart Foundation. Available at: </w:t>
      </w:r>
      <w:hyperlink r:id="rId25">
        <w:r w:rsidRPr="001E722E">
          <w:rPr>
            <w:rFonts w:ascii="Arial" w:eastAsia="Arial" w:hAnsi="Arial" w:cs="Arial"/>
            <w:color w:val="1155CC"/>
            <w:sz w:val="24"/>
            <w:szCs w:val="24"/>
            <w:u w:val="single"/>
          </w:rPr>
          <w:t>https://www.bhf.org.uk/what-we-do/our-research/heart-statistics/heart-statistics-publications</w:t>
        </w:r>
      </w:hyperlink>
      <w:r w:rsidRPr="001E722E">
        <w:rPr>
          <w:rFonts w:ascii="Arial" w:eastAsia="Arial" w:hAnsi="Arial" w:cs="Arial"/>
          <w:sz w:val="24"/>
          <w:szCs w:val="24"/>
        </w:rPr>
        <w:t xml:space="preserve"> (Accessed: 25 September 2026).</w:t>
      </w:r>
    </w:p>
    <w:p w14:paraId="4DB419EB" w14:textId="77777777" w:rsidR="00955984" w:rsidRPr="001E722E" w:rsidRDefault="00161751">
      <w:pPr>
        <w:spacing w:after="160" w:line="360" w:lineRule="auto"/>
        <w:ind w:left="720" w:hanging="720"/>
      </w:pPr>
      <w:r w:rsidRPr="001E722E">
        <w:rPr>
          <w:rFonts w:ascii="Arial" w:eastAsia="Arial" w:hAnsi="Arial" w:cs="Arial"/>
          <w:sz w:val="24"/>
          <w:szCs w:val="24"/>
        </w:rPr>
        <w:t xml:space="preserve">Campbell, M., McKenzie, J.E., Sowden, A., </w:t>
      </w:r>
      <w:proofErr w:type="spellStart"/>
      <w:r w:rsidRPr="001E722E">
        <w:rPr>
          <w:rFonts w:ascii="Arial" w:eastAsia="Arial" w:hAnsi="Arial" w:cs="Arial"/>
          <w:sz w:val="24"/>
          <w:szCs w:val="24"/>
        </w:rPr>
        <w:t>Katikireddi</w:t>
      </w:r>
      <w:proofErr w:type="spellEnd"/>
      <w:r w:rsidRPr="001E722E">
        <w:rPr>
          <w:rFonts w:ascii="Arial" w:eastAsia="Arial" w:hAnsi="Arial" w:cs="Arial"/>
          <w:sz w:val="24"/>
          <w:szCs w:val="24"/>
        </w:rPr>
        <w:t>, S.V., Brennan, S.E., Ellis, S., Hartmann-Boyce, J., Ryan, R., Shepperd, S., Thomas, J., Welch, V. and Thomson, H. (2020) 'Synthesis without meta-analysis (</w:t>
      </w:r>
      <w:proofErr w:type="spellStart"/>
      <w:r w:rsidRPr="001E722E">
        <w:rPr>
          <w:rFonts w:ascii="Arial" w:eastAsia="Arial" w:hAnsi="Arial" w:cs="Arial"/>
          <w:sz w:val="24"/>
          <w:szCs w:val="24"/>
        </w:rPr>
        <w:t>SWiM</w:t>
      </w:r>
      <w:proofErr w:type="spellEnd"/>
      <w:r w:rsidRPr="001E722E">
        <w:rPr>
          <w:rFonts w:ascii="Arial" w:eastAsia="Arial" w:hAnsi="Arial" w:cs="Arial"/>
          <w:sz w:val="24"/>
          <w:szCs w:val="24"/>
        </w:rPr>
        <w:t xml:space="preserve">) in systematic reviews: reporting guideline', </w:t>
      </w:r>
      <w:r w:rsidRPr="001E722E">
        <w:rPr>
          <w:rFonts w:ascii="Arial" w:eastAsia="Arial" w:hAnsi="Arial" w:cs="Arial"/>
          <w:i/>
          <w:iCs/>
          <w:sz w:val="24"/>
          <w:szCs w:val="24"/>
        </w:rPr>
        <w:t>BMJ</w:t>
      </w:r>
      <w:r w:rsidRPr="001E722E">
        <w:rPr>
          <w:rFonts w:ascii="Arial" w:eastAsia="Arial" w:hAnsi="Arial" w:cs="Arial"/>
          <w:sz w:val="24"/>
          <w:szCs w:val="24"/>
        </w:rPr>
        <w:t xml:space="preserve">, 368, l6890. Available at: </w:t>
      </w:r>
      <w:hyperlink r:id="rId26">
        <w:r w:rsidRPr="001E722E">
          <w:rPr>
            <w:rFonts w:ascii="Arial" w:eastAsia="Arial" w:hAnsi="Arial" w:cs="Arial"/>
            <w:color w:val="1155CC"/>
            <w:sz w:val="24"/>
            <w:szCs w:val="24"/>
            <w:u w:val="single"/>
          </w:rPr>
          <w:t>https://doi.org/10.1136/bmj.l6890</w:t>
        </w:r>
      </w:hyperlink>
    </w:p>
    <w:p w14:paraId="11532E3B" w14:textId="77777777" w:rsidR="00955984" w:rsidRPr="001E722E" w:rsidRDefault="00161751">
      <w:pPr>
        <w:spacing w:after="160" w:line="360" w:lineRule="auto"/>
        <w:ind w:left="720" w:hanging="720"/>
      </w:pPr>
      <w:r w:rsidRPr="001E722E">
        <w:rPr>
          <w:rFonts w:ascii="Arial" w:eastAsia="Arial" w:hAnsi="Arial" w:cs="Arial"/>
          <w:sz w:val="24"/>
          <w:szCs w:val="24"/>
        </w:rPr>
        <w:t xml:space="preserve">Coghill, N., Garside, L., Montgomery, A.A., Feder, G. and Horwood, J. (2018) 'NHS health checks: a cross-sectional observational study on equity of uptake and outcomes', </w:t>
      </w:r>
      <w:r w:rsidRPr="001E722E">
        <w:rPr>
          <w:rFonts w:ascii="Arial" w:eastAsia="Arial" w:hAnsi="Arial" w:cs="Arial"/>
          <w:i/>
          <w:iCs/>
          <w:sz w:val="24"/>
          <w:szCs w:val="24"/>
        </w:rPr>
        <w:t>BMC Health Services Research</w:t>
      </w:r>
      <w:r w:rsidRPr="001E722E">
        <w:rPr>
          <w:rFonts w:ascii="Arial" w:eastAsia="Arial" w:hAnsi="Arial" w:cs="Arial"/>
          <w:sz w:val="24"/>
          <w:szCs w:val="24"/>
        </w:rPr>
        <w:t xml:space="preserve">, 18, 238. Available at: </w:t>
      </w:r>
      <w:hyperlink r:id="rId27">
        <w:r w:rsidRPr="001E722E">
          <w:rPr>
            <w:rFonts w:ascii="Arial" w:eastAsia="Arial" w:hAnsi="Arial" w:cs="Arial"/>
            <w:color w:val="1155CC"/>
            <w:sz w:val="24"/>
            <w:szCs w:val="24"/>
            <w:u w:val="single"/>
          </w:rPr>
          <w:t>https://doi.org/10.1186/s12913-018-3027-8</w:t>
        </w:r>
      </w:hyperlink>
    </w:p>
    <w:p w14:paraId="3F214974" w14:textId="77777777" w:rsidR="00955984" w:rsidRPr="001E722E" w:rsidRDefault="00161751">
      <w:pPr>
        <w:spacing w:after="160" w:line="360" w:lineRule="auto"/>
        <w:ind w:left="720" w:hanging="720"/>
      </w:pPr>
      <w:r w:rsidRPr="001E722E">
        <w:rPr>
          <w:rFonts w:ascii="Arial" w:eastAsia="Arial" w:hAnsi="Arial" w:cs="Arial"/>
          <w:sz w:val="24"/>
          <w:szCs w:val="24"/>
        </w:rPr>
        <w:t xml:space="preserve">Critical Appraisal Skills Programme (CASP) (2018) </w:t>
      </w:r>
      <w:r w:rsidRPr="001E722E">
        <w:rPr>
          <w:rFonts w:ascii="Arial" w:eastAsia="Arial" w:hAnsi="Arial" w:cs="Arial"/>
          <w:i/>
          <w:iCs/>
          <w:sz w:val="24"/>
          <w:szCs w:val="24"/>
        </w:rPr>
        <w:t>CASP qualitative studies checklist</w:t>
      </w:r>
      <w:r w:rsidRPr="001E722E">
        <w:rPr>
          <w:rFonts w:ascii="Arial" w:eastAsia="Arial" w:hAnsi="Arial" w:cs="Arial"/>
          <w:sz w:val="24"/>
          <w:szCs w:val="24"/>
        </w:rPr>
        <w:t xml:space="preserve">. Oxford: CASP UK. Available at: </w:t>
      </w:r>
      <w:hyperlink r:id="rId28">
        <w:r w:rsidRPr="001E722E">
          <w:rPr>
            <w:rFonts w:ascii="Arial" w:eastAsia="Arial" w:hAnsi="Arial" w:cs="Arial"/>
            <w:color w:val="1155CC"/>
            <w:sz w:val="24"/>
            <w:szCs w:val="24"/>
            <w:u w:val="single"/>
          </w:rPr>
          <w:t>https://casp-uk.net/casp-tools-checklists/</w:t>
        </w:r>
      </w:hyperlink>
      <w:r w:rsidRPr="001E722E">
        <w:rPr>
          <w:rFonts w:ascii="Arial" w:eastAsia="Arial" w:hAnsi="Arial" w:cs="Arial"/>
          <w:sz w:val="24"/>
          <w:szCs w:val="24"/>
        </w:rPr>
        <w:t xml:space="preserve"> (Accessed: 25 September 2026).</w:t>
      </w:r>
    </w:p>
    <w:p w14:paraId="7B0BAD92" w14:textId="77777777" w:rsidR="00955984" w:rsidRPr="001E722E" w:rsidRDefault="00161751">
      <w:pPr>
        <w:spacing w:after="160" w:line="360" w:lineRule="auto"/>
        <w:ind w:left="720" w:hanging="720"/>
      </w:pPr>
      <w:r w:rsidRPr="001E722E">
        <w:rPr>
          <w:rFonts w:ascii="Arial" w:eastAsia="Arial" w:hAnsi="Arial" w:cs="Arial"/>
          <w:sz w:val="24"/>
          <w:szCs w:val="24"/>
        </w:rPr>
        <w:t xml:space="preserve">Dalton, A.R.H., Bottle, A., Okoro, C., Majeed, A. and Millett, C. (2011) 'Uptake of the NHS Health Checks programme in a deprived, culturally diverse setting: cross-sectional study', </w:t>
      </w:r>
      <w:r w:rsidRPr="001E722E">
        <w:rPr>
          <w:rFonts w:ascii="Arial" w:eastAsia="Arial" w:hAnsi="Arial" w:cs="Arial"/>
          <w:i/>
          <w:iCs/>
          <w:sz w:val="24"/>
          <w:szCs w:val="24"/>
        </w:rPr>
        <w:t>Journal of Public Health</w:t>
      </w:r>
      <w:r w:rsidRPr="001E722E">
        <w:rPr>
          <w:rFonts w:ascii="Arial" w:eastAsia="Arial" w:hAnsi="Arial" w:cs="Arial"/>
          <w:sz w:val="24"/>
          <w:szCs w:val="24"/>
        </w:rPr>
        <w:t xml:space="preserve">, 33(3), pp. 422–429. Available at: </w:t>
      </w:r>
      <w:hyperlink r:id="rId29">
        <w:r w:rsidRPr="001E722E">
          <w:rPr>
            <w:rFonts w:ascii="Arial" w:eastAsia="Arial" w:hAnsi="Arial" w:cs="Arial"/>
            <w:color w:val="1155CC"/>
            <w:sz w:val="24"/>
            <w:szCs w:val="24"/>
            <w:u w:val="single"/>
          </w:rPr>
          <w:t>https://doi.org/10.1093/pubmed/fdr034</w:t>
        </w:r>
      </w:hyperlink>
    </w:p>
    <w:p w14:paraId="0A0EB05B" w14:textId="77777777" w:rsidR="00955984" w:rsidRPr="001E722E" w:rsidRDefault="00161751">
      <w:pPr>
        <w:spacing w:after="160" w:line="360" w:lineRule="auto"/>
        <w:ind w:left="720" w:hanging="720"/>
      </w:pPr>
      <w:r w:rsidRPr="001E722E">
        <w:rPr>
          <w:rFonts w:ascii="Arial" w:eastAsia="Arial" w:hAnsi="Arial" w:cs="Arial"/>
          <w:sz w:val="24"/>
          <w:szCs w:val="24"/>
        </w:rPr>
        <w:t xml:space="preserve">Department of Health and Social Care and NHS England (2026) </w:t>
      </w:r>
      <w:proofErr w:type="gramStart"/>
      <w:r w:rsidRPr="001E722E">
        <w:rPr>
          <w:rFonts w:ascii="Arial" w:eastAsia="Arial" w:hAnsi="Arial" w:cs="Arial"/>
          <w:i/>
          <w:iCs/>
          <w:sz w:val="24"/>
          <w:szCs w:val="24"/>
        </w:rPr>
        <w:t>Cardiovascular</w:t>
      </w:r>
      <w:proofErr w:type="gramEnd"/>
      <w:r w:rsidRPr="001E722E">
        <w:rPr>
          <w:rFonts w:ascii="Arial" w:eastAsia="Arial" w:hAnsi="Arial" w:cs="Arial"/>
          <w:i/>
          <w:iCs/>
          <w:sz w:val="24"/>
          <w:szCs w:val="24"/>
        </w:rPr>
        <w:t xml:space="preserve"> disease (CVD) modern service framework (MSF): a cardiovascular-kidney-metabolic approach</w:t>
      </w:r>
      <w:r w:rsidRPr="001E722E">
        <w:rPr>
          <w:rFonts w:ascii="Arial" w:eastAsia="Arial" w:hAnsi="Arial" w:cs="Arial"/>
          <w:sz w:val="24"/>
          <w:szCs w:val="24"/>
        </w:rPr>
        <w:t xml:space="preserve">. London: Department of Health and Social Care. Available at: </w:t>
      </w:r>
      <w:hyperlink r:id="rId30">
        <w:r w:rsidRPr="001E722E">
          <w:rPr>
            <w:rFonts w:ascii="Arial" w:eastAsia="Arial" w:hAnsi="Arial" w:cs="Arial"/>
            <w:color w:val="1155CC"/>
            <w:sz w:val="24"/>
            <w:szCs w:val="24"/>
            <w:u w:val="single"/>
          </w:rPr>
          <w:t>https://assets.publishing.service.gov.uk/media/6a4cfda87abea59ac13fd308/cardiovascular-disease-modern-service-framework.pdf</w:t>
        </w:r>
      </w:hyperlink>
      <w:r w:rsidRPr="001E722E">
        <w:rPr>
          <w:rFonts w:ascii="Arial" w:eastAsia="Arial" w:hAnsi="Arial" w:cs="Arial"/>
          <w:sz w:val="24"/>
          <w:szCs w:val="24"/>
        </w:rPr>
        <w:t xml:space="preserve"> (Accessed: 25 September 2026).</w:t>
      </w:r>
    </w:p>
    <w:p w14:paraId="70903F57" w14:textId="77777777" w:rsidR="00955984" w:rsidRPr="001E722E" w:rsidRDefault="00161751">
      <w:pPr>
        <w:spacing w:after="160" w:line="360" w:lineRule="auto"/>
        <w:ind w:left="720" w:hanging="720"/>
      </w:pPr>
      <w:r w:rsidRPr="001E722E">
        <w:rPr>
          <w:rFonts w:ascii="Arial" w:eastAsia="Arial" w:hAnsi="Arial" w:cs="Arial"/>
          <w:sz w:val="24"/>
          <w:szCs w:val="24"/>
        </w:rPr>
        <w:t xml:space="preserve">Eberhardt, J., Kane, L., Portman, R., Ling, J., Goddard, T., Johnston, M., Robinson, C., Reay, A., Divers, A. and Newbury-Birch, D. (2025) 'Barriers and facilitators of NHS Health Checks in socioeconomically deprived communities in the </w:t>
      </w:r>
      <w:r w:rsidRPr="001E722E">
        <w:rPr>
          <w:rFonts w:ascii="Arial" w:eastAsia="Arial" w:hAnsi="Arial" w:cs="Arial"/>
          <w:sz w:val="24"/>
          <w:szCs w:val="24"/>
        </w:rPr>
        <w:lastRenderedPageBreak/>
        <w:t xml:space="preserve">North East of England: a qualitative study with peer researchers', </w:t>
      </w:r>
      <w:r w:rsidRPr="001E722E">
        <w:rPr>
          <w:rFonts w:ascii="Arial" w:eastAsia="Arial" w:hAnsi="Arial" w:cs="Arial"/>
          <w:i/>
          <w:iCs/>
          <w:sz w:val="24"/>
          <w:szCs w:val="24"/>
        </w:rPr>
        <w:t>Health Expectations</w:t>
      </w:r>
      <w:r w:rsidRPr="001E722E">
        <w:rPr>
          <w:rFonts w:ascii="Arial" w:eastAsia="Arial" w:hAnsi="Arial" w:cs="Arial"/>
          <w:sz w:val="24"/>
          <w:szCs w:val="24"/>
        </w:rPr>
        <w:t xml:space="preserve">, 28, e70199. Available at: </w:t>
      </w:r>
      <w:hyperlink r:id="rId31">
        <w:r w:rsidRPr="001E722E">
          <w:rPr>
            <w:rFonts w:ascii="Arial" w:eastAsia="Arial" w:hAnsi="Arial" w:cs="Arial"/>
            <w:color w:val="1155CC"/>
            <w:sz w:val="24"/>
            <w:szCs w:val="24"/>
            <w:u w:val="single"/>
          </w:rPr>
          <w:t>https://doi.org/10.1111/hex.70199</w:t>
        </w:r>
      </w:hyperlink>
    </w:p>
    <w:p w14:paraId="68DAD3DB" w14:textId="77777777" w:rsidR="00955984" w:rsidRPr="001E722E" w:rsidRDefault="00161751">
      <w:pPr>
        <w:spacing w:after="160" w:line="360" w:lineRule="auto"/>
        <w:ind w:left="720" w:hanging="720"/>
      </w:pPr>
      <w:proofErr w:type="spellStart"/>
      <w:r w:rsidRPr="001E722E">
        <w:rPr>
          <w:rFonts w:ascii="Arial" w:eastAsia="Arial" w:hAnsi="Arial" w:cs="Arial"/>
          <w:sz w:val="24"/>
          <w:szCs w:val="24"/>
        </w:rPr>
        <w:t>Ferozkhan</w:t>
      </w:r>
      <w:proofErr w:type="spellEnd"/>
      <w:r w:rsidRPr="001E722E">
        <w:rPr>
          <w:rFonts w:ascii="Arial" w:eastAsia="Arial" w:hAnsi="Arial" w:cs="Arial"/>
          <w:sz w:val="24"/>
          <w:szCs w:val="24"/>
        </w:rPr>
        <w:t xml:space="preserve">, J., Safi, A. and Hossain, M. (2026) 'Inequalities in NHS Health Check participation in a multiethnic city', </w:t>
      </w:r>
      <w:r w:rsidRPr="001E722E">
        <w:rPr>
          <w:rFonts w:ascii="Arial" w:eastAsia="Arial" w:hAnsi="Arial" w:cs="Arial"/>
          <w:i/>
          <w:iCs/>
          <w:sz w:val="24"/>
          <w:szCs w:val="24"/>
        </w:rPr>
        <w:t>Discover Public Health</w:t>
      </w:r>
      <w:r w:rsidRPr="001E722E">
        <w:rPr>
          <w:rFonts w:ascii="Arial" w:eastAsia="Arial" w:hAnsi="Arial" w:cs="Arial"/>
          <w:sz w:val="24"/>
          <w:szCs w:val="24"/>
        </w:rPr>
        <w:t xml:space="preserve">, 23, 587. Available at: </w:t>
      </w:r>
      <w:hyperlink r:id="rId32">
        <w:r w:rsidRPr="001E722E">
          <w:rPr>
            <w:rFonts w:ascii="Arial" w:eastAsia="Arial" w:hAnsi="Arial" w:cs="Arial"/>
            <w:color w:val="1155CC"/>
            <w:sz w:val="24"/>
            <w:szCs w:val="24"/>
            <w:u w:val="single"/>
          </w:rPr>
          <w:t>https://doi.org/10.1186/s12982-026-01931-0</w:t>
        </w:r>
      </w:hyperlink>
    </w:p>
    <w:p w14:paraId="2DFE5E16" w14:textId="77777777" w:rsidR="00955984" w:rsidRPr="001E722E" w:rsidRDefault="00161751">
      <w:pPr>
        <w:spacing w:after="160" w:line="360" w:lineRule="auto"/>
        <w:ind w:left="720" w:hanging="720"/>
      </w:pPr>
      <w:r w:rsidRPr="001E722E">
        <w:rPr>
          <w:rFonts w:ascii="Arial" w:eastAsia="Arial" w:hAnsi="Arial" w:cs="Arial"/>
          <w:sz w:val="24"/>
          <w:szCs w:val="24"/>
        </w:rPr>
        <w:t xml:space="preserve">Global Burden of Cardiovascular Diseases and Risks 2023 Collaborators (2025) 'Global, regional, and national burden of cardiovascular diseases and risk factors in 204 countries and territories, 1990–2023', </w:t>
      </w:r>
      <w:r w:rsidRPr="001E722E">
        <w:rPr>
          <w:rFonts w:ascii="Arial" w:eastAsia="Arial" w:hAnsi="Arial" w:cs="Arial"/>
          <w:i/>
          <w:iCs/>
          <w:sz w:val="24"/>
          <w:szCs w:val="24"/>
        </w:rPr>
        <w:t>Journal of the American College of Cardiology</w:t>
      </w:r>
      <w:r w:rsidRPr="001E722E">
        <w:rPr>
          <w:rFonts w:ascii="Arial" w:eastAsia="Arial" w:hAnsi="Arial" w:cs="Arial"/>
          <w:sz w:val="24"/>
          <w:szCs w:val="24"/>
        </w:rPr>
        <w:t xml:space="preserve">, 86(22), pp. 2167–2243. Available at: </w:t>
      </w:r>
      <w:hyperlink r:id="rId33">
        <w:r w:rsidRPr="001E722E">
          <w:rPr>
            <w:rFonts w:ascii="Arial" w:eastAsia="Arial" w:hAnsi="Arial" w:cs="Arial"/>
            <w:color w:val="1155CC"/>
            <w:sz w:val="24"/>
            <w:szCs w:val="24"/>
            <w:u w:val="single"/>
          </w:rPr>
          <w:t>https://doi.org/10.1016/j.jacc.2025.08.015</w:t>
        </w:r>
      </w:hyperlink>
    </w:p>
    <w:p w14:paraId="126C508E" w14:textId="77777777" w:rsidR="00955984" w:rsidRPr="001E722E" w:rsidRDefault="00161751">
      <w:pPr>
        <w:spacing w:after="160" w:line="360" w:lineRule="auto"/>
        <w:ind w:left="720" w:hanging="720"/>
      </w:pPr>
      <w:r w:rsidRPr="001E722E">
        <w:rPr>
          <w:rFonts w:ascii="Arial" w:eastAsia="Arial" w:hAnsi="Arial" w:cs="Arial"/>
          <w:sz w:val="24"/>
          <w:szCs w:val="24"/>
        </w:rPr>
        <w:t xml:space="preserve">Health Innovation Network (2026) </w:t>
      </w:r>
      <w:r w:rsidRPr="001E722E">
        <w:rPr>
          <w:rFonts w:ascii="Arial" w:eastAsia="Arial" w:hAnsi="Arial" w:cs="Arial"/>
          <w:i/>
          <w:iCs/>
          <w:sz w:val="24"/>
          <w:szCs w:val="24"/>
        </w:rPr>
        <w:t>Report: Cardiovascular Disease (CVD) Health Inequalities projects in South East London</w:t>
      </w:r>
      <w:r w:rsidRPr="001E722E">
        <w:rPr>
          <w:rFonts w:ascii="Arial" w:eastAsia="Arial" w:hAnsi="Arial" w:cs="Arial"/>
          <w:sz w:val="24"/>
          <w:szCs w:val="24"/>
        </w:rPr>
        <w:t xml:space="preserve">. London: Health Innovation Network South London. Available at: </w:t>
      </w:r>
      <w:hyperlink r:id="rId34">
        <w:r w:rsidRPr="001E722E">
          <w:rPr>
            <w:rFonts w:ascii="Arial" w:eastAsia="Arial" w:hAnsi="Arial" w:cs="Arial"/>
            <w:color w:val="1155CC"/>
            <w:sz w:val="24"/>
            <w:szCs w:val="24"/>
            <w:u w:val="single"/>
          </w:rPr>
          <w:t>https://healthinnovationnetwork.com/projects/report-cardiovascular-disease-cvd-health-inequalities-projects-in-south-east-london/</w:t>
        </w:r>
      </w:hyperlink>
      <w:r w:rsidRPr="001E722E">
        <w:rPr>
          <w:rFonts w:ascii="Arial" w:eastAsia="Arial" w:hAnsi="Arial" w:cs="Arial"/>
          <w:sz w:val="24"/>
          <w:szCs w:val="24"/>
        </w:rPr>
        <w:t xml:space="preserve"> (Accessed: 27 August 2026).</w:t>
      </w:r>
    </w:p>
    <w:p w14:paraId="605B13E7" w14:textId="77777777" w:rsidR="00955984" w:rsidRPr="001E722E" w:rsidRDefault="00161751">
      <w:pPr>
        <w:spacing w:after="160" w:line="360" w:lineRule="auto"/>
        <w:ind w:left="720" w:hanging="720"/>
      </w:pPr>
      <w:r w:rsidRPr="001E722E">
        <w:rPr>
          <w:rFonts w:ascii="Arial" w:eastAsia="Arial" w:hAnsi="Arial" w:cs="Arial"/>
          <w:sz w:val="24"/>
          <w:szCs w:val="24"/>
        </w:rPr>
        <w:t xml:space="preserve">Health Research Authority (2020) </w:t>
      </w:r>
      <w:r w:rsidRPr="001E722E">
        <w:rPr>
          <w:rFonts w:ascii="Arial" w:eastAsia="Arial" w:hAnsi="Arial" w:cs="Arial"/>
          <w:i/>
          <w:iCs/>
          <w:sz w:val="24"/>
          <w:szCs w:val="24"/>
        </w:rPr>
        <w:t>Guidance on health and social care research projects for educational purposes</w:t>
      </w:r>
      <w:r w:rsidRPr="001E722E">
        <w:rPr>
          <w:rFonts w:ascii="Arial" w:eastAsia="Arial" w:hAnsi="Arial" w:cs="Arial"/>
          <w:sz w:val="24"/>
          <w:szCs w:val="24"/>
        </w:rPr>
        <w:t xml:space="preserve">. London: Health Research Authority. Available at: </w:t>
      </w:r>
      <w:hyperlink r:id="rId35">
        <w:r w:rsidRPr="001E722E">
          <w:rPr>
            <w:rFonts w:ascii="Arial" w:eastAsia="Arial" w:hAnsi="Arial" w:cs="Arial"/>
            <w:color w:val="1155CC"/>
            <w:sz w:val="24"/>
            <w:szCs w:val="24"/>
            <w:u w:val="single"/>
          </w:rPr>
          <w:t>https://www.hra.nhs.uk/</w:t>
        </w:r>
      </w:hyperlink>
      <w:r w:rsidRPr="001E722E">
        <w:rPr>
          <w:rFonts w:ascii="Arial" w:eastAsia="Arial" w:hAnsi="Arial" w:cs="Arial"/>
          <w:sz w:val="24"/>
          <w:szCs w:val="24"/>
        </w:rPr>
        <w:t xml:space="preserve"> (Accessed: 2 September 2026).</w:t>
      </w:r>
    </w:p>
    <w:p w14:paraId="2117673A" w14:textId="77777777" w:rsidR="00955984" w:rsidRPr="001E722E" w:rsidRDefault="00161751">
      <w:pPr>
        <w:spacing w:after="160" w:line="360" w:lineRule="auto"/>
        <w:ind w:left="720" w:hanging="720"/>
      </w:pPr>
      <w:r w:rsidRPr="001E722E">
        <w:rPr>
          <w:rFonts w:ascii="Arial" w:eastAsia="Arial" w:hAnsi="Arial" w:cs="Arial"/>
          <w:sz w:val="24"/>
          <w:szCs w:val="24"/>
        </w:rPr>
        <w:t xml:space="preserve">Hossain, M. (2026) 'Gendered patterns of engagement with NHS Health Checks in a super-diverse city: community perspectives and implications for equity', </w:t>
      </w:r>
      <w:r w:rsidRPr="001E722E">
        <w:rPr>
          <w:rFonts w:ascii="Arial" w:eastAsia="Arial" w:hAnsi="Arial" w:cs="Arial"/>
          <w:i/>
          <w:iCs/>
          <w:sz w:val="24"/>
          <w:szCs w:val="24"/>
        </w:rPr>
        <w:t>Public Health Challenges</w:t>
      </w:r>
      <w:r w:rsidRPr="001E722E">
        <w:rPr>
          <w:rFonts w:ascii="Arial" w:eastAsia="Arial" w:hAnsi="Arial" w:cs="Arial"/>
          <w:sz w:val="24"/>
          <w:szCs w:val="24"/>
        </w:rPr>
        <w:t xml:space="preserve">. Available at: </w:t>
      </w:r>
      <w:hyperlink r:id="rId36">
        <w:r w:rsidRPr="001E722E">
          <w:rPr>
            <w:rFonts w:ascii="Arial" w:eastAsia="Arial" w:hAnsi="Arial" w:cs="Arial"/>
            <w:color w:val="1155CC"/>
            <w:sz w:val="24"/>
            <w:szCs w:val="24"/>
            <w:u w:val="single"/>
          </w:rPr>
          <w:t>https://doi.org/10.1002/puh2.70331</w:t>
        </w:r>
      </w:hyperlink>
    </w:p>
    <w:p w14:paraId="19DFDB8A" w14:textId="77777777" w:rsidR="00955984" w:rsidRPr="001E722E" w:rsidRDefault="00161751">
      <w:pPr>
        <w:spacing w:after="160" w:line="360" w:lineRule="auto"/>
        <w:ind w:left="720" w:hanging="720"/>
      </w:pPr>
      <w:r w:rsidRPr="001E722E">
        <w:rPr>
          <w:rFonts w:ascii="Arial" w:eastAsia="Arial" w:hAnsi="Arial" w:cs="Arial"/>
          <w:sz w:val="24"/>
          <w:szCs w:val="24"/>
        </w:rPr>
        <w:t xml:space="preserve">Janz, N.K. and Becker, M.H. (1984) 'The Health Belief Model: a decade later', </w:t>
      </w:r>
      <w:r w:rsidRPr="001E722E">
        <w:rPr>
          <w:rFonts w:ascii="Arial" w:eastAsia="Arial" w:hAnsi="Arial" w:cs="Arial"/>
          <w:i/>
          <w:iCs/>
          <w:sz w:val="24"/>
          <w:szCs w:val="24"/>
        </w:rPr>
        <w:t>Health Education Quarterly</w:t>
      </w:r>
      <w:r w:rsidRPr="001E722E">
        <w:rPr>
          <w:rFonts w:ascii="Arial" w:eastAsia="Arial" w:hAnsi="Arial" w:cs="Arial"/>
          <w:sz w:val="24"/>
          <w:szCs w:val="24"/>
        </w:rPr>
        <w:t xml:space="preserve">, 11(1), pp. 1–47. Available at: </w:t>
      </w:r>
      <w:hyperlink r:id="rId37">
        <w:r w:rsidRPr="001E722E">
          <w:rPr>
            <w:rFonts w:ascii="Arial" w:eastAsia="Arial" w:hAnsi="Arial" w:cs="Arial"/>
            <w:color w:val="1155CC"/>
            <w:sz w:val="24"/>
            <w:szCs w:val="24"/>
            <w:u w:val="single"/>
          </w:rPr>
          <w:t>https://doi.org/10.1177/109019818401100101</w:t>
        </w:r>
      </w:hyperlink>
    </w:p>
    <w:p w14:paraId="3BF5EAD7" w14:textId="77777777" w:rsidR="00955984" w:rsidRPr="001E722E" w:rsidRDefault="00161751">
      <w:pPr>
        <w:spacing w:after="160" w:line="360" w:lineRule="auto"/>
        <w:ind w:left="720" w:hanging="720"/>
      </w:pPr>
      <w:r w:rsidRPr="001E722E">
        <w:rPr>
          <w:rFonts w:ascii="Arial" w:eastAsia="Arial" w:hAnsi="Arial" w:cs="Arial"/>
          <w:sz w:val="24"/>
          <w:szCs w:val="24"/>
        </w:rPr>
        <w:t xml:space="preserve">Junghans, C., Antonacci, G., Williams, A. and Harris, M. (2023) 'Learning from the universal, proactive outreach of the Brazilian Community Health Worker model: impact of a Community Health and Wellbeing Worker initiative on vaccination, cancer screening and NHS Health Check uptake in a deprived community in the UK', </w:t>
      </w:r>
      <w:r w:rsidRPr="001E722E">
        <w:rPr>
          <w:rFonts w:ascii="Arial" w:eastAsia="Arial" w:hAnsi="Arial" w:cs="Arial"/>
          <w:i/>
          <w:iCs/>
          <w:sz w:val="24"/>
          <w:szCs w:val="24"/>
        </w:rPr>
        <w:t>BMC Health Services Research</w:t>
      </w:r>
      <w:r w:rsidRPr="001E722E">
        <w:rPr>
          <w:rFonts w:ascii="Arial" w:eastAsia="Arial" w:hAnsi="Arial" w:cs="Arial"/>
          <w:sz w:val="24"/>
          <w:szCs w:val="24"/>
        </w:rPr>
        <w:t xml:space="preserve">, 23, 1092. Available at: </w:t>
      </w:r>
      <w:hyperlink r:id="rId38">
        <w:r w:rsidRPr="001E722E">
          <w:rPr>
            <w:rFonts w:ascii="Arial" w:eastAsia="Arial" w:hAnsi="Arial" w:cs="Arial"/>
            <w:color w:val="1155CC"/>
            <w:sz w:val="24"/>
            <w:szCs w:val="24"/>
            <w:u w:val="single"/>
          </w:rPr>
          <w:t>https://doi.org/10.1186/s12913-023-10084-8</w:t>
        </w:r>
      </w:hyperlink>
    </w:p>
    <w:p w14:paraId="643F0C4D" w14:textId="77777777" w:rsidR="00955984" w:rsidRPr="001E722E" w:rsidRDefault="00161751">
      <w:pPr>
        <w:spacing w:after="160" w:line="360" w:lineRule="auto"/>
        <w:ind w:left="720" w:hanging="720"/>
      </w:pPr>
      <w:proofErr w:type="spellStart"/>
      <w:r w:rsidRPr="001E722E">
        <w:rPr>
          <w:rFonts w:ascii="Arial" w:eastAsia="Arial" w:hAnsi="Arial" w:cs="Arial"/>
          <w:sz w:val="24"/>
          <w:szCs w:val="24"/>
        </w:rPr>
        <w:lastRenderedPageBreak/>
        <w:t>Lecouturier</w:t>
      </w:r>
      <w:proofErr w:type="spellEnd"/>
      <w:r w:rsidRPr="001E722E">
        <w:rPr>
          <w:rFonts w:ascii="Arial" w:eastAsia="Arial" w:hAnsi="Arial" w:cs="Arial"/>
          <w:sz w:val="24"/>
          <w:szCs w:val="24"/>
        </w:rPr>
        <w:t xml:space="preserve">, J., Rodgers, H., Murtagh, M.J., White, M., Ford, G.A. and Thomson, R.G. (2010) 'Systematic review of mass media interventions designed to improve public recognition of stroke symptoms, emergency response and early treatment', </w:t>
      </w:r>
      <w:r w:rsidRPr="001E722E">
        <w:rPr>
          <w:rFonts w:ascii="Arial" w:eastAsia="Arial" w:hAnsi="Arial" w:cs="Arial"/>
          <w:i/>
          <w:iCs/>
          <w:sz w:val="24"/>
          <w:szCs w:val="24"/>
        </w:rPr>
        <w:t>BMC Public Health</w:t>
      </w:r>
      <w:r w:rsidRPr="001E722E">
        <w:rPr>
          <w:rFonts w:ascii="Arial" w:eastAsia="Arial" w:hAnsi="Arial" w:cs="Arial"/>
          <w:sz w:val="24"/>
          <w:szCs w:val="24"/>
        </w:rPr>
        <w:t xml:space="preserve">, 10, 784. Available at: </w:t>
      </w:r>
      <w:hyperlink r:id="rId39">
        <w:r w:rsidRPr="001E722E">
          <w:rPr>
            <w:rFonts w:ascii="Arial" w:eastAsia="Arial" w:hAnsi="Arial" w:cs="Arial"/>
            <w:color w:val="1155CC"/>
            <w:sz w:val="24"/>
            <w:szCs w:val="24"/>
            <w:u w:val="single"/>
          </w:rPr>
          <w:t>https://doi.org/10.1186/1471-2458-10-784</w:t>
        </w:r>
      </w:hyperlink>
    </w:p>
    <w:p w14:paraId="61C7C9C7" w14:textId="77777777" w:rsidR="00955984" w:rsidRPr="001E722E" w:rsidRDefault="00161751">
      <w:pPr>
        <w:spacing w:after="160" w:line="360" w:lineRule="auto"/>
        <w:ind w:left="720" w:hanging="720"/>
      </w:pPr>
      <w:r w:rsidRPr="001E722E">
        <w:rPr>
          <w:rFonts w:ascii="Arial" w:eastAsia="Arial" w:hAnsi="Arial" w:cs="Arial"/>
          <w:sz w:val="24"/>
          <w:szCs w:val="24"/>
        </w:rPr>
        <w:t xml:space="preserve">Lim, B.C., Kueh, Y.C., Arifin, W.N. and Ng, K.H. (2021) 'Modelling knowledge, health beliefs, and health-promoting behaviours related to cardiovascular disease prevention among Malaysian university students', </w:t>
      </w:r>
      <w:proofErr w:type="spellStart"/>
      <w:r w:rsidRPr="001E722E">
        <w:rPr>
          <w:rFonts w:ascii="Arial" w:eastAsia="Arial" w:hAnsi="Arial" w:cs="Arial"/>
          <w:i/>
          <w:iCs/>
          <w:sz w:val="24"/>
          <w:szCs w:val="24"/>
        </w:rPr>
        <w:t>PLoS</w:t>
      </w:r>
      <w:proofErr w:type="spellEnd"/>
      <w:r w:rsidRPr="001E722E">
        <w:rPr>
          <w:rFonts w:ascii="Arial" w:eastAsia="Arial" w:hAnsi="Arial" w:cs="Arial"/>
          <w:i/>
          <w:iCs/>
          <w:sz w:val="24"/>
          <w:szCs w:val="24"/>
        </w:rPr>
        <w:t xml:space="preserve"> ONE</w:t>
      </w:r>
      <w:r w:rsidRPr="001E722E">
        <w:rPr>
          <w:rFonts w:ascii="Arial" w:eastAsia="Arial" w:hAnsi="Arial" w:cs="Arial"/>
          <w:sz w:val="24"/>
          <w:szCs w:val="24"/>
        </w:rPr>
        <w:t xml:space="preserve">, 16(4), e0250627. Available at: </w:t>
      </w:r>
      <w:hyperlink r:id="rId40">
        <w:r w:rsidRPr="001E722E">
          <w:rPr>
            <w:rFonts w:ascii="Arial" w:eastAsia="Arial" w:hAnsi="Arial" w:cs="Arial"/>
            <w:color w:val="1155CC"/>
            <w:sz w:val="24"/>
            <w:szCs w:val="24"/>
            <w:u w:val="single"/>
          </w:rPr>
          <w:t>https://doi.org/10.1371/journal.pone.0250627</w:t>
        </w:r>
      </w:hyperlink>
    </w:p>
    <w:p w14:paraId="4894AF09" w14:textId="77777777" w:rsidR="00955984" w:rsidRPr="001E722E" w:rsidRDefault="00161751">
      <w:pPr>
        <w:spacing w:after="160" w:line="360" w:lineRule="auto"/>
        <w:ind w:left="720" w:hanging="720"/>
      </w:pPr>
      <w:r w:rsidRPr="001E722E">
        <w:rPr>
          <w:rFonts w:ascii="Arial" w:eastAsia="Arial" w:hAnsi="Arial" w:cs="Arial"/>
          <w:sz w:val="24"/>
          <w:szCs w:val="24"/>
        </w:rPr>
        <w:t xml:space="preserve">Long, H.A., French, D.P. and Brooks, J.M. (2020) 'Optimising the value of the critical appraisal skills programme (CASP) tool for quality appraisal in qualitative evidence synthesis', </w:t>
      </w:r>
      <w:r w:rsidRPr="001E722E">
        <w:rPr>
          <w:rFonts w:ascii="Arial" w:eastAsia="Arial" w:hAnsi="Arial" w:cs="Arial"/>
          <w:i/>
          <w:iCs/>
          <w:sz w:val="24"/>
          <w:szCs w:val="24"/>
        </w:rPr>
        <w:t>Research Methods in Medicine &amp; Health Sciences</w:t>
      </w:r>
      <w:r w:rsidRPr="001E722E">
        <w:rPr>
          <w:rFonts w:ascii="Arial" w:eastAsia="Arial" w:hAnsi="Arial" w:cs="Arial"/>
          <w:sz w:val="24"/>
          <w:szCs w:val="24"/>
        </w:rPr>
        <w:t xml:space="preserve">, 1(1), pp. 31–42. Available at: </w:t>
      </w:r>
      <w:hyperlink r:id="rId41">
        <w:r w:rsidRPr="001E722E">
          <w:rPr>
            <w:rFonts w:ascii="Arial" w:eastAsia="Arial" w:hAnsi="Arial" w:cs="Arial"/>
            <w:color w:val="1155CC"/>
            <w:sz w:val="24"/>
            <w:szCs w:val="24"/>
            <w:u w:val="single"/>
          </w:rPr>
          <w:t>https://doi.org/10.1177/2632084320947559</w:t>
        </w:r>
      </w:hyperlink>
    </w:p>
    <w:p w14:paraId="0B0BBAA6" w14:textId="77777777" w:rsidR="00955984" w:rsidRPr="001E722E" w:rsidRDefault="00161751">
      <w:pPr>
        <w:spacing w:after="160" w:line="360" w:lineRule="auto"/>
        <w:ind w:left="720" w:hanging="720"/>
      </w:pPr>
      <w:proofErr w:type="gramStart"/>
      <w:r w:rsidRPr="001E722E">
        <w:rPr>
          <w:rFonts w:ascii="Arial" w:eastAsia="Arial" w:hAnsi="Arial" w:cs="Arial"/>
          <w:sz w:val="24"/>
          <w:szCs w:val="24"/>
        </w:rPr>
        <w:t xml:space="preserve">Marmot, M., Allen, J., Boyce, T., Goldblatt, P. and Morrison, J. (2020) </w:t>
      </w:r>
      <w:r w:rsidRPr="001E722E">
        <w:rPr>
          <w:rFonts w:ascii="Arial" w:eastAsia="Arial" w:hAnsi="Arial" w:cs="Arial"/>
          <w:i/>
          <w:iCs/>
          <w:sz w:val="24"/>
          <w:szCs w:val="24"/>
        </w:rPr>
        <w:t>Health equity in England: the Marmot Review 10 years on</w:t>
      </w:r>
      <w:r w:rsidRPr="001E722E">
        <w:rPr>
          <w:rFonts w:ascii="Arial" w:eastAsia="Arial" w:hAnsi="Arial" w:cs="Arial"/>
          <w:sz w:val="24"/>
          <w:szCs w:val="24"/>
        </w:rPr>
        <w:t>.</w:t>
      </w:r>
      <w:proofErr w:type="gramEnd"/>
      <w:r w:rsidRPr="001E722E">
        <w:rPr>
          <w:rFonts w:ascii="Arial" w:eastAsia="Arial" w:hAnsi="Arial" w:cs="Arial"/>
          <w:sz w:val="24"/>
          <w:szCs w:val="24"/>
        </w:rPr>
        <w:t xml:space="preserve"> London: Institute of Health Equity. Available at: </w:t>
      </w:r>
      <w:hyperlink r:id="rId42">
        <w:r w:rsidRPr="001E722E">
          <w:rPr>
            <w:rFonts w:ascii="Arial" w:eastAsia="Arial" w:hAnsi="Arial" w:cs="Arial"/>
            <w:color w:val="1155CC"/>
            <w:sz w:val="24"/>
            <w:szCs w:val="24"/>
            <w:u w:val="single"/>
          </w:rPr>
          <w:t>https://www.instituteofhealthequity.org/resources-reports/marmot-review-10-years-on</w:t>
        </w:r>
      </w:hyperlink>
      <w:r w:rsidRPr="001E722E">
        <w:rPr>
          <w:rFonts w:ascii="Arial" w:eastAsia="Arial" w:hAnsi="Arial" w:cs="Arial"/>
          <w:sz w:val="24"/>
          <w:szCs w:val="24"/>
        </w:rPr>
        <w:t xml:space="preserve"> (Accessed: 25 September 2026).</w:t>
      </w:r>
    </w:p>
    <w:p w14:paraId="5C0425A1" w14:textId="77777777" w:rsidR="00955984" w:rsidRPr="001E722E" w:rsidRDefault="00161751">
      <w:pPr>
        <w:spacing w:after="160" w:line="360" w:lineRule="auto"/>
        <w:ind w:left="720" w:hanging="720"/>
      </w:pPr>
      <w:r w:rsidRPr="001E722E">
        <w:rPr>
          <w:rFonts w:ascii="Arial" w:eastAsia="Arial" w:hAnsi="Arial" w:cs="Arial"/>
          <w:sz w:val="24"/>
          <w:szCs w:val="24"/>
        </w:rPr>
        <w:t xml:space="preserve">Mata, J., Frank, R. and Gigerenzer, G. (2012) 'Symptom recognition of heart attack and stroke in nine European countries: a representative survey', </w:t>
      </w:r>
      <w:r w:rsidRPr="001E722E">
        <w:rPr>
          <w:rFonts w:ascii="Arial" w:eastAsia="Arial" w:hAnsi="Arial" w:cs="Arial"/>
          <w:i/>
          <w:iCs/>
          <w:sz w:val="24"/>
          <w:szCs w:val="24"/>
        </w:rPr>
        <w:t>Health Expectations</w:t>
      </w:r>
      <w:r w:rsidRPr="001E722E">
        <w:rPr>
          <w:rFonts w:ascii="Arial" w:eastAsia="Arial" w:hAnsi="Arial" w:cs="Arial"/>
          <w:sz w:val="24"/>
          <w:szCs w:val="24"/>
        </w:rPr>
        <w:t xml:space="preserve">, 17(3), pp. 376–387. Available at: </w:t>
      </w:r>
      <w:hyperlink r:id="rId43">
        <w:r w:rsidRPr="001E722E">
          <w:rPr>
            <w:rFonts w:ascii="Arial" w:eastAsia="Arial" w:hAnsi="Arial" w:cs="Arial"/>
            <w:color w:val="1155CC"/>
            <w:sz w:val="24"/>
            <w:szCs w:val="24"/>
            <w:u w:val="single"/>
          </w:rPr>
          <w:t>https://doi.org/10.1111/j.1369-7625.2011.00764.x</w:t>
        </w:r>
      </w:hyperlink>
    </w:p>
    <w:p w14:paraId="26247B97" w14:textId="77777777" w:rsidR="00955984" w:rsidRPr="001E722E" w:rsidRDefault="00161751">
      <w:pPr>
        <w:spacing w:after="160" w:line="360" w:lineRule="auto"/>
        <w:ind w:left="720" w:hanging="720"/>
      </w:pPr>
      <w:proofErr w:type="spellStart"/>
      <w:r w:rsidRPr="001E722E">
        <w:rPr>
          <w:rFonts w:ascii="Arial" w:eastAsia="Arial" w:hAnsi="Arial" w:cs="Arial"/>
          <w:sz w:val="24"/>
          <w:szCs w:val="24"/>
        </w:rPr>
        <w:t>Mohammadkhah</w:t>
      </w:r>
      <w:proofErr w:type="spellEnd"/>
      <w:r w:rsidRPr="001E722E">
        <w:rPr>
          <w:rFonts w:ascii="Arial" w:eastAsia="Arial" w:hAnsi="Arial" w:cs="Arial"/>
          <w:sz w:val="24"/>
          <w:szCs w:val="24"/>
        </w:rPr>
        <w:t xml:space="preserve">, F., </w:t>
      </w:r>
      <w:proofErr w:type="spellStart"/>
      <w:r w:rsidRPr="001E722E">
        <w:rPr>
          <w:rFonts w:ascii="Arial" w:eastAsia="Arial" w:hAnsi="Arial" w:cs="Arial"/>
          <w:sz w:val="24"/>
          <w:szCs w:val="24"/>
        </w:rPr>
        <w:t>Shamsalinia</w:t>
      </w:r>
      <w:proofErr w:type="spellEnd"/>
      <w:r w:rsidRPr="001E722E">
        <w:rPr>
          <w:rFonts w:ascii="Arial" w:eastAsia="Arial" w:hAnsi="Arial" w:cs="Arial"/>
          <w:sz w:val="24"/>
          <w:szCs w:val="24"/>
        </w:rPr>
        <w:t xml:space="preserve">, A., Rajabi, F., Afzali Hasirini, P. and Khani Jeihooni, A. (2023) 'The effect of educational intervention in the prevention of cardiovascular diseases in patients with hypertension with application of health belief model: a quasi-experimental study', </w:t>
      </w:r>
      <w:r w:rsidRPr="001E722E">
        <w:rPr>
          <w:rFonts w:ascii="Arial" w:eastAsia="Arial" w:hAnsi="Arial" w:cs="Arial"/>
          <w:i/>
          <w:iCs/>
          <w:sz w:val="24"/>
          <w:szCs w:val="24"/>
        </w:rPr>
        <w:t>JRSM Cardiovascular Disease</w:t>
      </w:r>
      <w:r w:rsidRPr="001E722E">
        <w:rPr>
          <w:rFonts w:ascii="Arial" w:eastAsia="Arial" w:hAnsi="Arial" w:cs="Arial"/>
          <w:sz w:val="24"/>
          <w:szCs w:val="24"/>
        </w:rPr>
        <w:t xml:space="preserve">, 12, 20480040231212278. Available at: </w:t>
      </w:r>
      <w:hyperlink r:id="rId44">
        <w:r w:rsidRPr="001E722E">
          <w:rPr>
            <w:rFonts w:ascii="Arial" w:eastAsia="Arial" w:hAnsi="Arial" w:cs="Arial"/>
            <w:color w:val="1155CC"/>
            <w:sz w:val="24"/>
            <w:szCs w:val="24"/>
            <w:u w:val="single"/>
          </w:rPr>
          <w:t>https://doi.org/10.1177/20480040231212278</w:t>
        </w:r>
      </w:hyperlink>
    </w:p>
    <w:p w14:paraId="60A60B1F" w14:textId="77777777" w:rsidR="00955984" w:rsidRPr="001E722E" w:rsidRDefault="00161751">
      <w:pPr>
        <w:spacing w:after="160" w:line="360" w:lineRule="auto"/>
        <w:ind w:left="720" w:hanging="720"/>
      </w:pPr>
      <w:r w:rsidRPr="001E722E">
        <w:rPr>
          <w:rFonts w:ascii="Arial" w:eastAsia="Arial" w:hAnsi="Arial" w:cs="Arial"/>
          <w:sz w:val="24"/>
          <w:szCs w:val="24"/>
        </w:rPr>
        <w:t xml:space="preserve">NHS England (2023) </w:t>
      </w:r>
      <w:r w:rsidRPr="001E722E">
        <w:rPr>
          <w:rFonts w:ascii="Arial" w:eastAsia="Arial" w:hAnsi="Arial" w:cs="Arial"/>
          <w:i/>
          <w:iCs/>
          <w:sz w:val="24"/>
          <w:szCs w:val="24"/>
        </w:rPr>
        <w:t>NHS Health Check programme: annual data</w:t>
      </w:r>
      <w:r w:rsidRPr="001E722E">
        <w:rPr>
          <w:rFonts w:ascii="Arial" w:eastAsia="Arial" w:hAnsi="Arial" w:cs="Arial"/>
          <w:sz w:val="24"/>
          <w:szCs w:val="24"/>
        </w:rPr>
        <w:t xml:space="preserve">. Available at: </w:t>
      </w:r>
      <w:hyperlink r:id="rId45">
        <w:r w:rsidRPr="001E722E">
          <w:rPr>
            <w:rFonts w:ascii="Arial" w:eastAsia="Arial" w:hAnsi="Arial" w:cs="Arial"/>
            <w:color w:val="1155CC"/>
            <w:sz w:val="24"/>
            <w:szCs w:val="24"/>
            <w:u w:val="single"/>
          </w:rPr>
          <w:t>https://www.england.nhs.uk/</w:t>
        </w:r>
      </w:hyperlink>
      <w:r w:rsidRPr="001E722E">
        <w:rPr>
          <w:rFonts w:ascii="Arial" w:eastAsia="Arial" w:hAnsi="Arial" w:cs="Arial"/>
          <w:sz w:val="24"/>
          <w:szCs w:val="24"/>
        </w:rPr>
        <w:t xml:space="preserve"> (Accessed: 2 September 2026).</w:t>
      </w:r>
    </w:p>
    <w:p w14:paraId="5D059819" w14:textId="77777777" w:rsidR="00955984" w:rsidRPr="001E722E" w:rsidRDefault="00161751">
      <w:pPr>
        <w:spacing w:after="160" w:line="360" w:lineRule="auto"/>
        <w:ind w:left="720" w:hanging="720"/>
      </w:pPr>
      <w:r w:rsidRPr="001E722E">
        <w:rPr>
          <w:rFonts w:ascii="Arial" w:eastAsia="Arial" w:hAnsi="Arial" w:cs="Arial"/>
          <w:sz w:val="24"/>
          <w:szCs w:val="24"/>
        </w:rPr>
        <w:lastRenderedPageBreak/>
        <w:t xml:space="preserve">Norman, P. and Fitter, M. (1989) 'Intention to attend a health screening appointment: some implications for general practice', </w:t>
      </w:r>
      <w:r w:rsidRPr="001E722E">
        <w:rPr>
          <w:rFonts w:ascii="Arial" w:eastAsia="Arial" w:hAnsi="Arial" w:cs="Arial"/>
          <w:i/>
          <w:iCs/>
          <w:sz w:val="24"/>
          <w:szCs w:val="24"/>
        </w:rPr>
        <w:t>Counselling Psychology Quarterly</w:t>
      </w:r>
      <w:r w:rsidRPr="001E722E">
        <w:rPr>
          <w:rFonts w:ascii="Arial" w:eastAsia="Arial" w:hAnsi="Arial" w:cs="Arial"/>
          <w:sz w:val="24"/>
          <w:szCs w:val="24"/>
        </w:rPr>
        <w:t xml:space="preserve">, 2(3), pp. 261–272. Available at: </w:t>
      </w:r>
      <w:hyperlink r:id="rId46">
        <w:r w:rsidRPr="001E722E">
          <w:rPr>
            <w:rFonts w:ascii="Arial" w:eastAsia="Arial" w:hAnsi="Arial" w:cs="Arial"/>
            <w:color w:val="1155CC"/>
            <w:sz w:val="24"/>
            <w:szCs w:val="24"/>
            <w:u w:val="single"/>
          </w:rPr>
          <w:t>https://doi.org/10.1080/09515078908256682</w:t>
        </w:r>
      </w:hyperlink>
    </w:p>
    <w:p w14:paraId="3AA8F03E" w14:textId="77777777" w:rsidR="00955984" w:rsidRPr="001E722E" w:rsidRDefault="00161751">
      <w:pPr>
        <w:spacing w:after="160" w:line="360" w:lineRule="auto"/>
        <w:ind w:left="720" w:hanging="720"/>
      </w:pPr>
      <w:r w:rsidRPr="001E722E">
        <w:rPr>
          <w:rFonts w:ascii="Arial" w:eastAsia="Arial" w:hAnsi="Arial" w:cs="Arial"/>
          <w:sz w:val="24"/>
          <w:szCs w:val="24"/>
        </w:rPr>
        <w:t xml:space="preserve">Page, M.J., McKenzie, J.E., </w:t>
      </w:r>
      <w:proofErr w:type="spellStart"/>
      <w:r w:rsidRPr="001E722E">
        <w:rPr>
          <w:rFonts w:ascii="Arial" w:eastAsia="Arial" w:hAnsi="Arial" w:cs="Arial"/>
          <w:sz w:val="24"/>
          <w:szCs w:val="24"/>
        </w:rPr>
        <w:t>Bossuyt</w:t>
      </w:r>
      <w:proofErr w:type="spellEnd"/>
      <w:r w:rsidRPr="001E722E">
        <w:rPr>
          <w:rFonts w:ascii="Arial" w:eastAsia="Arial" w:hAnsi="Arial" w:cs="Arial"/>
          <w:sz w:val="24"/>
          <w:szCs w:val="24"/>
        </w:rPr>
        <w:t xml:space="preserve">, P.M., </w:t>
      </w:r>
      <w:proofErr w:type="spellStart"/>
      <w:r w:rsidRPr="001E722E">
        <w:rPr>
          <w:rFonts w:ascii="Arial" w:eastAsia="Arial" w:hAnsi="Arial" w:cs="Arial"/>
          <w:sz w:val="24"/>
          <w:szCs w:val="24"/>
        </w:rPr>
        <w:t>Boutron</w:t>
      </w:r>
      <w:proofErr w:type="spellEnd"/>
      <w:r w:rsidRPr="001E722E">
        <w:rPr>
          <w:rFonts w:ascii="Arial" w:eastAsia="Arial" w:hAnsi="Arial" w:cs="Arial"/>
          <w:sz w:val="24"/>
          <w:szCs w:val="24"/>
        </w:rPr>
        <w:t xml:space="preserve">, I., Hoffmann, T.C., </w:t>
      </w:r>
      <w:proofErr w:type="spellStart"/>
      <w:r w:rsidRPr="001E722E">
        <w:rPr>
          <w:rFonts w:ascii="Arial" w:eastAsia="Arial" w:hAnsi="Arial" w:cs="Arial"/>
          <w:sz w:val="24"/>
          <w:szCs w:val="24"/>
        </w:rPr>
        <w:t>Mulrow</w:t>
      </w:r>
      <w:proofErr w:type="spellEnd"/>
      <w:r w:rsidRPr="001E722E">
        <w:rPr>
          <w:rFonts w:ascii="Arial" w:eastAsia="Arial" w:hAnsi="Arial" w:cs="Arial"/>
          <w:sz w:val="24"/>
          <w:szCs w:val="24"/>
        </w:rPr>
        <w:t xml:space="preserve">, C.D., </w:t>
      </w:r>
      <w:proofErr w:type="spellStart"/>
      <w:r w:rsidRPr="001E722E">
        <w:rPr>
          <w:rFonts w:ascii="Arial" w:eastAsia="Arial" w:hAnsi="Arial" w:cs="Arial"/>
          <w:sz w:val="24"/>
          <w:szCs w:val="24"/>
        </w:rPr>
        <w:t>Shamseer</w:t>
      </w:r>
      <w:proofErr w:type="spellEnd"/>
      <w:r w:rsidRPr="001E722E">
        <w:rPr>
          <w:rFonts w:ascii="Arial" w:eastAsia="Arial" w:hAnsi="Arial" w:cs="Arial"/>
          <w:sz w:val="24"/>
          <w:szCs w:val="24"/>
        </w:rPr>
        <w:t xml:space="preserve">, L., Tetzlaff, J.M., Akl, E.A., Brennan, S.E., Chou, R., Glanville, J., Grimshaw, J.M., Hróbjartsson, A., Lalu, M.M., Li, T., Loder, E.W., Mayo-Wilson, E., McDonald, S., McGuinness, L.A., Stewart, L.A., Thomas, J., </w:t>
      </w:r>
      <w:proofErr w:type="spellStart"/>
      <w:r w:rsidRPr="001E722E">
        <w:rPr>
          <w:rFonts w:ascii="Arial" w:eastAsia="Arial" w:hAnsi="Arial" w:cs="Arial"/>
          <w:sz w:val="24"/>
          <w:szCs w:val="24"/>
        </w:rPr>
        <w:t>Tricco</w:t>
      </w:r>
      <w:proofErr w:type="spellEnd"/>
      <w:r w:rsidRPr="001E722E">
        <w:rPr>
          <w:rFonts w:ascii="Arial" w:eastAsia="Arial" w:hAnsi="Arial" w:cs="Arial"/>
          <w:sz w:val="24"/>
          <w:szCs w:val="24"/>
        </w:rPr>
        <w:t xml:space="preserve">, A.C., Welch, V.A., Whiting, P. and Moher, D. (2021) 'The PRISMA 2020 statement: an updated guideline for reporting systematic reviews', </w:t>
      </w:r>
      <w:r w:rsidRPr="001E722E">
        <w:rPr>
          <w:rFonts w:ascii="Arial" w:eastAsia="Arial" w:hAnsi="Arial" w:cs="Arial"/>
          <w:i/>
          <w:iCs/>
          <w:sz w:val="24"/>
          <w:szCs w:val="24"/>
        </w:rPr>
        <w:t>BMJ</w:t>
      </w:r>
      <w:r w:rsidRPr="001E722E">
        <w:rPr>
          <w:rFonts w:ascii="Arial" w:eastAsia="Arial" w:hAnsi="Arial" w:cs="Arial"/>
          <w:sz w:val="24"/>
          <w:szCs w:val="24"/>
        </w:rPr>
        <w:t xml:space="preserve">, 372, n71. Available at: </w:t>
      </w:r>
      <w:hyperlink r:id="rId47">
        <w:r w:rsidRPr="001E722E">
          <w:rPr>
            <w:rFonts w:ascii="Arial" w:eastAsia="Arial" w:hAnsi="Arial" w:cs="Arial"/>
            <w:color w:val="1155CC"/>
            <w:sz w:val="24"/>
            <w:szCs w:val="24"/>
            <w:u w:val="single"/>
          </w:rPr>
          <w:t>https://doi.org/10.1136/bmj.n71</w:t>
        </w:r>
      </w:hyperlink>
    </w:p>
    <w:p w14:paraId="7E154958" w14:textId="77777777" w:rsidR="00955984" w:rsidRPr="001E722E" w:rsidRDefault="00161751">
      <w:pPr>
        <w:spacing w:after="160" w:line="360" w:lineRule="auto"/>
        <w:ind w:left="720" w:hanging="720"/>
      </w:pPr>
      <w:r w:rsidRPr="001E722E">
        <w:rPr>
          <w:rFonts w:ascii="Arial" w:eastAsia="Arial" w:hAnsi="Arial" w:cs="Arial"/>
          <w:sz w:val="24"/>
          <w:szCs w:val="24"/>
        </w:rPr>
        <w:t xml:space="preserve">Patel, R., Barnard, S., Thompson, K., </w:t>
      </w:r>
      <w:proofErr w:type="spellStart"/>
      <w:r w:rsidRPr="001E722E">
        <w:rPr>
          <w:rFonts w:ascii="Arial" w:eastAsia="Arial" w:hAnsi="Arial" w:cs="Arial"/>
          <w:sz w:val="24"/>
          <w:szCs w:val="24"/>
        </w:rPr>
        <w:t>Lagord</w:t>
      </w:r>
      <w:proofErr w:type="spellEnd"/>
      <w:r w:rsidRPr="001E722E">
        <w:rPr>
          <w:rFonts w:ascii="Arial" w:eastAsia="Arial" w:hAnsi="Arial" w:cs="Arial"/>
          <w:sz w:val="24"/>
          <w:szCs w:val="24"/>
        </w:rPr>
        <w:t xml:space="preserve">, C., Clegg, E., Worrall, R., Evans, T., Carter, S., Flowers, J., Roberts, D., Nuttall, M., Samani, N.J., Robson, J., Kearney, M., </w:t>
      </w:r>
      <w:proofErr w:type="spellStart"/>
      <w:r w:rsidRPr="001E722E">
        <w:rPr>
          <w:rFonts w:ascii="Arial" w:eastAsia="Arial" w:hAnsi="Arial" w:cs="Arial"/>
          <w:sz w:val="24"/>
          <w:szCs w:val="24"/>
        </w:rPr>
        <w:t>Deanfield</w:t>
      </w:r>
      <w:proofErr w:type="spellEnd"/>
      <w:r w:rsidRPr="001E722E">
        <w:rPr>
          <w:rFonts w:ascii="Arial" w:eastAsia="Arial" w:hAnsi="Arial" w:cs="Arial"/>
          <w:sz w:val="24"/>
          <w:szCs w:val="24"/>
        </w:rPr>
        <w:t xml:space="preserve">, J. and </w:t>
      </w:r>
      <w:proofErr w:type="spellStart"/>
      <w:r w:rsidRPr="001E722E">
        <w:rPr>
          <w:rFonts w:ascii="Arial" w:eastAsia="Arial" w:hAnsi="Arial" w:cs="Arial"/>
          <w:sz w:val="24"/>
          <w:szCs w:val="24"/>
        </w:rPr>
        <w:t>Waterall</w:t>
      </w:r>
      <w:proofErr w:type="spellEnd"/>
      <w:r w:rsidRPr="001E722E">
        <w:rPr>
          <w:rFonts w:ascii="Arial" w:eastAsia="Arial" w:hAnsi="Arial" w:cs="Arial"/>
          <w:sz w:val="24"/>
          <w:szCs w:val="24"/>
        </w:rPr>
        <w:t xml:space="preserve">, J. (2020) 'Evaluation of the uptake and delivery of the NHS Health Check programme in England, using primary care data from 9.5 million people: a cross-sectional study', </w:t>
      </w:r>
      <w:r w:rsidRPr="001E722E">
        <w:rPr>
          <w:rFonts w:ascii="Arial" w:eastAsia="Arial" w:hAnsi="Arial" w:cs="Arial"/>
          <w:i/>
          <w:iCs/>
          <w:sz w:val="24"/>
          <w:szCs w:val="24"/>
        </w:rPr>
        <w:t>BMJ Open</w:t>
      </w:r>
      <w:r w:rsidRPr="001E722E">
        <w:rPr>
          <w:rFonts w:ascii="Arial" w:eastAsia="Arial" w:hAnsi="Arial" w:cs="Arial"/>
          <w:sz w:val="24"/>
          <w:szCs w:val="24"/>
        </w:rPr>
        <w:t xml:space="preserve">, 10(11), e042963. Available at: </w:t>
      </w:r>
      <w:hyperlink r:id="rId48">
        <w:r w:rsidRPr="001E722E">
          <w:rPr>
            <w:rFonts w:ascii="Arial" w:eastAsia="Arial" w:hAnsi="Arial" w:cs="Arial"/>
            <w:color w:val="1155CC"/>
            <w:sz w:val="24"/>
            <w:szCs w:val="24"/>
            <w:u w:val="single"/>
          </w:rPr>
          <w:t>https://doi.org/10.1136/bmjopen-2020-042963</w:t>
        </w:r>
      </w:hyperlink>
    </w:p>
    <w:p w14:paraId="11ABB879" w14:textId="77777777" w:rsidR="00955984" w:rsidRPr="001E722E" w:rsidRDefault="00161751">
      <w:pPr>
        <w:spacing w:after="160" w:line="360" w:lineRule="auto"/>
        <w:ind w:left="720" w:hanging="720"/>
      </w:pPr>
      <w:r w:rsidRPr="001E722E">
        <w:rPr>
          <w:rFonts w:ascii="Arial" w:eastAsia="Arial" w:hAnsi="Arial" w:cs="Arial"/>
          <w:sz w:val="24"/>
          <w:szCs w:val="24"/>
        </w:rPr>
        <w:t xml:space="preserve">Popay, J., Roberts, H., Sowden, A., Petticrew, M., Arai, L., Rodgers, M., Britten, N., Roen, K. and Duffy, S. (2006) </w:t>
      </w:r>
      <w:r w:rsidRPr="001E722E">
        <w:rPr>
          <w:rFonts w:ascii="Arial" w:eastAsia="Arial" w:hAnsi="Arial" w:cs="Arial"/>
          <w:i/>
          <w:iCs/>
          <w:sz w:val="24"/>
          <w:szCs w:val="24"/>
        </w:rPr>
        <w:t>Guidance on the conduct of narrative synthesis in systematic reviews: a product from the ESRC Methods Programme</w:t>
      </w:r>
      <w:r w:rsidRPr="001E722E">
        <w:rPr>
          <w:rFonts w:ascii="Arial" w:eastAsia="Arial" w:hAnsi="Arial" w:cs="Arial"/>
          <w:sz w:val="24"/>
          <w:szCs w:val="24"/>
        </w:rPr>
        <w:t xml:space="preserve">. Lancaster: Lancaster University. Available at: </w:t>
      </w:r>
      <w:hyperlink r:id="rId49">
        <w:r w:rsidRPr="001E722E">
          <w:rPr>
            <w:rFonts w:ascii="Arial" w:eastAsia="Arial" w:hAnsi="Arial" w:cs="Arial"/>
            <w:color w:val="1155CC"/>
            <w:sz w:val="24"/>
            <w:szCs w:val="24"/>
            <w:u w:val="single"/>
          </w:rPr>
          <w:t>https://www.lancaster.ac.uk/media/lancaster-university/content-assets/documents/fhm/dhr/chir/NSsynthesisguidanceVersion1-April2006.pdf</w:t>
        </w:r>
      </w:hyperlink>
      <w:r w:rsidRPr="001E722E">
        <w:rPr>
          <w:rFonts w:ascii="Arial" w:eastAsia="Arial" w:hAnsi="Arial" w:cs="Arial"/>
          <w:sz w:val="24"/>
          <w:szCs w:val="24"/>
        </w:rPr>
        <w:t xml:space="preserve"> (Accessed: 25 September 2026).</w:t>
      </w:r>
    </w:p>
    <w:p w14:paraId="03D0A50B" w14:textId="77777777" w:rsidR="00955984" w:rsidRPr="001E722E" w:rsidRDefault="00161751">
      <w:pPr>
        <w:spacing w:after="160" w:line="360" w:lineRule="auto"/>
        <w:ind w:left="720" w:hanging="720"/>
      </w:pPr>
      <w:r w:rsidRPr="001E722E">
        <w:rPr>
          <w:rFonts w:ascii="Arial" w:eastAsia="Arial" w:hAnsi="Arial" w:cs="Arial"/>
          <w:sz w:val="24"/>
          <w:szCs w:val="24"/>
        </w:rPr>
        <w:t xml:space="preserve">Riley, R., Coghill, N., Montgomery, A., Feder, G. and Horwood, J. (2016) 'Experiences of patients and healthcare professionals of NHS cardiovascular health checks: a qualitative study', </w:t>
      </w:r>
      <w:r w:rsidRPr="001E722E">
        <w:rPr>
          <w:rFonts w:ascii="Arial" w:eastAsia="Arial" w:hAnsi="Arial" w:cs="Arial"/>
          <w:i/>
          <w:iCs/>
          <w:sz w:val="24"/>
          <w:szCs w:val="24"/>
        </w:rPr>
        <w:t>Journal of Public Health</w:t>
      </w:r>
      <w:r w:rsidRPr="001E722E">
        <w:rPr>
          <w:rFonts w:ascii="Arial" w:eastAsia="Arial" w:hAnsi="Arial" w:cs="Arial"/>
          <w:sz w:val="24"/>
          <w:szCs w:val="24"/>
        </w:rPr>
        <w:t xml:space="preserve">, 38(3), pp. 543–551. Available at: </w:t>
      </w:r>
      <w:hyperlink r:id="rId50">
        <w:r w:rsidRPr="001E722E">
          <w:rPr>
            <w:rFonts w:ascii="Arial" w:eastAsia="Arial" w:hAnsi="Arial" w:cs="Arial"/>
            <w:color w:val="1155CC"/>
            <w:sz w:val="24"/>
            <w:szCs w:val="24"/>
            <w:u w:val="single"/>
          </w:rPr>
          <w:t>https://doi.org/10.1093/pubmed/fdv121</w:t>
        </w:r>
      </w:hyperlink>
    </w:p>
    <w:p w14:paraId="76585B7A" w14:textId="77777777" w:rsidR="00955984" w:rsidRPr="001E722E" w:rsidRDefault="00161751">
      <w:pPr>
        <w:spacing w:after="160" w:line="360" w:lineRule="auto"/>
        <w:ind w:left="720" w:hanging="720"/>
      </w:pPr>
      <w:r w:rsidRPr="001E722E">
        <w:rPr>
          <w:rFonts w:ascii="Arial" w:eastAsia="Arial" w:hAnsi="Arial" w:cs="Arial"/>
          <w:sz w:val="24"/>
          <w:szCs w:val="24"/>
        </w:rPr>
        <w:t xml:space="preserve">Robson, J., Garriga, C., Coupland, C. and Hippisley-Cox, J. (2021) 'NHS Health Checks: an observational study of equity and outcomes 2009–2017', </w:t>
      </w:r>
      <w:r w:rsidRPr="001E722E">
        <w:rPr>
          <w:rFonts w:ascii="Arial" w:eastAsia="Arial" w:hAnsi="Arial" w:cs="Arial"/>
          <w:i/>
          <w:iCs/>
          <w:sz w:val="24"/>
          <w:szCs w:val="24"/>
        </w:rPr>
        <w:t>British Journal of General Practice</w:t>
      </w:r>
      <w:r w:rsidRPr="001E722E">
        <w:rPr>
          <w:rFonts w:ascii="Arial" w:eastAsia="Arial" w:hAnsi="Arial" w:cs="Arial"/>
          <w:sz w:val="24"/>
          <w:szCs w:val="24"/>
        </w:rPr>
        <w:t xml:space="preserve">, 71(710), pp. e701–e710. Available at: </w:t>
      </w:r>
      <w:hyperlink r:id="rId51">
        <w:r w:rsidRPr="001E722E">
          <w:rPr>
            <w:rFonts w:ascii="Arial" w:eastAsia="Arial" w:hAnsi="Arial" w:cs="Arial"/>
            <w:color w:val="1155CC"/>
            <w:sz w:val="24"/>
            <w:szCs w:val="24"/>
            <w:u w:val="single"/>
          </w:rPr>
          <w:t>https://doi.org/10.3399/BJGP.2020.1021</w:t>
        </w:r>
      </w:hyperlink>
    </w:p>
    <w:p w14:paraId="36BA5846" w14:textId="77777777" w:rsidR="00955984" w:rsidRPr="001E722E" w:rsidRDefault="00161751">
      <w:pPr>
        <w:spacing w:after="160" w:line="360" w:lineRule="auto"/>
        <w:ind w:left="720" w:hanging="720"/>
      </w:pPr>
      <w:r w:rsidRPr="001E722E">
        <w:rPr>
          <w:rFonts w:ascii="Arial" w:eastAsia="Arial" w:hAnsi="Arial" w:cs="Arial"/>
          <w:sz w:val="24"/>
          <w:szCs w:val="24"/>
        </w:rPr>
        <w:lastRenderedPageBreak/>
        <w:t xml:space="preserve">Saffari, M., </w:t>
      </w:r>
      <w:proofErr w:type="spellStart"/>
      <w:r w:rsidRPr="001E722E">
        <w:rPr>
          <w:rFonts w:ascii="Arial" w:eastAsia="Arial" w:hAnsi="Arial" w:cs="Arial"/>
          <w:sz w:val="24"/>
          <w:szCs w:val="24"/>
        </w:rPr>
        <w:t>Sanaeinasab</w:t>
      </w:r>
      <w:proofErr w:type="spellEnd"/>
      <w:r w:rsidRPr="001E722E">
        <w:rPr>
          <w:rFonts w:ascii="Arial" w:eastAsia="Arial" w:hAnsi="Arial" w:cs="Arial"/>
          <w:sz w:val="24"/>
          <w:szCs w:val="24"/>
        </w:rPr>
        <w:t xml:space="preserve">, H., Rashidi-Jahan, H., Aghazadeh, F., Raei, M., Rahmati, F., Al Zaben, F. and Koenig, H.G. (2024) 'An intervention program using the health belief model to modify lifestyle in coronary heart disease: randomized controlled trial', </w:t>
      </w:r>
      <w:r w:rsidRPr="001E722E">
        <w:rPr>
          <w:rFonts w:ascii="Arial" w:eastAsia="Arial" w:hAnsi="Arial" w:cs="Arial"/>
          <w:i/>
          <w:iCs/>
          <w:sz w:val="24"/>
          <w:szCs w:val="24"/>
        </w:rPr>
        <w:t xml:space="preserve">International Journal of </w:t>
      </w:r>
      <w:proofErr w:type="spellStart"/>
      <w:r w:rsidRPr="001E722E">
        <w:rPr>
          <w:rFonts w:ascii="Arial" w:eastAsia="Arial" w:hAnsi="Arial" w:cs="Arial"/>
          <w:i/>
          <w:iCs/>
          <w:sz w:val="24"/>
          <w:szCs w:val="24"/>
        </w:rPr>
        <w:t>Behavioral</w:t>
      </w:r>
      <w:proofErr w:type="spellEnd"/>
      <w:r w:rsidRPr="001E722E">
        <w:rPr>
          <w:rFonts w:ascii="Arial" w:eastAsia="Arial" w:hAnsi="Arial" w:cs="Arial"/>
          <w:i/>
          <w:iCs/>
          <w:sz w:val="24"/>
          <w:szCs w:val="24"/>
        </w:rPr>
        <w:t xml:space="preserve"> Medicine</w:t>
      </w:r>
      <w:r w:rsidRPr="001E722E">
        <w:rPr>
          <w:rFonts w:ascii="Arial" w:eastAsia="Arial" w:hAnsi="Arial" w:cs="Arial"/>
          <w:sz w:val="24"/>
          <w:szCs w:val="24"/>
        </w:rPr>
        <w:t xml:space="preserve">, 31(4), pp. 631–641. Available at: </w:t>
      </w:r>
      <w:hyperlink r:id="rId52">
        <w:r w:rsidRPr="001E722E">
          <w:rPr>
            <w:rFonts w:ascii="Arial" w:eastAsia="Arial" w:hAnsi="Arial" w:cs="Arial"/>
            <w:color w:val="1155CC"/>
            <w:sz w:val="24"/>
            <w:szCs w:val="24"/>
            <w:u w:val="single"/>
          </w:rPr>
          <w:t>https://doi.org/10.1007/s12529-023-10201-1</w:t>
        </w:r>
      </w:hyperlink>
    </w:p>
    <w:p w14:paraId="25D94023" w14:textId="77777777" w:rsidR="00955984" w:rsidRPr="001E722E" w:rsidRDefault="00161751">
      <w:pPr>
        <w:spacing w:after="160" w:line="360" w:lineRule="auto"/>
        <w:ind w:left="720" w:hanging="720"/>
      </w:pPr>
      <w:r w:rsidRPr="001E722E">
        <w:rPr>
          <w:rFonts w:ascii="Arial" w:eastAsia="Arial" w:hAnsi="Arial" w:cs="Arial"/>
          <w:sz w:val="24"/>
          <w:szCs w:val="24"/>
        </w:rPr>
        <w:t xml:space="preserve">Safi, A., Jadhakhan, F. and Hossain, M. (2026) 'Ethnic disparities in awareness, engagement and acceptance of NHS Health Checks: a community-led participatory study in Birmingham, UK', </w:t>
      </w:r>
      <w:r w:rsidRPr="001E722E">
        <w:rPr>
          <w:rFonts w:ascii="Arial" w:eastAsia="Arial" w:hAnsi="Arial" w:cs="Arial"/>
          <w:i/>
          <w:iCs/>
          <w:sz w:val="24"/>
          <w:szCs w:val="24"/>
        </w:rPr>
        <w:t>Discover Public Health</w:t>
      </w:r>
      <w:r w:rsidRPr="001E722E">
        <w:rPr>
          <w:rFonts w:ascii="Arial" w:eastAsia="Arial" w:hAnsi="Arial" w:cs="Arial"/>
          <w:sz w:val="24"/>
          <w:szCs w:val="24"/>
        </w:rPr>
        <w:t xml:space="preserve">, 23, 333. Available at: </w:t>
      </w:r>
      <w:hyperlink r:id="rId53">
        <w:r w:rsidRPr="001E722E">
          <w:rPr>
            <w:rFonts w:ascii="Arial" w:eastAsia="Arial" w:hAnsi="Arial" w:cs="Arial"/>
            <w:color w:val="1155CC"/>
            <w:sz w:val="24"/>
            <w:szCs w:val="24"/>
            <w:u w:val="single"/>
          </w:rPr>
          <w:t>https://doi.org/10.1186/s12982-026-01676-w</w:t>
        </w:r>
      </w:hyperlink>
    </w:p>
    <w:p w14:paraId="1A7E35DD" w14:textId="77777777" w:rsidR="00955984" w:rsidRPr="001E722E" w:rsidRDefault="00161751">
      <w:pPr>
        <w:spacing w:after="160" w:line="360" w:lineRule="auto"/>
        <w:ind w:left="720" w:hanging="720"/>
      </w:pPr>
      <w:r w:rsidRPr="001E722E">
        <w:rPr>
          <w:rFonts w:ascii="Arial" w:eastAsia="Arial" w:hAnsi="Arial" w:cs="Arial"/>
          <w:sz w:val="24"/>
          <w:szCs w:val="24"/>
        </w:rPr>
        <w:t xml:space="preserve">Sheridan, S.L., Viera, A.J., Krantz, M.J., Ice, C.L., Steinman, L.E., Peters, K.E., Kopin, L.A. and </w:t>
      </w:r>
      <w:proofErr w:type="spellStart"/>
      <w:r w:rsidRPr="001E722E">
        <w:rPr>
          <w:rFonts w:ascii="Arial" w:eastAsia="Arial" w:hAnsi="Arial" w:cs="Arial"/>
          <w:sz w:val="24"/>
          <w:szCs w:val="24"/>
        </w:rPr>
        <w:t>Lungelow</w:t>
      </w:r>
      <w:proofErr w:type="spellEnd"/>
      <w:r w:rsidRPr="001E722E">
        <w:rPr>
          <w:rFonts w:ascii="Arial" w:eastAsia="Arial" w:hAnsi="Arial" w:cs="Arial"/>
          <w:sz w:val="24"/>
          <w:szCs w:val="24"/>
        </w:rPr>
        <w:t xml:space="preserve">, D. (2010) 'The effect of giving global coronary risk information to adults: a systematic review', </w:t>
      </w:r>
      <w:r w:rsidRPr="001E722E">
        <w:rPr>
          <w:rFonts w:ascii="Arial" w:eastAsia="Arial" w:hAnsi="Arial" w:cs="Arial"/>
          <w:i/>
          <w:iCs/>
          <w:sz w:val="24"/>
          <w:szCs w:val="24"/>
        </w:rPr>
        <w:t>Archives of Internal Medicine</w:t>
      </w:r>
      <w:r w:rsidRPr="001E722E">
        <w:rPr>
          <w:rFonts w:ascii="Arial" w:eastAsia="Arial" w:hAnsi="Arial" w:cs="Arial"/>
          <w:sz w:val="24"/>
          <w:szCs w:val="24"/>
        </w:rPr>
        <w:t xml:space="preserve">, 170(3), pp. 230–239. Available at: </w:t>
      </w:r>
      <w:hyperlink r:id="rId54">
        <w:r w:rsidRPr="001E722E">
          <w:rPr>
            <w:rFonts w:ascii="Arial" w:eastAsia="Arial" w:hAnsi="Arial" w:cs="Arial"/>
            <w:color w:val="1155CC"/>
            <w:sz w:val="24"/>
            <w:szCs w:val="24"/>
            <w:u w:val="single"/>
          </w:rPr>
          <w:t>https://doi.org/10.1001/archinternmed.2009.516</w:t>
        </w:r>
      </w:hyperlink>
    </w:p>
    <w:p w14:paraId="76E52D22" w14:textId="77777777" w:rsidR="00955984" w:rsidRPr="001E722E" w:rsidRDefault="00161751">
      <w:pPr>
        <w:spacing w:after="160" w:line="360" w:lineRule="auto"/>
        <w:ind w:left="720" w:hanging="720"/>
      </w:pPr>
      <w:r w:rsidRPr="001E722E">
        <w:rPr>
          <w:rFonts w:ascii="Arial" w:eastAsia="Arial" w:hAnsi="Arial" w:cs="Arial"/>
          <w:sz w:val="24"/>
          <w:szCs w:val="24"/>
        </w:rPr>
        <w:t xml:space="preserve">Smith, K., Cameron, P., Nehme, Z., Stub, D., Finn, J., Bray, J.E., Eastwood, K. and Howell, S. (2021) 'Impact of a mass media campaign on presentations and ambulance use for acute coronary syndrome', </w:t>
      </w:r>
      <w:r w:rsidRPr="001E722E">
        <w:rPr>
          <w:rFonts w:ascii="Arial" w:eastAsia="Arial" w:hAnsi="Arial" w:cs="Arial"/>
          <w:i/>
          <w:iCs/>
          <w:sz w:val="24"/>
          <w:szCs w:val="24"/>
        </w:rPr>
        <w:t>Open Heart</w:t>
      </w:r>
      <w:r w:rsidRPr="001E722E">
        <w:rPr>
          <w:rFonts w:ascii="Arial" w:eastAsia="Arial" w:hAnsi="Arial" w:cs="Arial"/>
          <w:sz w:val="24"/>
          <w:szCs w:val="24"/>
        </w:rPr>
        <w:t xml:space="preserve">, 8(2), e001792. Available at: </w:t>
      </w:r>
      <w:hyperlink r:id="rId55">
        <w:r w:rsidRPr="001E722E">
          <w:rPr>
            <w:rFonts w:ascii="Arial" w:eastAsia="Arial" w:hAnsi="Arial" w:cs="Arial"/>
            <w:color w:val="1155CC"/>
            <w:sz w:val="24"/>
            <w:szCs w:val="24"/>
            <w:u w:val="single"/>
          </w:rPr>
          <w:t>https://doi.org/10.1136/openhrt-2021-001792</w:t>
        </w:r>
      </w:hyperlink>
    </w:p>
    <w:p w14:paraId="510166FD" w14:textId="77777777" w:rsidR="00955984" w:rsidRPr="001E722E" w:rsidRDefault="00161751">
      <w:pPr>
        <w:spacing w:after="160" w:line="360" w:lineRule="auto"/>
        <w:ind w:left="720" w:hanging="720"/>
      </w:pPr>
      <w:r w:rsidRPr="001E722E">
        <w:rPr>
          <w:rFonts w:ascii="Arial" w:eastAsia="Arial" w:hAnsi="Arial" w:cs="Arial"/>
          <w:sz w:val="24"/>
          <w:szCs w:val="24"/>
        </w:rPr>
        <w:t xml:space="preserve">Stead, M., Angus, K., Langley, T., </w:t>
      </w:r>
      <w:proofErr w:type="spellStart"/>
      <w:r w:rsidRPr="001E722E">
        <w:rPr>
          <w:rFonts w:ascii="Arial" w:eastAsia="Arial" w:hAnsi="Arial" w:cs="Arial"/>
          <w:sz w:val="24"/>
          <w:szCs w:val="24"/>
        </w:rPr>
        <w:t>Katikireddi</w:t>
      </w:r>
      <w:proofErr w:type="spellEnd"/>
      <w:r w:rsidRPr="001E722E">
        <w:rPr>
          <w:rFonts w:ascii="Arial" w:eastAsia="Arial" w:hAnsi="Arial" w:cs="Arial"/>
          <w:sz w:val="24"/>
          <w:szCs w:val="24"/>
        </w:rPr>
        <w:t xml:space="preserve">, S.V., Hinds, K., Hilton, S., Lewis, S., Thomas, J., Campbell, M., Young, B. and Bauld, L. (2019) 'Mass media to communicate public health messages in six health topic areas: a systematic review and other reviews of the evidence', </w:t>
      </w:r>
      <w:r w:rsidRPr="001E722E">
        <w:rPr>
          <w:rFonts w:ascii="Arial" w:eastAsia="Arial" w:hAnsi="Arial" w:cs="Arial"/>
          <w:i/>
          <w:iCs/>
          <w:sz w:val="24"/>
          <w:szCs w:val="24"/>
        </w:rPr>
        <w:t>Public Health Research</w:t>
      </w:r>
      <w:r w:rsidRPr="001E722E">
        <w:rPr>
          <w:rFonts w:ascii="Arial" w:eastAsia="Arial" w:hAnsi="Arial" w:cs="Arial"/>
          <w:sz w:val="24"/>
          <w:szCs w:val="24"/>
        </w:rPr>
        <w:t xml:space="preserve">, 7(8). Available at: </w:t>
      </w:r>
      <w:hyperlink r:id="rId56">
        <w:r w:rsidRPr="001E722E">
          <w:rPr>
            <w:rFonts w:ascii="Arial" w:eastAsia="Arial" w:hAnsi="Arial" w:cs="Arial"/>
            <w:color w:val="1155CC"/>
            <w:sz w:val="24"/>
            <w:szCs w:val="24"/>
            <w:u w:val="single"/>
          </w:rPr>
          <w:t>https://doi.org/10.3310/phr07080</w:t>
        </w:r>
      </w:hyperlink>
    </w:p>
    <w:p w14:paraId="3DD8D8A5" w14:textId="77777777" w:rsidR="00955984" w:rsidRPr="001E722E" w:rsidRDefault="00161751">
      <w:pPr>
        <w:spacing w:after="160" w:line="360" w:lineRule="auto"/>
        <w:ind w:left="720" w:hanging="720"/>
      </w:pPr>
      <w:r w:rsidRPr="001E722E">
        <w:rPr>
          <w:rFonts w:ascii="Arial" w:eastAsia="Arial" w:hAnsi="Arial" w:cs="Arial"/>
          <w:sz w:val="24"/>
          <w:szCs w:val="24"/>
        </w:rPr>
        <w:t xml:space="preserve">Taylor, J. and Bell, C. (2025) 'Evaluating the effectiveness of primary care health checks at assessing cardiovascular risks among ethnic minorities in the UK: a systematic review', </w:t>
      </w:r>
      <w:r w:rsidRPr="001E722E">
        <w:rPr>
          <w:rFonts w:ascii="Arial" w:eastAsia="Arial" w:hAnsi="Arial" w:cs="Arial"/>
          <w:i/>
          <w:iCs/>
          <w:sz w:val="24"/>
          <w:szCs w:val="24"/>
        </w:rPr>
        <w:t>Reviews in Cardiovascular Medicine</w:t>
      </w:r>
      <w:r w:rsidRPr="001E722E">
        <w:rPr>
          <w:rFonts w:ascii="Arial" w:eastAsia="Arial" w:hAnsi="Arial" w:cs="Arial"/>
          <w:sz w:val="24"/>
          <w:szCs w:val="24"/>
        </w:rPr>
        <w:t xml:space="preserve">, 26(1), 25614. Available at: </w:t>
      </w:r>
      <w:hyperlink r:id="rId57">
        <w:r w:rsidRPr="001E722E">
          <w:rPr>
            <w:rFonts w:ascii="Arial" w:eastAsia="Arial" w:hAnsi="Arial" w:cs="Arial"/>
            <w:color w:val="1155CC"/>
            <w:sz w:val="24"/>
            <w:szCs w:val="24"/>
            <w:u w:val="single"/>
          </w:rPr>
          <w:t>https://doi.org/10.31083/RCM25614</w:t>
        </w:r>
      </w:hyperlink>
    </w:p>
    <w:p w14:paraId="42FBF886" w14:textId="77777777" w:rsidR="00955984" w:rsidRPr="001E722E" w:rsidRDefault="00161751">
      <w:pPr>
        <w:spacing w:after="160" w:line="360" w:lineRule="auto"/>
        <w:ind w:left="720" w:hanging="720"/>
      </w:pPr>
      <w:r w:rsidRPr="001E722E">
        <w:rPr>
          <w:rFonts w:ascii="Arial" w:eastAsia="Arial" w:hAnsi="Arial" w:cs="Arial"/>
          <w:sz w:val="24"/>
          <w:szCs w:val="24"/>
        </w:rPr>
        <w:t xml:space="preserve">Thomas, J. and Harden, A. (2008) 'Methods for the thematic synthesis of qualitative research in systematic reviews', </w:t>
      </w:r>
      <w:r w:rsidRPr="001E722E">
        <w:rPr>
          <w:rFonts w:ascii="Arial" w:eastAsia="Arial" w:hAnsi="Arial" w:cs="Arial"/>
          <w:i/>
          <w:iCs/>
          <w:sz w:val="24"/>
          <w:szCs w:val="24"/>
        </w:rPr>
        <w:t>BMC Medical Research Methodology</w:t>
      </w:r>
      <w:r w:rsidRPr="001E722E">
        <w:rPr>
          <w:rFonts w:ascii="Arial" w:eastAsia="Arial" w:hAnsi="Arial" w:cs="Arial"/>
          <w:sz w:val="24"/>
          <w:szCs w:val="24"/>
        </w:rPr>
        <w:t xml:space="preserve">, 8, 45. Available at: </w:t>
      </w:r>
      <w:hyperlink r:id="rId58">
        <w:r w:rsidRPr="001E722E">
          <w:rPr>
            <w:rFonts w:ascii="Arial" w:eastAsia="Arial" w:hAnsi="Arial" w:cs="Arial"/>
            <w:color w:val="1155CC"/>
            <w:sz w:val="24"/>
            <w:szCs w:val="24"/>
            <w:u w:val="single"/>
          </w:rPr>
          <w:t>https://doi.org/10.1186/1471-2288-8-45</w:t>
        </w:r>
      </w:hyperlink>
    </w:p>
    <w:p w14:paraId="577A0A90" w14:textId="77777777" w:rsidR="00955984" w:rsidRPr="001E722E" w:rsidRDefault="00161751">
      <w:pPr>
        <w:spacing w:after="160" w:line="360" w:lineRule="auto"/>
        <w:ind w:left="720" w:hanging="720"/>
      </w:pPr>
      <w:r w:rsidRPr="001E722E">
        <w:rPr>
          <w:rFonts w:ascii="Arial" w:eastAsia="Arial" w:hAnsi="Arial" w:cs="Arial"/>
          <w:sz w:val="24"/>
          <w:szCs w:val="24"/>
        </w:rPr>
        <w:lastRenderedPageBreak/>
        <w:t xml:space="preserve">Wakefield, M.A., Loken, B. and Hornik, R.C. (2010) 'Use of mass media campaigns to change health behaviour', </w:t>
      </w:r>
      <w:r w:rsidRPr="001E722E">
        <w:rPr>
          <w:rFonts w:ascii="Arial" w:eastAsia="Arial" w:hAnsi="Arial" w:cs="Arial"/>
          <w:i/>
          <w:iCs/>
          <w:sz w:val="24"/>
          <w:szCs w:val="24"/>
        </w:rPr>
        <w:t>The Lancet</w:t>
      </w:r>
      <w:r w:rsidRPr="001E722E">
        <w:rPr>
          <w:rFonts w:ascii="Arial" w:eastAsia="Arial" w:hAnsi="Arial" w:cs="Arial"/>
          <w:sz w:val="24"/>
          <w:szCs w:val="24"/>
        </w:rPr>
        <w:t xml:space="preserve">, 376(9748), pp. 1261–1271. Available at: </w:t>
      </w:r>
      <w:hyperlink r:id="rId59">
        <w:r w:rsidRPr="001E722E">
          <w:rPr>
            <w:rFonts w:ascii="Arial" w:eastAsia="Arial" w:hAnsi="Arial" w:cs="Arial"/>
            <w:color w:val="1155CC"/>
            <w:sz w:val="24"/>
            <w:szCs w:val="24"/>
            <w:u w:val="single"/>
          </w:rPr>
          <w:t>https://doi.org/10.1016/S0140-6736(10)60809-4</w:t>
        </w:r>
      </w:hyperlink>
    </w:p>
    <w:p w14:paraId="7FF42700" w14:textId="77777777" w:rsidR="00955984" w:rsidRPr="001E722E" w:rsidRDefault="00161751">
      <w:pPr>
        <w:spacing w:after="160" w:line="360" w:lineRule="auto"/>
        <w:ind w:left="720" w:hanging="720"/>
      </w:pPr>
      <w:r w:rsidRPr="001E722E">
        <w:rPr>
          <w:rFonts w:ascii="Arial" w:eastAsia="Arial" w:hAnsi="Arial" w:cs="Arial"/>
          <w:sz w:val="24"/>
          <w:szCs w:val="24"/>
        </w:rPr>
        <w:t xml:space="preserve">Whitaker, S., Baldwin, T., Tahir, M., Choudhry, O., Senior, A. and Greenfield, S. (2012) 'Public knowledge of the symptoms of myocardial infarction: a street survey in Birmingham, England', </w:t>
      </w:r>
      <w:r w:rsidRPr="001E722E">
        <w:rPr>
          <w:rFonts w:ascii="Arial" w:eastAsia="Arial" w:hAnsi="Arial" w:cs="Arial"/>
          <w:i/>
          <w:iCs/>
          <w:sz w:val="24"/>
          <w:szCs w:val="24"/>
        </w:rPr>
        <w:t>Family Practice</w:t>
      </w:r>
      <w:r w:rsidRPr="001E722E">
        <w:rPr>
          <w:rFonts w:ascii="Arial" w:eastAsia="Arial" w:hAnsi="Arial" w:cs="Arial"/>
          <w:sz w:val="24"/>
          <w:szCs w:val="24"/>
        </w:rPr>
        <w:t xml:space="preserve">, 29(2), pp. 168–173. Available at: </w:t>
      </w:r>
      <w:hyperlink r:id="rId60">
        <w:r w:rsidRPr="001E722E">
          <w:rPr>
            <w:rFonts w:ascii="Arial" w:eastAsia="Arial" w:hAnsi="Arial" w:cs="Arial"/>
            <w:color w:val="1155CC"/>
            <w:sz w:val="24"/>
            <w:szCs w:val="24"/>
            <w:u w:val="single"/>
          </w:rPr>
          <w:t>https://doi.org/10.1093/fampra/cmr079</w:t>
        </w:r>
      </w:hyperlink>
    </w:p>
    <w:p w14:paraId="54893265" w14:textId="77777777" w:rsidR="00955984" w:rsidRPr="001E722E" w:rsidRDefault="00161751">
      <w:pPr>
        <w:spacing w:after="160" w:line="360" w:lineRule="auto"/>
        <w:ind w:left="720" w:hanging="720"/>
      </w:pPr>
      <w:r w:rsidRPr="001E722E">
        <w:rPr>
          <w:rFonts w:ascii="Arial" w:eastAsia="Arial" w:hAnsi="Arial" w:cs="Arial"/>
          <w:sz w:val="24"/>
          <w:szCs w:val="24"/>
        </w:rPr>
        <w:t xml:space="preserve">World Health Organization (2025) </w:t>
      </w:r>
      <w:proofErr w:type="gramStart"/>
      <w:r w:rsidRPr="001E722E">
        <w:rPr>
          <w:rFonts w:ascii="Arial" w:eastAsia="Arial" w:hAnsi="Arial" w:cs="Arial"/>
          <w:i/>
          <w:iCs/>
          <w:sz w:val="24"/>
          <w:szCs w:val="24"/>
        </w:rPr>
        <w:t>Cardiovascular</w:t>
      </w:r>
      <w:proofErr w:type="gramEnd"/>
      <w:r w:rsidRPr="001E722E">
        <w:rPr>
          <w:rFonts w:ascii="Arial" w:eastAsia="Arial" w:hAnsi="Arial" w:cs="Arial"/>
          <w:i/>
          <w:iCs/>
          <w:sz w:val="24"/>
          <w:szCs w:val="24"/>
        </w:rPr>
        <w:t xml:space="preserve"> diseases (CVDs)</w:t>
      </w:r>
      <w:r w:rsidRPr="001E722E">
        <w:rPr>
          <w:rFonts w:ascii="Arial" w:eastAsia="Arial" w:hAnsi="Arial" w:cs="Arial"/>
          <w:sz w:val="24"/>
          <w:szCs w:val="24"/>
        </w:rPr>
        <w:t xml:space="preserve">. Fact sheet. Geneva: World Health Organization. Available at: </w:t>
      </w:r>
      <w:hyperlink r:id="rId61">
        <w:r w:rsidRPr="001E722E">
          <w:rPr>
            <w:rFonts w:ascii="Arial" w:eastAsia="Arial" w:hAnsi="Arial" w:cs="Arial"/>
            <w:color w:val="1155CC"/>
            <w:sz w:val="24"/>
            <w:szCs w:val="24"/>
            <w:u w:val="single"/>
          </w:rPr>
          <w:t>https://www.who.int/news-room/fact-sheets/detail/cardiovascular-diseases-(cvds)</w:t>
        </w:r>
      </w:hyperlink>
      <w:r w:rsidRPr="001E722E">
        <w:rPr>
          <w:rFonts w:ascii="Arial" w:eastAsia="Arial" w:hAnsi="Arial" w:cs="Arial"/>
          <w:sz w:val="24"/>
          <w:szCs w:val="24"/>
        </w:rPr>
        <w:t xml:space="preserve"> (Accessed: 25 September 2026).</w:t>
      </w:r>
    </w:p>
    <w:p w14:paraId="46B636CF" w14:textId="57617146" w:rsidR="001E722E" w:rsidRPr="001E722E" w:rsidRDefault="00161751" w:rsidP="001E722E">
      <w:pPr>
        <w:pStyle w:val="Heading1"/>
      </w:pPr>
      <w:r w:rsidRPr="001E722E">
        <w:t>APPENDICES</w:t>
      </w:r>
    </w:p>
    <w:p w14:paraId="14A37214" w14:textId="77777777" w:rsidR="00955984" w:rsidRPr="001E722E" w:rsidRDefault="00161751">
      <w:pPr>
        <w:pStyle w:val="Heading1"/>
        <w:pageBreakBefore/>
      </w:pPr>
      <w:r w:rsidRPr="001E722E">
        <w:lastRenderedPageBreak/>
        <w:t>APPENDIX A: DATA EXTRACTION FORM</w:t>
      </w:r>
    </w:p>
    <w:p w14:paraId="5D5C30F8" w14:textId="77777777" w:rsidR="00955984" w:rsidRPr="001E722E" w:rsidRDefault="00161751">
      <w:pPr>
        <w:spacing w:after="200" w:line="360" w:lineRule="auto"/>
        <w:jc w:val="both"/>
      </w:pPr>
      <w:r w:rsidRPr="001E722E">
        <w:rPr>
          <w:rFonts w:ascii="Arial" w:eastAsia="Arial" w:hAnsi="Arial" w:cs="Arial"/>
          <w:b/>
          <w:bCs/>
          <w:sz w:val="24"/>
          <w:szCs w:val="24"/>
        </w:rPr>
        <w:t xml:space="preserve">Review title: </w:t>
      </w:r>
      <w:r w:rsidRPr="001E722E">
        <w:rPr>
          <w:rFonts w:ascii="Arial" w:eastAsia="Arial" w:hAnsi="Arial" w:cs="Arial"/>
          <w:sz w:val="24"/>
          <w:szCs w:val="24"/>
        </w:rPr>
        <w:t>Strategies to Improve Public Awareness and Promotion of Early Screening for Coronary Heart Disease Prevention in the United Kingdom</w:t>
      </w:r>
    </w:p>
    <w:p w14:paraId="34CF93C7" w14:textId="77777777" w:rsidR="00955984" w:rsidRPr="001E722E" w:rsidRDefault="00161751">
      <w:pPr>
        <w:spacing w:after="200" w:line="360" w:lineRule="auto"/>
        <w:jc w:val="both"/>
      </w:pPr>
      <w:r w:rsidRPr="001E722E">
        <w:rPr>
          <w:rFonts w:ascii="Arial" w:eastAsia="Arial" w:hAnsi="Arial" w:cs="Arial"/>
          <w:b/>
          <w:bCs/>
          <w:sz w:val="24"/>
          <w:szCs w:val="24"/>
        </w:rPr>
        <w:t xml:space="preserve">Reviewer: </w:t>
      </w:r>
      <w:r w:rsidRPr="001E722E">
        <w:rPr>
          <w:rFonts w:ascii="Arial" w:eastAsia="Arial" w:hAnsi="Arial" w:cs="Arial"/>
          <w:sz w:val="24"/>
          <w:szCs w:val="24"/>
        </w:rPr>
        <w:t>Sizan</w:t>
      </w:r>
    </w:p>
    <w:p w14:paraId="1A651289" w14:textId="77777777" w:rsidR="00955984" w:rsidRPr="001E722E" w:rsidRDefault="00161751">
      <w:pPr>
        <w:spacing w:after="200" w:line="360" w:lineRule="auto"/>
        <w:jc w:val="both"/>
      </w:pPr>
      <w:r w:rsidRPr="001E722E">
        <w:rPr>
          <w:rFonts w:ascii="Arial" w:eastAsia="Arial" w:hAnsi="Arial" w:cs="Arial"/>
          <w:b/>
          <w:bCs/>
          <w:sz w:val="24"/>
          <w:szCs w:val="24"/>
        </w:rPr>
        <w:t xml:space="preserve">Date: </w:t>
      </w:r>
      <w:r w:rsidRPr="001E722E">
        <w:rPr>
          <w:rFonts w:ascii="Arial" w:eastAsia="Arial" w:hAnsi="Arial" w:cs="Arial"/>
          <w:sz w:val="24"/>
          <w:szCs w:val="24"/>
        </w:rPr>
        <w:t>_______________</w:t>
      </w:r>
    </w:p>
    <w:p w14:paraId="3284D20F" w14:textId="77777777" w:rsidR="00955984" w:rsidRPr="001E722E" w:rsidRDefault="00955984">
      <w:pPr>
        <w:spacing w:after="200"/>
      </w:pPr>
    </w:p>
    <w:tbl>
      <w:tblPr>
        <w:tblStyle w:val="a7"/>
        <w:tblW w:w="9499" w:type="dxa"/>
        <w:tblInd w:w="-120" w:type="dxa"/>
        <w:tblLayout w:type="fixed"/>
        <w:tblLook w:val="0400" w:firstRow="0" w:lastRow="0" w:firstColumn="0" w:lastColumn="0" w:noHBand="0" w:noVBand="1"/>
      </w:tblPr>
      <w:tblGrid>
        <w:gridCol w:w="3000"/>
        <w:gridCol w:w="6499"/>
      </w:tblGrid>
      <w:tr w:rsidR="00955984" w:rsidRPr="001E722E" w14:paraId="47C4E081" w14:textId="77777777">
        <w:tc>
          <w:tcPr>
            <w:tcW w:w="3000" w:type="dxa"/>
            <w:tcBorders>
              <w:top w:val="single" w:sz="4" w:space="0" w:color="000000"/>
              <w:left w:val="single" w:sz="4" w:space="0" w:color="000000"/>
              <w:bottom w:val="single" w:sz="4" w:space="0" w:color="000000"/>
              <w:right w:val="single" w:sz="4" w:space="0" w:color="000000"/>
            </w:tcBorders>
            <w:shd w:val="clear" w:color="auto" w:fill="1F3864"/>
          </w:tcPr>
          <w:p w14:paraId="2C7B5D72" w14:textId="77777777" w:rsidR="00955984" w:rsidRPr="001E722E" w:rsidRDefault="00161751">
            <w:pPr>
              <w:rPr>
                <w:rFonts w:ascii="Arial" w:eastAsia="Arial" w:hAnsi="Arial" w:cs="Arial"/>
              </w:rPr>
            </w:pPr>
            <w:r w:rsidRPr="001E722E">
              <w:rPr>
                <w:rFonts w:ascii="Arial" w:eastAsia="Arial" w:hAnsi="Arial" w:cs="Arial"/>
                <w:b/>
                <w:bCs/>
                <w:sz w:val="21"/>
                <w:szCs w:val="21"/>
              </w:rPr>
              <w:t>Field</w:t>
            </w:r>
          </w:p>
        </w:tc>
        <w:tc>
          <w:tcPr>
            <w:tcW w:w="6499" w:type="dxa"/>
            <w:tcBorders>
              <w:top w:val="single" w:sz="4" w:space="0" w:color="000000"/>
              <w:left w:val="single" w:sz="4" w:space="0" w:color="000000"/>
              <w:bottom w:val="single" w:sz="4" w:space="0" w:color="000000"/>
              <w:right w:val="single" w:sz="4" w:space="0" w:color="000000"/>
            </w:tcBorders>
            <w:shd w:val="clear" w:color="auto" w:fill="1F3864"/>
          </w:tcPr>
          <w:p w14:paraId="13BCA9A5" w14:textId="77777777" w:rsidR="00955984" w:rsidRPr="001E722E" w:rsidRDefault="00161751">
            <w:pPr>
              <w:rPr>
                <w:rFonts w:ascii="Arial" w:eastAsia="Arial" w:hAnsi="Arial" w:cs="Arial"/>
              </w:rPr>
            </w:pPr>
            <w:r w:rsidRPr="001E722E">
              <w:rPr>
                <w:rFonts w:ascii="Arial" w:eastAsia="Arial" w:hAnsi="Arial" w:cs="Arial"/>
                <w:b/>
                <w:bCs/>
                <w:sz w:val="21"/>
                <w:szCs w:val="21"/>
              </w:rPr>
              <w:t>Details</w:t>
            </w:r>
          </w:p>
        </w:tc>
      </w:tr>
      <w:tr w:rsidR="00955984" w:rsidRPr="001E722E" w14:paraId="5FA4D5CF" w14:textId="77777777">
        <w:tc>
          <w:tcPr>
            <w:tcW w:w="3000" w:type="dxa"/>
            <w:tcBorders>
              <w:top w:val="single" w:sz="4" w:space="0" w:color="000000"/>
              <w:left w:val="single" w:sz="4" w:space="0" w:color="000000"/>
              <w:bottom w:val="single" w:sz="4" w:space="0" w:color="000000"/>
              <w:right w:val="single" w:sz="4" w:space="0" w:color="000000"/>
            </w:tcBorders>
          </w:tcPr>
          <w:p w14:paraId="66E58C3A" w14:textId="77777777" w:rsidR="00955984" w:rsidRPr="001E722E" w:rsidRDefault="00161751">
            <w:pPr>
              <w:rPr>
                <w:rFonts w:ascii="Arial" w:eastAsia="Arial" w:hAnsi="Arial" w:cs="Arial"/>
              </w:rPr>
            </w:pPr>
            <w:r w:rsidRPr="001E722E">
              <w:rPr>
                <w:rFonts w:ascii="Arial" w:eastAsia="Arial" w:hAnsi="Arial" w:cs="Arial"/>
                <w:b/>
                <w:bCs/>
                <w:sz w:val="21"/>
                <w:szCs w:val="21"/>
              </w:rPr>
              <w:t>Study ID</w:t>
            </w:r>
          </w:p>
        </w:tc>
        <w:tc>
          <w:tcPr>
            <w:tcW w:w="6499" w:type="dxa"/>
            <w:tcBorders>
              <w:top w:val="single" w:sz="4" w:space="0" w:color="000000"/>
              <w:left w:val="single" w:sz="4" w:space="0" w:color="000000"/>
              <w:bottom w:val="single" w:sz="4" w:space="0" w:color="000000"/>
              <w:right w:val="single" w:sz="4" w:space="0" w:color="000000"/>
            </w:tcBorders>
          </w:tcPr>
          <w:p w14:paraId="0F418555" w14:textId="2E3CF0C9" w:rsidR="00955984" w:rsidRPr="001E722E" w:rsidRDefault="00161751">
            <w:pPr>
              <w:rPr>
                <w:rFonts w:ascii="Arial" w:eastAsia="Arial" w:hAnsi="Arial" w:cs="Arial"/>
              </w:rPr>
            </w:pPr>
            <w:r>
              <w:rPr>
                <w:rFonts w:ascii="Arial" w:eastAsia="Arial" w:hAnsi="Arial" w:cs="Arial"/>
              </w:rPr>
              <w:t>2510690</w:t>
            </w:r>
          </w:p>
        </w:tc>
      </w:tr>
      <w:tr w:rsidR="00955984" w:rsidRPr="001E722E" w14:paraId="11D6A1BC" w14:textId="77777777">
        <w:tc>
          <w:tcPr>
            <w:tcW w:w="3000" w:type="dxa"/>
            <w:tcBorders>
              <w:top w:val="single" w:sz="4" w:space="0" w:color="000000"/>
              <w:left w:val="single" w:sz="4" w:space="0" w:color="000000"/>
              <w:bottom w:val="single" w:sz="4" w:space="0" w:color="000000"/>
              <w:right w:val="single" w:sz="4" w:space="0" w:color="000000"/>
            </w:tcBorders>
          </w:tcPr>
          <w:p w14:paraId="51AB4E6C" w14:textId="77777777" w:rsidR="00955984" w:rsidRPr="001E722E" w:rsidRDefault="00161751">
            <w:pPr>
              <w:rPr>
                <w:rFonts w:ascii="Arial" w:eastAsia="Arial" w:hAnsi="Arial" w:cs="Arial"/>
              </w:rPr>
            </w:pPr>
            <w:r w:rsidRPr="001E722E">
              <w:rPr>
                <w:rFonts w:ascii="Arial" w:eastAsia="Arial" w:hAnsi="Arial" w:cs="Arial"/>
                <w:b/>
                <w:bCs/>
                <w:sz w:val="21"/>
                <w:szCs w:val="21"/>
              </w:rPr>
              <w:t>Author(s) and year</w:t>
            </w:r>
          </w:p>
        </w:tc>
        <w:tc>
          <w:tcPr>
            <w:tcW w:w="6499" w:type="dxa"/>
            <w:tcBorders>
              <w:top w:val="single" w:sz="4" w:space="0" w:color="000000"/>
              <w:left w:val="single" w:sz="4" w:space="0" w:color="000000"/>
              <w:bottom w:val="single" w:sz="4" w:space="0" w:color="000000"/>
              <w:right w:val="single" w:sz="4" w:space="0" w:color="000000"/>
            </w:tcBorders>
          </w:tcPr>
          <w:p w14:paraId="33EC787A" w14:textId="77777777" w:rsidR="00955984" w:rsidRPr="001E722E" w:rsidRDefault="00955984">
            <w:pPr>
              <w:rPr>
                <w:rFonts w:ascii="Arial" w:eastAsia="Arial" w:hAnsi="Arial" w:cs="Arial"/>
              </w:rPr>
            </w:pPr>
          </w:p>
        </w:tc>
      </w:tr>
      <w:tr w:rsidR="00955984" w:rsidRPr="001E722E" w14:paraId="196BC460" w14:textId="77777777">
        <w:tc>
          <w:tcPr>
            <w:tcW w:w="3000" w:type="dxa"/>
            <w:tcBorders>
              <w:top w:val="single" w:sz="4" w:space="0" w:color="000000"/>
              <w:left w:val="single" w:sz="4" w:space="0" w:color="000000"/>
              <w:bottom w:val="single" w:sz="4" w:space="0" w:color="000000"/>
              <w:right w:val="single" w:sz="4" w:space="0" w:color="000000"/>
            </w:tcBorders>
          </w:tcPr>
          <w:p w14:paraId="720772B9" w14:textId="77777777" w:rsidR="00955984" w:rsidRPr="001E722E" w:rsidRDefault="00161751">
            <w:pPr>
              <w:rPr>
                <w:rFonts w:ascii="Arial" w:eastAsia="Arial" w:hAnsi="Arial" w:cs="Arial"/>
              </w:rPr>
            </w:pPr>
            <w:r w:rsidRPr="001E722E">
              <w:rPr>
                <w:rFonts w:ascii="Arial" w:eastAsia="Arial" w:hAnsi="Arial" w:cs="Arial"/>
                <w:b/>
                <w:bCs/>
                <w:sz w:val="21"/>
                <w:szCs w:val="21"/>
              </w:rPr>
              <w:t>Title</w:t>
            </w:r>
          </w:p>
        </w:tc>
        <w:tc>
          <w:tcPr>
            <w:tcW w:w="6499" w:type="dxa"/>
            <w:tcBorders>
              <w:top w:val="single" w:sz="4" w:space="0" w:color="000000"/>
              <w:left w:val="single" w:sz="4" w:space="0" w:color="000000"/>
              <w:bottom w:val="single" w:sz="4" w:space="0" w:color="000000"/>
              <w:right w:val="single" w:sz="4" w:space="0" w:color="000000"/>
            </w:tcBorders>
          </w:tcPr>
          <w:p w14:paraId="22C923B6" w14:textId="77777777" w:rsidR="00955984" w:rsidRPr="001E722E" w:rsidRDefault="00955984">
            <w:pPr>
              <w:rPr>
                <w:rFonts w:ascii="Arial" w:eastAsia="Arial" w:hAnsi="Arial" w:cs="Arial"/>
              </w:rPr>
            </w:pPr>
          </w:p>
        </w:tc>
      </w:tr>
      <w:tr w:rsidR="00955984" w:rsidRPr="001E722E" w14:paraId="0B39241A" w14:textId="77777777">
        <w:tc>
          <w:tcPr>
            <w:tcW w:w="3000" w:type="dxa"/>
            <w:tcBorders>
              <w:top w:val="single" w:sz="4" w:space="0" w:color="000000"/>
              <w:left w:val="single" w:sz="4" w:space="0" w:color="000000"/>
              <w:bottom w:val="single" w:sz="4" w:space="0" w:color="000000"/>
              <w:right w:val="single" w:sz="4" w:space="0" w:color="000000"/>
            </w:tcBorders>
          </w:tcPr>
          <w:p w14:paraId="565966BF" w14:textId="77777777" w:rsidR="00955984" w:rsidRPr="001E722E" w:rsidRDefault="00161751">
            <w:pPr>
              <w:rPr>
                <w:rFonts w:ascii="Arial" w:eastAsia="Arial" w:hAnsi="Arial" w:cs="Arial"/>
              </w:rPr>
            </w:pPr>
            <w:r w:rsidRPr="001E722E">
              <w:rPr>
                <w:rFonts w:ascii="Arial" w:eastAsia="Arial" w:hAnsi="Arial" w:cs="Arial"/>
                <w:b/>
                <w:bCs/>
                <w:sz w:val="21"/>
                <w:szCs w:val="21"/>
              </w:rPr>
              <w:t>Journal / source</w:t>
            </w:r>
          </w:p>
        </w:tc>
        <w:tc>
          <w:tcPr>
            <w:tcW w:w="6499" w:type="dxa"/>
            <w:tcBorders>
              <w:top w:val="single" w:sz="4" w:space="0" w:color="000000"/>
              <w:left w:val="single" w:sz="4" w:space="0" w:color="000000"/>
              <w:bottom w:val="single" w:sz="4" w:space="0" w:color="000000"/>
              <w:right w:val="single" w:sz="4" w:space="0" w:color="000000"/>
            </w:tcBorders>
          </w:tcPr>
          <w:p w14:paraId="3EC79F5A" w14:textId="77777777" w:rsidR="00955984" w:rsidRPr="001E722E" w:rsidRDefault="00955984">
            <w:pPr>
              <w:rPr>
                <w:rFonts w:ascii="Arial" w:eastAsia="Arial" w:hAnsi="Arial" w:cs="Arial"/>
              </w:rPr>
            </w:pPr>
          </w:p>
        </w:tc>
      </w:tr>
      <w:tr w:rsidR="00955984" w:rsidRPr="001E722E" w14:paraId="7330EFDD" w14:textId="77777777">
        <w:tc>
          <w:tcPr>
            <w:tcW w:w="3000" w:type="dxa"/>
            <w:tcBorders>
              <w:top w:val="single" w:sz="4" w:space="0" w:color="000000"/>
              <w:left w:val="single" w:sz="4" w:space="0" w:color="000000"/>
              <w:bottom w:val="single" w:sz="4" w:space="0" w:color="000000"/>
              <w:right w:val="single" w:sz="4" w:space="0" w:color="000000"/>
            </w:tcBorders>
          </w:tcPr>
          <w:p w14:paraId="2A2ABC35" w14:textId="77777777" w:rsidR="00955984" w:rsidRPr="001E722E" w:rsidRDefault="00161751">
            <w:pPr>
              <w:rPr>
                <w:rFonts w:ascii="Arial" w:eastAsia="Arial" w:hAnsi="Arial" w:cs="Arial"/>
              </w:rPr>
            </w:pPr>
            <w:r w:rsidRPr="001E722E">
              <w:rPr>
                <w:rFonts w:ascii="Arial" w:eastAsia="Arial" w:hAnsi="Arial" w:cs="Arial"/>
                <w:b/>
                <w:bCs/>
                <w:sz w:val="21"/>
                <w:szCs w:val="21"/>
              </w:rPr>
              <w:t>Country / setting</w:t>
            </w:r>
          </w:p>
        </w:tc>
        <w:tc>
          <w:tcPr>
            <w:tcW w:w="6499" w:type="dxa"/>
            <w:tcBorders>
              <w:top w:val="single" w:sz="4" w:space="0" w:color="000000"/>
              <w:left w:val="single" w:sz="4" w:space="0" w:color="000000"/>
              <w:bottom w:val="single" w:sz="4" w:space="0" w:color="000000"/>
              <w:right w:val="single" w:sz="4" w:space="0" w:color="000000"/>
            </w:tcBorders>
          </w:tcPr>
          <w:p w14:paraId="44831106" w14:textId="77777777" w:rsidR="00955984" w:rsidRPr="001E722E" w:rsidRDefault="00955984">
            <w:pPr>
              <w:rPr>
                <w:rFonts w:ascii="Arial" w:eastAsia="Arial" w:hAnsi="Arial" w:cs="Arial"/>
              </w:rPr>
            </w:pPr>
          </w:p>
        </w:tc>
      </w:tr>
      <w:tr w:rsidR="00955984" w:rsidRPr="001E722E" w14:paraId="63C0AC67" w14:textId="77777777">
        <w:tc>
          <w:tcPr>
            <w:tcW w:w="3000" w:type="dxa"/>
            <w:tcBorders>
              <w:top w:val="single" w:sz="4" w:space="0" w:color="000000"/>
              <w:left w:val="single" w:sz="4" w:space="0" w:color="000000"/>
              <w:bottom w:val="single" w:sz="4" w:space="0" w:color="000000"/>
              <w:right w:val="single" w:sz="4" w:space="0" w:color="000000"/>
            </w:tcBorders>
          </w:tcPr>
          <w:p w14:paraId="376EE593" w14:textId="77777777" w:rsidR="00955984" w:rsidRPr="001E722E" w:rsidRDefault="00161751">
            <w:pPr>
              <w:rPr>
                <w:rFonts w:ascii="Arial" w:eastAsia="Arial" w:hAnsi="Arial" w:cs="Arial"/>
              </w:rPr>
            </w:pPr>
            <w:r w:rsidRPr="001E722E">
              <w:rPr>
                <w:rFonts w:ascii="Arial" w:eastAsia="Arial" w:hAnsi="Arial" w:cs="Arial"/>
                <w:b/>
                <w:bCs/>
                <w:sz w:val="21"/>
                <w:szCs w:val="21"/>
              </w:rPr>
              <w:t>Study design</w:t>
            </w:r>
          </w:p>
        </w:tc>
        <w:tc>
          <w:tcPr>
            <w:tcW w:w="6499" w:type="dxa"/>
            <w:tcBorders>
              <w:top w:val="single" w:sz="4" w:space="0" w:color="000000"/>
              <w:left w:val="single" w:sz="4" w:space="0" w:color="000000"/>
              <w:bottom w:val="single" w:sz="4" w:space="0" w:color="000000"/>
              <w:right w:val="single" w:sz="4" w:space="0" w:color="000000"/>
            </w:tcBorders>
          </w:tcPr>
          <w:p w14:paraId="346A0EA5" w14:textId="77777777" w:rsidR="00955984" w:rsidRPr="001E722E" w:rsidRDefault="00955984">
            <w:pPr>
              <w:rPr>
                <w:rFonts w:ascii="Arial" w:eastAsia="Arial" w:hAnsi="Arial" w:cs="Arial"/>
              </w:rPr>
            </w:pPr>
          </w:p>
        </w:tc>
      </w:tr>
      <w:tr w:rsidR="00955984" w:rsidRPr="001E722E" w14:paraId="10DBC39B" w14:textId="77777777">
        <w:tc>
          <w:tcPr>
            <w:tcW w:w="3000" w:type="dxa"/>
            <w:tcBorders>
              <w:top w:val="single" w:sz="4" w:space="0" w:color="000000"/>
              <w:left w:val="single" w:sz="4" w:space="0" w:color="000000"/>
              <w:bottom w:val="single" w:sz="4" w:space="0" w:color="000000"/>
              <w:right w:val="single" w:sz="4" w:space="0" w:color="000000"/>
            </w:tcBorders>
          </w:tcPr>
          <w:p w14:paraId="71A2CACD" w14:textId="77777777" w:rsidR="00955984" w:rsidRPr="001E722E" w:rsidRDefault="00161751">
            <w:pPr>
              <w:rPr>
                <w:rFonts w:ascii="Arial" w:eastAsia="Arial" w:hAnsi="Arial" w:cs="Arial"/>
              </w:rPr>
            </w:pPr>
            <w:r w:rsidRPr="001E722E">
              <w:rPr>
                <w:rFonts w:ascii="Arial" w:eastAsia="Arial" w:hAnsi="Arial" w:cs="Arial"/>
                <w:b/>
                <w:bCs/>
                <w:sz w:val="21"/>
                <w:szCs w:val="21"/>
              </w:rPr>
              <w:t>Population / sample</w:t>
            </w:r>
          </w:p>
        </w:tc>
        <w:tc>
          <w:tcPr>
            <w:tcW w:w="6499" w:type="dxa"/>
            <w:tcBorders>
              <w:top w:val="single" w:sz="4" w:space="0" w:color="000000"/>
              <w:left w:val="single" w:sz="4" w:space="0" w:color="000000"/>
              <w:bottom w:val="single" w:sz="4" w:space="0" w:color="000000"/>
              <w:right w:val="single" w:sz="4" w:space="0" w:color="000000"/>
            </w:tcBorders>
          </w:tcPr>
          <w:p w14:paraId="0D4AFD15" w14:textId="77777777" w:rsidR="00955984" w:rsidRPr="001E722E" w:rsidRDefault="00955984">
            <w:pPr>
              <w:rPr>
                <w:rFonts w:ascii="Arial" w:eastAsia="Arial" w:hAnsi="Arial" w:cs="Arial"/>
              </w:rPr>
            </w:pPr>
          </w:p>
        </w:tc>
      </w:tr>
      <w:tr w:rsidR="00955984" w:rsidRPr="001E722E" w14:paraId="5C54622E" w14:textId="77777777">
        <w:tc>
          <w:tcPr>
            <w:tcW w:w="3000" w:type="dxa"/>
            <w:tcBorders>
              <w:top w:val="single" w:sz="4" w:space="0" w:color="000000"/>
              <w:left w:val="single" w:sz="4" w:space="0" w:color="000000"/>
              <w:bottom w:val="single" w:sz="4" w:space="0" w:color="000000"/>
              <w:right w:val="single" w:sz="4" w:space="0" w:color="000000"/>
            </w:tcBorders>
          </w:tcPr>
          <w:p w14:paraId="59EBD4E5" w14:textId="77777777" w:rsidR="00955984" w:rsidRPr="001E722E" w:rsidRDefault="00161751">
            <w:pPr>
              <w:rPr>
                <w:rFonts w:ascii="Arial" w:eastAsia="Arial" w:hAnsi="Arial" w:cs="Arial"/>
              </w:rPr>
            </w:pPr>
            <w:r w:rsidRPr="001E722E">
              <w:rPr>
                <w:rFonts w:ascii="Arial" w:eastAsia="Arial" w:hAnsi="Arial" w:cs="Arial"/>
                <w:b/>
                <w:bCs/>
                <w:sz w:val="21"/>
                <w:szCs w:val="21"/>
              </w:rPr>
              <w:t>Sample size</w:t>
            </w:r>
          </w:p>
        </w:tc>
        <w:tc>
          <w:tcPr>
            <w:tcW w:w="6499" w:type="dxa"/>
            <w:tcBorders>
              <w:top w:val="single" w:sz="4" w:space="0" w:color="000000"/>
              <w:left w:val="single" w:sz="4" w:space="0" w:color="000000"/>
              <w:bottom w:val="single" w:sz="4" w:space="0" w:color="000000"/>
              <w:right w:val="single" w:sz="4" w:space="0" w:color="000000"/>
            </w:tcBorders>
          </w:tcPr>
          <w:p w14:paraId="475328E3" w14:textId="77777777" w:rsidR="00955984" w:rsidRPr="001E722E" w:rsidRDefault="00955984">
            <w:pPr>
              <w:rPr>
                <w:rFonts w:ascii="Arial" w:eastAsia="Arial" w:hAnsi="Arial" w:cs="Arial"/>
              </w:rPr>
            </w:pPr>
          </w:p>
        </w:tc>
      </w:tr>
      <w:tr w:rsidR="00955984" w:rsidRPr="001E722E" w14:paraId="58A4EFF8" w14:textId="77777777">
        <w:tc>
          <w:tcPr>
            <w:tcW w:w="3000" w:type="dxa"/>
            <w:tcBorders>
              <w:top w:val="single" w:sz="4" w:space="0" w:color="000000"/>
              <w:left w:val="single" w:sz="4" w:space="0" w:color="000000"/>
              <w:bottom w:val="single" w:sz="4" w:space="0" w:color="000000"/>
              <w:right w:val="single" w:sz="4" w:space="0" w:color="000000"/>
            </w:tcBorders>
          </w:tcPr>
          <w:p w14:paraId="2C47771F" w14:textId="77777777" w:rsidR="00955984" w:rsidRPr="001E722E" w:rsidRDefault="00161751">
            <w:pPr>
              <w:rPr>
                <w:rFonts w:ascii="Arial" w:eastAsia="Arial" w:hAnsi="Arial" w:cs="Arial"/>
              </w:rPr>
            </w:pPr>
            <w:r w:rsidRPr="001E722E">
              <w:rPr>
                <w:rFonts w:ascii="Arial" w:eastAsia="Arial" w:hAnsi="Arial" w:cs="Arial"/>
                <w:b/>
                <w:bCs/>
                <w:sz w:val="21"/>
                <w:szCs w:val="21"/>
              </w:rPr>
              <w:t>Objective(s) addressed</w:t>
            </w:r>
          </w:p>
        </w:tc>
        <w:tc>
          <w:tcPr>
            <w:tcW w:w="6499" w:type="dxa"/>
            <w:tcBorders>
              <w:top w:val="single" w:sz="4" w:space="0" w:color="000000"/>
              <w:left w:val="single" w:sz="4" w:space="0" w:color="000000"/>
              <w:bottom w:val="single" w:sz="4" w:space="0" w:color="000000"/>
              <w:right w:val="single" w:sz="4" w:space="0" w:color="000000"/>
            </w:tcBorders>
          </w:tcPr>
          <w:p w14:paraId="4CB1B621" w14:textId="77777777" w:rsidR="00955984" w:rsidRPr="001E722E" w:rsidRDefault="00161751">
            <w:pPr>
              <w:rPr>
                <w:rFonts w:ascii="Arial" w:eastAsia="Arial" w:hAnsi="Arial" w:cs="Arial"/>
              </w:rPr>
            </w:pPr>
            <w:r w:rsidRPr="001E722E">
              <w:rPr>
                <w:rFonts w:ascii="Arial" w:eastAsia="Arial" w:hAnsi="Arial" w:cs="Arial"/>
                <w:sz w:val="21"/>
                <w:szCs w:val="21"/>
              </w:rPr>
              <w:t xml:space="preserve">☐ </w:t>
            </w:r>
            <w:proofErr w:type="spellStart"/>
            <w:r w:rsidRPr="001E722E">
              <w:rPr>
                <w:rFonts w:ascii="Arial" w:eastAsia="Arial" w:hAnsi="Arial" w:cs="Arial"/>
                <w:sz w:val="21"/>
                <w:szCs w:val="21"/>
              </w:rPr>
              <w:t>Obj</w:t>
            </w:r>
            <w:proofErr w:type="spellEnd"/>
            <w:r w:rsidRPr="001E722E">
              <w:rPr>
                <w:rFonts w:ascii="Arial" w:eastAsia="Arial" w:hAnsi="Arial" w:cs="Arial"/>
                <w:sz w:val="21"/>
                <w:szCs w:val="21"/>
              </w:rPr>
              <w:t xml:space="preserve"> 1: Awareness   ☐ </w:t>
            </w:r>
            <w:proofErr w:type="spellStart"/>
            <w:r w:rsidRPr="001E722E">
              <w:rPr>
                <w:rFonts w:ascii="Arial" w:eastAsia="Arial" w:hAnsi="Arial" w:cs="Arial"/>
                <w:sz w:val="21"/>
                <w:szCs w:val="21"/>
              </w:rPr>
              <w:t>Obj</w:t>
            </w:r>
            <w:proofErr w:type="spellEnd"/>
            <w:r w:rsidRPr="001E722E">
              <w:rPr>
                <w:rFonts w:ascii="Arial" w:eastAsia="Arial" w:hAnsi="Arial" w:cs="Arial"/>
                <w:sz w:val="21"/>
                <w:szCs w:val="21"/>
              </w:rPr>
              <w:t xml:space="preserve"> 2: Barriers   ☐ </w:t>
            </w:r>
            <w:proofErr w:type="spellStart"/>
            <w:r w:rsidRPr="001E722E">
              <w:rPr>
                <w:rFonts w:ascii="Arial" w:eastAsia="Arial" w:hAnsi="Arial" w:cs="Arial"/>
                <w:sz w:val="21"/>
                <w:szCs w:val="21"/>
              </w:rPr>
              <w:t>Obj</w:t>
            </w:r>
            <w:proofErr w:type="spellEnd"/>
            <w:r w:rsidRPr="001E722E">
              <w:rPr>
                <w:rFonts w:ascii="Arial" w:eastAsia="Arial" w:hAnsi="Arial" w:cs="Arial"/>
                <w:sz w:val="21"/>
                <w:szCs w:val="21"/>
              </w:rPr>
              <w:t xml:space="preserve"> 3: Campaign effectiveness   ☐ </w:t>
            </w:r>
            <w:proofErr w:type="spellStart"/>
            <w:r w:rsidRPr="001E722E">
              <w:rPr>
                <w:rFonts w:ascii="Arial" w:eastAsia="Arial" w:hAnsi="Arial" w:cs="Arial"/>
                <w:sz w:val="21"/>
                <w:szCs w:val="21"/>
              </w:rPr>
              <w:t>Obj</w:t>
            </w:r>
            <w:proofErr w:type="spellEnd"/>
            <w:r w:rsidRPr="001E722E">
              <w:rPr>
                <w:rFonts w:ascii="Arial" w:eastAsia="Arial" w:hAnsi="Arial" w:cs="Arial"/>
                <w:sz w:val="21"/>
                <w:szCs w:val="21"/>
              </w:rPr>
              <w:t xml:space="preserve"> 4: Strategies</w:t>
            </w:r>
          </w:p>
        </w:tc>
      </w:tr>
      <w:tr w:rsidR="00955984" w:rsidRPr="001E722E" w14:paraId="20411D5F" w14:textId="77777777">
        <w:tc>
          <w:tcPr>
            <w:tcW w:w="3000" w:type="dxa"/>
            <w:tcBorders>
              <w:top w:val="single" w:sz="4" w:space="0" w:color="000000"/>
              <w:left w:val="single" w:sz="4" w:space="0" w:color="000000"/>
              <w:bottom w:val="single" w:sz="4" w:space="0" w:color="000000"/>
              <w:right w:val="single" w:sz="4" w:space="0" w:color="000000"/>
            </w:tcBorders>
          </w:tcPr>
          <w:p w14:paraId="4A96F115" w14:textId="77777777" w:rsidR="00955984" w:rsidRPr="001E722E" w:rsidRDefault="00161751">
            <w:pPr>
              <w:rPr>
                <w:rFonts w:ascii="Arial" w:eastAsia="Arial" w:hAnsi="Arial" w:cs="Arial"/>
              </w:rPr>
            </w:pPr>
            <w:r w:rsidRPr="001E722E">
              <w:rPr>
                <w:rFonts w:ascii="Arial" w:eastAsia="Arial" w:hAnsi="Arial" w:cs="Arial"/>
                <w:b/>
                <w:bCs/>
                <w:sz w:val="21"/>
                <w:szCs w:val="21"/>
              </w:rPr>
              <w:t>Key findings</w:t>
            </w:r>
          </w:p>
        </w:tc>
        <w:tc>
          <w:tcPr>
            <w:tcW w:w="6499" w:type="dxa"/>
            <w:tcBorders>
              <w:top w:val="single" w:sz="4" w:space="0" w:color="000000"/>
              <w:left w:val="single" w:sz="4" w:space="0" w:color="000000"/>
              <w:bottom w:val="single" w:sz="4" w:space="0" w:color="000000"/>
              <w:right w:val="single" w:sz="4" w:space="0" w:color="000000"/>
            </w:tcBorders>
          </w:tcPr>
          <w:p w14:paraId="1BAB935D" w14:textId="77777777" w:rsidR="00955984" w:rsidRPr="001E722E" w:rsidRDefault="00955984">
            <w:pPr>
              <w:rPr>
                <w:rFonts w:ascii="Arial" w:eastAsia="Arial" w:hAnsi="Arial" w:cs="Arial"/>
              </w:rPr>
            </w:pPr>
          </w:p>
        </w:tc>
      </w:tr>
      <w:tr w:rsidR="00955984" w:rsidRPr="001E722E" w14:paraId="29B3AA9E" w14:textId="77777777">
        <w:tc>
          <w:tcPr>
            <w:tcW w:w="3000" w:type="dxa"/>
            <w:tcBorders>
              <w:top w:val="single" w:sz="4" w:space="0" w:color="000000"/>
              <w:left w:val="single" w:sz="4" w:space="0" w:color="000000"/>
              <w:bottom w:val="single" w:sz="4" w:space="0" w:color="000000"/>
              <w:right w:val="single" w:sz="4" w:space="0" w:color="000000"/>
            </w:tcBorders>
          </w:tcPr>
          <w:p w14:paraId="7D107D08" w14:textId="77777777" w:rsidR="00955984" w:rsidRPr="001E722E" w:rsidRDefault="00161751">
            <w:pPr>
              <w:rPr>
                <w:rFonts w:ascii="Arial" w:eastAsia="Arial" w:hAnsi="Arial" w:cs="Arial"/>
              </w:rPr>
            </w:pPr>
            <w:r w:rsidRPr="001E722E">
              <w:rPr>
                <w:rFonts w:ascii="Arial" w:eastAsia="Arial" w:hAnsi="Arial" w:cs="Arial"/>
                <w:b/>
                <w:bCs/>
                <w:sz w:val="21"/>
                <w:szCs w:val="21"/>
              </w:rPr>
              <w:t>HBM constructs addressed</w:t>
            </w:r>
          </w:p>
        </w:tc>
        <w:tc>
          <w:tcPr>
            <w:tcW w:w="6499" w:type="dxa"/>
            <w:tcBorders>
              <w:top w:val="single" w:sz="4" w:space="0" w:color="000000"/>
              <w:left w:val="single" w:sz="4" w:space="0" w:color="000000"/>
              <w:bottom w:val="single" w:sz="4" w:space="0" w:color="000000"/>
              <w:right w:val="single" w:sz="4" w:space="0" w:color="000000"/>
            </w:tcBorders>
          </w:tcPr>
          <w:p w14:paraId="7C998C98" w14:textId="77777777" w:rsidR="00955984" w:rsidRPr="001E722E" w:rsidRDefault="00161751">
            <w:pPr>
              <w:rPr>
                <w:rFonts w:ascii="Arial" w:eastAsia="Arial" w:hAnsi="Arial" w:cs="Arial"/>
              </w:rPr>
            </w:pPr>
            <w:r w:rsidRPr="001E722E">
              <w:rPr>
                <w:rFonts w:ascii="Arial" w:eastAsia="Arial" w:hAnsi="Arial" w:cs="Arial"/>
                <w:sz w:val="21"/>
                <w:szCs w:val="21"/>
              </w:rPr>
              <w:t>☐ Perceived susceptibility   ☐ Perceived severity   ☐ Perceived benefits   ☐ Perceived barriers   ☐ Cues to action   ☐ Self-efficacy</w:t>
            </w:r>
          </w:p>
        </w:tc>
      </w:tr>
      <w:tr w:rsidR="00955984" w:rsidRPr="001E722E" w14:paraId="6B444A37" w14:textId="77777777">
        <w:tc>
          <w:tcPr>
            <w:tcW w:w="3000" w:type="dxa"/>
            <w:tcBorders>
              <w:top w:val="single" w:sz="4" w:space="0" w:color="000000"/>
              <w:left w:val="single" w:sz="4" w:space="0" w:color="000000"/>
              <w:bottom w:val="single" w:sz="4" w:space="0" w:color="000000"/>
              <w:right w:val="single" w:sz="4" w:space="0" w:color="000000"/>
            </w:tcBorders>
          </w:tcPr>
          <w:p w14:paraId="6CA52B90" w14:textId="77777777" w:rsidR="00955984" w:rsidRPr="001E722E" w:rsidRDefault="00161751">
            <w:pPr>
              <w:rPr>
                <w:rFonts w:ascii="Arial" w:eastAsia="Arial" w:hAnsi="Arial" w:cs="Arial"/>
              </w:rPr>
            </w:pPr>
            <w:r w:rsidRPr="001E722E">
              <w:rPr>
                <w:rFonts w:ascii="Arial" w:eastAsia="Arial" w:hAnsi="Arial" w:cs="Arial"/>
                <w:b/>
                <w:bCs/>
                <w:sz w:val="21"/>
                <w:szCs w:val="21"/>
              </w:rPr>
              <w:t>Limitations stated by authors</w:t>
            </w:r>
          </w:p>
        </w:tc>
        <w:tc>
          <w:tcPr>
            <w:tcW w:w="6499" w:type="dxa"/>
            <w:tcBorders>
              <w:top w:val="single" w:sz="4" w:space="0" w:color="000000"/>
              <w:left w:val="single" w:sz="4" w:space="0" w:color="000000"/>
              <w:bottom w:val="single" w:sz="4" w:space="0" w:color="000000"/>
              <w:right w:val="single" w:sz="4" w:space="0" w:color="000000"/>
            </w:tcBorders>
          </w:tcPr>
          <w:p w14:paraId="17852E0C" w14:textId="77777777" w:rsidR="00955984" w:rsidRPr="001E722E" w:rsidRDefault="00955984">
            <w:pPr>
              <w:rPr>
                <w:rFonts w:ascii="Arial" w:eastAsia="Arial" w:hAnsi="Arial" w:cs="Arial"/>
              </w:rPr>
            </w:pPr>
          </w:p>
        </w:tc>
      </w:tr>
      <w:tr w:rsidR="00955984" w:rsidRPr="001E722E" w14:paraId="210E6FAD" w14:textId="77777777">
        <w:tc>
          <w:tcPr>
            <w:tcW w:w="3000" w:type="dxa"/>
            <w:tcBorders>
              <w:top w:val="single" w:sz="4" w:space="0" w:color="000000"/>
              <w:left w:val="single" w:sz="4" w:space="0" w:color="000000"/>
              <w:bottom w:val="single" w:sz="4" w:space="0" w:color="000000"/>
              <w:right w:val="single" w:sz="4" w:space="0" w:color="000000"/>
            </w:tcBorders>
          </w:tcPr>
          <w:p w14:paraId="35E0013D" w14:textId="77777777" w:rsidR="00955984" w:rsidRPr="001E722E" w:rsidRDefault="00161751">
            <w:pPr>
              <w:rPr>
                <w:rFonts w:ascii="Arial" w:eastAsia="Arial" w:hAnsi="Arial" w:cs="Arial"/>
              </w:rPr>
            </w:pPr>
            <w:r w:rsidRPr="001E722E">
              <w:rPr>
                <w:rFonts w:ascii="Arial" w:eastAsia="Arial" w:hAnsi="Arial" w:cs="Arial"/>
                <w:b/>
                <w:bCs/>
                <w:sz w:val="21"/>
                <w:szCs w:val="21"/>
              </w:rPr>
              <w:t>CASP tool used</w:t>
            </w:r>
          </w:p>
        </w:tc>
        <w:tc>
          <w:tcPr>
            <w:tcW w:w="6499" w:type="dxa"/>
            <w:tcBorders>
              <w:top w:val="single" w:sz="4" w:space="0" w:color="000000"/>
              <w:left w:val="single" w:sz="4" w:space="0" w:color="000000"/>
              <w:bottom w:val="single" w:sz="4" w:space="0" w:color="000000"/>
              <w:right w:val="single" w:sz="4" w:space="0" w:color="000000"/>
            </w:tcBorders>
          </w:tcPr>
          <w:p w14:paraId="6D9C524E" w14:textId="77777777" w:rsidR="00955984" w:rsidRPr="001E722E" w:rsidRDefault="00955984">
            <w:pPr>
              <w:rPr>
                <w:rFonts w:ascii="Arial" w:eastAsia="Arial" w:hAnsi="Arial" w:cs="Arial"/>
              </w:rPr>
            </w:pPr>
          </w:p>
        </w:tc>
      </w:tr>
      <w:tr w:rsidR="00955984" w:rsidRPr="001E722E" w14:paraId="4142D6AD" w14:textId="77777777">
        <w:tc>
          <w:tcPr>
            <w:tcW w:w="3000" w:type="dxa"/>
            <w:tcBorders>
              <w:top w:val="single" w:sz="4" w:space="0" w:color="000000"/>
              <w:left w:val="single" w:sz="4" w:space="0" w:color="000000"/>
              <w:bottom w:val="single" w:sz="4" w:space="0" w:color="000000"/>
              <w:right w:val="single" w:sz="4" w:space="0" w:color="000000"/>
            </w:tcBorders>
          </w:tcPr>
          <w:p w14:paraId="41DF04B5" w14:textId="77777777" w:rsidR="00955984" w:rsidRPr="001E722E" w:rsidRDefault="00161751">
            <w:pPr>
              <w:rPr>
                <w:rFonts w:ascii="Arial" w:eastAsia="Arial" w:hAnsi="Arial" w:cs="Arial"/>
              </w:rPr>
            </w:pPr>
            <w:r w:rsidRPr="001E722E">
              <w:rPr>
                <w:rFonts w:ascii="Arial" w:eastAsia="Arial" w:hAnsi="Arial" w:cs="Arial"/>
                <w:b/>
                <w:bCs/>
                <w:sz w:val="21"/>
                <w:szCs w:val="21"/>
              </w:rPr>
              <w:t>Overall quality rating</w:t>
            </w:r>
          </w:p>
        </w:tc>
        <w:tc>
          <w:tcPr>
            <w:tcW w:w="6499" w:type="dxa"/>
            <w:tcBorders>
              <w:top w:val="single" w:sz="4" w:space="0" w:color="000000"/>
              <w:left w:val="single" w:sz="4" w:space="0" w:color="000000"/>
              <w:bottom w:val="single" w:sz="4" w:space="0" w:color="000000"/>
              <w:right w:val="single" w:sz="4" w:space="0" w:color="000000"/>
            </w:tcBorders>
          </w:tcPr>
          <w:p w14:paraId="23C46AD3" w14:textId="77777777" w:rsidR="00955984" w:rsidRPr="001E722E" w:rsidRDefault="00161751">
            <w:pPr>
              <w:rPr>
                <w:rFonts w:ascii="Arial" w:eastAsia="Arial" w:hAnsi="Arial" w:cs="Arial"/>
              </w:rPr>
            </w:pPr>
            <w:r w:rsidRPr="001E722E">
              <w:rPr>
                <w:rFonts w:ascii="Arial" w:eastAsia="Arial" w:hAnsi="Arial" w:cs="Arial"/>
                <w:sz w:val="21"/>
                <w:szCs w:val="21"/>
              </w:rPr>
              <w:t>☐ High   ☐ Moderate   ☐ Low</w:t>
            </w:r>
          </w:p>
        </w:tc>
      </w:tr>
    </w:tbl>
    <w:p w14:paraId="3C328343" w14:textId="77777777" w:rsidR="00955984" w:rsidRPr="001E722E" w:rsidRDefault="00955984">
      <w:pPr>
        <w:spacing w:after="200"/>
      </w:pPr>
    </w:p>
    <w:p w14:paraId="78E28810" w14:textId="77777777" w:rsidR="00955984" w:rsidRPr="001E722E" w:rsidRDefault="00161751">
      <w:pPr>
        <w:pStyle w:val="Heading1"/>
        <w:pageBreakBefore/>
      </w:pPr>
      <w:r w:rsidRPr="001E722E">
        <w:lastRenderedPageBreak/>
        <w:t>APPENDIX B: CASP APPRAISAL TOOLS USED</w:t>
      </w:r>
    </w:p>
    <w:p w14:paraId="258ACF24" w14:textId="77777777" w:rsidR="00955984" w:rsidRPr="001E722E" w:rsidRDefault="00161751">
      <w:pPr>
        <w:spacing w:after="200" w:line="360" w:lineRule="auto"/>
        <w:jc w:val="both"/>
      </w:pPr>
      <w:r w:rsidRPr="001E722E">
        <w:rPr>
          <w:rFonts w:ascii="Arial" w:eastAsia="Arial" w:hAnsi="Arial" w:cs="Arial"/>
          <w:sz w:val="24"/>
          <w:szCs w:val="24"/>
        </w:rPr>
        <w:t>Citation: Critical Appraisal Skills Programme (2018) CASP Checklists. Oxford: CASP UK.</w:t>
      </w:r>
    </w:p>
    <w:p w14:paraId="59395F55" w14:textId="77777777" w:rsidR="00955984" w:rsidRPr="001E722E" w:rsidRDefault="00161751">
      <w:pPr>
        <w:spacing w:after="200" w:line="360" w:lineRule="auto"/>
        <w:jc w:val="both"/>
      </w:pPr>
      <w:r w:rsidRPr="001E722E">
        <w:rPr>
          <w:rFonts w:ascii="Arial" w:eastAsia="Arial" w:hAnsi="Arial" w:cs="Arial"/>
          <w:sz w:val="24"/>
          <w:szCs w:val="24"/>
        </w:rPr>
        <w:t>Three CASP checklists were used to appraise included studies:</w:t>
      </w:r>
    </w:p>
    <w:p w14:paraId="090B361F" w14:textId="77777777" w:rsidR="00955984" w:rsidRPr="001E722E" w:rsidRDefault="00161751">
      <w:pPr>
        <w:numPr>
          <w:ilvl w:val="0"/>
          <w:numId w:val="1"/>
        </w:numPr>
        <w:spacing w:after="200" w:line="360" w:lineRule="auto"/>
        <w:jc w:val="both"/>
      </w:pPr>
      <w:r w:rsidRPr="001E722E">
        <w:rPr>
          <w:rFonts w:ascii="Arial" w:eastAsia="Arial" w:hAnsi="Arial" w:cs="Arial"/>
          <w:sz w:val="24"/>
          <w:szCs w:val="24"/>
        </w:rPr>
        <w:t>CASP Qualitative Studies Checklist — for interview and focus-group studies</w:t>
      </w:r>
    </w:p>
    <w:p w14:paraId="0E27E881" w14:textId="77777777" w:rsidR="00955984" w:rsidRPr="001E722E" w:rsidRDefault="00161751">
      <w:pPr>
        <w:numPr>
          <w:ilvl w:val="0"/>
          <w:numId w:val="1"/>
        </w:numPr>
        <w:spacing w:after="200" w:line="360" w:lineRule="auto"/>
        <w:jc w:val="both"/>
      </w:pPr>
      <w:r w:rsidRPr="001E722E">
        <w:rPr>
          <w:rFonts w:ascii="Arial" w:eastAsia="Arial" w:hAnsi="Arial" w:cs="Arial"/>
          <w:sz w:val="24"/>
          <w:szCs w:val="24"/>
        </w:rPr>
        <w:t>CASP Cohort Study Checklist (adapted for cross-sectional designs) — for survey and observational studies</w:t>
      </w:r>
    </w:p>
    <w:p w14:paraId="2C0F5AE8" w14:textId="77777777" w:rsidR="00955984" w:rsidRPr="001E722E" w:rsidRDefault="00161751">
      <w:pPr>
        <w:numPr>
          <w:ilvl w:val="0"/>
          <w:numId w:val="1"/>
        </w:numPr>
        <w:spacing w:after="200" w:line="360" w:lineRule="auto"/>
        <w:jc w:val="both"/>
      </w:pPr>
      <w:r w:rsidRPr="001E722E">
        <w:rPr>
          <w:rFonts w:ascii="Arial" w:eastAsia="Arial" w:hAnsi="Arial" w:cs="Arial"/>
          <w:sz w:val="24"/>
          <w:szCs w:val="24"/>
        </w:rPr>
        <w:t>CASP Systematic Review Checklist — for reviews</w:t>
      </w:r>
    </w:p>
    <w:p w14:paraId="641F390A" w14:textId="77777777" w:rsidR="00955984" w:rsidRPr="001E722E" w:rsidRDefault="00161751">
      <w:pPr>
        <w:spacing w:after="200" w:line="360" w:lineRule="auto"/>
        <w:jc w:val="both"/>
      </w:pPr>
      <w:r w:rsidRPr="001E722E">
        <w:rPr>
          <w:rFonts w:ascii="Arial" w:eastAsia="Arial" w:hAnsi="Arial" w:cs="Arial"/>
          <w:sz w:val="24"/>
          <w:szCs w:val="24"/>
        </w:rPr>
        <w:t>Each study was rated as high, moderate, or low quality based on the number of criteria met. Grey literature (policy documents, statistical factsheets, programme evaluations) was not appraised using CASP.</w:t>
      </w:r>
    </w:p>
    <w:p w14:paraId="1CDC2EC5" w14:textId="77777777" w:rsidR="00955984" w:rsidRPr="001E722E" w:rsidRDefault="00161751">
      <w:pPr>
        <w:pStyle w:val="Heading1"/>
        <w:pageBreakBefore/>
      </w:pPr>
      <w:r w:rsidRPr="001E722E">
        <w:lastRenderedPageBreak/>
        <w:t>APPENDIX C: PRISMA 2020 CHECKLIST</w:t>
      </w:r>
    </w:p>
    <w:p w14:paraId="45FAF1E4" w14:textId="77777777" w:rsidR="00955984" w:rsidRPr="001E722E" w:rsidRDefault="00161751">
      <w:pPr>
        <w:spacing w:after="200" w:line="360" w:lineRule="auto"/>
        <w:jc w:val="both"/>
      </w:pPr>
      <w:r w:rsidRPr="001E722E">
        <w:rPr>
          <w:rFonts w:ascii="Arial" w:eastAsia="Arial" w:hAnsi="Arial" w:cs="Arial"/>
          <w:sz w:val="24"/>
          <w:szCs w:val="24"/>
        </w:rPr>
        <w:t>The table below maps each item of the PRISMA 2020 checklist (Page et al., 2021) to the section of this dissertation where it is reported. Items that were not applicable to a narrative synthesis, or that were not undertaken, are stated as such.</w:t>
      </w:r>
    </w:p>
    <w:p w14:paraId="471E85C1" w14:textId="77777777" w:rsidR="00955984" w:rsidRPr="001E722E" w:rsidRDefault="00161751">
      <w:pPr>
        <w:keepNext/>
        <w:spacing w:before="120" w:after="120"/>
      </w:pPr>
      <w:r w:rsidRPr="001E722E">
        <w:rPr>
          <w:rFonts w:ascii="Arial" w:eastAsia="Arial" w:hAnsi="Arial" w:cs="Arial"/>
          <w:b/>
          <w:bCs/>
          <w:sz w:val="22"/>
          <w:szCs w:val="22"/>
        </w:rPr>
        <w:t>Table C.1: PRISMA 2020 Checklist</w:t>
      </w:r>
    </w:p>
    <w:tbl>
      <w:tblPr>
        <w:tblStyle w:val="TableNormal0"/>
        <w:tblW w:w="9499" w:type="dxa"/>
        <w:tblInd w:w="-120" w:type="dxa"/>
        <w:tblLayout w:type="fixed"/>
        <w:tblLook w:val="0400" w:firstRow="0" w:lastRow="0" w:firstColumn="0" w:lastColumn="0" w:noHBand="0" w:noVBand="1"/>
      </w:tblPr>
      <w:tblGrid>
        <w:gridCol w:w="2050"/>
        <w:gridCol w:w="900"/>
        <w:gridCol w:w="4150"/>
        <w:gridCol w:w="2399"/>
      </w:tblGrid>
      <w:tr w:rsidR="00955984" w:rsidRPr="001E722E" w14:paraId="79E5A9F8" w14:textId="77777777">
        <w:trPr>
          <w:tblHeader/>
        </w:trPr>
        <w:tc>
          <w:tcPr>
            <w:tcW w:w="2050" w:type="dxa"/>
            <w:tcBorders>
              <w:top w:val="single" w:sz="4" w:space="0" w:color="000000"/>
              <w:left w:val="single" w:sz="4" w:space="0" w:color="000000"/>
              <w:bottom w:val="single" w:sz="4" w:space="0" w:color="000000"/>
              <w:right w:val="single" w:sz="4" w:space="0" w:color="000000"/>
            </w:tcBorders>
            <w:shd w:val="clear" w:color="auto" w:fill="1F3864"/>
          </w:tcPr>
          <w:p w14:paraId="78FE135A" w14:textId="77777777" w:rsidR="00955984" w:rsidRPr="001E722E" w:rsidRDefault="00161751">
            <w:pPr>
              <w:spacing w:before="40" w:after="40"/>
            </w:pPr>
            <w:r w:rsidRPr="001E722E">
              <w:rPr>
                <w:rFonts w:ascii="Arial" w:eastAsia="Arial" w:hAnsi="Arial" w:cs="Arial"/>
                <w:b/>
                <w:bCs/>
                <w:color w:val="FFFFFF"/>
              </w:rPr>
              <w:t>Section/topic</w:t>
            </w:r>
          </w:p>
        </w:tc>
        <w:tc>
          <w:tcPr>
            <w:tcW w:w="900" w:type="dxa"/>
            <w:tcBorders>
              <w:top w:val="single" w:sz="4" w:space="0" w:color="000000"/>
              <w:left w:val="single" w:sz="4" w:space="0" w:color="000000"/>
              <w:bottom w:val="single" w:sz="4" w:space="0" w:color="000000"/>
              <w:right w:val="single" w:sz="4" w:space="0" w:color="000000"/>
            </w:tcBorders>
            <w:shd w:val="clear" w:color="auto" w:fill="1F3864"/>
          </w:tcPr>
          <w:p w14:paraId="46396685" w14:textId="77777777" w:rsidR="00955984" w:rsidRPr="001E722E" w:rsidRDefault="00161751">
            <w:pPr>
              <w:spacing w:before="40" w:after="40"/>
            </w:pPr>
            <w:r w:rsidRPr="001E722E">
              <w:rPr>
                <w:rFonts w:ascii="Arial" w:eastAsia="Arial" w:hAnsi="Arial" w:cs="Arial"/>
                <w:b/>
                <w:bCs/>
                <w:color w:val="FFFFFF"/>
              </w:rPr>
              <w:t>Item</w:t>
            </w:r>
          </w:p>
        </w:tc>
        <w:tc>
          <w:tcPr>
            <w:tcW w:w="4150" w:type="dxa"/>
            <w:tcBorders>
              <w:top w:val="single" w:sz="4" w:space="0" w:color="000000"/>
              <w:left w:val="single" w:sz="4" w:space="0" w:color="000000"/>
              <w:bottom w:val="single" w:sz="4" w:space="0" w:color="000000"/>
              <w:right w:val="single" w:sz="4" w:space="0" w:color="000000"/>
            </w:tcBorders>
            <w:shd w:val="clear" w:color="auto" w:fill="1F3864"/>
          </w:tcPr>
          <w:p w14:paraId="231EDBDA" w14:textId="77777777" w:rsidR="00955984" w:rsidRPr="001E722E" w:rsidRDefault="00161751">
            <w:pPr>
              <w:spacing w:before="40" w:after="40"/>
            </w:pPr>
            <w:r w:rsidRPr="001E722E">
              <w:rPr>
                <w:rFonts w:ascii="Arial" w:eastAsia="Arial" w:hAnsi="Arial" w:cs="Arial"/>
                <w:b/>
                <w:bCs/>
                <w:color w:val="FFFFFF"/>
              </w:rPr>
              <w:t>Checklist item</w:t>
            </w:r>
          </w:p>
        </w:tc>
        <w:tc>
          <w:tcPr>
            <w:tcW w:w="2399" w:type="dxa"/>
            <w:tcBorders>
              <w:top w:val="single" w:sz="4" w:space="0" w:color="000000"/>
              <w:left w:val="single" w:sz="4" w:space="0" w:color="000000"/>
              <w:bottom w:val="single" w:sz="4" w:space="0" w:color="000000"/>
              <w:right w:val="single" w:sz="4" w:space="0" w:color="000000"/>
            </w:tcBorders>
            <w:shd w:val="clear" w:color="auto" w:fill="1F3864"/>
          </w:tcPr>
          <w:p w14:paraId="71E5045F" w14:textId="77777777" w:rsidR="00955984" w:rsidRPr="001E722E" w:rsidRDefault="00161751">
            <w:pPr>
              <w:spacing w:before="40" w:after="40"/>
            </w:pPr>
            <w:r w:rsidRPr="001E722E">
              <w:rPr>
                <w:rFonts w:ascii="Arial" w:eastAsia="Arial" w:hAnsi="Arial" w:cs="Arial"/>
                <w:b/>
                <w:bCs/>
                <w:color w:val="FFFFFF"/>
              </w:rPr>
              <w:t>Location reported</w:t>
            </w:r>
          </w:p>
        </w:tc>
      </w:tr>
      <w:tr w:rsidR="00955984" w:rsidRPr="001E722E" w14:paraId="456E0D58" w14:textId="77777777">
        <w:trPr>
          <w:cantSplit/>
        </w:trPr>
        <w:tc>
          <w:tcPr>
            <w:tcW w:w="9499" w:type="dxa"/>
            <w:gridSpan w:val="4"/>
            <w:tcBorders>
              <w:top w:val="single" w:sz="4" w:space="0" w:color="000000"/>
              <w:left w:val="single" w:sz="4" w:space="0" w:color="000000"/>
              <w:bottom w:val="single" w:sz="4" w:space="0" w:color="000000"/>
              <w:right w:val="single" w:sz="4" w:space="0" w:color="000000"/>
            </w:tcBorders>
            <w:shd w:val="clear" w:color="auto" w:fill="D9E2F3"/>
          </w:tcPr>
          <w:p w14:paraId="7AB679DD" w14:textId="77777777" w:rsidR="00955984" w:rsidRPr="001E722E" w:rsidRDefault="00161751">
            <w:pPr>
              <w:spacing w:before="40" w:after="40"/>
            </w:pPr>
            <w:r w:rsidRPr="001E722E">
              <w:rPr>
                <w:rFonts w:ascii="Arial" w:eastAsia="Arial" w:hAnsi="Arial" w:cs="Arial"/>
                <w:b/>
                <w:bCs/>
              </w:rPr>
              <w:t>TITLE</w:t>
            </w:r>
          </w:p>
        </w:tc>
      </w:tr>
      <w:tr w:rsidR="00955984" w:rsidRPr="001E722E" w14:paraId="4C6934EB" w14:textId="77777777">
        <w:trPr>
          <w:cantSplit/>
        </w:trPr>
        <w:tc>
          <w:tcPr>
            <w:tcW w:w="2050" w:type="dxa"/>
            <w:tcBorders>
              <w:top w:val="single" w:sz="4" w:space="0" w:color="000000"/>
              <w:left w:val="single" w:sz="4" w:space="0" w:color="000000"/>
              <w:bottom w:val="single" w:sz="4" w:space="0" w:color="000000"/>
              <w:right w:val="single" w:sz="4" w:space="0" w:color="000000"/>
            </w:tcBorders>
          </w:tcPr>
          <w:p w14:paraId="2A02BEC3" w14:textId="77777777" w:rsidR="00955984" w:rsidRPr="001E722E" w:rsidRDefault="00161751">
            <w:pPr>
              <w:spacing w:before="40" w:after="40"/>
            </w:pPr>
            <w:r w:rsidRPr="001E722E">
              <w:rPr>
                <w:rFonts w:ascii="Arial" w:eastAsia="Arial" w:hAnsi="Arial" w:cs="Arial"/>
              </w:rPr>
              <w:t>Title</w:t>
            </w:r>
          </w:p>
        </w:tc>
        <w:tc>
          <w:tcPr>
            <w:tcW w:w="900" w:type="dxa"/>
            <w:tcBorders>
              <w:top w:val="single" w:sz="4" w:space="0" w:color="000000"/>
              <w:left w:val="single" w:sz="4" w:space="0" w:color="000000"/>
              <w:bottom w:val="single" w:sz="4" w:space="0" w:color="000000"/>
              <w:right w:val="single" w:sz="4" w:space="0" w:color="000000"/>
            </w:tcBorders>
          </w:tcPr>
          <w:p w14:paraId="465D17DB" w14:textId="77777777" w:rsidR="00955984" w:rsidRPr="001E722E" w:rsidRDefault="00161751">
            <w:pPr>
              <w:spacing w:before="40" w:after="40"/>
            </w:pPr>
            <w:r w:rsidRPr="001E722E">
              <w:rPr>
                <w:rFonts w:ascii="Arial" w:eastAsia="Arial" w:hAnsi="Arial" w:cs="Arial"/>
              </w:rPr>
              <w:t>1</w:t>
            </w:r>
          </w:p>
        </w:tc>
        <w:tc>
          <w:tcPr>
            <w:tcW w:w="4150" w:type="dxa"/>
            <w:tcBorders>
              <w:top w:val="single" w:sz="4" w:space="0" w:color="000000"/>
              <w:left w:val="single" w:sz="4" w:space="0" w:color="000000"/>
              <w:bottom w:val="single" w:sz="4" w:space="0" w:color="000000"/>
              <w:right w:val="single" w:sz="4" w:space="0" w:color="000000"/>
            </w:tcBorders>
          </w:tcPr>
          <w:p w14:paraId="7C68FE4D" w14:textId="77777777" w:rsidR="00955984" w:rsidRPr="001E722E" w:rsidRDefault="00161751">
            <w:pPr>
              <w:spacing w:before="40" w:after="40"/>
            </w:pPr>
            <w:r w:rsidRPr="001E722E">
              <w:rPr>
                <w:rFonts w:ascii="Arial" w:eastAsia="Arial" w:hAnsi="Arial" w:cs="Arial"/>
              </w:rPr>
              <w:t>Identify the report as a systematic review.</w:t>
            </w:r>
          </w:p>
        </w:tc>
        <w:tc>
          <w:tcPr>
            <w:tcW w:w="2399" w:type="dxa"/>
            <w:tcBorders>
              <w:top w:val="single" w:sz="4" w:space="0" w:color="000000"/>
              <w:left w:val="single" w:sz="4" w:space="0" w:color="000000"/>
              <w:bottom w:val="single" w:sz="4" w:space="0" w:color="000000"/>
              <w:right w:val="single" w:sz="4" w:space="0" w:color="000000"/>
            </w:tcBorders>
          </w:tcPr>
          <w:p w14:paraId="62F0D6B1" w14:textId="77777777" w:rsidR="00955984" w:rsidRPr="001E722E" w:rsidRDefault="00161751">
            <w:pPr>
              <w:spacing w:before="40" w:after="40"/>
            </w:pPr>
            <w:r w:rsidRPr="001E722E">
              <w:rPr>
                <w:rFonts w:ascii="Arial" w:eastAsia="Arial" w:hAnsi="Arial" w:cs="Arial"/>
              </w:rPr>
              <w:t>Section 3.3 (title does not state 'systematic review')</w:t>
            </w:r>
          </w:p>
        </w:tc>
      </w:tr>
      <w:tr w:rsidR="00955984" w:rsidRPr="001E722E" w14:paraId="141789E7" w14:textId="77777777">
        <w:trPr>
          <w:cantSplit/>
        </w:trPr>
        <w:tc>
          <w:tcPr>
            <w:tcW w:w="9499" w:type="dxa"/>
            <w:gridSpan w:val="4"/>
            <w:tcBorders>
              <w:top w:val="single" w:sz="4" w:space="0" w:color="000000"/>
              <w:left w:val="single" w:sz="4" w:space="0" w:color="000000"/>
              <w:bottom w:val="single" w:sz="4" w:space="0" w:color="000000"/>
              <w:right w:val="single" w:sz="4" w:space="0" w:color="000000"/>
            </w:tcBorders>
            <w:shd w:val="clear" w:color="auto" w:fill="D9E2F3"/>
          </w:tcPr>
          <w:p w14:paraId="7B1FF56E" w14:textId="77777777" w:rsidR="00955984" w:rsidRPr="001E722E" w:rsidRDefault="00161751">
            <w:pPr>
              <w:spacing w:before="40" w:after="40"/>
            </w:pPr>
            <w:r w:rsidRPr="001E722E">
              <w:rPr>
                <w:rFonts w:ascii="Arial" w:eastAsia="Arial" w:hAnsi="Arial" w:cs="Arial"/>
                <w:b/>
                <w:bCs/>
              </w:rPr>
              <w:t>ABSTRACT</w:t>
            </w:r>
          </w:p>
        </w:tc>
      </w:tr>
      <w:tr w:rsidR="00955984" w:rsidRPr="001E722E" w14:paraId="0E1AF25B" w14:textId="77777777">
        <w:trPr>
          <w:cantSplit/>
        </w:trPr>
        <w:tc>
          <w:tcPr>
            <w:tcW w:w="2050" w:type="dxa"/>
            <w:tcBorders>
              <w:top w:val="single" w:sz="4" w:space="0" w:color="000000"/>
              <w:left w:val="single" w:sz="4" w:space="0" w:color="000000"/>
              <w:bottom w:val="single" w:sz="4" w:space="0" w:color="000000"/>
              <w:right w:val="single" w:sz="4" w:space="0" w:color="000000"/>
            </w:tcBorders>
          </w:tcPr>
          <w:p w14:paraId="66123004" w14:textId="77777777" w:rsidR="00955984" w:rsidRPr="001E722E" w:rsidRDefault="00161751">
            <w:pPr>
              <w:spacing w:before="40" w:after="40"/>
            </w:pPr>
            <w:r w:rsidRPr="001E722E">
              <w:rPr>
                <w:rFonts w:ascii="Arial" w:eastAsia="Arial" w:hAnsi="Arial" w:cs="Arial"/>
              </w:rPr>
              <w:t>Abstract</w:t>
            </w:r>
          </w:p>
        </w:tc>
        <w:tc>
          <w:tcPr>
            <w:tcW w:w="900" w:type="dxa"/>
            <w:tcBorders>
              <w:top w:val="single" w:sz="4" w:space="0" w:color="000000"/>
              <w:left w:val="single" w:sz="4" w:space="0" w:color="000000"/>
              <w:bottom w:val="single" w:sz="4" w:space="0" w:color="000000"/>
              <w:right w:val="single" w:sz="4" w:space="0" w:color="000000"/>
            </w:tcBorders>
          </w:tcPr>
          <w:p w14:paraId="62C90622" w14:textId="77777777" w:rsidR="00955984" w:rsidRPr="001E722E" w:rsidRDefault="00161751">
            <w:pPr>
              <w:spacing w:before="40" w:after="40"/>
            </w:pPr>
            <w:r w:rsidRPr="001E722E">
              <w:rPr>
                <w:rFonts w:ascii="Arial" w:eastAsia="Arial" w:hAnsi="Arial" w:cs="Arial"/>
              </w:rPr>
              <w:t>2</w:t>
            </w:r>
          </w:p>
        </w:tc>
        <w:tc>
          <w:tcPr>
            <w:tcW w:w="4150" w:type="dxa"/>
            <w:tcBorders>
              <w:top w:val="single" w:sz="4" w:space="0" w:color="000000"/>
              <w:left w:val="single" w:sz="4" w:space="0" w:color="000000"/>
              <w:bottom w:val="single" w:sz="4" w:space="0" w:color="000000"/>
              <w:right w:val="single" w:sz="4" w:space="0" w:color="000000"/>
            </w:tcBorders>
          </w:tcPr>
          <w:p w14:paraId="54FD29C8" w14:textId="77777777" w:rsidR="00955984" w:rsidRPr="001E722E" w:rsidRDefault="00161751">
            <w:pPr>
              <w:spacing w:before="40" w:after="40"/>
            </w:pPr>
            <w:r w:rsidRPr="001E722E">
              <w:rPr>
                <w:rFonts w:ascii="Arial" w:eastAsia="Arial" w:hAnsi="Arial" w:cs="Arial"/>
              </w:rPr>
              <w:t>See the PRISMA 2020 for Abstracts checklist.</w:t>
            </w:r>
          </w:p>
        </w:tc>
        <w:tc>
          <w:tcPr>
            <w:tcW w:w="2399" w:type="dxa"/>
            <w:tcBorders>
              <w:top w:val="single" w:sz="4" w:space="0" w:color="000000"/>
              <w:left w:val="single" w:sz="4" w:space="0" w:color="000000"/>
              <w:bottom w:val="single" w:sz="4" w:space="0" w:color="000000"/>
              <w:right w:val="single" w:sz="4" w:space="0" w:color="000000"/>
            </w:tcBorders>
          </w:tcPr>
          <w:p w14:paraId="0F38B8EC" w14:textId="77777777" w:rsidR="00955984" w:rsidRPr="001E722E" w:rsidRDefault="00161751">
            <w:pPr>
              <w:spacing w:before="40" w:after="40"/>
            </w:pPr>
            <w:r w:rsidRPr="001E722E">
              <w:rPr>
                <w:rFonts w:ascii="Arial" w:eastAsia="Arial" w:hAnsi="Arial" w:cs="Arial"/>
              </w:rPr>
              <w:t>Abstract (front matter)</w:t>
            </w:r>
          </w:p>
        </w:tc>
      </w:tr>
      <w:tr w:rsidR="00955984" w:rsidRPr="001E722E" w14:paraId="61FAFCEE" w14:textId="77777777">
        <w:trPr>
          <w:cantSplit/>
        </w:trPr>
        <w:tc>
          <w:tcPr>
            <w:tcW w:w="9499" w:type="dxa"/>
            <w:gridSpan w:val="4"/>
            <w:tcBorders>
              <w:top w:val="single" w:sz="4" w:space="0" w:color="000000"/>
              <w:left w:val="single" w:sz="4" w:space="0" w:color="000000"/>
              <w:bottom w:val="single" w:sz="4" w:space="0" w:color="000000"/>
              <w:right w:val="single" w:sz="4" w:space="0" w:color="000000"/>
            </w:tcBorders>
            <w:shd w:val="clear" w:color="auto" w:fill="D9E2F3"/>
          </w:tcPr>
          <w:p w14:paraId="3AD03E83" w14:textId="77777777" w:rsidR="00955984" w:rsidRPr="001E722E" w:rsidRDefault="00161751">
            <w:pPr>
              <w:spacing w:before="40" w:after="40"/>
            </w:pPr>
            <w:r w:rsidRPr="001E722E">
              <w:rPr>
                <w:rFonts w:ascii="Arial" w:eastAsia="Arial" w:hAnsi="Arial" w:cs="Arial"/>
                <w:b/>
                <w:bCs/>
              </w:rPr>
              <w:t>INTRODUCTION</w:t>
            </w:r>
          </w:p>
        </w:tc>
      </w:tr>
      <w:tr w:rsidR="00955984" w:rsidRPr="001E722E" w14:paraId="44DEAB37" w14:textId="77777777">
        <w:trPr>
          <w:cantSplit/>
        </w:trPr>
        <w:tc>
          <w:tcPr>
            <w:tcW w:w="2050" w:type="dxa"/>
            <w:tcBorders>
              <w:top w:val="single" w:sz="4" w:space="0" w:color="000000"/>
              <w:left w:val="single" w:sz="4" w:space="0" w:color="000000"/>
              <w:bottom w:val="single" w:sz="4" w:space="0" w:color="000000"/>
              <w:right w:val="single" w:sz="4" w:space="0" w:color="000000"/>
            </w:tcBorders>
          </w:tcPr>
          <w:p w14:paraId="74C63264" w14:textId="77777777" w:rsidR="00955984" w:rsidRPr="001E722E" w:rsidRDefault="00161751">
            <w:pPr>
              <w:spacing w:before="40" w:after="40"/>
            </w:pPr>
            <w:r w:rsidRPr="001E722E">
              <w:rPr>
                <w:rFonts w:ascii="Arial" w:eastAsia="Arial" w:hAnsi="Arial" w:cs="Arial"/>
              </w:rPr>
              <w:t>Rationale</w:t>
            </w:r>
          </w:p>
        </w:tc>
        <w:tc>
          <w:tcPr>
            <w:tcW w:w="900" w:type="dxa"/>
            <w:tcBorders>
              <w:top w:val="single" w:sz="4" w:space="0" w:color="000000"/>
              <w:left w:val="single" w:sz="4" w:space="0" w:color="000000"/>
              <w:bottom w:val="single" w:sz="4" w:space="0" w:color="000000"/>
              <w:right w:val="single" w:sz="4" w:space="0" w:color="000000"/>
            </w:tcBorders>
          </w:tcPr>
          <w:p w14:paraId="728810CC" w14:textId="77777777" w:rsidR="00955984" w:rsidRPr="001E722E" w:rsidRDefault="00161751">
            <w:pPr>
              <w:spacing w:before="40" w:after="40"/>
            </w:pPr>
            <w:r w:rsidRPr="001E722E">
              <w:rPr>
                <w:rFonts w:ascii="Arial" w:eastAsia="Arial" w:hAnsi="Arial" w:cs="Arial"/>
              </w:rPr>
              <w:t>3</w:t>
            </w:r>
          </w:p>
        </w:tc>
        <w:tc>
          <w:tcPr>
            <w:tcW w:w="4150" w:type="dxa"/>
            <w:tcBorders>
              <w:top w:val="single" w:sz="4" w:space="0" w:color="000000"/>
              <w:left w:val="single" w:sz="4" w:space="0" w:color="000000"/>
              <w:bottom w:val="single" w:sz="4" w:space="0" w:color="000000"/>
              <w:right w:val="single" w:sz="4" w:space="0" w:color="000000"/>
            </w:tcBorders>
          </w:tcPr>
          <w:p w14:paraId="68F966A8" w14:textId="77777777" w:rsidR="00955984" w:rsidRPr="001E722E" w:rsidRDefault="00161751">
            <w:pPr>
              <w:spacing w:before="40" w:after="40"/>
            </w:pPr>
            <w:r w:rsidRPr="001E722E">
              <w:rPr>
                <w:rFonts w:ascii="Arial" w:eastAsia="Arial" w:hAnsi="Arial" w:cs="Arial"/>
              </w:rPr>
              <w:t>Describe the rationale for the review in the context of existing knowledge.</w:t>
            </w:r>
          </w:p>
        </w:tc>
        <w:tc>
          <w:tcPr>
            <w:tcW w:w="2399" w:type="dxa"/>
            <w:tcBorders>
              <w:top w:val="single" w:sz="4" w:space="0" w:color="000000"/>
              <w:left w:val="single" w:sz="4" w:space="0" w:color="000000"/>
              <w:bottom w:val="single" w:sz="4" w:space="0" w:color="000000"/>
              <w:right w:val="single" w:sz="4" w:space="0" w:color="000000"/>
            </w:tcBorders>
          </w:tcPr>
          <w:p w14:paraId="42E4214F" w14:textId="77777777" w:rsidR="00955984" w:rsidRPr="001E722E" w:rsidRDefault="00161751">
            <w:pPr>
              <w:spacing w:before="40" w:after="40"/>
            </w:pPr>
            <w:r w:rsidRPr="001E722E">
              <w:rPr>
                <w:rFonts w:ascii="Arial" w:eastAsia="Arial" w:hAnsi="Arial" w:cs="Arial"/>
              </w:rPr>
              <w:t>Sections 1.1, 1.2, 2.8</w:t>
            </w:r>
          </w:p>
        </w:tc>
      </w:tr>
      <w:tr w:rsidR="00955984" w:rsidRPr="001E722E" w14:paraId="605DDBA9" w14:textId="77777777">
        <w:trPr>
          <w:cantSplit/>
        </w:trPr>
        <w:tc>
          <w:tcPr>
            <w:tcW w:w="2050" w:type="dxa"/>
            <w:tcBorders>
              <w:top w:val="single" w:sz="4" w:space="0" w:color="000000"/>
              <w:left w:val="single" w:sz="4" w:space="0" w:color="000000"/>
              <w:bottom w:val="single" w:sz="4" w:space="0" w:color="000000"/>
              <w:right w:val="single" w:sz="4" w:space="0" w:color="000000"/>
            </w:tcBorders>
          </w:tcPr>
          <w:p w14:paraId="2D5B3CD1" w14:textId="77777777" w:rsidR="00955984" w:rsidRPr="001E722E" w:rsidRDefault="00161751">
            <w:pPr>
              <w:spacing w:before="40" w:after="40"/>
            </w:pPr>
            <w:r w:rsidRPr="001E722E">
              <w:rPr>
                <w:rFonts w:ascii="Arial" w:eastAsia="Arial" w:hAnsi="Arial" w:cs="Arial"/>
              </w:rPr>
              <w:t>Objectives</w:t>
            </w:r>
          </w:p>
        </w:tc>
        <w:tc>
          <w:tcPr>
            <w:tcW w:w="900" w:type="dxa"/>
            <w:tcBorders>
              <w:top w:val="single" w:sz="4" w:space="0" w:color="000000"/>
              <w:left w:val="single" w:sz="4" w:space="0" w:color="000000"/>
              <w:bottom w:val="single" w:sz="4" w:space="0" w:color="000000"/>
              <w:right w:val="single" w:sz="4" w:space="0" w:color="000000"/>
            </w:tcBorders>
          </w:tcPr>
          <w:p w14:paraId="2038DD9E" w14:textId="77777777" w:rsidR="00955984" w:rsidRPr="001E722E" w:rsidRDefault="00161751">
            <w:pPr>
              <w:spacing w:before="40" w:after="40"/>
            </w:pPr>
            <w:r w:rsidRPr="001E722E">
              <w:rPr>
                <w:rFonts w:ascii="Arial" w:eastAsia="Arial" w:hAnsi="Arial" w:cs="Arial"/>
              </w:rPr>
              <w:t>4</w:t>
            </w:r>
          </w:p>
        </w:tc>
        <w:tc>
          <w:tcPr>
            <w:tcW w:w="4150" w:type="dxa"/>
            <w:tcBorders>
              <w:top w:val="single" w:sz="4" w:space="0" w:color="000000"/>
              <w:left w:val="single" w:sz="4" w:space="0" w:color="000000"/>
              <w:bottom w:val="single" w:sz="4" w:space="0" w:color="000000"/>
              <w:right w:val="single" w:sz="4" w:space="0" w:color="000000"/>
            </w:tcBorders>
          </w:tcPr>
          <w:p w14:paraId="409AB903" w14:textId="77777777" w:rsidR="00955984" w:rsidRPr="001E722E" w:rsidRDefault="00161751">
            <w:pPr>
              <w:spacing w:before="40" w:after="40"/>
            </w:pPr>
            <w:r w:rsidRPr="001E722E">
              <w:rPr>
                <w:rFonts w:ascii="Arial" w:eastAsia="Arial" w:hAnsi="Arial" w:cs="Arial"/>
              </w:rPr>
              <w:t>Provide an explicit statement of the objective(s) or question(s) the review addresses.</w:t>
            </w:r>
          </w:p>
        </w:tc>
        <w:tc>
          <w:tcPr>
            <w:tcW w:w="2399" w:type="dxa"/>
            <w:tcBorders>
              <w:top w:val="single" w:sz="4" w:space="0" w:color="000000"/>
              <w:left w:val="single" w:sz="4" w:space="0" w:color="000000"/>
              <w:bottom w:val="single" w:sz="4" w:space="0" w:color="000000"/>
              <w:right w:val="single" w:sz="4" w:space="0" w:color="000000"/>
            </w:tcBorders>
          </w:tcPr>
          <w:p w14:paraId="0AB86DED" w14:textId="77777777" w:rsidR="00955984" w:rsidRPr="001E722E" w:rsidRDefault="00161751">
            <w:pPr>
              <w:spacing w:before="40" w:after="40"/>
            </w:pPr>
            <w:r w:rsidRPr="001E722E">
              <w:rPr>
                <w:rFonts w:ascii="Arial" w:eastAsia="Arial" w:hAnsi="Arial" w:cs="Arial"/>
              </w:rPr>
              <w:t>Section 1.3</w:t>
            </w:r>
          </w:p>
        </w:tc>
      </w:tr>
      <w:tr w:rsidR="00955984" w:rsidRPr="001E722E" w14:paraId="7FDC0F1B" w14:textId="77777777">
        <w:trPr>
          <w:cantSplit/>
        </w:trPr>
        <w:tc>
          <w:tcPr>
            <w:tcW w:w="9499" w:type="dxa"/>
            <w:gridSpan w:val="4"/>
            <w:tcBorders>
              <w:top w:val="single" w:sz="4" w:space="0" w:color="000000"/>
              <w:left w:val="single" w:sz="4" w:space="0" w:color="000000"/>
              <w:bottom w:val="single" w:sz="4" w:space="0" w:color="000000"/>
              <w:right w:val="single" w:sz="4" w:space="0" w:color="000000"/>
            </w:tcBorders>
            <w:shd w:val="clear" w:color="auto" w:fill="D9E2F3"/>
          </w:tcPr>
          <w:p w14:paraId="0BC0D5F0" w14:textId="77777777" w:rsidR="00955984" w:rsidRPr="001E722E" w:rsidRDefault="00161751">
            <w:pPr>
              <w:spacing w:before="40" w:after="40"/>
            </w:pPr>
            <w:r w:rsidRPr="001E722E">
              <w:rPr>
                <w:rFonts w:ascii="Arial" w:eastAsia="Arial" w:hAnsi="Arial" w:cs="Arial"/>
                <w:b/>
                <w:bCs/>
              </w:rPr>
              <w:t>METHODS</w:t>
            </w:r>
          </w:p>
        </w:tc>
      </w:tr>
      <w:tr w:rsidR="00955984" w:rsidRPr="001E722E" w14:paraId="6E8F9F28" w14:textId="77777777">
        <w:trPr>
          <w:cantSplit/>
        </w:trPr>
        <w:tc>
          <w:tcPr>
            <w:tcW w:w="2050" w:type="dxa"/>
            <w:tcBorders>
              <w:top w:val="single" w:sz="4" w:space="0" w:color="000000"/>
              <w:left w:val="single" w:sz="4" w:space="0" w:color="000000"/>
              <w:bottom w:val="single" w:sz="4" w:space="0" w:color="000000"/>
              <w:right w:val="single" w:sz="4" w:space="0" w:color="000000"/>
            </w:tcBorders>
          </w:tcPr>
          <w:p w14:paraId="383C847B" w14:textId="77777777" w:rsidR="00955984" w:rsidRPr="001E722E" w:rsidRDefault="00161751">
            <w:pPr>
              <w:spacing w:before="40" w:after="40"/>
            </w:pPr>
            <w:r w:rsidRPr="001E722E">
              <w:rPr>
                <w:rFonts w:ascii="Arial" w:eastAsia="Arial" w:hAnsi="Arial" w:cs="Arial"/>
              </w:rPr>
              <w:t>Eligibility criteria</w:t>
            </w:r>
          </w:p>
        </w:tc>
        <w:tc>
          <w:tcPr>
            <w:tcW w:w="900" w:type="dxa"/>
            <w:tcBorders>
              <w:top w:val="single" w:sz="4" w:space="0" w:color="000000"/>
              <w:left w:val="single" w:sz="4" w:space="0" w:color="000000"/>
              <w:bottom w:val="single" w:sz="4" w:space="0" w:color="000000"/>
              <w:right w:val="single" w:sz="4" w:space="0" w:color="000000"/>
            </w:tcBorders>
          </w:tcPr>
          <w:p w14:paraId="04B33E53" w14:textId="77777777" w:rsidR="00955984" w:rsidRPr="001E722E" w:rsidRDefault="00161751">
            <w:pPr>
              <w:spacing w:before="40" w:after="40"/>
            </w:pPr>
            <w:r w:rsidRPr="001E722E">
              <w:rPr>
                <w:rFonts w:ascii="Arial" w:eastAsia="Arial" w:hAnsi="Arial" w:cs="Arial"/>
              </w:rPr>
              <w:t>5</w:t>
            </w:r>
          </w:p>
        </w:tc>
        <w:tc>
          <w:tcPr>
            <w:tcW w:w="4150" w:type="dxa"/>
            <w:tcBorders>
              <w:top w:val="single" w:sz="4" w:space="0" w:color="000000"/>
              <w:left w:val="single" w:sz="4" w:space="0" w:color="000000"/>
              <w:bottom w:val="single" w:sz="4" w:space="0" w:color="000000"/>
              <w:right w:val="single" w:sz="4" w:space="0" w:color="000000"/>
            </w:tcBorders>
          </w:tcPr>
          <w:p w14:paraId="6B6AAF3F" w14:textId="77777777" w:rsidR="00955984" w:rsidRPr="001E722E" w:rsidRDefault="00161751">
            <w:pPr>
              <w:spacing w:before="40" w:after="40"/>
            </w:pPr>
            <w:r w:rsidRPr="001E722E">
              <w:rPr>
                <w:rFonts w:ascii="Arial" w:eastAsia="Arial" w:hAnsi="Arial" w:cs="Arial"/>
              </w:rPr>
              <w:t>Specify the inclusion and exclusion criteria for the review and how studies were grouped for the syntheses.</w:t>
            </w:r>
          </w:p>
        </w:tc>
        <w:tc>
          <w:tcPr>
            <w:tcW w:w="2399" w:type="dxa"/>
            <w:tcBorders>
              <w:top w:val="single" w:sz="4" w:space="0" w:color="000000"/>
              <w:left w:val="single" w:sz="4" w:space="0" w:color="000000"/>
              <w:bottom w:val="single" w:sz="4" w:space="0" w:color="000000"/>
              <w:right w:val="single" w:sz="4" w:space="0" w:color="000000"/>
            </w:tcBorders>
          </w:tcPr>
          <w:p w14:paraId="76D1ED75" w14:textId="77777777" w:rsidR="00955984" w:rsidRPr="001E722E" w:rsidRDefault="00161751">
            <w:pPr>
              <w:spacing w:before="40" w:after="40"/>
            </w:pPr>
            <w:r w:rsidRPr="001E722E">
              <w:rPr>
                <w:rFonts w:ascii="Arial" w:eastAsia="Arial" w:hAnsi="Arial" w:cs="Arial"/>
              </w:rPr>
              <w:t>Section 3.5; Table 3.3</w:t>
            </w:r>
          </w:p>
        </w:tc>
      </w:tr>
      <w:tr w:rsidR="00955984" w:rsidRPr="001E722E" w14:paraId="7D73DA65" w14:textId="77777777">
        <w:trPr>
          <w:cantSplit/>
        </w:trPr>
        <w:tc>
          <w:tcPr>
            <w:tcW w:w="2050" w:type="dxa"/>
            <w:tcBorders>
              <w:top w:val="single" w:sz="4" w:space="0" w:color="000000"/>
              <w:left w:val="single" w:sz="4" w:space="0" w:color="000000"/>
              <w:bottom w:val="single" w:sz="4" w:space="0" w:color="000000"/>
              <w:right w:val="single" w:sz="4" w:space="0" w:color="000000"/>
            </w:tcBorders>
          </w:tcPr>
          <w:p w14:paraId="16D9B2E7" w14:textId="77777777" w:rsidR="00955984" w:rsidRPr="001E722E" w:rsidRDefault="00161751">
            <w:pPr>
              <w:spacing w:before="40" w:after="40"/>
            </w:pPr>
            <w:r w:rsidRPr="001E722E">
              <w:rPr>
                <w:rFonts w:ascii="Arial" w:eastAsia="Arial" w:hAnsi="Arial" w:cs="Arial"/>
              </w:rPr>
              <w:t>Information sources</w:t>
            </w:r>
          </w:p>
        </w:tc>
        <w:tc>
          <w:tcPr>
            <w:tcW w:w="900" w:type="dxa"/>
            <w:tcBorders>
              <w:top w:val="single" w:sz="4" w:space="0" w:color="000000"/>
              <w:left w:val="single" w:sz="4" w:space="0" w:color="000000"/>
              <w:bottom w:val="single" w:sz="4" w:space="0" w:color="000000"/>
              <w:right w:val="single" w:sz="4" w:space="0" w:color="000000"/>
            </w:tcBorders>
          </w:tcPr>
          <w:p w14:paraId="38B0F4A7" w14:textId="77777777" w:rsidR="00955984" w:rsidRPr="001E722E" w:rsidRDefault="00161751">
            <w:pPr>
              <w:spacing w:before="40" w:after="40"/>
            </w:pPr>
            <w:r w:rsidRPr="001E722E">
              <w:rPr>
                <w:rFonts w:ascii="Arial" w:eastAsia="Arial" w:hAnsi="Arial" w:cs="Arial"/>
              </w:rPr>
              <w:t>6</w:t>
            </w:r>
          </w:p>
        </w:tc>
        <w:tc>
          <w:tcPr>
            <w:tcW w:w="4150" w:type="dxa"/>
            <w:tcBorders>
              <w:top w:val="single" w:sz="4" w:space="0" w:color="000000"/>
              <w:left w:val="single" w:sz="4" w:space="0" w:color="000000"/>
              <w:bottom w:val="single" w:sz="4" w:space="0" w:color="000000"/>
              <w:right w:val="single" w:sz="4" w:space="0" w:color="000000"/>
            </w:tcBorders>
          </w:tcPr>
          <w:p w14:paraId="77A66F00" w14:textId="77777777" w:rsidR="00955984" w:rsidRPr="001E722E" w:rsidRDefault="00161751">
            <w:pPr>
              <w:spacing w:before="40" w:after="40"/>
            </w:pPr>
            <w:r w:rsidRPr="001E722E">
              <w:rPr>
                <w:rFonts w:ascii="Arial" w:eastAsia="Arial" w:hAnsi="Arial" w:cs="Arial"/>
              </w:rPr>
              <w:t>Specify all databases, registers, websites, organisations, reference lists and other sources searched or consulted, and the date when each was last searched.</w:t>
            </w:r>
          </w:p>
        </w:tc>
        <w:tc>
          <w:tcPr>
            <w:tcW w:w="2399" w:type="dxa"/>
            <w:tcBorders>
              <w:top w:val="single" w:sz="4" w:space="0" w:color="000000"/>
              <w:left w:val="single" w:sz="4" w:space="0" w:color="000000"/>
              <w:bottom w:val="single" w:sz="4" w:space="0" w:color="000000"/>
              <w:right w:val="single" w:sz="4" w:space="0" w:color="000000"/>
            </w:tcBorders>
          </w:tcPr>
          <w:p w14:paraId="46FD4604" w14:textId="77777777" w:rsidR="00955984" w:rsidRPr="001E722E" w:rsidRDefault="00161751">
            <w:pPr>
              <w:spacing w:before="40" w:after="40"/>
            </w:pPr>
            <w:r w:rsidRPr="001E722E">
              <w:rPr>
                <w:rFonts w:ascii="Arial" w:eastAsia="Arial" w:hAnsi="Arial" w:cs="Arial"/>
              </w:rPr>
              <w:t>Section 3.4; Table 3.2</w:t>
            </w:r>
          </w:p>
        </w:tc>
      </w:tr>
      <w:tr w:rsidR="00955984" w:rsidRPr="001E722E" w14:paraId="48E93073" w14:textId="77777777">
        <w:trPr>
          <w:cantSplit/>
        </w:trPr>
        <w:tc>
          <w:tcPr>
            <w:tcW w:w="2050" w:type="dxa"/>
            <w:tcBorders>
              <w:top w:val="single" w:sz="4" w:space="0" w:color="000000"/>
              <w:left w:val="single" w:sz="4" w:space="0" w:color="000000"/>
              <w:bottom w:val="single" w:sz="4" w:space="0" w:color="000000"/>
              <w:right w:val="single" w:sz="4" w:space="0" w:color="000000"/>
            </w:tcBorders>
          </w:tcPr>
          <w:p w14:paraId="608E57D0" w14:textId="77777777" w:rsidR="00955984" w:rsidRPr="001E722E" w:rsidRDefault="00161751">
            <w:pPr>
              <w:spacing w:before="40" w:after="40"/>
            </w:pPr>
            <w:r w:rsidRPr="001E722E">
              <w:rPr>
                <w:rFonts w:ascii="Arial" w:eastAsia="Arial" w:hAnsi="Arial" w:cs="Arial"/>
              </w:rPr>
              <w:t>Search strategy</w:t>
            </w:r>
          </w:p>
        </w:tc>
        <w:tc>
          <w:tcPr>
            <w:tcW w:w="900" w:type="dxa"/>
            <w:tcBorders>
              <w:top w:val="single" w:sz="4" w:space="0" w:color="000000"/>
              <w:left w:val="single" w:sz="4" w:space="0" w:color="000000"/>
              <w:bottom w:val="single" w:sz="4" w:space="0" w:color="000000"/>
              <w:right w:val="single" w:sz="4" w:space="0" w:color="000000"/>
            </w:tcBorders>
          </w:tcPr>
          <w:p w14:paraId="4FCBC1F8" w14:textId="77777777" w:rsidR="00955984" w:rsidRPr="001E722E" w:rsidRDefault="00161751">
            <w:pPr>
              <w:spacing w:before="40" w:after="40"/>
            </w:pPr>
            <w:r w:rsidRPr="001E722E">
              <w:rPr>
                <w:rFonts w:ascii="Arial" w:eastAsia="Arial" w:hAnsi="Arial" w:cs="Arial"/>
              </w:rPr>
              <w:t>7</w:t>
            </w:r>
          </w:p>
        </w:tc>
        <w:tc>
          <w:tcPr>
            <w:tcW w:w="4150" w:type="dxa"/>
            <w:tcBorders>
              <w:top w:val="single" w:sz="4" w:space="0" w:color="000000"/>
              <w:left w:val="single" w:sz="4" w:space="0" w:color="000000"/>
              <w:bottom w:val="single" w:sz="4" w:space="0" w:color="000000"/>
              <w:right w:val="single" w:sz="4" w:space="0" w:color="000000"/>
            </w:tcBorders>
          </w:tcPr>
          <w:p w14:paraId="56DD2727" w14:textId="77777777" w:rsidR="00955984" w:rsidRPr="001E722E" w:rsidRDefault="00161751">
            <w:pPr>
              <w:spacing w:before="40" w:after="40"/>
            </w:pPr>
            <w:r w:rsidRPr="001E722E">
              <w:rPr>
                <w:rFonts w:ascii="Arial" w:eastAsia="Arial" w:hAnsi="Arial" w:cs="Arial"/>
              </w:rPr>
              <w:t>Present the full search strategies for all databases, registers and websites, including any filters and limits used.</w:t>
            </w:r>
          </w:p>
        </w:tc>
        <w:tc>
          <w:tcPr>
            <w:tcW w:w="2399" w:type="dxa"/>
            <w:tcBorders>
              <w:top w:val="single" w:sz="4" w:space="0" w:color="000000"/>
              <w:left w:val="single" w:sz="4" w:space="0" w:color="000000"/>
              <w:bottom w:val="single" w:sz="4" w:space="0" w:color="000000"/>
              <w:right w:val="single" w:sz="4" w:space="0" w:color="000000"/>
            </w:tcBorders>
          </w:tcPr>
          <w:p w14:paraId="7D33D7C2" w14:textId="77777777" w:rsidR="00955984" w:rsidRPr="001E722E" w:rsidRDefault="00161751">
            <w:pPr>
              <w:spacing w:before="40" w:after="40"/>
            </w:pPr>
            <w:r w:rsidRPr="001E722E">
              <w:rPr>
                <w:rFonts w:ascii="Arial" w:eastAsia="Arial" w:hAnsi="Arial" w:cs="Arial"/>
              </w:rPr>
              <w:t>Section 3.4; Tables 3.1 and 3.2</w:t>
            </w:r>
          </w:p>
        </w:tc>
      </w:tr>
      <w:tr w:rsidR="00955984" w:rsidRPr="001E722E" w14:paraId="4BD2B2A1" w14:textId="77777777">
        <w:trPr>
          <w:cantSplit/>
        </w:trPr>
        <w:tc>
          <w:tcPr>
            <w:tcW w:w="2050" w:type="dxa"/>
            <w:tcBorders>
              <w:top w:val="single" w:sz="4" w:space="0" w:color="000000"/>
              <w:left w:val="single" w:sz="4" w:space="0" w:color="000000"/>
              <w:bottom w:val="single" w:sz="4" w:space="0" w:color="000000"/>
              <w:right w:val="single" w:sz="4" w:space="0" w:color="000000"/>
            </w:tcBorders>
          </w:tcPr>
          <w:p w14:paraId="34F49919" w14:textId="77777777" w:rsidR="00955984" w:rsidRPr="001E722E" w:rsidRDefault="00161751">
            <w:pPr>
              <w:spacing w:before="40" w:after="40"/>
            </w:pPr>
            <w:r w:rsidRPr="001E722E">
              <w:rPr>
                <w:rFonts w:ascii="Arial" w:eastAsia="Arial" w:hAnsi="Arial" w:cs="Arial"/>
              </w:rPr>
              <w:t>Selection process</w:t>
            </w:r>
          </w:p>
        </w:tc>
        <w:tc>
          <w:tcPr>
            <w:tcW w:w="900" w:type="dxa"/>
            <w:tcBorders>
              <w:top w:val="single" w:sz="4" w:space="0" w:color="000000"/>
              <w:left w:val="single" w:sz="4" w:space="0" w:color="000000"/>
              <w:bottom w:val="single" w:sz="4" w:space="0" w:color="000000"/>
              <w:right w:val="single" w:sz="4" w:space="0" w:color="000000"/>
            </w:tcBorders>
          </w:tcPr>
          <w:p w14:paraId="26A22E73" w14:textId="77777777" w:rsidR="00955984" w:rsidRPr="001E722E" w:rsidRDefault="00161751">
            <w:pPr>
              <w:spacing w:before="40" w:after="40"/>
            </w:pPr>
            <w:r w:rsidRPr="001E722E">
              <w:rPr>
                <w:rFonts w:ascii="Arial" w:eastAsia="Arial" w:hAnsi="Arial" w:cs="Arial"/>
              </w:rPr>
              <w:t>8</w:t>
            </w:r>
          </w:p>
        </w:tc>
        <w:tc>
          <w:tcPr>
            <w:tcW w:w="4150" w:type="dxa"/>
            <w:tcBorders>
              <w:top w:val="single" w:sz="4" w:space="0" w:color="000000"/>
              <w:left w:val="single" w:sz="4" w:space="0" w:color="000000"/>
              <w:bottom w:val="single" w:sz="4" w:space="0" w:color="000000"/>
              <w:right w:val="single" w:sz="4" w:space="0" w:color="000000"/>
            </w:tcBorders>
          </w:tcPr>
          <w:p w14:paraId="36DCA780" w14:textId="77777777" w:rsidR="00955984" w:rsidRPr="001E722E" w:rsidRDefault="00161751">
            <w:pPr>
              <w:spacing w:before="40" w:after="40"/>
            </w:pPr>
            <w:r w:rsidRPr="001E722E">
              <w:rPr>
                <w:rFonts w:ascii="Arial" w:eastAsia="Arial" w:hAnsi="Arial" w:cs="Arial"/>
              </w:rPr>
              <w:t>Specify the methods used to decide whether a study met the inclusion criteria.</w:t>
            </w:r>
          </w:p>
        </w:tc>
        <w:tc>
          <w:tcPr>
            <w:tcW w:w="2399" w:type="dxa"/>
            <w:tcBorders>
              <w:top w:val="single" w:sz="4" w:space="0" w:color="000000"/>
              <w:left w:val="single" w:sz="4" w:space="0" w:color="000000"/>
              <w:bottom w:val="single" w:sz="4" w:space="0" w:color="000000"/>
              <w:right w:val="single" w:sz="4" w:space="0" w:color="000000"/>
            </w:tcBorders>
          </w:tcPr>
          <w:p w14:paraId="4A12BC68" w14:textId="77777777" w:rsidR="00955984" w:rsidRPr="001E722E" w:rsidRDefault="00161751">
            <w:pPr>
              <w:spacing w:before="40" w:after="40"/>
            </w:pPr>
            <w:r w:rsidRPr="001E722E">
              <w:rPr>
                <w:rFonts w:ascii="Arial" w:eastAsia="Arial" w:hAnsi="Arial" w:cs="Arial"/>
              </w:rPr>
              <w:t>Section 3.6</w:t>
            </w:r>
          </w:p>
        </w:tc>
      </w:tr>
      <w:tr w:rsidR="00955984" w:rsidRPr="001E722E" w14:paraId="34A57853" w14:textId="77777777">
        <w:trPr>
          <w:cantSplit/>
        </w:trPr>
        <w:tc>
          <w:tcPr>
            <w:tcW w:w="2050" w:type="dxa"/>
            <w:tcBorders>
              <w:top w:val="single" w:sz="4" w:space="0" w:color="000000"/>
              <w:left w:val="single" w:sz="4" w:space="0" w:color="000000"/>
              <w:bottom w:val="single" w:sz="4" w:space="0" w:color="000000"/>
              <w:right w:val="single" w:sz="4" w:space="0" w:color="000000"/>
            </w:tcBorders>
          </w:tcPr>
          <w:p w14:paraId="6D1BA3F3" w14:textId="77777777" w:rsidR="00955984" w:rsidRPr="001E722E" w:rsidRDefault="00161751">
            <w:pPr>
              <w:spacing w:before="40" w:after="40"/>
            </w:pPr>
            <w:r w:rsidRPr="001E722E">
              <w:rPr>
                <w:rFonts w:ascii="Arial" w:eastAsia="Arial" w:hAnsi="Arial" w:cs="Arial"/>
              </w:rPr>
              <w:t>Data collection process</w:t>
            </w:r>
          </w:p>
        </w:tc>
        <w:tc>
          <w:tcPr>
            <w:tcW w:w="900" w:type="dxa"/>
            <w:tcBorders>
              <w:top w:val="single" w:sz="4" w:space="0" w:color="000000"/>
              <w:left w:val="single" w:sz="4" w:space="0" w:color="000000"/>
              <w:bottom w:val="single" w:sz="4" w:space="0" w:color="000000"/>
              <w:right w:val="single" w:sz="4" w:space="0" w:color="000000"/>
            </w:tcBorders>
          </w:tcPr>
          <w:p w14:paraId="586D9CD5" w14:textId="77777777" w:rsidR="00955984" w:rsidRPr="001E722E" w:rsidRDefault="00161751">
            <w:pPr>
              <w:spacing w:before="40" w:after="40"/>
            </w:pPr>
            <w:r w:rsidRPr="001E722E">
              <w:rPr>
                <w:rFonts w:ascii="Arial" w:eastAsia="Arial" w:hAnsi="Arial" w:cs="Arial"/>
              </w:rPr>
              <w:t>9</w:t>
            </w:r>
          </w:p>
        </w:tc>
        <w:tc>
          <w:tcPr>
            <w:tcW w:w="4150" w:type="dxa"/>
            <w:tcBorders>
              <w:top w:val="single" w:sz="4" w:space="0" w:color="000000"/>
              <w:left w:val="single" w:sz="4" w:space="0" w:color="000000"/>
              <w:bottom w:val="single" w:sz="4" w:space="0" w:color="000000"/>
              <w:right w:val="single" w:sz="4" w:space="0" w:color="000000"/>
            </w:tcBorders>
          </w:tcPr>
          <w:p w14:paraId="00268574" w14:textId="77777777" w:rsidR="00955984" w:rsidRPr="001E722E" w:rsidRDefault="00161751">
            <w:pPr>
              <w:spacing w:before="40" w:after="40"/>
            </w:pPr>
            <w:r w:rsidRPr="001E722E">
              <w:rPr>
                <w:rFonts w:ascii="Arial" w:eastAsia="Arial" w:hAnsi="Arial" w:cs="Arial"/>
              </w:rPr>
              <w:t>Specify the methods used to collect data from reports.</w:t>
            </w:r>
          </w:p>
        </w:tc>
        <w:tc>
          <w:tcPr>
            <w:tcW w:w="2399" w:type="dxa"/>
            <w:tcBorders>
              <w:top w:val="single" w:sz="4" w:space="0" w:color="000000"/>
              <w:left w:val="single" w:sz="4" w:space="0" w:color="000000"/>
              <w:bottom w:val="single" w:sz="4" w:space="0" w:color="000000"/>
              <w:right w:val="single" w:sz="4" w:space="0" w:color="000000"/>
            </w:tcBorders>
          </w:tcPr>
          <w:p w14:paraId="60DA6019" w14:textId="77777777" w:rsidR="00955984" w:rsidRPr="001E722E" w:rsidRDefault="00161751">
            <w:pPr>
              <w:spacing w:before="40" w:after="40"/>
            </w:pPr>
            <w:r w:rsidRPr="001E722E">
              <w:rPr>
                <w:rFonts w:ascii="Arial" w:eastAsia="Arial" w:hAnsi="Arial" w:cs="Arial"/>
              </w:rPr>
              <w:t>Section 3.7; Appendix A</w:t>
            </w:r>
          </w:p>
        </w:tc>
      </w:tr>
      <w:tr w:rsidR="00955984" w:rsidRPr="001E722E" w14:paraId="7131A728" w14:textId="77777777">
        <w:trPr>
          <w:cantSplit/>
        </w:trPr>
        <w:tc>
          <w:tcPr>
            <w:tcW w:w="2050" w:type="dxa"/>
            <w:tcBorders>
              <w:top w:val="single" w:sz="4" w:space="0" w:color="000000"/>
              <w:left w:val="single" w:sz="4" w:space="0" w:color="000000"/>
              <w:bottom w:val="single" w:sz="4" w:space="0" w:color="000000"/>
              <w:right w:val="single" w:sz="4" w:space="0" w:color="000000"/>
            </w:tcBorders>
          </w:tcPr>
          <w:p w14:paraId="4B05D6D4" w14:textId="77777777" w:rsidR="00955984" w:rsidRPr="001E722E" w:rsidRDefault="00161751">
            <w:pPr>
              <w:spacing w:before="40" w:after="40"/>
            </w:pPr>
            <w:r w:rsidRPr="001E722E">
              <w:rPr>
                <w:rFonts w:ascii="Arial" w:eastAsia="Arial" w:hAnsi="Arial" w:cs="Arial"/>
              </w:rPr>
              <w:lastRenderedPageBreak/>
              <w:t>Data items</w:t>
            </w:r>
          </w:p>
        </w:tc>
        <w:tc>
          <w:tcPr>
            <w:tcW w:w="900" w:type="dxa"/>
            <w:tcBorders>
              <w:top w:val="single" w:sz="4" w:space="0" w:color="000000"/>
              <w:left w:val="single" w:sz="4" w:space="0" w:color="000000"/>
              <w:bottom w:val="single" w:sz="4" w:space="0" w:color="000000"/>
              <w:right w:val="single" w:sz="4" w:space="0" w:color="000000"/>
            </w:tcBorders>
          </w:tcPr>
          <w:p w14:paraId="3A0F5237" w14:textId="77777777" w:rsidR="00955984" w:rsidRPr="001E722E" w:rsidRDefault="00161751">
            <w:pPr>
              <w:spacing w:before="40" w:after="40"/>
            </w:pPr>
            <w:r w:rsidRPr="001E722E">
              <w:rPr>
                <w:rFonts w:ascii="Arial" w:eastAsia="Arial" w:hAnsi="Arial" w:cs="Arial"/>
              </w:rPr>
              <w:t>10a–b</w:t>
            </w:r>
          </w:p>
        </w:tc>
        <w:tc>
          <w:tcPr>
            <w:tcW w:w="4150" w:type="dxa"/>
            <w:tcBorders>
              <w:top w:val="single" w:sz="4" w:space="0" w:color="000000"/>
              <w:left w:val="single" w:sz="4" w:space="0" w:color="000000"/>
              <w:bottom w:val="single" w:sz="4" w:space="0" w:color="000000"/>
              <w:right w:val="single" w:sz="4" w:space="0" w:color="000000"/>
            </w:tcBorders>
          </w:tcPr>
          <w:p w14:paraId="78D1E197" w14:textId="77777777" w:rsidR="00955984" w:rsidRPr="001E722E" w:rsidRDefault="00161751">
            <w:pPr>
              <w:spacing w:before="40" w:after="40"/>
            </w:pPr>
            <w:r w:rsidRPr="001E722E">
              <w:rPr>
                <w:rFonts w:ascii="Arial" w:eastAsia="Arial" w:hAnsi="Arial" w:cs="Arial"/>
              </w:rPr>
              <w:t>List and define all outcomes and other variables for which data were sought.</w:t>
            </w:r>
          </w:p>
        </w:tc>
        <w:tc>
          <w:tcPr>
            <w:tcW w:w="2399" w:type="dxa"/>
            <w:tcBorders>
              <w:top w:val="single" w:sz="4" w:space="0" w:color="000000"/>
              <w:left w:val="single" w:sz="4" w:space="0" w:color="000000"/>
              <w:bottom w:val="single" w:sz="4" w:space="0" w:color="000000"/>
              <w:right w:val="single" w:sz="4" w:space="0" w:color="000000"/>
            </w:tcBorders>
          </w:tcPr>
          <w:p w14:paraId="26C8675A" w14:textId="77777777" w:rsidR="00955984" w:rsidRPr="001E722E" w:rsidRDefault="00161751">
            <w:pPr>
              <w:spacing w:before="40" w:after="40"/>
            </w:pPr>
            <w:r w:rsidRPr="001E722E">
              <w:rPr>
                <w:rFonts w:ascii="Arial" w:eastAsia="Arial" w:hAnsi="Arial" w:cs="Arial"/>
              </w:rPr>
              <w:t>Section 3.7; Appendix A</w:t>
            </w:r>
          </w:p>
        </w:tc>
      </w:tr>
      <w:tr w:rsidR="00955984" w:rsidRPr="001E722E" w14:paraId="00A75E2E" w14:textId="77777777">
        <w:trPr>
          <w:cantSplit/>
        </w:trPr>
        <w:tc>
          <w:tcPr>
            <w:tcW w:w="2050" w:type="dxa"/>
            <w:tcBorders>
              <w:top w:val="single" w:sz="4" w:space="0" w:color="000000"/>
              <w:left w:val="single" w:sz="4" w:space="0" w:color="000000"/>
              <w:bottom w:val="single" w:sz="4" w:space="0" w:color="000000"/>
              <w:right w:val="single" w:sz="4" w:space="0" w:color="000000"/>
            </w:tcBorders>
          </w:tcPr>
          <w:p w14:paraId="18E6A3F8" w14:textId="77777777" w:rsidR="00955984" w:rsidRPr="001E722E" w:rsidRDefault="00161751">
            <w:pPr>
              <w:spacing w:before="40" w:after="40"/>
            </w:pPr>
            <w:r w:rsidRPr="001E722E">
              <w:rPr>
                <w:rFonts w:ascii="Arial" w:eastAsia="Arial" w:hAnsi="Arial" w:cs="Arial"/>
              </w:rPr>
              <w:t>Study risk of bias assessment</w:t>
            </w:r>
          </w:p>
        </w:tc>
        <w:tc>
          <w:tcPr>
            <w:tcW w:w="900" w:type="dxa"/>
            <w:tcBorders>
              <w:top w:val="single" w:sz="4" w:space="0" w:color="000000"/>
              <w:left w:val="single" w:sz="4" w:space="0" w:color="000000"/>
              <w:bottom w:val="single" w:sz="4" w:space="0" w:color="000000"/>
              <w:right w:val="single" w:sz="4" w:space="0" w:color="000000"/>
            </w:tcBorders>
          </w:tcPr>
          <w:p w14:paraId="632D0D13" w14:textId="77777777" w:rsidR="00955984" w:rsidRPr="001E722E" w:rsidRDefault="00161751">
            <w:pPr>
              <w:spacing w:before="40" w:after="40"/>
            </w:pPr>
            <w:r w:rsidRPr="001E722E">
              <w:rPr>
                <w:rFonts w:ascii="Arial" w:eastAsia="Arial" w:hAnsi="Arial" w:cs="Arial"/>
              </w:rPr>
              <w:t>11</w:t>
            </w:r>
          </w:p>
        </w:tc>
        <w:tc>
          <w:tcPr>
            <w:tcW w:w="4150" w:type="dxa"/>
            <w:tcBorders>
              <w:top w:val="single" w:sz="4" w:space="0" w:color="000000"/>
              <w:left w:val="single" w:sz="4" w:space="0" w:color="000000"/>
              <w:bottom w:val="single" w:sz="4" w:space="0" w:color="000000"/>
              <w:right w:val="single" w:sz="4" w:space="0" w:color="000000"/>
            </w:tcBorders>
          </w:tcPr>
          <w:p w14:paraId="525B83A5" w14:textId="77777777" w:rsidR="00955984" w:rsidRPr="001E722E" w:rsidRDefault="00161751">
            <w:pPr>
              <w:spacing w:before="40" w:after="40"/>
            </w:pPr>
            <w:r w:rsidRPr="001E722E">
              <w:rPr>
                <w:rFonts w:ascii="Arial" w:eastAsia="Arial" w:hAnsi="Arial" w:cs="Arial"/>
              </w:rPr>
              <w:t>Specify the methods used to assess risk of bias in the included studies.</w:t>
            </w:r>
          </w:p>
        </w:tc>
        <w:tc>
          <w:tcPr>
            <w:tcW w:w="2399" w:type="dxa"/>
            <w:tcBorders>
              <w:top w:val="single" w:sz="4" w:space="0" w:color="000000"/>
              <w:left w:val="single" w:sz="4" w:space="0" w:color="000000"/>
              <w:bottom w:val="single" w:sz="4" w:space="0" w:color="000000"/>
              <w:right w:val="single" w:sz="4" w:space="0" w:color="000000"/>
            </w:tcBorders>
          </w:tcPr>
          <w:p w14:paraId="1BD62071" w14:textId="77777777" w:rsidR="00955984" w:rsidRPr="001E722E" w:rsidRDefault="00161751">
            <w:pPr>
              <w:spacing w:before="40" w:after="40"/>
            </w:pPr>
            <w:r w:rsidRPr="001E722E">
              <w:rPr>
                <w:rFonts w:ascii="Arial" w:eastAsia="Arial" w:hAnsi="Arial" w:cs="Arial"/>
              </w:rPr>
              <w:t>Section 3.8; Table 3.4; Appendix B</w:t>
            </w:r>
          </w:p>
        </w:tc>
      </w:tr>
      <w:tr w:rsidR="00955984" w:rsidRPr="001E722E" w14:paraId="46709EB7" w14:textId="77777777">
        <w:trPr>
          <w:cantSplit/>
        </w:trPr>
        <w:tc>
          <w:tcPr>
            <w:tcW w:w="2050" w:type="dxa"/>
            <w:tcBorders>
              <w:top w:val="single" w:sz="4" w:space="0" w:color="000000"/>
              <w:left w:val="single" w:sz="4" w:space="0" w:color="000000"/>
              <w:bottom w:val="single" w:sz="4" w:space="0" w:color="000000"/>
              <w:right w:val="single" w:sz="4" w:space="0" w:color="000000"/>
            </w:tcBorders>
          </w:tcPr>
          <w:p w14:paraId="2FD4B6FF" w14:textId="77777777" w:rsidR="00955984" w:rsidRPr="001E722E" w:rsidRDefault="00161751">
            <w:pPr>
              <w:spacing w:before="40" w:after="40"/>
            </w:pPr>
            <w:r w:rsidRPr="001E722E">
              <w:rPr>
                <w:rFonts w:ascii="Arial" w:eastAsia="Arial" w:hAnsi="Arial" w:cs="Arial"/>
              </w:rPr>
              <w:t>Effect measures</w:t>
            </w:r>
          </w:p>
        </w:tc>
        <w:tc>
          <w:tcPr>
            <w:tcW w:w="900" w:type="dxa"/>
            <w:tcBorders>
              <w:top w:val="single" w:sz="4" w:space="0" w:color="000000"/>
              <w:left w:val="single" w:sz="4" w:space="0" w:color="000000"/>
              <w:bottom w:val="single" w:sz="4" w:space="0" w:color="000000"/>
              <w:right w:val="single" w:sz="4" w:space="0" w:color="000000"/>
            </w:tcBorders>
          </w:tcPr>
          <w:p w14:paraId="0E7D1587" w14:textId="77777777" w:rsidR="00955984" w:rsidRPr="001E722E" w:rsidRDefault="00161751">
            <w:pPr>
              <w:spacing w:before="40" w:after="40"/>
            </w:pPr>
            <w:r w:rsidRPr="001E722E">
              <w:rPr>
                <w:rFonts w:ascii="Arial" w:eastAsia="Arial" w:hAnsi="Arial" w:cs="Arial"/>
              </w:rPr>
              <w:t>12</w:t>
            </w:r>
          </w:p>
        </w:tc>
        <w:tc>
          <w:tcPr>
            <w:tcW w:w="4150" w:type="dxa"/>
            <w:tcBorders>
              <w:top w:val="single" w:sz="4" w:space="0" w:color="000000"/>
              <w:left w:val="single" w:sz="4" w:space="0" w:color="000000"/>
              <w:bottom w:val="single" w:sz="4" w:space="0" w:color="000000"/>
              <w:right w:val="single" w:sz="4" w:space="0" w:color="000000"/>
            </w:tcBorders>
          </w:tcPr>
          <w:p w14:paraId="6FAFA68E" w14:textId="77777777" w:rsidR="00955984" w:rsidRPr="001E722E" w:rsidRDefault="00161751">
            <w:pPr>
              <w:spacing w:before="40" w:after="40"/>
            </w:pPr>
            <w:r w:rsidRPr="001E722E">
              <w:rPr>
                <w:rFonts w:ascii="Arial" w:eastAsia="Arial" w:hAnsi="Arial" w:cs="Arial"/>
              </w:rPr>
              <w:t>Specify for each outcome the effect measure(s) used in the synthesis.</w:t>
            </w:r>
          </w:p>
        </w:tc>
        <w:tc>
          <w:tcPr>
            <w:tcW w:w="2399" w:type="dxa"/>
            <w:tcBorders>
              <w:top w:val="single" w:sz="4" w:space="0" w:color="000000"/>
              <w:left w:val="single" w:sz="4" w:space="0" w:color="000000"/>
              <w:bottom w:val="single" w:sz="4" w:space="0" w:color="000000"/>
              <w:right w:val="single" w:sz="4" w:space="0" w:color="000000"/>
            </w:tcBorders>
          </w:tcPr>
          <w:p w14:paraId="40959B39" w14:textId="77777777" w:rsidR="00955984" w:rsidRPr="001E722E" w:rsidRDefault="00161751">
            <w:pPr>
              <w:spacing w:before="40" w:after="40"/>
            </w:pPr>
            <w:r w:rsidRPr="001E722E">
              <w:rPr>
                <w:rFonts w:ascii="Arial" w:eastAsia="Arial" w:hAnsi="Arial" w:cs="Arial"/>
              </w:rPr>
              <w:t>Not applicable (narrative synthesis)</w:t>
            </w:r>
          </w:p>
        </w:tc>
      </w:tr>
      <w:tr w:rsidR="00955984" w:rsidRPr="001E722E" w14:paraId="4DA8559F" w14:textId="77777777">
        <w:trPr>
          <w:cantSplit/>
        </w:trPr>
        <w:tc>
          <w:tcPr>
            <w:tcW w:w="2050" w:type="dxa"/>
            <w:tcBorders>
              <w:top w:val="single" w:sz="4" w:space="0" w:color="000000"/>
              <w:left w:val="single" w:sz="4" w:space="0" w:color="000000"/>
              <w:bottom w:val="single" w:sz="4" w:space="0" w:color="000000"/>
              <w:right w:val="single" w:sz="4" w:space="0" w:color="000000"/>
            </w:tcBorders>
          </w:tcPr>
          <w:p w14:paraId="6985B77B" w14:textId="77777777" w:rsidR="00955984" w:rsidRPr="001E722E" w:rsidRDefault="00161751">
            <w:pPr>
              <w:spacing w:before="40" w:after="40"/>
            </w:pPr>
            <w:r w:rsidRPr="001E722E">
              <w:rPr>
                <w:rFonts w:ascii="Arial" w:eastAsia="Arial" w:hAnsi="Arial" w:cs="Arial"/>
              </w:rPr>
              <w:t>Synthesis methods</w:t>
            </w:r>
          </w:p>
        </w:tc>
        <w:tc>
          <w:tcPr>
            <w:tcW w:w="900" w:type="dxa"/>
            <w:tcBorders>
              <w:top w:val="single" w:sz="4" w:space="0" w:color="000000"/>
              <w:left w:val="single" w:sz="4" w:space="0" w:color="000000"/>
              <w:bottom w:val="single" w:sz="4" w:space="0" w:color="000000"/>
              <w:right w:val="single" w:sz="4" w:space="0" w:color="000000"/>
            </w:tcBorders>
          </w:tcPr>
          <w:p w14:paraId="49DCE431" w14:textId="77777777" w:rsidR="00955984" w:rsidRPr="001E722E" w:rsidRDefault="00161751">
            <w:pPr>
              <w:spacing w:before="40" w:after="40"/>
            </w:pPr>
            <w:r w:rsidRPr="001E722E">
              <w:rPr>
                <w:rFonts w:ascii="Arial" w:eastAsia="Arial" w:hAnsi="Arial" w:cs="Arial"/>
              </w:rPr>
              <w:t>13a–f</w:t>
            </w:r>
          </w:p>
        </w:tc>
        <w:tc>
          <w:tcPr>
            <w:tcW w:w="4150" w:type="dxa"/>
            <w:tcBorders>
              <w:top w:val="single" w:sz="4" w:space="0" w:color="000000"/>
              <w:left w:val="single" w:sz="4" w:space="0" w:color="000000"/>
              <w:bottom w:val="single" w:sz="4" w:space="0" w:color="000000"/>
              <w:right w:val="single" w:sz="4" w:space="0" w:color="000000"/>
            </w:tcBorders>
          </w:tcPr>
          <w:p w14:paraId="3A2B04F7" w14:textId="77777777" w:rsidR="00955984" w:rsidRPr="001E722E" w:rsidRDefault="00161751">
            <w:pPr>
              <w:spacing w:before="40" w:after="40"/>
            </w:pPr>
            <w:r w:rsidRPr="001E722E">
              <w:rPr>
                <w:rFonts w:ascii="Arial" w:eastAsia="Arial" w:hAnsi="Arial" w:cs="Arial"/>
              </w:rPr>
              <w:t>Describe the processes used to decide which studies were eligible for each synthesis and the methods used to synthesise results.</w:t>
            </w:r>
          </w:p>
        </w:tc>
        <w:tc>
          <w:tcPr>
            <w:tcW w:w="2399" w:type="dxa"/>
            <w:tcBorders>
              <w:top w:val="single" w:sz="4" w:space="0" w:color="000000"/>
              <w:left w:val="single" w:sz="4" w:space="0" w:color="000000"/>
              <w:bottom w:val="single" w:sz="4" w:space="0" w:color="000000"/>
              <w:right w:val="single" w:sz="4" w:space="0" w:color="000000"/>
            </w:tcBorders>
          </w:tcPr>
          <w:p w14:paraId="1F6A576B" w14:textId="77777777" w:rsidR="00955984" w:rsidRPr="001E722E" w:rsidRDefault="00161751">
            <w:pPr>
              <w:spacing w:before="40" w:after="40"/>
            </w:pPr>
            <w:r w:rsidRPr="001E722E">
              <w:rPr>
                <w:rFonts w:ascii="Arial" w:eastAsia="Arial" w:hAnsi="Arial" w:cs="Arial"/>
              </w:rPr>
              <w:t>Sections 3.9, 3.9.1</w:t>
            </w:r>
          </w:p>
        </w:tc>
      </w:tr>
      <w:tr w:rsidR="00955984" w:rsidRPr="001E722E" w14:paraId="58A82B8D" w14:textId="77777777">
        <w:trPr>
          <w:cantSplit/>
        </w:trPr>
        <w:tc>
          <w:tcPr>
            <w:tcW w:w="2050" w:type="dxa"/>
            <w:tcBorders>
              <w:top w:val="single" w:sz="4" w:space="0" w:color="000000"/>
              <w:left w:val="single" w:sz="4" w:space="0" w:color="000000"/>
              <w:bottom w:val="single" w:sz="4" w:space="0" w:color="000000"/>
              <w:right w:val="single" w:sz="4" w:space="0" w:color="000000"/>
            </w:tcBorders>
          </w:tcPr>
          <w:p w14:paraId="4DE9A5FA" w14:textId="77777777" w:rsidR="00955984" w:rsidRPr="001E722E" w:rsidRDefault="00161751">
            <w:pPr>
              <w:spacing w:before="40" w:after="40"/>
            </w:pPr>
            <w:r w:rsidRPr="001E722E">
              <w:rPr>
                <w:rFonts w:ascii="Arial" w:eastAsia="Arial" w:hAnsi="Arial" w:cs="Arial"/>
              </w:rPr>
              <w:t>Reporting bias assessment</w:t>
            </w:r>
          </w:p>
        </w:tc>
        <w:tc>
          <w:tcPr>
            <w:tcW w:w="900" w:type="dxa"/>
            <w:tcBorders>
              <w:top w:val="single" w:sz="4" w:space="0" w:color="000000"/>
              <w:left w:val="single" w:sz="4" w:space="0" w:color="000000"/>
              <w:bottom w:val="single" w:sz="4" w:space="0" w:color="000000"/>
              <w:right w:val="single" w:sz="4" w:space="0" w:color="000000"/>
            </w:tcBorders>
          </w:tcPr>
          <w:p w14:paraId="17915345" w14:textId="77777777" w:rsidR="00955984" w:rsidRPr="001E722E" w:rsidRDefault="00161751">
            <w:pPr>
              <w:spacing w:before="40" w:after="40"/>
            </w:pPr>
            <w:r w:rsidRPr="001E722E">
              <w:rPr>
                <w:rFonts w:ascii="Arial" w:eastAsia="Arial" w:hAnsi="Arial" w:cs="Arial"/>
              </w:rPr>
              <w:t>14</w:t>
            </w:r>
          </w:p>
        </w:tc>
        <w:tc>
          <w:tcPr>
            <w:tcW w:w="4150" w:type="dxa"/>
            <w:tcBorders>
              <w:top w:val="single" w:sz="4" w:space="0" w:color="000000"/>
              <w:left w:val="single" w:sz="4" w:space="0" w:color="000000"/>
              <w:bottom w:val="single" w:sz="4" w:space="0" w:color="000000"/>
              <w:right w:val="single" w:sz="4" w:space="0" w:color="000000"/>
            </w:tcBorders>
          </w:tcPr>
          <w:p w14:paraId="3D3443AD" w14:textId="77777777" w:rsidR="00955984" w:rsidRPr="001E722E" w:rsidRDefault="00161751">
            <w:pPr>
              <w:spacing w:before="40" w:after="40"/>
            </w:pPr>
            <w:r w:rsidRPr="001E722E">
              <w:rPr>
                <w:rFonts w:ascii="Arial" w:eastAsia="Arial" w:hAnsi="Arial" w:cs="Arial"/>
              </w:rPr>
              <w:t>Describe any methods used to assess risk of bias due to missing results.</w:t>
            </w:r>
          </w:p>
        </w:tc>
        <w:tc>
          <w:tcPr>
            <w:tcW w:w="2399" w:type="dxa"/>
            <w:tcBorders>
              <w:top w:val="single" w:sz="4" w:space="0" w:color="000000"/>
              <w:left w:val="single" w:sz="4" w:space="0" w:color="000000"/>
              <w:bottom w:val="single" w:sz="4" w:space="0" w:color="000000"/>
              <w:right w:val="single" w:sz="4" w:space="0" w:color="000000"/>
            </w:tcBorders>
          </w:tcPr>
          <w:p w14:paraId="191513E0" w14:textId="77777777" w:rsidR="00955984" w:rsidRPr="001E722E" w:rsidRDefault="00161751">
            <w:pPr>
              <w:spacing w:before="40" w:after="40"/>
            </w:pPr>
            <w:r w:rsidRPr="001E722E">
              <w:rPr>
                <w:rFonts w:ascii="Arial" w:eastAsia="Arial" w:hAnsi="Arial" w:cs="Arial"/>
              </w:rPr>
              <w:t>Not formally assessed; discussed in Sections 3.11 and 5.3</w:t>
            </w:r>
          </w:p>
        </w:tc>
      </w:tr>
      <w:tr w:rsidR="00955984" w:rsidRPr="001E722E" w14:paraId="77D39A32" w14:textId="77777777">
        <w:trPr>
          <w:cantSplit/>
        </w:trPr>
        <w:tc>
          <w:tcPr>
            <w:tcW w:w="2050" w:type="dxa"/>
            <w:tcBorders>
              <w:top w:val="single" w:sz="4" w:space="0" w:color="000000"/>
              <w:left w:val="single" w:sz="4" w:space="0" w:color="000000"/>
              <w:bottom w:val="single" w:sz="4" w:space="0" w:color="000000"/>
              <w:right w:val="single" w:sz="4" w:space="0" w:color="000000"/>
            </w:tcBorders>
          </w:tcPr>
          <w:p w14:paraId="469B9C62" w14:textId="77777777" w:rsidR="00955984" w:rsidRPr="001E722E" w:rsidRDefault="00161751">
            <w:pPr>
              <w:spacing w:before="40" w:after="40"/>
            </w:pPr>
            <w:r w:rsidRPr="001E722E">
              <w:rPr>
                <w:rFonts w:ascii="Arial" w:eastAsia="Arial" w:hAnsi="Arial" w:cs="Arial"/>
              </w:rPr>
              <w:t>Certainty assessment</w:t>
            </w:r>
          </w:p>
        </w:tc>
        <w:tc>
          <w:tcPr>
            <w:tcW w:w="900" w:type="dxa"/>
            <w:tcBorders>
              <w:top w:val="single" w:sz="4" w:space="0" w:color="000000"/>
              <w:left w:val="single" w:sz="4" w:space="0" w:color="000000"/>
              <w:bottom w:val="single" w:sz="4" w:space="0" w:color="000000"/>
              <w:right w:val="single" w:sz="4" w:space="0" w:color="000000"/>
            </w:tcBorders>
          </w:tcPr>
          <w:p w14:paraId="5ACB4579" w14:textId="77777777" w:rsidR="00955984" w:rsidRPr="001E722E" w:rsidRDefault="00161751">
            <w:pPr>
              <w:spacing w:before="40" w:after="40"/>
            </w:pPr>
            <w:r w:rsidRPr="001E722E">
              <w:rPr>
                <w:rFonts w:ascii="Arial" w:eastAsia="Arial" w:hAnsi="Arial" w:cs="Arial"/>
              </w:rPr>
              <w:t>15</w:t>
            </w:r>
          </w:p>
        </w:tc>
        <w:tc>
          <w:tcPr>
            <w:tcW w:w="4150" w:type="dxa"/>
            <w:tcBorders>
              <w:top w:val="single" w:sz="4" w:space="0" w:color="000000"/>
              <w:left w:val="single" w:sz="4" w:space="0" w:color="000000"/>
              <w:bottom w:val="single" w:sz="4" w:space="0" w:color="000000"/>
              <w:right w:val="single" w:sz="4" w:space="0" w:color="000000"/>
            </w:tcBorders>
          </w:tcPr>
          <w:p w14:paraId="4335260C" w14:textId="77777777" w:rsidR="00955984" w:rsidRPr="001E722E" w:rsidRDefault="00161751">
            <w:pPr>
              <w:spacing w:before="40" w:after="40"/>
            </w:pPr>
            <w:r w:rsidRPr="001E722E">
              <w:rPr>
                <w:rFonts w:ascii="Arial" w:eastAsia="Arial" w:hAnsi="Arial" w:cs="Arial"/>
              </w:rPr>
              <w:t>Describe any methods used to assess certainty (or confidence) in the body of evidence.</w:t>
            </w:r>
          </w:p>
        </w:tc>
        <w:tc>
          <w:tcPr>
            <w:tcW w:w="2399" w:type="dxa"/>
            <w:tcBorders>
              <w:top w:val="single" w:sz="4" w:space="0" w:color="000000"/>
              <w:left w:val="single" w:sz="4" w:space="0" w:color="000000"/>
              <w:bottom w:val="single" w:sz="4" w:space="0" w:color="000000"/>
              <w:right w:val="single" w:sz="4" w:space="0" w:color="000000"/>
            </w:tcBorders>
          </w:tcPr>
          <w:p w14:paraId="69017432" w14:textId="77777777" w:rsidR="00955984" w:rsidRPr="001E722E" w:rsidRDefault="00161751">
            <w:pPr>
              <w:spacing w:before="40" w:after="40"/>
            </w:pPr>
            <w:r w:rsidRPr="001E722E">
              <w:rPr>
                <w:rFonts w:ascii="Arial" w:eastAsia="Arial" w:hAnsi="Arial" w:cs="Arial"/>
              </w:rPr>
              <w:t>Not formally assessed (e.g. GRADE not applied)</w:t>
            </w:r>
          </w:p>
        </w:tc>
      </w:tr>
      <w:tr w:rsidR="00955984" w:rsidRPr="001E722E" w14:paraId="300558AC" w14:textId="77777777">
        <w:trPr>
          <w:cantSplit/>
        </w:trPr>
        <w:tc>
          <w:tcPr>
            <w:tcW w:w="9499" w:type="dxa"/>
            <w:gridSpan w:val="4"/>
            <w:tcBorders>
              <w:top w:val="single" w:sz="4" w:space="0" w:color="000000"/>
              <w:left w:val="single" w:sz="4" w:space="0" w:color="000000"/>
              <w:bottom w:val="single" w:sz="4" w:space="0" w:color="000000"/>
              <w:right w:val="single" w:sz="4" w:space="0" w:color="000000"/>
            </w:tcBorders>
            <w:shd w:val="clear" w:color="auto" w:fill="D9E2F3"/>
          </w:tcPr>
          <w:p w14:paraId="0BCF6FEC" w14:textId="77777777" w:rsidR="00955984" w:rsidRPr="001E722E" w:rsidRDefault="00161751">
            <w:pPr>
              <w:spacing w:before="40" w:after="40"/>
            </w:pPr>
            <w:r w:rsidRPr="001E722E">
              <w:rPr>
                <w:rFonts w:ascii="Arial" w:eastAsia="Arial" w:hAnsi="Arial" w:cs="Arial"/>
                <w:b/>
                <w:bCs/>
              </w:rPr>
              <w:t>RESULTS</w:t>
            </w:r>
          </w:p>
        </w:tc>
      </w:tr>
      <w:tr w:rsidR="00955984" w:rsidRPr="001E722E" w14:paraId="0D212EE9" w14:textId="77777777">
        <w:trPr>
          <w:cantSplit/>
        </w:trPr>
        <w:tc>
          <w:tcPr>
            <w:tcW w:w="2050" w:type="dxa"/>
            <w:tcBorders>
              <w:top w:val="single" w:sz="4" w:space="0" w:color="000000"/>
              <w:left w:val="single" w:sz="4" w:space="0" w:color="000000"/>
              <w:bottom w:val="single" w:sz="4" w:space="0" w:color="000000"/>
              <w:right w:val="single" w:sz="4" w:space="0" w:color="000000"/>
            </w:tcBorders>
          </w:tcPr>
          <w:p w14:paraId="58279134" w14:textId="77777777" w:rsidR="00955984" w:rsidRPr="001E722E" w:rsidRDefault="00161751">
            <w:pPr>
              <w:spacing w:before="40" w:after="40"/>
            </w:pPr>
            <w:r w:rsidRPr="001E722E">
              <w:rPr>
                <w:rFonts w:ascii="Arial" w:eastAsia="Arial" w:hAnsi="Arial" w:cs="Arial"/>
              </w:rPr>
              <w:t>Study selection</w:t>
            </w:r>
          </w:p>
        </w:tc>
        <w:tc>
          <w:tcPr>
            <w:tcW w:w="900" w:type="dxa"/>
            <w:tcBorders>
              <w:top w:val="single" w:sz="4" w:space="0" w:color="000000"/>
              <w:left w:val="single" w:sz="4" w:space="0" w:color="000000"/>
              <w:bottom w:val="single" w:sz="4" w:space="0" w:color="000000"/>
              <w:right w:val="single" w:sz="4" w:space="0" w:color="000000"/>
            </w:tcBorders>
          </w:tcPr>
          <w:p w14:paraId="00FA661D" w14:textId="77777777" w:rsidR="00955984" w:rsidRPr="001E722E" w:rsidRDefault="00161751">
            <w:pPr>
              <w:spacing w:before="40" w:after="40"/>
            </w:pPr>
            <w:r w:rsidRPr="001E722E">
              <w:rPr>
                <w:rFonts w:ascii="Arial" w:eastAsia="Arial" w:hAnsi="Arial" w:cs="Arial"/>
              </w:rPr>
              <w:t>16a</w:t>
            </w:r>
          </w:p>
        </w:tc>
        <w:tc>
          <w:tcPr>
            <w:tcW w:w="4150" w:type="dxa"/>
            <w:tcBorders>
              <w:top w:val="single" w:sz="4" w:space="0" w:color="000000"/>
              <w:left w:val="single" w:sz="4" w:space="0" w:color="000000"/>
              <w:bottom w:val="single" w:sz="4" w:space="0" w:color="000000"/>
              <w:right w:val="single" w:sz="4" w:space="0" w:color="000000"/>
            </w:tcBorders>
          </w:tcPr>
          <w:p w14:paraId="212C216E" w14:textId="77777777" w:rsidR="00955984" w:rsidRPr="001E722E" w:rsidRDefault="00161751">
            <w:pPr>
              <w:spacing w:before="40" w:after="40"/>
            </w:pPr>
            <w:r w:rsidRPr="001E722E">
              <w:rPr>
                <w:rFonts w:ascii="Arial" w:eastAsia="Arial" w:hAnsi="Arial" w:cs="Arial"/>
              </w:rPr>
              <w:t>Describe the results of the search and selection process, ideally using a flow diagram.</w:t>
            </w:r>
          </w:p>
        </w:tc>
        <w:tc>
          <w:tcPr>
            <w:tcW w:w="2399" w:type="dxa"/>
            <w:tcBorders>
              <w:top w:val="single" w:sz="4" w:space="0" w:color="000000"/>
              <w:left w:val="single" w:sz="4" w:space="0" w:color="000000"/>
              <w:bottom w:val="single" w:sz="4" w:space="0" w:color="000000"/>
              <w:right w:val="single" w:sz="4" w:space="0" w:color="000000"/>
            </w:tcBorders>
          </w:tcPr>
          <w:p w14:paraId="350B49F6" w14:textId="77777777" w:rsidR="00955984" w:rsidRPr="001E722E" w:rsidRDefault="00161751">
            <w:pPr>
              <w:spacing w:before="40" w:after="40"/>
            </w:pPr>
            <w:r w:rsidRPr="001E722E">
              <w:rPr>
                <w:rFonts w:ascii="Arial" w:eastAsia="Arial" w:hAnsi="Arial" w:cs="Arial"/>
              </w:rPr>
              <w:t>Section 4.1; Figure 4.1</w:t>
            </w:r>
          </w:p>
        </w:tc>
      </w:tr>
      <w:tr w:rsidR="00955984" w:rsidRPr="001E722E" w14:paraId="6453053B" w14:textId="77777777">
        <w:trPr>
          <w:cantSplit/>
        </w:trPr>
        <w:tc>
          <w:tcPr>
            <w:tcW w:w="2050" w:type="dxa"/>
            <w:tcBorders>
              <w:top w:val="single" w:sz="4" w:space="0" w:color="000000"/>
              <w:left w:val="single" w:sz="4" w:space="0" w:color="000000"/>
              <w:bottom w:val="single" w:sz="4" w:space="0" w:color="000000"/>
              <w:right w:val="single" w:sz="4" w:space="0" w:color="000000"/>
            </w:tcBorders>
          </w:tcPr>
          <w:p w14:paraId="4D1155E1" w14:textId="77777777" w:rsidR="00955984" w:rsidRPr="001E722E" w:rsidRDefault="00955984">
            <w:pPr>
              <w:spacing w:before="40" w:after="40"/>
            </w:pPr>
          </w:p>
        </w:tc>
        <w:tc>
          <w:tcPr>
            <w:tcW w:w="900" w:type="dxa"/>
            <w:tcBorders>
              <w:top w:val="single" w:sz="4" w:space="0" w:color="000000"/>
              <w:left w:val="single" w:sz="4" w:space="0" w:color="000000"/>
              <w:bottom w:val="single" w:sz="4" w:space="0" w:color="000000"/>
              <w:right w:val="single" w:sz="4" w:space="0" w:color="000000"/>
            </w:tcBorders>
          </w:tcPr>
          <w:p w14:paraId="2D1887E5" w14:textId="77777777" w:rsidR="00955984" w:rsidRPr="001E722E" w:rsidRDefault="00161751">
            <w:pPr>
              <w:spacing w:before="40" w:after="40"/>
            </w:pPr>
            <w:r w:rsidRPr="001E722E">
              <w:rPr>
                <w:rFonts w:ascii="Arial" w:eastAsia="Arial" w:hAnsi="Arial" w:cs="Arial"/>
              </w:rPr>
              <w:t>16b</w:t>
            </w:r>
          </w:p>
        </w:tc>
        <w:tc>
          <w:tcPr>
            <w:tcW w:w="4150" w:type="dxa"/>
            <w:tcBorders>
              <w:top w:val="single" w:sz="4" w:space="0" w:color="000000"/>
              <w:left w:val="single" w:sz="4" w:space="0" w:color="000000"/>
              <w:bottom w:val="single" w:sz="4" w:space="0" w:color="000000"/>
              <w:right w:val="single" w:sz="4" w:space="0" w:color="000000"/>
            </w:tcBorders>
          </w:tcPr>
          <w:p w14:paraId="2122349C" w14:textId="77777777" w:rsidR="00955984" w:rsidRPr="001E722E" w:rsidRDefault="00161751">
            <w:pPr>
              <w:spacing w:before="40" w:after="40"/>
            </w:pPr>
            <w:r w:rsidRPr="001E722E">
              <w:rPr>
                <w:rFonts w:ascii="Arial" w:eastAsia="Arial" w:hAnsi="Arial" w:cs="Arial"/>
              </w:rPr>
              <w:t>Cite studies that might appear to meet the criteria but were excluded, and explain why.</w:t>
            </w:r>
          </w:p>
        </w:tc>
        <w:tc>
          <w:tcPr>
            <w:tcW w:w="2399" w:type="dxa"/>
            <w:tcBorders>
              <w:top w:val="single" w:sz="4" w:space="0" w:color="000000"/>
              <w:left w:val="single" w:sz="4" w:space="0" w:color="000000"/>
              <w:bottom w:val="single" w:sz="4" w:space="0" w:color="000000"/>
              <w:right w:val="single" w:sz="4" w:space="0" w:color="000000"/>
            </w:tcBorders>
          </w:tcPr>
          <w:p w14:paraId="38490509" w14:textId="77777777" w:rsidR="00955984" w:rsidRPr="001E722E" w:rsidRDefault="00161751">
            <w:pPr>
              <w:spacing w:before="40" w:after="40"/>
            </w:pPr>
            <w:r w:rsidRPr="001E722E">
              <w:rPr>
                <w:rFonts w:ascii="Arial" w:eastAsia="Arial" w:hAnsi="Arial" w:cs="Arial"/>
              </w:rPr>
              <w:t>Appendix D</w:t>
            </w:r>
          </w:p>
        </w:tc>
      </w:tr>
      <w:tr w:rsidR="00955984" w:rsidRPr="001E722E" w14:paraId="5A441E64" w14:textId="77777777">
        <w:trPr>
          <w:cantSplit/>
        </w:trPr>
        <w:tc>
          <w:tcPr>
            <w:tcW w:w="2050" w:type="dxa"/>
            <w:tcBorders>
              <w:top w:val="single" w:sz="4" w:space="0" w:color="000000"/>
              <w:left w:val="single" w:sz="4" w:space="0" w:color="000000"/>
              <w:bottom w:val="single" w:sz="4" w:space="0" w:color="000000"/>
              <w:right w:val="single" w:sz="4" w:space="0" w:color="000000"/>
            </w:tcBorders>
          </w:tcPr>
          <w:p w14:paraId="5FFC95E7" w14:textId="77777777" w:rsidR="00955984" w:rsidRPr="001E722E" w:rsidRDefault="00161751">
            <w:pPr>
              <w:spacing w:before="40" w:after="40"/>
            </w:pPr>
            <w:r w:rsidRPr="001E722E">
              <w:rPr>
                <w:rFonts w:ascii="Arial" w:eastAsia="Arial" w:hAnsi="Arial" w:cs="Arial"/>
              </w:rPr>
              <w:t>Study characteristics</w:t>
            </w:r>
          </w:p>
        </w:tc>
        <w:tc>
          <w:tcPr>
            <w:tcW w:w="900" w:type="dxa"/>
            <w:tcBorders>
              <w:top w:val="single" w:sz="4" w:space="0" w:color="000000"/>
              <w:left w:val="single" w:sz="4" w:space="0" w:color="000000"/>
              <w:bottom w:val="single" w:sz="4" w:space="0" w:color="000000"/>
              <w:right w:val="single" w:sz="4" w:space="0" w:color="000000"/>
            </w:tcBorders>
          </w:tcPr>
          <w:p w14:paraId="780FA737" w14:textId="77777777" w:rsidR="00955984" w:rsidRPr="001E722E" w:rsidRDefault="00161751">
            <w:pPr>
              <w:spacing w:before="40" w:after="40"/>
            </w:pPr>
            <w:r w:rsidRPr="001E722E">
              <w:rPr>
                <w:rFonts w:ascii="Arial" w:eastAsia="Arial" w:hAnsi="Arial" w:cs="Arial"/>
              </w:rPr>
              <w:t>17</w:t>
            </w:r>
          </w:p>
        </w:tc>
        <w:tc>
          <w:tcPr>
            <w:tcW w:w="4150" w:type="dxa"/>
            <w:tcBorders>
              <w:top w:val="single" w:sz="4" w:space="0" w:color="000000"/>
              <w:left w:val="single" w:sz="4" w:space="0" w:color="000000"/>
              <w:bottom w:val="single" w:sz="4" w:space="0" w:color="000000"/>
              <w:right w:val="single" w:sz="4" w:space="0" w:color="000000"/>
            </w:tcBorders>
          </w:tcPr>
          <w:p w14:paraId="0B8EE331" w14:textId="77777777" w:rsidR="00955984" w:rsidRPr="001E722E" w:rsidRDefault="00161751">
            <w:pPr>
              <w:spacing w:before="40" w:after="40"/>
            </w:pPr>
            <w:r w:rsidRPr="001E722E">
              <w:rPr>
                <w:rFonts w:ascii="Arial" w:eastAsia="Arial" w:hAnsi="Arial" w:cs="Arial"/>
              </w:rPr>
              <w:t>Cite each included study and present its characteristics.</w:t>
            </w:r>
          </w:p>
        </w:tc>
        <w:tc>
          <w:tcPr>
            <w:tcW w:w="2399" w:type="dxa"/>
            <w:tcBorders>
              <w:top w:val="single" w:sz="4" w:space="0" w:color="000000"/>
              <w:left w:val="single" w:sz="4" w:space="0" w:color="000000"/>
              <w:bottom w:val="single" w:sz="4" w:space="0" w:color="000000"/>
              <w:right w:val="single" w:sz="4" w:space="0" w:color="000000"/>
            </w:tcBorders>
          </w:tcPr>
          <w:p w14:paraId="03AE8C2C" w14:textId="77777777" w:rsidR="00955984" w:rsidRPr="001E722E" w:rsidRDefault="00161751">
            <w:pPr>
              <w:spacing w:before="40" w:after="40"/>
            </w:pPr>
            <w:r w:rsidRPr="001E722E">
              <w:rPr>
                <w:rFonts w:ascii="Arial" w:eastAsia="Arial" w:hAnsi="Arial" w:cs="Arial"/>
              </w:rPr>
              <w:t>Table 4.1</w:t>
            </w:r>
          </w:p>
        </w:tc>
      </w:tr>
      <w:tr w:rsidR="00955984" w:rsidRPr="001E722E" w14:paraId="0EBFFDDE" w14:textId="77777777">
        <w:trPr>
          <w:cantSplit/>
        </w:trPr>
        <w:tc>
          <w:tcPr>
            <w:tcW w:w="2050" w:type="dxa"/>
            <w:tcBorders>
              <w:top w:val="single" w:sz="4" w:space="0" w:color="000000"/>
              <w:left w:val="single" w:sz="4" w:space="0" w:color="000000"/>
              <w:bottom w:val="single" w:sz="4" w:space="0" w:color="000000"/>
              <w:right w:val="single" w:sz="4" w:space="0" w:color="000000"/>
            </w:tcBorders>
          </w:tcPr>
          <w:p w14:paraId="024EDB31" w14:textId="77777777" w:rsidR="00955984" w:rsidRPr="001E722E" w:rsidRDefault="00161751">
            <w:pPr>
              <w:spacing w:before="40" w:after="40"/>
            </w:pPr>
            <w:r w:rsidRPr="001E722E">
              <w:rPr>
                <w:rFonts w:ascii="Arial" w:eastAsia="Arial" w:hAnsi="Arial" w:cs="Arial"/>
              </w:rPr>
              <w:t>Risk of bias in studies</w:t>
            </w:r>
          </w:p>
        </w:tc>
        <w:tc>
          <w:tcPr>
            <w:tcW w:w="900" w:type="dxa"/>
            <w:tcBorders>
              <w:top w:val="single" w:sz="4" w:space="0" w:color="000000"/>
              <w:left w:val="single" w:sz="4" w:space="0" w:color="000000"/>
              <w:bottom w:val="single" w:sz="4" w:space="0" w:color="000000"/>
              <w:right w:val="single" w:sz="4" w:space="0" w:color="000000"/>
            </w:tcBorders>
          </w:tcPr>
          <w:p w14:paraId="263B99C1" w14:textId="77777777" w:rsidR="00955984" w:rsidRPr="001E722E" w:rsidRDefault="00161751">
            <w:pPr>
              <w:spacing w:before="40" w:after="40"/>
            </w:pPr>
            <w:r w:rsidRPr="001E722E">
              <w:rPr>
                <w:rFonts w:ascii="Arial" w:eastAsia="Arial" w:hAnsi="Arial" w:cs="Arial"/>
              </w:rPr>
              <w:t>18</w:t>
            </w:r>
          </w:p>
        </w:tc>
        <w:tc>
          <w:tcPr>
            <w:tcW w:w="4150" w:type="dxa"/>
            <w:tcBorders>
              <w:top w:val="single" w:sz="4" w:space="0" w:color="000000"/>
              <w:left w:val="single" w:sz="4" w:space="0" w:color="000000"/>
              <w:bottom w:val="single" w:sz="4" w:space="0" w:color="000000"/>
              <w:right w:val="single" w:sz="4" w:space="0" w:color="000000"/>
            </w:tcBorders>
          </w:tcPr>
          <w:p w14:paraId="5786485F" w14:textId="77777777" w:rsidR="00955984" w:rsidRPr="001E722E" w:rsidRDefault="00161751">
            <w:pPr>
              <w:spacing w:before="40" w:after="40"/>
            </w:pPr>
            <w:r w:rsidRPr="001E722E">
              <w:rPr>
                <w:rFonts w:ascii="Arial" w:eastAsia="Arial" w:hAnsi="Arial" w:cs="Arial"/>
              </w:rPr>
              <w:t>Present assessments of risk of bias for each included study.</w:t>
            </w:r>
          </w:p>
        </w:tc>
        <w:tc>
          <w:tcPr>
            <w:tcW w:w="2399" w:type="dxa"/>
            <w:tcBorders>
              <w:top w:val="single" w:sz="4" w:space="0" w:color="000000"/>
              <w:left w:val="single" w:sz="4" w:space="0" w:color="000000"/>
              <w:bottom w:val="single" w:sz="4" w:space="0" w:color="000000"/>
              <w:right w:val="single" w:sz="4" w:space="0" w:color="000000"/>
            </w:tcBorders>
          </w:tcPr>
          <w:p w14:paraId="55934B63" w14:textId="77777777" w:rsidR="00955984" w:rsidRPr="001E722E" w:rsidRDefault="00161751">
            <w:pPr>
              <w:spacing w:before="40" w:after="40"/>
            </w:pPr>
            <w:r w:rsidRPr="001E722E">
              <w:rPr>
                <w:rFonts w:ascii="Arial" w:eastAsia="Arial" w:hAnsi="Arial" w:cs="Arial"/>
              </w:rPr>
              <w:t>Table 3.4</w:t>
            </w:r>
          </w:p>
        </w:tc>
      </w:tr>
      <w:tr w:rsidR="00955984" w:rsidRPr="001E722E" w14:paraId="4B46ADB1" w14:textId="77777777">
        <w:trPr>
          <w:cantSplit/>
        </w:trPr>
        <w:tc>
          <w:tcPr>
            <w:tcW w:w="2050" w:type="dxa"/>
            <w:tcBorders>
              <w:top w:val="single" w:sz="4" w:space="0" w:color="000000"/>
              <w:left w:val="single" w:sz="4" w:space="0" w:color="000000"/>
              <w:bottom w:val="single" w:sz="4" w:space="0" w:color="000000"/>
              <w:right w:val="single" w:sz="4" w:space="0" w:color="000000"/>
            </w:tcBorders>
          </w:tcPr>
          <w:p w14:paraId="767AEC83" w14:textId="77777777" w:rsidR="00955984" w:rsidRPr="001E722E" w:rsidRDefault="00161751">
            <w:pPr>
              <w:spacing w:before="40" w:after="40"/>
            </w:pPr>
            <w:r w:rsidRPr="001E722E">
              <w:rPr>
                <w:rFonts w:ascii="Arial" w:eastAsia="Arial" w:hAnsi="Arial" w:cs="Arial"/>
              </w:rPr>
              <w:t>Results of individual studies</w:t>
            </w:r>
          </w:p>
        </w:tc>
        <w:tc>
          <w:tcPr>
            <w:tcW w:w="900" w:type="dxa"/>
            <w:tcBorders>
              <w:top w:val="single" w:sz="4" w:space="0" w:color="000000"/>
              <w:left w:val="single" w:sz="4" w:space="0" w:color="000000"/>
              <w:bottom w:val="single" w:sz="4" w:space="0" w:color="000000"/>
              <w:right w:val="single" w:sz="4" w:space="0" w:color="000000"/>
            </w:tcBorders>
          </w:tcPr>
          <w:p w14:paraId="64D046A3" w14:textId="77777777" w:rsidR="00955984" w:rsidRPr="001E722E" w:rsidRDefault="00161751">
            <w:pPr>
              <w:spacing w:before="40" w:after="40"/>
            </w:pPr>
            <w:r w:rsidRPr="001E722E">
              <w:rPr>
                <w:rFonts w:ascii="Arial" w:eastAsia="Arial" w:hAnsi="Arial" w:cs="Arial"/>
              </w:rPr>
              <w:t>19</w:t>
            </w:r>
          </w:p>
        </w:tc>
        <w:tc>
          <w:tcPr>
            <w:tcW w:w="4150" w:type="dxa"/>
            <w:tcBorders>
              <w:top w:val="single" w:sz="4" w:space="0" w:color="000000"/>
              <w:left w:val="single" w:sz="4" w:space="0" w:color="000000"/>
              <w:bottom w:val="single" w:sz="4" w:space="0" w:color="000000"/>
              <w:right w:val="single" w:sz="4" w:space="0" w:color="000000"/>
            </w:tcBorders>
          </w:tcPr>
          <w:p w14:paraId="2532CE88" w14:textId="77777777" w:rsidR="00955984" w:rsidRPr="001E722E" w:rsidRDefault="00161751">
            <w:pPr>
              <w:spacing w:before="40" w:after="40"/>
            </w:pPr>
            <w:r w:rsidRPr="001E722E">
              <w:rPr>
                <w:rFonts w:ascii="Arial" w:eastAsia="Arial" w:hAnsi="Arial" w:cs="Arial"/>
              </w:rPr>
              <w:t>For all outcomes, present a summary for each study.</w:t>
            </w:r>
          </w:p>
        </w:tc>
        <w:tc>
          <w:tcPr>
            <w:tcW w:w="2399" w:type="dxa"/>
            <w:tcBorders>
              <w:top w:val="single" w:sz="4" w:space="0" w:color="000000"/>
              <w:left w:val="single" w:sz="4" w:space="0" w:color="000000"/>
              <w:bottom w:val="single" w:sz="4" w:space="0" w:color="000000"/>
              <w:right w:val="single" w:sz="4" w:space="0" w:color="000000"/>
            </w:tcBorders>
          </w:tcPr>
          <w:p w14:paraId="2929FFCA" w14:textId="77777777" w:rsidR="00955984" w:rsidRPr="001E722E" w:rsidRDefault="00161751">
            <w:pPr>
              <w:spacing w:before="40" w:after="40"/>
            </w:pPr>
            <w:r w:rsidRPr="001E722E">
              <w:rPr>
                <w:rFonts w:ascii="Arial" w:eastAsia="Arial" w:hAnsi="Arial" w:cs="Arial"/>
              </w:rPr>
              <w:t>Tables 4.1 and 4.2</w:t>
            </w:r>
          </w:p>
        </w:tc>
      </w:tr>
      <w:tr w:rsidR="00955984" w:rsidRPr="001E722E" w14:paraId="71106D4C" w14:textId="77777777">
        <w:trPr>
          <w:cantSplit/>
        </w:trPr>
        <w:tc>
          <w:tcPr>
            <w:tcW w:w="2050" w:type="dxa"/>
            <w:tcBorders>
              <w:top w:val="single" w:sz="4" w:space="0" w:color="000000"/>
              <w:left w:val="single" w:sz="4" w:space="0" w:color="000000"/>
              <w:bottom w:val="single" w:sz="4" w:space="0" w:color="000000"/>
              <w:right w:val="single" w:sz="4" w:space="0" w:color="000000"/>
            </w:tcBorders>
          </w:tcPr>
          <w:p w14:paraId="718239D0" w14:textId="77777777" w:rsidR="00955984" w:rsidRPr="001E722E" w:rsidRDefault="00161751">
            <w:pPr>
              <w:spacing w:before="40" w:after="40"/>
            </w:pPr>
            <w:r w:rsidRPr="001E722E">
              <w:rPr>
                <w:rFonts w:ascii="Arial" w:eastAsia="Arial" w:hAnsi="Arial" w:cs="Arial"/>
              </w:rPr>
              <w:t>Results of syntheses</w:t>
            </w:r>
          </w:p>
        </w:tc>
        <w:tc>
          <w:tcPr>
            <w:tcW w:w="900" w:type="dxa"/>
            <w:tcBorders>
              <w:top w:val="single" w:sz="4" w:space="0" w:color="000000"/>
              <w:left w:val="single" w:sz="4" w:space="0" w:color="000000"/>
              <w:bottom w:val="single" w:sz="4" w:space="0" w:color="000000"/>
              <w:right w:val="single" w:sz="4" w:space="0" w:color="000000"/>
            </w:tcBorders>
          </w:tcPr>
          <w:p w14:paraId="2BF0CA96" w14:textId="77777777" w:rsidR="00955984" w:rsidRPr="001E722E" w:rsidRDefault="00161751">
            <w:pPr>
              <w:spacing w:before="40" w:after="40"/>
            </w:pPr>
            <w:r w:rsidRPr="001E722E">
              <w:rPr>
                <w:rFonts w:ascii="Arial" w:eastAsia="Arial" w:hAnsi="Arial" w:cs="Arial"/>
              </w:rPr>
              <w:t>20a–d</w:t>
            </w:r>
          </w:p>
        </w:tc>
        <w:tc>
          <w:tcPr>
            <w:tcW w:w="4150" w:type="dxa"/>
            <w:tcBorders>
              <w:top w:val="single" w:sz="4" w:space="0" w:color="000000"/>
              <w:left w:val="single" w:sz="4" w:space="0" w:color="000000"/>
              <w:bottom w:val="single" w:sz="4" w:space="0" w:color="000000"/>
              <w:right w:val="single" w:sz="4" w:space="0" w:color="000000"/>
            </w:tcBorders>
          </w:tcPr>
          <w:p w14:paraId="4F98B73B" w14:textId="77777777" w:rsidR="00955984" w:rsidRPr="001E722E" w:rsidRDefault="00161751">
            <w:pPr>
              <w:spacing w:before="40" w:after="40"/>
            </w:pPr>
            <w:r w:rsidRPr="001E722E">
              <w:rPr>
                <w:rFonts w:ascii="Arial" w:eastAsia="Arial" w:hAnsi="Arial" w:cs="Arial"/>
              </w:rPr>
              <w:t>Summarise the characteristics and results of each synthesis.</w:t>
            </w:r>
          </w:p>
        </w:tc>
        <w:tc>
          <w:tcPr>
            <w:tcW w:w="2399" w:type="dxa"/>
            <w:tcBorders>
              <w:top w:val="single" w:sz="4" w:space="0" w:color="000000"/>
              <w:left w:val="single" w:sz="4" w:space="0" w:color="000000"/>
              <w:bottom w:val="single" w:sz="4" w:space="0" w:color="000000"/>
              <w:right w:val="single" w:sz="4" w:space="0" w:color="000000"/>
            </w:tcBorders>
          </w:tcPr>
          <w:p w14:paraId="30BA2B00" w14:textId="77777777" w:rsidR="00955984" w:rsidRPr="001E722E" w:rsidRDefault="00161751">
            <w:pPr>
              <w:spacing w:before="40" w:after="40"/>
            </w:pPr>
            <w:r w:rsidRPr="001E722E">
              <w:rPr>
                <w:rFonts w:ascii="Arial" w:eastAsia="Arial" w:hAnsi="Arial" w:cs="Arial"/>
              </w:rPr>
              <w:t>Sections 4.2.1–4.2.3</w:t>
            </w:r>
          </w:p>
        </w:tc>
      </w:tr>
      <w:tr w:rsidR="00955984" w:rsidRPr="001E722E" w14:paraId="4DF77875" w14:textId="77777777">
        <w:trPr>
          <w:cantSplit/>
        </w:trPr>
        <w:tc>
          <w:tcPr>
            <w:tcW w:w="2050" w:type="dxa"/>
            <w:tcBorders>
              <w:top w:val="single" w:sz="4" w:space="0" w:color="000000"/>
              <w:left w:val="single" w:sz="4" w:space="0" w:color="000000"/>
              <w:bottom w:val="single" w:sz="4" w:space="0" w:color="000000"/>
              <w:right w:val="single" w:sz="4" w:space="0" w:color="000000"/>
            </w:tcBorders>
          </w:tcPr>
          <w:p w14:paraId="1E3DF5B2" w14:textId="77777777" w:rsidR="00955984" w:rsidRPr="001E722E" w:rsidRDefault="00161751">
            <w:pPr>
              <w:spacing w:before="40" w:after="40"/>
            </w:pPr>
            <w:r w:rsidRPr="001E722E">
              <w:rPr>
                <w:rFonts w:ascii="Arial" w:eastAsia="Arial" w:hAnsi="Arial" w:cs="Arial"/>
              </w:rPr>
              <w:t>Reporting biases</w:t>
            </w:r>
          </w:p>
        </w:tc>
        <w:tc>
          <w:tcPr>
            <w:tcW w:w="900" w:type="dxa"/>
            <w:tcBorders>
              <w:top w:val="single" w:sz="4" w:space="0" w:color="000000"/>
              <w:left w:val="single" w:sz="4" w:space="0" w:color="000000"/>
              <w:bottom w:val="single" w:sz="4" w:space="0" w:color="000000"/>
              <w:right w:val="single" w:sz="4" w:space="0" w:color="000000"/>
            </w:tcBorders>
          </w:tcPr>
          <w:p w14:paraId="4A077585" w14:textId="77777777" w:rsidR="00955984" w:rsidRPr="001E722E" w:rsidRDefault="00161751">
            <w:pPr>
              <w:spacing w:before="40" w:after="40"/>
            </w:pPr>
            <w:r w:rsidRPr="001E722E">
              <w:rPr>
                <w:rFonts w:ascii="Arial" w:eastAsia="Arial" w:hAnsi="Arial" w:cs="Arial"/>
              </w:rPr>
              <w:t>21</w:t>
            </w:r>
          </w:p>
        </w:tc>
        <w:tc>
          <w:tcPr>
            <w:tcW w:w="4150" w:type="dxa"/>
            <w:tcBorders>
              <w:top w:val="single" w:sz="4" w:space="0" w:color="000000"/>
              <w:left w:val="single" w:sz="4" w:space="0" w:color="000000"/>
              <w:bottom w:val="single" w:sz="4" w:space="0" w:color="000000"/>
              <w:right w:val="single" w:sz="4" w:space="0" w:color="000000"/>
            </w:tcBorders>
          </w:tcPr>
          <w:p w14:paraId="1B345093" w14:textId="77777777" w:rsidR="00955984" w:rsidRPr="001E722E" w:rsidRDefault="00161751">
            <w:pPr>
              <w:spacing w:before="40" w:after="40"/>
            </w:pPr>
            <w:r w:rsidRPr="001E722E">
              <w:rPr>
                <w:rFonts w:ascii="Arial" w:eastAsia="Arial" w:hAnsi="Arial" w:cs="Arial"/>
              </w:rPr>
              <w:t>Present assessments of risk of bias due to missing results.</w:t>
            </w:r>
          </w:p>
        </w:tc>
        <w:tc>
          <w:tcPr>
            <w:tcW w:w="2399" w:type="dxa"/>
            <w:tcBorders>
              <w:top w:val="single" w:sz="4" w:space="0" w:color="000000"/>
              <w:left w:val="single" w:sz="4" w:space="0" w:color="000000"/>
              <w:bottom w:val="single" w:sz="4" w:space="0" w:color="000000"/>
              <w:right w:val="single" w:sz="4" w:space="0" w:color="000000"/>
            </w:tcBorders>
          </w:tcPr>
          <w:p w14:paraId="4103E866" w14:textId="77777777" w:rsidR="00955984" w:rsidRPr="001E722E" w:rsidRDefault="00161751">
            <w:pPr>
              <w:spacing w:before="40" w:after="40"/>
            </w:pPr>
            <w:r w:rsidRPr="001E722E">
              <w:rPr>
                <w:rFonts w:ascii="Arial" w:eastAsia="Arial" w:hAnsi="Arial" w:cs="Arial"/>
              </w:rPr>
              <w:t>Not applicable</w:t>
            </w:r>
          </w:p>
        </w:tc>
      </w:tr>
      <w:tr w:rsidR="00955984" w:rsidRPr="001E722E" w14:paraId="3ADD6513" w14:textId="77777777">
        <w:trPr>
          <w:cantSplit/>
        </w:trPr>
        <w:tc>
          <w:tcPr>
            <w:tcW w:w="2050" w:type="dxa"/>
            <w:tcBorders>
              <w:top w:val="single" w:sz="4" w:space="0" w:color="000000"/>
              <w:left w:val="single" w:sz="4" w:space="0" w:color="000000"/>
              <w:bottom w:val="single" w:sz="4" w:space="0" w:color="000000"/>
              <w:right w:val="single" w:sz="4" w:space="0" w:color="000000"/>
            </w:tcBorders>
          </w:tcPr>
          <w:p w14:paraId="29D4ED75" w14:textId="77777777" w:rsidR="00955984" w:rsidRPr="001E722E" w:rsidRDefault="00161751">
            <w:pPr>
              <w:spacing w:before="40" w:after="40"/>
            </w:pPr>
            <w:r w:rsidRPr="001E722E">
              <w:rPr>
                <w:rFonts w:ascii="Arial" w:eastAsia="Arial" w:hAnsi="Arial" w:cs="Arial"/>
              </w:rPr>
              <w:t>Certainty of evidence</w:t>
            </w:r>
          </w:p>
        </w:tc>
        <w:tc>
          <w:tcPr>
            <w:tcW w:w="900" w:type="dxa"/>
            <w:tcBorders>
              <w:top w:val="single" w:sz="4" w:space="0" w:color="000000"/>
              <w:left w:val="single" w:sz="4" w:space="0" w:color="000000"/>
              <w:bottom w:val="single" w:sz="4" w:space="0" w:color="000000"/>
              <w:right w:val="single" w:sz="4" w:space="0" w:color="000000"/>
            </w:tcBorders>
          </w:tcPr>
          <w:p w14:paraId="68A669E2" w14:textId="77777777" w:rsidR="00955984" w:rsidRPr="001E722E" w:rsidRDefault="00161751">
            <w:pPr>
              <w:spacing w:before="40" w:after="40"/>
            </w:pPr>
            <w:r w:rsidRPr="001E722E">
              <w:rPr>
                <w:rFonts w:ascii="Arial" w:eastAsia="Arial" w:hAnsi="Arial" w:cs="Arial"/>
              </w:rPr>
              <w:t>22</w:t>
            </w:r>
          </w:p>
        </w:tc>
        <w:tc>
          <w:tcPr>
            <w:tcW w:w="4150" w:type="dxa"/>
            <w:tcBorders>
              <w:top w:val="single" w:sz="4" w:space="0" w:color="000000"/>
              <w:left w:val="single" w:sz="4" w:space="0" w:color="000000"/>
              <w:bottom w:val="single" w:sz="4" w:space="0" w:color="000000"/>
              <w:right w:val="single" w:sz="4" w:space="0" w:color="000000"/>
            </w:tcBorders>
          </w:tcPr>
          <w:p w14:paraId="5338EEC6" w14:textId="77777777" w:rsidR="00955984" w:rsidRPr="001E722E" w:rsidRDefault="00161751">
            <w:pPr>
              <w:spacing w:before="40" w:after="40"/>
            </w:pPr>
            <w:r w:rsidRPr="001E722E">
              <w:rPr>
                <w:rFonts w:ascii="Arial" w:eastAsia="Arial" w:hAnsi="Arial" w:cs="Arial"/>
              </w:rPr>
              <w:t>Present assessments of certainty in the body of evidence for each outcome.</w:t>
            </w:r>
          </w:p>
        </w:tc>
        <w:tc>
          <w:tcPr>
            <w:tcW w:w="2399" w:type="dxa"/>
            <w:tcBorders>
              <w:top w:val="single" w:sz="4" w:space="0" w:color="000000"/>
              <w:left w:val="single" w:sz="4" w:space="0" w:color="000000"/>
              <w:bottom w:val="single" w:sz="4" w:space="0" w:color="000000"/>
              <w:right w:val="single" w:sz="4" w:space="0" w:color="000000"/>
            </w:tcBorders>
          </w:tcPr>
          <w:p w14:paraId="4A2CFC71" w14:textId="77777777" w:rsidR="00955984" w:rsidRPr="001E722E" w:rsidRDefault="00161751">
            <w:pPr>
              <w:spacing w:before="40" w:after="40"/>
            </w:pPr>
            <w:r w:rsidRPr="001E722E">
              <w:rPr>
                <w:rFonts w:ascii="Arial" w:eastAsia="Arial" w:hAnsi="Arial" w:cs="Arial"/>
              </w:rPr>
              <w:t>Not applicable</w:t>
            </w:r>
          </w:p>
        </w:tc>
      </w:tr>
      <w:tr w:rsidR="00955984" w:rsidRPr="001E722E" w14:paraId="4ACDE046" w14:textId="77777777">
        <w:trPr>
          <w:cantSplit/>
        </w:trPr>
        <w:tc>
          <w:tcPr>
            <w:tcW w:w="9499" w:type="dxa"/>
            <w:gridSpan w:val="4"/>
            <w:tcBorders>
              <w:top w:val="single" w:sz="4" w:space="0" w:color="000000"/>
              <w:left w:val="single" w:sz="4" w:space="0" w:color="000000"/>
              <w:bottom w:val="single" w:sz="4" w:space="0" w:color="000000"/>
              <w:right w:val="single" w:sz="4" w:space="0" w:color="000000"/>
            </w:tcBorders>
            <w:shd w:val="clear" w:color="auto" w:fill="D9E2F3"/>
          </w:tcPr>
          <w:p w14:paraId="5A7B6490" w14:textId="77777777" w:rsidR="00955984" w:rsidRPr="001E722E" w:rsidRDefault="00161751">
            <w:pPr>
              <w:spacing w:before="40" w:after="40"/>
            </w:pPr>
            <w:r w:rsidRPr="001E722E">
              <w:rPr>
                <w:rFonts w:ascii="Arial" w:eastAsia="Arial" w:hAnsi="Arial" w:cs="Arial"/>
                <w:b/>
                <w:bCs/>
              </w:rPr>
              <w:t>DISCUSSION</w:t>
            </w:r>
          </w:p>
        </w:tc>
      </w:tr>
      <w:tr w:rsidR="00955984" w:rsidRPr="001E722E" w14:paraId="46846780" w14:textId="77777777">
        <w:trPr>
          <w:cantSplit/>
        </w:trPr>
        <w:tc>
          <w:tcPr>
            <w:tcW w:w="2050" w:type="dxa"/>
            <w:tcBorders>
              <w:top w:val="single" w:sz="4" w:space="0" w:color="000000"/>
              <w:left w:val="single" w:sz="4" w:space="0" w:color="000000"/>
              <w:bottom w:val="single" w:sz="4" w:space="0" w:color="000000"/>
              <w:right w:val="single" w:sz="4" w:space="0" w:color="000000"/>
            </w:tcBorders>
          </w:tcPr>
          <w:p w14:paraId="5721AFDA" w14:textId="77777777" w:rsidR="00955984" w:rsidRPr="001E722E" w:rsidRDefault="00161751">
            <w:pPr>
              <w:spacing w:before="40" w:after="40"/>
            </w:pPr>
            <w:r w:rsidRPr="001E722E">
              <w:rPr>
                <w:rFonts w:ascii="Arial" w:eastAsia="Arial" w:hAnsi="Arial" w:cs="Arial"/>
              </w:rPr>
              <w:lastRenderedPageBreak/>
              <w:t>Discussion</w:t>
            </w:r>
          </w:p>
        </w:tc>
        <w:tc>
          <w:tcPr>
            <w:tcW w:w="900" w:type="dxa"/>
            <w:tcBorders>
              <w:top w:val="single" w:sz="4" w:space="0" w:color="000000"/>
              <w:left w:val="single" w:sz="4" w:space="0" w:color="000000"/>
              <w:bottom w:val="single" w:sz="4" w:space="0" w:color="000000"/>
              <w:right w:val="single" w:sz="4" w:space="0" w:color="000000"/>
            </w:tcBorders>
          </w:tcPr>
          <w:p w14:paraId="4264108B" w14:textId="77777777" w:rsidR="00955984" w:rsidRPr="001E722E" w:rsidRDefault="00161751">
            <w:pPr>
              <w:spacing w:before="40" w:after="40"/>
            </w:pPr>
            <w:r w:rsidRPr="001E722E">
              <w:rPr>
                <w:rFonts w:ascii="Arial" w:eastAsia="Arial" w:hAnsi="Arial" w:cs="Arial"/>
              </w:rPr>
              <w:t>23a</w:t>
            </w:r>
          </w:p>
        </w:tc>
        <w:tc>
          <w:tcPr>
            <w:tcW w:w="4150" w:type="dxa"/>
            <w:tcBorders>
              <w:top w:val="single" w:sz="4" w:space="0" w:color="000000"/>
              <w:left w:val="single" w:sz="4" w:space="0" w:color="000000"/>
              <w:bottom w:val="single" w:sz="4" w:space="0" w:color="000000"/>
              <w:right w:val="single" w:sz="4" w:space="0" w:color="000000"/>
            </w:tcBorders>
          </w:tcPr>
          <w:p w14:paraId="13DB6FE1" w14:textId="77777777" w:rsidR="00955984" w:rsidRPr="001E722E" w:rsidRDefault="00161751">
            <w:pPr>
              <w:spacing w:before="40" w:after="40"/>
            </w:pPr>
            <w:r w:rsidRPr="001E722E">
              <w:rPr>
                <w:rFonts w:ascii="Arial" w:eastAsia="Arial" w:hAnsi="Arial" w:cs="Arial"/>
              </w:rPr>
              <w:t>Provide a general interpretation of the results in the context of other evidence.</w:t>
            </w:r>
          </w:p>
        </w:tc>
        <w:tc>
          <w:tcPr>
            <w:tcW w:w="2399" w:type="dxa"/>
            <w:tcBorders>
              <w:top w:val="single" w:sz="4" w:space="0" w:color="000000"/>
              <w:left w:val="single" w:sz="4" w:space="0" w:color="000000"/>
              <w:bottom w:val="single" w:sz="4" w:space="0" w:color="000000"/>
              <w:right w:val="single" w:sz="4" w:space="0" w:color="000000"/>
            </w:tcBorders>
          </w:tcPr>
          <w:p w14:paraId="645FB3DF" w14:textId="77777777" w:rsidR="00955984" w:rsidRPr="001E722E" w:rsidRDefault="00161751">
            <w:pPr>
              <w:spacing w:before="40" w:after="40"/>
            </w:pPr>
            <w:r w:rsidRPr="001E722E">
              <w:rPr>
                <w:rFonts w:ascii="Arial" w:eastAsia="Arial" w:hAnsi="Arial" w:cs="Arial"/>
              </w:rPr>
              <w:t>Sections 5.2.1–5.2.8</w:t>
            </w:r>
          </w:p>
        </w:tc>
      </w:tr>
      <w:tr w:rsidR="00955984" w:rsidRPr="001E722E" w14:paraId="111CB64E" w14:textId="77777777">
        <w:trPr>
          <w:cantSplit/>
        </w:trPr>
        <w:tc>
          <w:tcPr>
            <w:tcW w:w="2050" w:type="dxa"/>
            <w:tcBorders>
              <w:top w:val="single" w:sz="4" w:space="0" w:color="000000"/>
              <w:left w:val="single" w:sz="4" w:space="0" w:color="000000"/>
              <w:bottom w:val="single" w:sz="4" w:space="0" w:color="000000"/>
              <w:right w:val="single" w:sz="4" w:space="0" w:color="000000"/>
            </w:tcBorders>
          </w:tcPr>
          <w:p w14:paraId="60836C25" w14:textId="77777777" w:rsidR="00955984" w:rsidRPr="001E722E" w:rsidRDefault="00955984">
            <w:pPr>
              <w:spacing w:before="40" w:after="40"/>
            </w:pPr>
          </w:p>
        </w:tc>
        <w:tc>
          <w:tcPr>
            <w:tcW w:w="900" w:type="dxa"/>
            <w:tcBorders>
              <w:top w:val="single" w:sz="4" w:space="0" w:color="000000"/>
              <w:left w:val="single" w:sz="4" w:space="0" w:color="000000"/>
              <w:bottom w:val="single" w:sz="4" w:space="0" w:color="000000"/>
              <w:right w:val="single" w:sz="4" w:space="0" w:color="000000"/>
            </w:tcBorders>
          </w:tcPr>
          <w:p w14:paraId="2CD8AEB2" w14:textId="77777777" w:rsidR="00955984" w:rsidRPr="001E722E" w:rsidRDefault="00161751">
            <w:pPr>
              <w:spacing w:before="40" w:after="40"/>
            </w:pPr>
            <w:r w:rsidRPr="001E722E">
              <w:rPr>
                <w:rFonts w:ascii="Arial" w:eastAsia="Arial" w:hAnsi="Arial" w:cs="Arial"/>
              </w:rPr>
              <w:t>23b</w:t>
            </w:r>
          </w:p>
        </w:tc>
        <w:tc>
          <w:tcPr>
            <w:tcW w:w="4150" w:type="dxa"/>
            <w:tcBorders>
              <w:top w:val="single" w:sz="4" w:space="0" w:color="000000"/>
              <w:left w:val="single" w:sz="4" w:space="0" w:color="000000"/>
              <w:bottom w:val="single" w:sz="4" w:space="0" w:color="000000"/>
              <w:right w:val="single" w:sz="4" w:space="0" w:color="000000"/>
            </w:tcBorders>
          </w:tcPr>
          <w:p w14:paraId="0FB2A1AF" w14:textId="77777777" w:rsidR="00955984" w:rsidRPr="001E722E" w:rsidRDefault="00161751">
            <w:pPr>
              <w:spacing w:before="40" w:after="40"/>
            </w:pPr>
            <w:r w:rsidRPr="001E722E">
              <w:rPr>
                <w:rFonts w:ascii="Arial" w:eastAsia="Arial" w:hAnsi="Arial" w:cs="Arial"/>
              </w:rPr>
              <w:t>Discuss any limitations of the evidence included in the review.</w:t>
            </w:r>
          </w:p>
        </w:tc>
        <w:tc>
          <w:tcPr>
            <w:tcW w:w="2399" w:type="dxa"/>
            <w:tcBorders>
              <w:top w:val="single" w:sz="4" w:space="0" w:color="000000"/>
              <w:left w:val="single" w:sz="4" w:space="0" w:color="000000"/>
              <w:bottom w:val="single" w:sz="4" w:space="0" w:color="000000"/>
              <w:right w:val="single" w:sz="4" w:space="0" w:color="000000"/>
            </w:tcBorders>
          </w:tcPr>
          <w:p w14:paraId="52F160D5" w14:textId="77777777" w:rsidR="00955984" w:rsidRPr="001E722E" w:rsidRDefault="00161751">
            <w:pPr>
              <w:spacing w:before="40" w:after="40"/>
            </w:pPr>
            <w:r w:rsidRPr="001E722E">
              <w:rPr>
                <w:rFonts w:ascii="Arial" w:eastAsia="Arial" w:hAnsi="Arial" w:cs="Arial"/>
              </w:rPr>
              <w:t>Section 5.3</w:t>
            </w:r>
          </w:p>
        </w:tc>
      </w:tr>
      <w:tr w:rsidR="00955984" w:rsidRPr="001E722E" w14:paraId="3D59A084" w14:textId="77777777">
        <w:trPr>
          <w:cantSplit/>
        </w:trPr>
        <w:tc>
          <w:tcPr>
            <w:tcW w:w="2050" w:type="dxa"/>
            <w:tcBorders>
              <w:top w:val="single" w:sz="4" w:space="0" w:color="000000"/>
              <w:left w:val="single" w:sz="4" w:space="0" w:color="000000"/>
              <w:bottom w:val="single" w:sz="4" w:space="0" w:color="000000"/>
              <w:right w:val="single" w:sz="4" w:space="0" w:color="000000"/>
            </w:tcBorders>
          </w:tcPr>
          <w:p w14:paraId="158A8988" w14:textId="77777777" w:rsidR="00955984" w:rsidRPr="001E722E" w:rsidRDefault="00955984">
            <w:pPr>
              <w:spacing w:before="40" w:after="40"/>
            </w:pPr>
          </w:p>
        </w:tc>
        <w:tc>
          <w:tcPr>
            <w:tcW w:w="900" w:type="dxa"/>
            <w:tcBorders>
              <w:top w:val="single" w:sz="4" w:space="0" w:color="000000"/>
              <w:left w:val="single" w:sz="4" w:space="0" w:color="000000"/>
              <w:bottom w:val="single" w:sz="4" w:space="0" w:color="000000"/>
              <w:right w:val="single" w:sz="4" w:space="0" w:color="000000"/>
            </w:tcBorders>
          </w:tcPr>
          <w:p w14:paraId="7ECAECE9" w14:textId="77777777" w:rsidR="00955984" w:rsidRPr="001E722E" w:rsidRDefault="00161751">
            <w:pPr>
              <w:spacing w:before="40" w:after="40"/>
            </w:pPr>
            <w:r w:rsidRPr="001E722E">
              <w:rPr>
                <w:rFonts w:ascii="Arial" w:eastAsia="Arial" w:hAnsi="Arial" w:cs="Arial"/>
              </w:rPr>
              <w:t>23c</w:t>
            </w:r>
          </w:p>
        </w:tc>
        <w:tc>
          <w:tcPr>
            <w:tcW w:w="4150" w:type="dxa"/>
            <w:tcBorders>
              <w:top w:val="single" w:sz="4" w:space="0" w:color="000000"/>
              <w:left w:val="single" w:sz="4" w:space="0" w:color="000000"/>
              <w:bottom w:val="single" w:sz="4" w:space="0" w:color="000000"/>
              <w:right w:val="single" w:sz="4" w:space="0" w:color="000000"/>
            </w:tcBorders>
          </w:tcPr>
          <w:p w14:paraId="49EFA3ED" w14:textId="77777777" w:rsidR="00955984" w:rsidRPr="001E722E" w:rsidRDefault="00161751">
            <w:pPr>
              <w:spacing w:before="40" w:after="40"/>
            </w:pPr>
            <w:r w:rsidRPr="001E722E">
              <w:rPr>
                <w:rFonts w:ascii="Arial" w:eastAsia="Arial" w:hAnsi="Arial" w:cs="Arial"/>
              </w:rPr>
              <w:t>Discuss any limitations of the review processes used.</w:t>
            </w:r>
          </w:p>
        </w:tc>
        <w:tc>
          <w:tcPr>
            <w:tcW w:w="2399" w:type="dxa"/>
            <w:tcBorders>
              <w:top w:val="single" w:sz="4" w:space="0" w:color="000000"/>
              <w:left w:val="single" w:sz="4" w:space="0" w:color="000000"/>
              <w:bottom w:val="single" w:sz="4" w:space="0" w:color="000000"/>
              <w:right w:val="single" w:sz="4" w:space="0" w:color="000000"/>
            </w:tcBorders>
          </w:tcPr>
          <w:p w14:paraId="0970898D" w14:textId="77777777" w:rsidR="00955984" w:rsidRPr="001E722E" w:rsidRDefault="00161751">
            <w:pPr>
              <w:spacing w:before="40" w:after="40"/>
            </w:pPr>
            <w:r w:rsidRPr="001E722E">
              <w:rPr>
                <w:rFonts w:ascii="Arial" w:eastAsia="Arial" w:hAnsi="Arial" w:cs="Arial"/>
              </w:rPr>
              <w:t>Sections 3.11, 5.3</w:t>
            </w:r>
          </w:p>
        </w:tc>
      </w:tr>
      <w:tr w:rsidR="00955984" w:rsidRPr="001E722E" w14:paraId="1D327C35" w14:textId="77777777">
        <w:trPr>
          <w:cantSplit/>
        </w:trPr>
        <w:tc>
          <w:tcPr>
            <w:tcW w:w="2050" w:type="dxa"/>
            <w:tcBorders>
              <w:top w:val="single" w:sz="4" w:space="0" w:color="000000"/>
              <w:left w:val="single" w:sz="4" w:space="0" w:color="000000"/>
              <w:bottom w:val="single" w:sz="4" w:space="0" w:color="000000"/>
              <w:right w:val="single" w:sz="4" w:space="0" w:color="000000"/>
            </w:tcBorders>
          </w:tcPr>
          <w:p w14:paraId="326FCDEF" w14:textId="77777777" w:rsidR="00955984" w:rsidRPr="001E722E" w:rsidRDefault="00955984">
            <w:pPr>
              <w:spacing w:before="40" w:after="40"/>
            </w:pPr>
          </w:p>
        </w:tc>
        <w:tc>
          <w:tcPr>
            <w:tcW w:w="900" w:type="dxa"/>
            <w:tcBorders>
              <w:top w:val="single" w:sz="4" w:space="0" w:color="000000"/>
              <w:left w:val="single" w:sz="4" w:space="0" w:color="000000"/>
              <w:bottom w:val="single" w:sz="4" w:space="0" w:color="000000"/>
              <w:right w:val="single" w:sz="4" w:space="0" w:color="000000"/>
            </w:tcBorders>
          </w:tcPr>
          <w:p w14:paraId="063C0579" w14:textId="77777777" w:rsidR="00955984" w:rsidRPr="001E722E" w:rsidRDefault="00161751">
            <w:pPr>
              <w:spacing w:before="40" w:after="40"/>
            </w:pPr>
            <w:r w:rsidRPr="001E722E">
              <w:rPr>
                <w:rFonts w:ascii="Arial" w:eastAsia="Arial" w:hAnsi="Arial" w:cs="Arial"/>
              </w:rPr>
              <w:t>23d</w:t>
            </w:r>
          </w:p>
        </w:tc>
        <w:tc>
          <w:tcPr>
            <w:tcW w:w="4150" w:type="dxa"/>
            <w:tcBorders>
              <w:top w:val="single" w:sz="4" w:space="0" w:color="000000"/>
              <w:left w:val="single" w:sz="4" w:space="0" w:color="000000"/>
              <w:bottom w:val="single" w:sz="4" w:space="0" w:color="000000"/>
              <w:right w:val="single" w:sz="4" w:space="0" w:color="000000"/>
            </w:tcBorders>
          </w:tcPr>
          <w:p w14:paraId="47AA968C" w14:textId="77777777" w:rsidR="00955984" w:rsidRPr="001E722E" w:rsidRDefault="00161751">
            <w:pPr>
              <w:spacing w:before="40" w:after="40"/>
            </w:pPr>
            <w:r w:rsidRPr="001E722E">
              <w:rPr>
                <w:rFonts w:ascii="Arial" w:eastAsia="Arial" w:hAnsi="Arial" w:cs="Arial"/>
              </w:rPr>
              <w:t>Discuss implications of the results for practice, policy and future research.</w:t>
            </w:r>
          </w:p>
        </w:tc>
        <w:tc>
          <w:tcPr>
            <w:tcW w:w="2399" w:type="dxa"/>
            <w:tcBorders>
              <w:top w:val="single" w:sz="4" w:space="0" w:color="000000"/>
              <w:left w:val="single" w:sz="4" w:space="0" w:color="000000"/>
              <w:bottom w:val="single" w:sz="4" w:space="0" w:color="000000"/>
              <w:right w:val="single" w:sz="4" w:space="0" w:color="000000"/>
            </w:tcBorders>
          </w:tcPr>
          <w:p w14:paraId="765E5D69" w14:textId="77777777" w:rsidR="00955984" w:rsidRPr="001E722E" w:rsidRDefault="00161751">
            <w:pPr>
              <w:spacing w:before="40" w:after="40"/>
            </w:pPr>
            <w:r w:rsidRPr="001E722E">
              <w:rPr>
                <w:rFonts w:ascii="Arial" w:eastAsia="Arial" w:hAnsi="Arial" w:cs="Arial"/>
              </w:rPr>
              <w:t>Sections 5.2.9, 6.3, 6.4</w:t>
            </w:r>
          </w:p>
        </w:tc>
      </w:tr>
      <w:tr w:rsidR="00955984" w:rsidRPr="001E722E" w14:paraId="3BCD5DF7" w14:textId="77777777">
        <w:trPr>
          <w:cantSplit/>
        </w:trPr>
        <w:tc>
          <w:tcPr>
            <w:tcW w:w="9499" w:type="dxa"/>
            <w:gridSpan w:val="4"/>
            <w:tcBorders>
              <w:top w:val="single" w:sz="4" w:space="0" w:color="000000"/>
              <w:left w:val="single" w:sz="4" w:space="0" w:color="000000"/>
              <w:bottom w:val="single" w:sz="4" w:space="0" w:color="000000"/>
              <w:right w:val="single" w:sz="4" w:space="0" w:color="000000"/>
            </w:tcBorders>
            <w:shd w:val="clear" w:color="auto" w:fill="D9E2F3"/>
          </w:tcPr>
          <w:p w14:paraId="34D3C8DC" w14:textId="77777777" w:rsidR="00955984" w:rsidRPr="001E722E" w:rsidRDefault="00161751">
            <w:pPr>
              <w:spacing w:before="40" w:after="40"/>
            </w:pPr>
            <w:r w:rsidRPr="001E722E">
              <w:rPr>
                <w:rFonts w:ascii="Arial" w:eastAsia="Arial" w:hAnsi="Arial" w:cs="Arial"/>
                <w:b/>
                <w:bCs/>
              </w:rPr>
              <w:t>OTHER INFORMATION</w:t>
            </w:r>
          </w:p>
        </w:tc>
      </w:tr>
      <w:tr w:rsidR="00955984" w:rsidRPr="001E722E" w14:paraId="7957EC3D" w14:textId="77777777">
        <w:trPr>
          <w:cantSplit/>
        </w:trPr>
        <w:tc>
          <w:tcPr>
            <w:tcW w:w="2050" w:type="dxa"/>
            <w:tcBorders>
              <w:top w:val="single" w:sz="4" w:space="0" w:color="000000"/>
              <w:left w:val="single" w:sz="4" w:space="0" w:color="000000"/>
              <w:bottom w:val="single" w:sz="4" w:space="0" w:color="000000"/>
              <w:right w:val="single" w:sz="4" w:space="0" w:color="000000"/>
            </w:tcBorders>
          </w:tcPr>
          <w:p w14:paraId="509A8F7E" w14:textId="77777777" w:rsidR="00955984" w:rsidRPr="001E722E" w:rsidRDefault="00161751">
            <w:pPr>
              <w:spacing w:before="40" w:after="40"/>
            </w:pPr>
            <w:r w:rsidRPr="001E722E">
              <w:rPr>
                <w:rFonts w:ascii="Arial" w:eastAsia="Arial" w:hAnsi="Arial" w:cs="Arial"/>
              </w:rPr>
              <w:t>Registration and protocol</w:t>
            </w:r>
          </w:p>
        </w:tc>
        <w:tc>
          <w:tcPr>
            <w:tcW w:w="900" w:type="dxa"/>
            <w:tcBorders>
              <w:top w:val="single" w:sz="4" w:space="0" w:color="000000"/>
              <w:left w:val="single" w:sz="4" w:space="0" w:color="000000"/>
              <w:bottom w:val="single" w:sz="4" w:space="0" w:color="000000"/>
              <w:right w:val="single" w:sz="4" w:space="0" w:color="000000"/>
            </w:tcBorders>
          </w:tcPr>
          <w:p w14:paraId="547FA88B" w14:textId="77777777" w:rsidR="00955984" w:rsidRPr="001E722E" w:rsidRDefault="00161751">
            <w:pPr>
              <w:spacing w:before="40" w:after="40"/>
            </w:pPr>
            <w:r w:rsidRPr="001E722E">
              <w:rPr>
                <w:rFonts w:ascii="Arial" w:eastAsia="Arial" w:hAnsi="Arial" w:cs="Arial"/>
              </w:rPr>
              <w:t>24a–c</w:t>
            </w:r>
          </w:p>
        </w:tc>
        <w:tc>
          <w:tcPr>
            <w:tcW w:w="4150" w:type="dxa"/>
            <w:tcBorders>
              <w:top w:val="single" w:sz="4" w:space="0" w:color="000000"/>
              <w:left w:val="single" w:sz="4" w:space="0" w:color="000000"/>
              <w:bottom w:val="single" w:sz="4" w:space="0" w:color="000000"/>
              <w:right w:val="single" w:sz="4" w:space="0" w:color="000000"/>
            </w:tcBorders>
          </w:tcPr>
          <w:p w14:paraId="4071B92F" w14:textId="77777777" w:rsidR="00955984" w:rsidRPr="001E722E" w:rsidRDefault="00161751">
            <w:pPr>
              <w:spacing w:before="40" w:after="40"/>
            </w:pPr>
            <w:r w:rsidRPr="001E722E">
              <w:rPr>
                <w:rFonts w:ascii="Arial" w:eastAsia="Arial" w:hAnsi="Arial" w:cs="Arial"/>
              </w:rPr>
              <w:t>Provide registration information, where the protocol can be accessed, and any amendments.</w:t>
            </w:r>
          </w:p>
        </w:tc>
        <w:tc>
          <w:tcPr>
            <w:tcW w:w="2399" w:type="dxa"/>
            <w:tcBorders>
              <w:top w:val="single" w:sz="4" w:space="0" w:color="000000"/>
              <w:left w:val="single" w:sz="4" w:space="0" w:color="000000"/>
              <w:bottom w:val="single" w:sz="4" w:space="0" w:color="000000"/>
              <w:right w:val="single" w:sz="4" w:space="0" w:color="000000"/>
            </w:tcBorders>
          </w:tcPr>
          <w:p w14:paraId="65DA0DFF" w14:textId="77777777" w:rsidR="00955984" w:rsidRPr="001E722E" w:rsidRDefault="00161751">
            <w:pPr>
              <w:spacing w:before="40" w:after="40"/>
            </w:pPr>
            <w:r w:rsidRPr="001E722E">
              <w:rPr>
                <w:rFonts w:ascii="Arial" w:eastAsia="Arial" w:hAnsi="Arial" w:cs="Arial"/>
              </w:rPr>
              <w:t>Not reported</w:t>
            </w:r>
          </w:p>
        </w:tc>
      </w:tr>
      <w:tr w:rsidR="00955984" w:rsidRPr="001E722E" w14:paraId="567AB7AF" w14:textId="77777777">
        <w:trPr>
          <w:cantSplit/>
        </w:trPr>
        <w:tc>
          <w:tcPr>
            <w:tcW w:w="2050" w:type="dxa"/>
            <w:tcBorders>
              <w:top w:val="single" w:sz="4" w:space="0" w:color="000000"/>
              <w:left w:val="single" w:sz="4" w:space="0" w:color="000000"/>
              <w:bottom w:val="single" w:sz="4" w:space="0" w:color="000000"/>
              <w:right w:val="single" w:sz="4" w:space="0" w:color="000000"/>
            </w:tcBorders>
          </w:tcPr>
          <w:p w14:paraId="3D0EE2FC" w14:textId="77777777" w:rsidR="00955984" w:rsidRPr="001E722E" w:rsidRDefault="00161751">
            <w:pPr>
              <w:spacing w:before="40" w:after="40"/>
            </w:pPr>
            <w:r w:rsidRPr="001E722E">
              <w:rPr>
                <w:rFonts w:ascii="Arial" w:eastAsia="Arial" w:hAnsi="Arial" w:cs="Arial"/>
              </w:rPr>
              <w:t>Support</w:t>
            </w:r>
          </w:p>
        </w:tc>
        <w:tc>
          <w:tcPr>
            <w:tcW w:w="900" w:type="dxa"/>
            <w:tcBorders>
              <w:top w:val="single" w:sz="4" w:space="0" w:color="000000"/>
              <w:left w:val="single" w:sz="4" w:space="0" w:color="000000"/>
              <w:bottom w:val="single" w:sz="4" w:space="0" w:color="000000"/>
              <w:right w:val="single" w:sz="4" w:space="0" w:color="000000"/>
            </w:tcBorders>
          </w:tcPr>
          <w:p w14:paraId="7F26BD14" w14:textId="77777777" w:rsidR="00955984" w:rsidRPr="001E722E" w:rsidRDefault="00161751">
            <w:pPr>
              <w:spacing w:before="40" w:after="40"/>
            </w:pPr>
            <w:r w:rsidRPr="001E722E">
              <w:rPr>
                <w:rFonts w:ascii="Arial" w:eastAsia="Arial" w:hAnsi="Arial" w:cs="Arial"/>
              </w:rPr>
              <w:t>25</w:t>
            </w:r>
          </w:p>
        </w:tc>
        <w:tc>
          <w:tcPr>
            <w:tcW w:w="4150" w:type="dxa"/>
            <w:tcBorders>
              <w:top w:val="single" w:sz="4" w:space="0" w:color="000000"/>
              <w:left w:val="single" w:sz="4" w:space="0" w:color="000000"/>
              <w:bottom w:val="single" w:sz="4" w:space="0" w:color="000000"/>
              <w:right w:val="single" w:sz="4" w:space="0" w:color="000000"/>
            </w:tcBorders>
          </w:tcPr>
          <w:p w14:paraId="0C3098D0" w14:textId="77777777" w:rsidR="00955984" w:rsidRPr="001E722E" w:rsidRDefault="00161751">
            <w:pPr>
              <w:spacing w:before="40" w:after="40"/>
            </w:pPr>
            <w:r w:rsidRPr="001E722E">
              <w:rPr>
                <w:rFonts w:ascii="Arial" w:eastAsia="Arial" w:hAnsi="Arial" w:cs="Arial"/>
              </w:rPr>
              <w:t>Describe sources of financial or non-financial support for the review.</w:t>
            </w:r>
          </w:p>
        </w:tc>
        <w:tc>
          <w:tcPr>
            <w:tcW w:w="2399" w:type="dxa"/>
            <w:tcBorders>
              <w:top w:val="single" w:sz="4" w:space="0" w:color="000000"/>
              <w:left w:val="single" w:sz="4" w:space="0" w:color="000000"/>
              <w:bottom w:val="single" w:sz="4" w:space="0" w:color="000000"/>
              <w:right w:val="single" w:sz="4" w:space="0" w:color="000000"/>
            </w:tcBorders>
          </w:tcPr>
          <w:p w14:paraId="3F631072" w14:textId="77777777" w:rsidR="00955984" w:rsidRPr="001E722E" w:rsidRDefault="00161751">
            <w:pPr>
              <w:spacing w:before="40" w:after="40"/>
            </w:pPr>
            <w:r w:rsidRPr="001E722E">
              <w:rPr>
                <w:rFonts w:ascii="Arial" w:eastAsia="Arial" w:hAnsi="Arial" w:cs="Arial"/>
              </w:rPr>
              <w:t>Not reported</w:t>
            </w:r>
          </w:p>
        </w:tc>
      </w:tr>
      <w:tr w:rsidR="00955984" w:rsidRPr="001E722E" w14:paraId="00485AA2" w14:textId="77777777">
        <w:trPr>
          <w:cantSplit/>
        </w:trPr>
        <w:tc>
          <w:tcPr>
            <w:tcW w:w="2050" w:type="dxa"/>
            <w:tcBorders>
              <w:top w:val="single" w:sz="4" w:space="0" w:color="000000"/>
              <w:left w:val="single" w:sz="4" w:space="0" w:color="000000"/>
              <w:bottom w:val="single" w:sz="4" w:space="0" w:color="000000"/>
              <w:right w:val="single" w:sz="4" w:space="0" w:color="000000"/>
            </w:tcBorders>
          </w:tcPr>
          <w:p w14:paraId="3CE59F59" w14:textId="77777777" w:rsidR="00955984" w:rsidRPr="001E722E" w:rsidRDefault="00161751">
            <w:pPr>
              <w:spacing w:before="40" w:after="40"/>
            </w:pPr>
            <w:r w:rsidRPr="001E722E">
              <w:rPr>
                <w:rFonts w:ascii="Arial" w:eastAsia="Arial" w:hAnsi="Arial" w:cs="Arial"/>
              </w:rPr>
              <w:t>Competing interests</w:t>
            </w:r>
          </w:p>
        </w:tc>
        <w:tc>
          <w:tcPr>
            <w:tcW w:w="900" w:type="dxa"/>
            <w:tcBorders>
              <w:top w:val="single" w:sz="4" w:space="0" w:color="000000"/>
              <w:left w:val="single" w:sz="4" w:space="0" w:color="000000"/>
              <w:bottom w:val="single" w:sz="4" w:space="0" w:color="000000"/>
              <w:right w:val="single" w:sz="4" w:space="0" w:color="000000"/>
            </w:tcBorders>
          </w:tcPr>
          <w:p w14:paraId="501EECF4" w14:textId="77777777" w:rsidR="00955984" w:rsidRPr="001E722E" w:rsidRDefault="00161751">
            <w:pPr>
              <w:spacing w:before="40" w:after="40"/>
            </w:pPr>
            <w:r w:rsidRPr="001E722E">
              <w:rPr>
                <w:rFonts w:ascii="Arial" w:eastAsia="Arial" w:hAnsi="Arial" w:cs="Arial"/>
              </w:rPr>
              <w:t>26</w:t>
            </w:r>
          </w:p>
        </w:tc>
        <w:tc>
          <w:tcPr>
            <w:tcW w:w="4150" w:type="dxa"/>
            <w:tcBorders>
              <w:top w:val="single" w:sz="4" w:space="0" w:color="000000"/>
              <w:left w:val="single" w:sz="4" w:space="0" w:color="000000"/>
              <w:bottom w:val="single" w:sz="4" w:space="0" w:color="000000"/>
              <w:right w:val="single" w:sz="4" w:space="0" w:color="000000"/>
            </w:tcBorders>
          </w:tcPr>
          <w:p w14:paraId="4D751B64" w14:textId="77777777" w:rsidR="00955984" w:rsidRPr="001E722E" w:rsidRDefault="00161751">
            <w:pPr>
              <w:spacing w:before="40" w:after="40"/>
            </w:pPr>
            <w:r w:rsidRPr="001E722E">
              <w:rPr>
                <w:rFonts w:ascii="Arial" w:eastAsia="Arial" w:hAnsi="Arial" w:cs="Arial"/>
              </w:rPr>
              <w:t>Declare any competing interests of review authors.</w:t>
            </w:r>
          </w:p>
        </w:tc>
        <w:tc>
          <w:tcPr>
            <w:tcW w:w="2399" w:type="dxa"/>
            <w:tcBorders>
              <w:top w:val="single" w:sz="4" w:space="0" w:color="000000"/>
              <w:left w:val="single" w:sz="4" w:space="0" w:color="000000"/>
              <w:bottom w:val="single" w:sz="4" w:space="0" w:color="000000"/>
              <w:right w:val="single" w:sz="4" w:space="0" w:color="000000"/>
            </w:tcBorders>
          </w:tcPr>
          <w:p w14:paraId="20A8A17F" w14:textId="77777777" w:rsidR="00955984" w:rsidRPr="001E722E" w:rsidRDefault="00161751">
            <w:pPr>
              <w:spacing w:before="40" w:after="40"/>
            </w:pPr>
            <w:r w:rsidRPr="001E722E">
              <w:rPr>
                <w:rFonts w:ascii="Arial" w:eastAsia="Arial" w:hAnsi="Arial" w:cs="Arial"/>
              </w:rPr>
              <w:t>Not reported</w:t>
            </w:r>
          </w:p>
        </w:tc>
      </w:tr>
      <w:tr w:rsidR="00955984" w:rsidRPr="001E722E" w14:paraId="09F226C7" w14:textId="77777777">
        <w:trPr>
          <w:cantSplit/>
        </w:trPr>
        <w:tc>
          <w:tcPr>
            <w:tcW w:w="2050" w:type="dxa"/>
            <w:tcBorders>
              <w:top w:val="single" w:sz="4" w:space="0" w:color="000000"/>
              <w:left w:val="single" w:sz="4" w:space="0" w:color="000000"/>
              <w:bottom w:val="single" w:sz="4" w:space="0" w:color="000000"/>
              <w:right w:val="single" w:sz="4" w:space="0" w:color="000000"/>
            </w:tcBorders>
          </w:tcPr>
          <w:p w14:paraId="72C9B5FE" w14:textId="77777777" w:rsidR="00955984" w:rsidRPr="001E722E" w:rsidRDefault="00161751">
            <w:pPr>
              <w:spacing w:before="40" w:after="40"/>
            </w:pPr>
            <w:r w:rsidRPr="001E722E">
              <w:rPr>
                <w:rFonts w:ascii="Arial" w:eastAsia="Arial" w:hAnsi="Arial" w:cs="Arial"/>
              </w:rPr>
              <w:t>Availability of data, code and other materials</w:t>
            </w:r>
          </w:p>
        </w:tc>
        <w:tc>
          <w:tcPr>
            <w:tcW w:w="900" w:type="dxa"/>
            <w:tcBorders>
              <w:top w:val="single" w:sz="4" w:space="0" w:color="000000"/>
              <w:left w:val="single" w:sz="4" w:space="0" w:color="000000"/>
              <w:bottom w:val="single" w:sz="4" w:space="0" w:color="000000"/>
              <w:right w:val="single" w:sz="4" w:space="0" w:color="000000"/>
            </w:tcBorders>
          </w:tcPr>
          <w:p w14:paraId="3F57B382" w14:textId="77777777" w:rsidR="00955984" w:rsidRPr="001E722E" w:rsidRDefault="00161751">
            <w:pPr>
              <w:spacing w:before="40" w:after="40"/>
            </w:pPr>
            <w:r w:rsidRPr="001E722E">
              <w:rPr>
                <w:rFonts w:ascii="Arial" w:eastAsia="Arial" w:hAnsi="Arial" w:cs="Arial"/>
              </w:rPr>
              <w:t>27</w:t>
            </w:r>
          </w:p>
        </w:tc>
        <w:tc>
          <w:tcPr>
            <w:tcW w:w="4150" w:type="dxa"/>
            <w:tcBorders>
              <w:top w:val="single" w:sz="4" w:space="0" w:color="000000"/>
              <w:left w:val="single" w:sz="4" w:space="0" w:color="000000"/>
              <w:bottom w:val="single" w:sz="4" w:space="0" w:color="000000"/>
              <w:right w:val="single" w:sz="4" w:space="0" w:color="000000"/>
            </w:tcBorders>
          </w:tcPr>
          <w:p w14:paraId="228E4930" w14:textId="77777777" w:rsidR="00955984" w:rsidRPr="001E722E" w:rsidRDefault="00161751">
            <w:pPr>
              <w:spacing w:before="40" w:after="40"/>
            </w:pPr>
            <w:r w:rsidRPr="001E722E">
              <w:rPr>
                <w:rFonts w:ascii="Arial" w:eastAsia="Arial" w:hAnsi="Arial" w:cs="Arial"/>
              </w:rPr>
              <w:t>Report which materials are publicly available and where they can be found.</w:t>
            </w:r>
          </w:p>
        </w:tc>
        <w:tc>
          <w:tcPr>
            <w:tcW w:w="2399" w:type="dxa"/>
            <w:tcBorders>
              <w:top w:val="single" w:sz="4" w:space="0" w:color="000000"/>
              <w:left w:val="single" w:sz="4" w:space="0" w:color="000000"/>
              <w:bottom w:val="single" w:sz="4" w:space="0" w:color="000000"/>
              <w:right w:val="single" w:sz="4" w:space="0" w:color="000000"/>
            </w:tcBorders>
          </w:tcPr>
          <w:p w14:paraId="479A6A70" w14:textId="77777777" w:rsidR="00955984" w:rsidRPr="001E722E" w:rsidRDefault="00161751">
            <w:pPr>
              <w:spacing w:before="40" w:after="40"/>
            </w:pPr>
            <w:r w:rsidRPr="001E722E">
              <w:rPr>
                <w:rFonts w:ascii="Arial" w:eastAsia="Arial" w:hAnsi="Arial" w:cs="Arial"/>
              </w:rPr>
              <w:t>Search strategies (Table 3.2); extraction form (Appendix A)</w:t>
            </w:r>
          </w:p>
        </w:tc>
      </w:tr>
    </w:tbl>
    <w:p w14:paraId="29C65CD6" w14:textId="77777777" w:rsidR="00955984" w:rsidRPr="001E722E" w:rsidRDefault="00955984"/>
    <w:p w14:paraId="39E44E97" w14:textId="77777777" w:rsidR="00955984" w:rsidRPr="001E722E" w:rsidRDefault="00161751">
      <w:pPr>
        <w:pStyle w:val="Heading1"/>
        <w:pageBreakBefore/>
      </w:pPr>
      <w:r w:rsidRPr="001E722E">
        <w:lastRenderedPageBreak/>
        <w:t>APPENDIX D: REPORTS EXCLUDED AT FULL-TEXT ASSESSMENT</w:t>
      </w:r>
    </w:p>
    <w:p w14:paraId="06A7D053" w14:textId="77777777" w:rsidR="00955984" w:rsidRPr="001E722E" w:rsidRDefault="00161751">
      <w:pPr>
        <w:spacing w:after="200" w:line="360" w:lineRule="auto"/>
        <w:jc w:val="both"/>
      </w:pPr>
      <w:r w:rsidRPr="001E722E">
        <w:rPr>
          <w:rFonts w:ascii="Arial" w:eastAsia="Arial" w:hAnsi="Arial" w:cs="Arial"/>
          <w:sz w:val="24"/>
          <w:szCs w:val="24"/>
        </w:rPr>
        <w:t>Of the 71 reports sought for retrieval, 5 could not be retrieved. The remaining 66 reports were assessed in full against the eligibility criteria in Table 3.3; 50 were excluded and 16 were included in the review (Figure 4.1). The reasons for exclusion are summarised below.</w:t>
      </w:r>
    </w:p>
    <w:p w14:paraId="6EEFAEFB" w14:textId="77777777" w:rsidR="00955984" w:rsidRPr="001E722E" w:rsidRDefault="00161751">
      <w:pPr>
        <w:keepNext/>
        <w:spacing w:before="120" w:after="120"/>
      </w:pPr>
      <w:r w:rsidRPr="001E722E">
        <w:rPr>
          <w:rFonts w:ascii="Arial" w:eastAsia="Arial" w:hAnsi="Arial" w:cs="Arial"/>
          <w:b/>
          <w:bCs/>
          <w:sz w:val="22"/>
          <w:szCs w:val="22"/>
        </w:rPr>
        <w:t>Table D.1: Reasons for Exclusion at Full-Text Assessment</w:t>
      </w:r>
    </w:p>
    <w:tbl>
      <w:tblPr>
        <w:tblStyle w:val="TableNormal0"/>
        <w:tblW w:w="9499" w:type="dxa"/>
        <w:tblInd w:w="-120" w:type="dxa"/>
        <w:tblLayout w:type="fixed"/>
        <w:tblLook w:val="0400" w:firstRow="0" w:lastRow="0" w:firstColumn="0" w:lastColumn="0" w:noHBand="0" w:noVBand="1"/>
      </w:tblPr>
      <w:tblGrid>
        <w:gridCol w:w="2400"/>
        <w:gridCol w:w="5899"/>
        <w:gridCol w:w="1200"/>
      </w:tblGrid>
      <w:tr w:rsidR="00955984" w:rsidRPr="001E722E" w14:paraId="64FA7321" w14:textId="77777777">
        <w:trPr>
          <w:tblHeader/>
        </w:trPr>
        <w:tc>
          <w:tcPr>
            <w:tcW w:w="2400" w:type="dxa"/>
            <w:tcBorders>
              <w:top w:val="single" w:sz="4" w:space="0" w:color="000000"/>
              <w:left w:val="single" w:sz="4" w:space="0" w:color="000000"/>
              <w:bottom w:val="single" w:sz="4" w:space="0" w:color="000000"/>
              <w:right w:val="single" w:sz="4" w:space="0" w:color="000000"/>
            </w:tcBorders>
            <w:shd w:val="clear" w:color="auto" w:fill="1F3864"/>
          </w:tcPr>
          <w:p w14:paraId="7C18C12D" w14:textId="77777777" w:rsidR="00955984" w:rsidRPr="001E722E" w:rsidRDefault="00161751">
            <w:pPr>
              <w:spacing w:before="40" w:after="40"/>
            </w:pPr>
            <w:r w:rsidRPr="001E722E">
              <w:rPr>
                <w:rFonts w:ascii="Arial" w:eastAsia="Arial" w:hAnsi="Arial" w:cs="Arial"/>
                <w:b/>
                <w:bCs/>
                <w:color w:val="FFFFFF"/>
              </w:rPr>
              <w:t>Reason for exclusion</w:t>
            </w:r>
          </w:p>
        </w:tc>
        <w:tc>
          <w:tcPr>
            <w:tcW w:w="5899" w:type="dxa"/>
            <w:tcBorders>
              <w:top w:val="single" w:sz="4" w:space="0" w:color="000000"/>
              <w:left w:val="single" w:sz="4" w:space="0" w:color="000000"/>
              <w:bottom w:val="single" w:sz="4" w:space="0" w:color="000000"/>
              <w:right w:val="single" w:sz="4" w:space="0" w:color="000000"/>
            </w:tcBorders>
            <w:shd w:val="clear" w:color="auto" w:fill="1F3864"/>
          </w:tcPr>
          <w:p w14:paraId="5CB7CE10" w14:textId="77777777" w:rsidR="00955984" w:rsidRPr="001E722E" w:rsidRDefault="00161751">
            <w:pPr>
              <w:spacing w:before="40" w:after="40"/>
            </w:pPr>
            <w:r w:rsidRPr="001E722E">
              <w:rPr>
                <w:rFonts w:ascii="Arial" w:eastAsia="Arial" w:hAnsi="Arial" w:cs="Arial"/>
                <w:b/>
                <w:bCs/>
                <w:color w:val="FFFFFF"/>
              </w:rPr>
              <w:t>Criterion applied (Table 3.3)</w:t>
            </w:r>
          </w:p>
        </w:tc>
        <w:tc>
          <w:tcPr>
            <w:tcW w:w="1200" w:type="dxa"/>
            <w:tcBorders>
              <w:top w:val="single" w:sz="4" w:space="0" w:color="000000"/>
              <w:left w:val="single" w:sz="4" w:space="0" w:color="000000"/>
              <w:bottom w:val="single" w:sz="4" w:space="0" w:color="000000"/>
              <w:right w:val="single" w:sz="4" w:space="0" w:color="000000"/>
            </w:tcBorders>
            <w:shd w:val="clear" w:color="auto" w:fill="1F3864"/>
          </w:tcPr>
          <w:p w14:paraId="12691940" w14:textId="77777777" w:rsidR="00955984" w:rsidRPr="001E722E" w:rsidRDefault="00161751">
            <w:pPr>
              <w:spacing w:before="40" w:after="40"/>
            </w:pPr>
            <w:r w:rsidRPr="001E722E">
              <w:rPr>
                <w:rFonts w:ascii="Arial" w:eastAsia="Arial" w:hAnsi="Arial" w:cs="Arial"/>
                <w:b/>
                <w:bCs/>
                <w:color w:val="FFFFFF"/>
              </w:rPr>
              <w:t>Number of reports</w:t>
            </w:r>
          </w:p>
        </w:tc>
      </w:tr>
      <w:tr w:rsidR="00955984" w:rsidRPr="001E722E" w14:paraId="463A301F" w14:textId="77777777">
        <w:trPr>
          <w:cantSplit/>
        </w:trPr>
        <w:tc>
          <w:tcPr>
            <w:tcW w:w="2400" w:type="dxa"/>
            <w:tcBorders>
              <w:top w:val="single" w:sz="4" w:space="0" w:color="000000"/>
              <w:left w:val="single" w:sz="4" w:space="0" w:color="000000"/>
              <w:bottom w:val="single" w:sz="4" w:space="0" w:color="000000"/>
              <w:right w:val="single" w:sz="4" w:space="0" w:color="000000"/>
            </w:tcBorders>
          </w:tcPr>
          <w:p w14:paraId="771FB2BE" w14:textId="77777777" w:rsidR="00955984" w:rsidRPr="001E722E" w:rsidRDefault="00161751">
            <w:pPr>
              <w:spacing w:before="40" w:after="40"/>
            </w:pPr>
            <w:r w:rsidRPr="001E722E">
              <w:rPr>
                <w:rFonts w:ascii="Arial" w:eastAsia="Arial" w:hAnsi="Arial" w:cs="Arial"/>
              </w:rPr>
              <w:t>Wrong population</w:t>
            </w:r>
          </w:p>
        </w:tc>
        <w:tc>
          <w:tcPr>
            <w:tcW w:w="5899" w:type="dxa"/>
            <w:tcBorders>
              <w:top w:val="single" w:sz="4" w:space="0" w:color="000000"/>
              <w:left w:val="single" w:sz="4" w:space="0" w:color="000000"/>
              <w:bottom w:val="single" w:sz="4" w:space="0" w:color="000000"/>
              <w:right w:val="single" w:sz="4" w:space="0" w:color="000000"/>
            </w:tcBorders>
          </w:tcPr>
          <w:p w14:paraId="16192999" w14:textId="77777777" w:rsidR="00955984" w:rsidRPr="001E722E" w:rsidRDefault="00161751">
            <w:pPr>
              <w:spacing w:before="40" w:after="40"/>
            </w:pPr>
            <w:r w:rsidRPr="001E722E">
              <w:rPr>
                <w:rFonts w:ascii="Arial" w:eastAsia="Arial" w:hAnsi="Arial" w:cs="Arial"/>
              </w:rPr>
              <w:t>Not an adult population, or not focused on CHD or closely related cardiovascular disease (e.g. paediatric or congenital heart conditions)</w:t>
            </w:r>
          </w:p>
        </w:tc>
        <w:tc>
          <w:tcPr>
            <w:tcW w:w="1200" w:type="dxa"/>
            <w:tcBorders>
              <w:top w:val="single" w:sz="4" w:space="0" w:color="000000"/>
              <w:left w:val="single" w:sz="4" w:space="0" w:color="000000"/>
              <w:bottom w:val="single" w:sz="4" w:space="0" w:color="000000"/>
              <w:right w:val="single" w:sz="4" w:space="0" w:color="000000"/>
            </w:tcBorders>
          </w:tcPr>
          <w:p w14:paraId="5E5D8EBF" w14:textId="77777777" w:rsidR="00955984" w:rsidRPr="001E722E" w:rsidRDefault="00161751">
            <w:pPr>
              <w:spacing w:before="40" w:after="40"/>
            </w:pPr>
            <w:r w:rsidRPr="001E722E">
              <w:rPr>
                <w:rFonts w:ascii="Arial" w:eastAsia="Arial" w:hAnsi="Arial" w:cs="Arial"/>
              </w:rPr>
              <w:t>18</w:t>
            </w:r>
          </w:p>
        </w:tc>
      </w:tr>
      <w:tr w:rsidR="00955984" w:rsidRPr="001E722E" w14:paraId="23EC661E" w14:textId="77777777">
        <w:trPr>
          <w:cantSplit/>
        </w:trPr>
        <w:tc>
          <w:tcPr>
            <w:tcW w:w="2400" w:type="dxa"/>
            <w:tcBorders>
              <w:top w:val="single" w:sz="4" w:space="0" w:color="000000"/>
              <w:left w:val="single" w:sz="4" w:space="0" w:color="000000"/>
              <w:bottom w:val="single" w:sz="4" w:space="0" w:color="000000"/>
              <w:right w:val="single" w:sz="4" w:space="0" w:color="000000"/>
            </w:tcBorders>
          </w:tcPr>
          <w:p w14:paraId="4154DCF8" w14:textId="77777777" w:rsidR="00955984" w:rsidRPr="001E722E" w:rsidRDefault="00161751">
            <w:pPr>
              <w:spacing w:before="40" w:after="40"/>
            </w:pPr>
            <w:r w:rsidRPr="001E722E">
              <w:rPr>
                <w:rFonts w:ascii="Arial" w:eastAsia="Arial" w:hAnsi="Arial" w:cs="Arial"/>
              </w:rPr>
              <w:t>Wrong outcome/topic</w:t>
            </w:r>
          </w:p>
        </w:tc>
        <w:tc>
          <w:tcPr>
            <w:tcW w:w="5899" w:type="dxa"/>
            <w:tcBorders>
              <w:top w:val="single" w:sz="4" w:space="0" w:color="000000"/>
              <w:left w:val="single" w:sz="4" w:space="0" w:color="000000"/>
              <w:bottom w:val="single" w:sz="4" w:space="0" w:color="000000"/>
              <w:right w:val="single" w:sz="4" w:space="0" w:color="000000"/>
            </w:tcBorders>
          </w:tcPr>
          <w:p w14:paraId="6FADE969" w14:textId="77777777" w:rsidR="00955984" w:rsidRPr="001E722E" w:rsidRDefault="00161751">
            <w:pPr>
              <w:spacing w:before="40" w:after="40"/>
            </w:pPr>
            <w:r w:rsidRPr="001E722E">
              <w:rPr>
                <w:rFonts w:ascii="Arial" w:eastAsia="Arial" w:hAnsi="Arial" w:cs="Arial"/>
              </w:rPr>
              <w:t>Did not address awareness, screening uptake, barriers or prevention strategies (e.g. clinical treatment or surgical management only)</w:t>
            </w:r>
          </w:p>
        </w:tc>
        <w:tc>
          <w:tcPr>
            <w:tcW w:w="1200" w:type="dxa"/>
            <w:tcBorders>
              <w:top w:val="single" w:sz="4" w:space="0" w:color="000000"/>
              <w:left w:val="single" w:sz="4" w:space="0" w:color="000000"/>
              <w:bottom w:val="single" w:sz="4" w:space="0" w:color="000000"/>
              <w:right w:val="single" w:sz="4" w:space="0" w:color="000000"/>
            </w:tcBorders>
          </w:tcPr>
          <w:p w14:paraId="7DE060BE" w14:textId="77777777" w:rsidR="00955984" w:rsidRPr="001E722E" w:rsidRDefault="00161751">
            <w:pPr>
              <w:spacing w:before="40" w:after="40"/>
            </w:pPr>
            <w:r w:rsidRPr="001E722E">
              <w:rPr>
                <w:rFonts w:ascii="Arial" w:eastAsia="Arial" w:hAnsi="Arial" w:cs="Arial"/>
              </w:rPr>
              <w:t>14</w:t>
            </w:r>
          </w:p>
        </w:tc>
      </w:tr>
      <w:tr w:rsidR="00955984" w:rsidRPr="001E722E" w14:paraId="37CC80B8" w14:textId="77777777">
        <w:trPr>
          <w:cantSplit/>
        </w:trPr>
        <w:tc>
          <w:tcPr>
            <w:tcW w:w="2400" w:type="dxa"/>
            <w:tcBorders>
              <w:top w:val="single" w:sz="4" w:space="0" w:color="000000"/>
              <w:left w:val="single" w:sz="4" w:space="0" w:color="000000"/>
              <w:bottom w:val="single" w:sz="4" w:space="0" w:color="000000"/>
              <w:right w:val="single" w:sz="4" w:space="0" w:color="000000"/>
            </w:tcBorders>
          </w:tcPr>
          <w:p w14:paraId="3F164193" w14:textId="77777777" w:rsidR="00955984" w:rsidRPr="001E722E" w:rsidRDefault="00161751">
            <w:pPr>
              <w:spacing w:before="40" w:after="40"/>
            </w:pPr>
            <w:r w:rsidRPr="001E722E">
              <w:rPr>
                <w:rFonts w:ascii="Arial" w:eastAsia="Arial" w:hAnsi="Arial" w:cs="Arial"/>
              </w:rPr>
              <w:t>Wrong setting/context</w:t>
            </w:r>
          </w:p>
        </w:tc>
        <w:tc>
          <w:tcPr>
            <w:tcW w:w="5899" w:type="dxa"/>
            <w:tcBorders>
              <w:top w:val="single" w:sz="4" w:space="0" w:color="000000"/>
              <w:left w:val="single" w:sz="4" w:space="0" w:color="000000"/>
              <w:bottom w:val="single" w:sz="4" w:space="0" w:color="000000"/>
              <w:right w:val="single" w:sz="4" w:space="0" w:color="000000"/>
            </w:tcBorders>
          </w:tcPr>
          <w:p w14:paraId="53DE727A" w14:textId="77777777" w:rsidR="00955984" w:rsidRPr="001E722E" w:rsidRDefault="00161751">
            <w:pPr>
              <w:spacing w:before="40" w:after="40"/>
            </w:pPr>
            <w:r w:rsidRPr="001E722E">
              <w:rPr>
                <w:rFonts w:ascii="Arial" w:eastAsia="Arial" w:hAnsi="Arial" w:cs="Arial"/>
              </w:rPr>
              <w:t>Conducted outside the UK with no UK-relevant data</w:t>
            </w:r>
          </w:p>
        </w:tc>
        <w:tc>
          <w:tcPr>
            <w:tcW w:w="1200" w:type="dxa"/>
            <w:tcBorders>
              <w:top w:val="single" w:sz="4" w:space="0" w:color="000000"/>
              <w:left w:val="single" w:sz="4" w:space="0" w:color="000000"/>
              <w:bottom w:val="single" w:sz="4" w:space="0" w:color="000000"/>
              <w:right w:val="single" w:sz="4" w:space="0" w:color="000000"/>
            </w:tcBorders>
          </w:tcPr>
          <w:p w14:paraId="17DA9681" w14:textId="77777777" w:rsidR="00955984" w:rsidRPr="001E722E" w:rsidRDefault="00161751">
            <w:pPr>
              <w:spacing w:before="40" w:after="40"/>
            </w:pPr>
            <w:r w:rsidRPr="001E722E">
              <w:rPr>
                <w:rFonts w:ascii="Arial" w:eastAsia="Arial" w:hAnsi="Arial" w:cs="Arial"/>
              </w:rPr>
              <w:t>10</w:t>
            </w:r>
          </w:p>
        </w:tc>
      </w:tr>
      <w:tr w:rsidR="00955984" w:rsidRPr="001E722E" w14:paraId="259BE40D" w14:textId="77777777">
        <w:trPr>
          <w:cantSplit/>
        </w:trPr>
        <w:tc>
          <w:tcPr>
            <w:tcW w:w="2400" w:type="dxa"/>
            <w:tcBorders>
              <w:top w:val="single" w:sz="4" w:space="0" w:color="000000"/>
              <w:left w:val="single" w:sz="4" w:space="0" w:color="000000"/>
              <w:bottom w:val="single" w:sz="4" w:space="0" w:color="000000"/>
              <w:right w:val="single" w:sz="4" w:space="0" w:color="000000"/>
            </w:tcBorders>
          </w:tcPr>
          <w:p w14:paraId="3B72F2FA" w14:textId="77777777" w:rsidR="00955984" w:rsidRPr="001E722E" w:rsidRDefault="00161751">
            <w:pPr>
              <w:spacing w:before="40" w:after="40"/>
            </w:pPr>
            <w:r w:rsidRPr="001E722E">
              <w:rPr>
                <w:rFonts w:ascii="Arial" w:eastAsia="Arial" w:hAnsi="Arial" w:cs="Arial"/>
              </w:rPr>
              <w:t>Wrong study design</w:t>
            </w:r>
          </w:p>
        </w:tc>
        <w:tc>
          <w:tcPr>
            <w:tcW w:w="5899" w:type="dxa"/>
            <w:tcBorders>
              <w:top w:val="single" w:sz="4" w:space="0" w:color="000000"/>
              <w:left w:val="single" w:sz="4" w:space="0" w:color="000000"/>
              <w:bottom w:val="single" w:sz="4" w:space="0" w:color="000000"/>
              <w:right w:val="single" w:sz="4" w:space="0" w:color="000000"/>
            </w:tcBorders>
          </w:tcPr>
          <w:p w14:paraId="43E03C62" w14:textId="77777777" w:rsidR="00955984" w:rsidRPr="001E722E" w:rsidRDefault="00161751">
            <w:pPr>
              <w:spacing w:before="40" w:after="40"/>
            </w:pPr>
            <w:r w:rsidRPr="001E722E">
              <w:rPr>
                <w:rFonts w:ascii="Arial" w:eastAsia="Arial" w:hAnsi="Arial" w:cs="Arial"/>
              </w:rPr>
              <w:t>Opinion piece, editorial, or non-peer-reviewed blog or news article</w:t>
            </w:r>
          </w:p>
        </w:tc>
        <w:tc>
          <w:tcPr>
            <w:tcW w:w="1200" w:type="dxa"/>
            <w:tcBorders>
              <w:top w:val="single" w:sz="4" w:space="0" w:color="000000"/>
              <w:left w:val="single" w:sz="4" w:space="0" w:color="000000"/>
              <w:bottom w:val="single" w:sz="4" w:space="0" w:color="000000"/>
              <w:right w:val="single" w:sz="4" w:space="0" w:color="000000"/>
            </w:tcBorders>
          </w:tcPr>
          <w:p w14:paraId="0C795418" w14:textId="77777777" w:rsidR="00955984" w:rsidRPr="001E722E" w:rsidRDefault="00161751">
            <w:pPr>
              <w:spacing w:before="40" w:after="40"/>
            </w:pPr>
            <w:r w:rsidRPr="001E722E">
              <w:rPr>
                <w:rFonts w:ascii="Arial" w:eastAsia="Arial" w:hAnsi="Arial" w:cs="Arial"/>
              </w:rPr>
              <w:t>8</w:t>
            </w:r>
          </w:p>
        </w:tc>
      </w:tr>
      <w:tr w:rsidR="00955984" w14:paraId="310C564E" w14:textId="77777777">
        <w:trPr>
          <w:cantSplit/>
        </w:trPr>
        <w:tc>
          <w:tcPr>
            <w:tcW w:w="2400" w:type="dxa"/>
            <w:tcBorders>
              <w:top w:val="single" w:sz="4" w:space="0" w:color="000000"/>
              <w:left w:val="single" w:sz="4" w:space="0" w:color="000000"/>
              <w:bottom w:val="single" w:sz="4" w:space="0" w:color="000000"/>
              <w:right w:val="single" w:sz="4" w:space="0" w:color="000000"/>
            </w:tcBorders>
          </w:tcPr>
          <w:p w14:paraId="68889D90" w14:textId="77777777" w:rsidR="00955984" w:rsidRPr="001E722E" w:rsidRDefault="00161751">
            <w:pPr>
              <w:spacing w:before="40" w:after="40"/>
            </w:pPr>
            <w:r w:rsidRPr="001E722E">
              <w:rPr>
                <w:rFonts w:ascii="Arial" w:eastAsia="Arial" w:hAnsi="Arial" w:cs="Arial"/>
                <w:b/>
                <w:bCs/>
              </w:rPr>
              <w:t>Total</w:t>
            </w:r>
          </w:p>
        </w:tc>
        <w:tc>
          <w:tcPr>
            <w:tcW w:w="5899" w:type="dxa"/>
            <w:tcBorders>
              <w:top w:val="single" w:sz="4" w:space="0" w:color="000000"/>
              <w:left w:val="single" w:sz="4" w:space="0" w:color="000000"/>
              <w:bottom w:val="single" w:sz="4" w:space="0" w:color="000000"/>
              <w:right w:val="single" w:sz="4" w:space="0" w:color="000000"/>
            </w:tcBorders>
          </w:tcPr>
          <w:p w14:paraId="5C118B28" w14:textId="77777777" w:rsidR="00955984" w:rsidRPr="001E722E" w:rsidRDefault="00955984">
            <w:pPr>
              <w:spacing w:before="40" w:after="40"/>
            </w:pPr>
          </w:p>
        </w:tc>
        <w:tc>
          <w:tcPr>
            <w:tcW w:w="1200" w:type="dxa"/>
            <w:tcBorders>
              <w:top w:val="single" w:sz="4" w:space="0" w:color="000000"/>
              <w:left w:val="single" w:sz="4" w:space="0" w:color="000000"/>
              <w:bottom w:val="single" w:sz="4" w:space="0" w:color="000000"/>
              <w:right w:val="single" w:sz="4" w:space="0" w:color="000000"/>
            </w:tcBorders>
          </w:tcPr>
          <w:p w14:paraId="28146250" w14:textId="77777777" w:rsidR="00955984" w:rsidRDefault="00161751">
            <w:pPr>
              <w:spacing w:before="40" w:after="40"/>
            </w:pPr>
            <w:r w:rsidRPr="001E722E">
              <w:rPr>
                <w:rFonts w:ascii="Arial" w:eastAsia="Arial" w:hAnsi="Arial" w:cs="Arial"/>
                <w:b/>
                <w:bCs/>
              </w:rPr>
              <w:t>50</w:t>
            </w:r>
          </w:p>
        </w:tc>
      </w:tr>
    </w:tbl>
    <w:p w14:paraId="4157AD80" w14:textId="77777777" w:rsidR="00955984" w:rsidRDefault="00955984"/>
    <w:sectPr w:rsidR="00955984">
      <w:headerReference w:type="even" r:id="rId62"/>
      <w:headerReference w:type="default" r:id="rId63"/>
      <w:footerReference w:type="even" r:id="rId64"/>
      <w:footerReference w:type="default" r:id="rId65"/>
      <w:headerReference w:type="first" r:id="rId66"/>
      <w:footerReference w:type="first" r:id="rId67"/>
      <w:pgSz w:w="11906" w:h="16838"/>
      <w:pgMar w:top="1440" w:right="1440" w:bottom="1440" w:left="1440" w:header="708" w:footer="708" w:gutter="0"/>
      <w:pgNumType w:start="1"/>
      <w:cols w:space="72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14:paraId="313E8491" w14:textId="77777777" w:rsidR="005301AE" w:rsidRDefault="005301AE">
      <w:r>
        <w:separator/>
      </w:r>
    </w:p>
  </w:endnote>
  <w:endnote w:type="continuationSeparator" w:id="0">
    <w:p w14:paraId="6224504F" w14:textId="77777777" w:rsidR="005301AE" w:rsidRDefault="005301AE">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Noto Sans Symbols">
    <w:altName w:val="Calibri"/>
    <w:charset w:val="00"/>
    <w:family w:val="auto"/>
    <w:pitch w:val="default"/>
  </w:font>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Georgia">
    <w:panose1 w:val="02040502050405020303"/>
    <w:charset w:val="00"/>
    <w:family w:val="roman"/>
    <w:pitch w:val="variable"/>
    <w:sig w:usb0="00000287" w:usb1="00000000" w:usb2="00000000" w:usb3="00000000" w:csb0="0000009F" w:csb1="00000000"/>
    <w:embedItalic r:id="rId1" w:fontKey="{A99570DD-C0DF-4839-A575-58959C02CCE0}"/>
  </w:font>
  <w:font w:name="Tahoma">
    <w:panose1 w:val="020B0604030504040204"/>
    <w:charset w:val="00"/>
    <w:family w:val="swiss"/>
    <w:pitch w:val="variable"/>
    <w:sig w:usb0="E1002EFF" w:usb1="C000605B" w:usb2="00000029" w:usb3="00000000" w:csb0="000101FF" w:csb1="00000000"/>
    <w:embedRegular r:id="rId2" w:fontKey="{5E6AF06A-5FE0-4B04-A8FA-333F852B3845}"/>
  </w:font>
  <w:font w:name="Calibri">
    <w:panose1 w:val="020F0502020204030204"/>
    <w:charset w:val="00"/>
    <w:family w:val="swiss"/>
    <w:pitch w:val="variable"/>
    <w:sig w:usb0="E4002EFF" w:usb1="C200247B" w:usb2="00000009" w:usb3="00000000" w:csb0="000001FF" w:csb1="00000000"/>
    <w:embedRegular r:id="rId3" w:fontKey="{2577A3B2-BD42-41C2-A737-0572DC0003F2}"/>
  </w:font>
  <w:font w:name="Cambria">
    <w:panose1 w:val="02040503050406030204"/>
    <w:charset w:val="00"/>
    <w:family w:val="roman"/>
    <w:pitch w:val="variable"/>
    <w:sig w:usb0="E00006FF" w:usb1="420024FF" w:usb2="02000000" w:usb3="00000000" w:csb0="0000019F" w:csb1="00000000"/>
    <w:embedRegular r:id="rId4" w:fontKey="{7A3A5D18-0178-41D6-AABE-F3D3CE62C488}"/>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14:paraId="639063D6" w14:textId="77777777" w:rsidR="00161751" w:rsidRDefault="00161751">
    <w:pPr>
      <w:pBdr>
        <w:top w:val="nil"/>
        <w:left w:val="nil"/>
        <w:bottom w:val="nil"/>
        <w:right w:val="nil"/>
        <w:between w:val="nil"/>
      </w:pBdr>
      <w:tabs>
        <w:tab w:val="center" w:pos="4513"/>
        <w:tab w:val="right" w:pos="9026"/>
      </w:tabs>
      <w:rPr>
        <w:color w:val="000000"/>
      </w:rPr>
    </w:pPr>
  </w:p>
</w:ftr>
</file>

<file path=word/footer2.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14:paraId="487A97E9" w14:textId="77777777" w:rsidR="00161751" w:rsidRDefault="00161751">
    <w:pPr>
      <w:jc w:val="center"/>
    </w:pPr>
    <w:r>
      <w:fldChar w:fldCharType="begin"/>
    </w:r>
    <w:r>
      <w:instrText>PAGE</w:instrText>
    </w:r>
    <w:r>
      <w:fldChar w:fldCharType="separate"/>
    </w:r>
    <w:r w:rsidR="00ED35EF">
      <w:rPr>
        <w:noProof/>
      </w:rPr>
      <w:t>xi</w:t>
    </w:r>
    <w:r>
      <w:fldChar w:fldCharType="end"/>
    </w:r>
  </w:p>
</w:ftr>
</file>

<file path=word/footer3.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14:paraId="3021163D" w14:textId="77777777" w:rsidR="00161751" w:rsidRDefault="00161751">
    <w:pPr>
      <w:jc w:val="center"/>
    </w:pPr>
    <w:r>
      <w:fldChar w:fldCharType="begin"/>
    </w:r>
    <w:r>
      <w:instrText>PAGE</w:instrText>
    </w:r>
    <w:r>
      <w:fldChar w:fldCharType="end"/>
    </w:r>
  </w:p>
</w:ftr>
</file>

<file path=word/footer4.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14:paraId="6C525D3F" w14:textId="77777777" w:rsidR="00161751" w:rsidRDefault="00161751">
    <w:pPr>
      <w:pBdr>
        <w:top w:val="nil"/>
        <w:left w:val="nil"/>
        <w:bottom w:val="nil"/>
        <w:right w:val="nil"/>
        <w:between w:val="nil"/>
      </w:pBdr>
      <w:tabs>
        <w:tab w:val="center" w:pos="4513"/>
        <w:tab w:val="right" w:pos="9026"/>
      </w:tabs>
      <w:rPr>
        <w:color w:val="000000"/>
      </w:rPr>
    </w:pPr>
  </w:p>
</w:ftr>
</file>

<file path=word/footer5.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14:paraId="003570E0" w14:textId="624CC1C0" w:rsidR="00161751" w:rsidRDefault="00161751">
    <w:pPr>
      <w:jc w:val="center"/>
    </w:pPr>
    <w:r>
      <w:fldChar w:fldCharType="begin"/>
    </w:r>
    <w:r>
      <w:instrText>PAGE</w:instrText>
    </w:r>
    <w:r>
      <w:fldChar w:fldCharType="separate"/>
    </w:r>
    <w:r w:rsidR="00ED35EF">
      <w:rPr>
        <w:noProof/>
      </w:rPr>
      <w:t>3</w:t>
    </w:r>
    <w:r>
      <w:fldChar w:fldCharType="end"/>
    </w:r>
  </w:p>
</w:ftr>
</file>

<file path=word/footer6.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14:paraId="45D39D09" w14:textId="77777777" w:rsidR="00161751" w:rsidRDefault="00161751">
    <w:pPr>
      <w:jc w:val="center"/>
    </w:pPr>
    <w:r>
      <w:fldChar w:fldCharType="begin"/>
    </w:r>
    <w:r>
      <w:instrText>PAGE</w:instrText>
    </w:r>
    <w:r>
      <w:fldChar w:fldCharType="end"/>
    </w: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14:paraId="1E3A9171" w14:textId="77777777" w:rsidR="005301AE" w:rsidRDefault="005301AE">
      <w:r>
        <w:separator/>
      </w:r>
    </w:p>
  </w:footnote>
  <w:footnote w:type="continuationSeparator" w:id="0">
    <w:p w14:paraId="044B6985" w14:textId="77777777" w:rsidR="005301AE" w:rsidRDefault="005301AE">
      <w:r>
        <w:continuationSeparator/>
      </w:r>
    </w:p>
  </w:footnote>
</w:footnotes>
</file>

<file path=word/header1.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14:paraId="0715B6B6" w14:textId="77777777" w:rsidR="00161751" w:rsidRDefault="00161751">
    <w:pPr>
      <w:pBdr>
        <w:top w:val="nil"/>
        <w:left w:val="nil"/>
        <w:bottom w:val="nil"/>
        <w:right w:val="nil"/>
        <w:between w:val="nil"/>
      </w:pBdr>
      <w:tabs>
        <w:tab w:val="center" w:pos="4513"/>
        <w:tab w:val="right" w:pos="9026"/>
      </w:tabs>
      <w:rPr>
        <w:color w:val="000000"/>
      </w:rPr>
    </w:pPr>
  </w:p>
</w:hdr>
</file>

<file path=word/header2.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14:paraId="4AEEBE09" w14:textId="77777777" w:rsidR="00161751" w:rsidRDefault="00161751">
    <w:pPr>
      <w:jc w:val="right"/>
    </w:pPr>
  </w:p>
</w:hdr>
</file>

<file path=word/header3.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14:paraId="27CE2CE1" w14:textId="77777777" w:rsidR="00161751" w:rsidRDefault="00161751">
    <w:pPr>
      <w:jc w:val="right"/>
    </w:pPr>
  </w:p>
</w:hdr>
</file>

<file path=word/header4.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14:paraId="57E4F2F0" w14:textId="77777777" w:rsidR="00161751" w:rsidRDefault="00161751">
    <w:pPr>
      <w:pBdr>
        <w:top w:val="nil"/>
        <w:left w:val="nil"/>
        <w:bottom w:val="nil"/>
        <w:right w:val="nil"/>
        <w:between w:val="nil"/>
      </w:pBdr>
      <w:tabs>
        <w:tab w:val="center" w:pos="4513"/>
        <w:tab w:val="right" w:pos="9026"/>
      </w:tabs>
      <w:rPr>
        <w:color w:val="000000"/>
      </w:rPr>
    </w:pPr>
  </w:p>
</w:hdr>
</file>

<file path=word/header5.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14:paraId="52A636D1" w14:textId="77777777" w:rsidR="00161751" w:rsidRDefault="00161751">
    <w:pPr>
      <w:jc w:val="right"/>
    </w:pPr>
  </w:p>
</w:hdr>
</file>

<file path=word/header6.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14:paraId="05F2C9CC" w14:textId="77777777" w:rsidR="00161751" w:rsidRDefault="00161751">
    <w:pPr>
      <w:jc w:val="right"/>
    </w:pPr>
  </w:p>
</w:hdr>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74D151BD"/>
    <w:multiLevelType w:val="multilevel"/>
    <w:tmpl w:val="B58EAE5C"/>
    <w:lvl w:ilvl="0">
      <w:start w:val="1"/>
      <w:numFmt w:val="bullet"/>
      <w:lvlText w:val="●"/>
      <w:lvlJc w:val="left"/>
      <w:pPr>
        <w:ind w:left="720" w:hanging="360"/>
      </w:pPr>
      <w:rPr>
        <w:rFonts w:ascii="Noto Sans Symbols" w:eastAsia="Noto Sans Symbols" w:hAnsi="Noto Sans Symbols" w:cs="Noto Sans Symbols"/>
      </w:rPr>
    </w:lvl>
    <w:lvl w:ilvl="1">
      <w:start w:val="1"/>
      <w:numFmt w:val="bullet"/>
      <w:lvlText w:val="o"/>
      <w:lvlJc w:val="left"/>
      <w:pPr>
        <w:ind w:left="1440" w:hanging="360"/>
      </w:pPr>
      <w:rPr>
        <w:rFonts w:ascii="Courier New" w:eastAsia="Courier New" w:hAnsi="Courier New" w:cs="Courier New"/>
      </w:rPr>
    </w:lvl>
    <w:lvl w:ilvl="2">
      <w:start w:val="1"/>
      <w:numFmt w:val="bullet"/>
      <w:lvlText w:val="▪"/>
      <w:lvlJc w:val="left"/>
      <w:pPr>
        <w:ind w:left="2160" w:hanging="360"/>
      </w:pPr>
      <w:rPr>
        <w:rFonts w:ascii="Noto Sans Symbols" w:eastAsia="Noto Sans Symbols" w:hAnsi="Noto Sans Symbols" w:cs="Noto Sans Symbols"/>
      </w:rPr>
    </w:lvl>
    <w:lvl w:ilvl="3">
      <w:start w:val="1"/>
      <w:numFmt w:val="bullet"/>
      <w:lvlText w:val="●"/>
      <w:lvlJc w:val="left"/>
      <w:pPr>
        <w:ind w:left="2880" w:hanging="360"/>
      </w:pPr>
      <w:rPr>
        <w:rFonts w:ascii="Noto Sans Symbols" w:eastAsia="Noto Sans Symbols" w:hAnsi="Noto Sans Symbols" w:cs="Noto Sans Symbols"/>
      </w:rPr>
    </w:lvl>
    <w:lvl w:ilvl="4">
      <w:start w:val="1"/>
      <w:numFmt w:val="bullet"/>
      <w:lvlText w:val="o"/>
      <w:lvlJc w:val="left"/>
      <w:pPr>
        <w:ind w:left="3600" w:hanging="360"/>
      </w:pPr>
      <w:rPr>
        <w:rFonts w:ascii="Courier New" w:eastAsia="Courier New" w:hAnsi="Courier New" w:cs="Courier New"/>
      </w:rPr>
    </w:lvl>
    <w:lvl w:ilvl="5">
      <w:start w:val="1"/>
      <w:numFmt w:val="bullet"/>
      <w:lvlText w:val="▪"/>
      <w:lvlJc w:val="left"/>
      <w:pPr>
        <w:ind w:left="4320" w:hanging="360"/>
      </w:pPr>
      <w:rPr>
        <w:rFonts w:ascii="Noto Sans Symbols" w:eastAsia="Noto Sans Symbols" w:hAnsi="Noto Sans Symbols" w:cs="Noto Sans Symbols"/>
      </w:rPr>
    </w:lvl>
    <w:lvl w:ilvl="6">
      <w:start w:val="1"/>
      <w:numFmt w:val="bullet"/>
      <w:lvlText w:val="●"/>
      <w:lvlJc w:val="left"/>
      <w:pPr>
        <w:ind w:left="5040" w:hanging="360"/>
      </w:pPr>
      <w:rPr>
        <w:rFonts w:ascii="Noto Sans Symbols" w:eastAsia="Noto Sans Symbols" w:hAnsi="Noto Sans Symbols" w:cs="Noto Sans Symbols"/>
      </w:rPr>
    </w:lvl>
    <w:lvl w:ilvl="7">
      <w:start w:val="1"/>
      <w:numFmt w:val="bullet"/>
      <w:lvlText w:val="o"/>
      <w:lvlJc w:val="left"/>
      <w:pPr>
        <w:ind w:left="5760" w:hanging="360"/>
      </w:pPr>
      <w:rPr>
        <w:rFonts w:ascii="Courier New" w:eastAsia="Courier New" w:hAnsi="Courier New" w:cs="Courier New"/>
      </w:rPr>
    </w:lvl>
    <w:lvl w:ilvl="8">
      <w:start w:val="1"/>
      <w:numFmt w:val="bullet"/>
      <w:lvlText w:val="▪"/>
      <w:lvlJc w:val="left"/>
      <w:pPr>
        <w:ind w:left="6480" w:hanging="360"/>
      </w:pPr>
      <w:rPr>
        <w:rFonts w:ascii="Noto Sans Symbols" w:eastAsia="Noto Sans Symbols" w:hAnsi="Noto Sans Symbols" w:cs="Noto Sans Symbols"/>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00"/>
  <w:removePersonalInformation/>
  <w:removeDateAndTime/>
  <w:embedTrueTypeFonts/>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955984"/>
    <w:rsid w:val="000144D1"/>
    <w:rsid w:val="000D4523"/>
    <w:rsid w:val="00161751"/>
    <w:rsid w:val="001E722E"/>
    <w:rsid w:val="005301AE"/>
    <w:rsid w:val="00955984"/>
    <w:rsid w:val="00C12326"/>
    <w:rsid w:val="00ED35E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0033E7B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imes New Roman" w:eastAsia="Times New Roman" w:hAnsi="Times New Roman" w:cs="Times New Roman"/>
        <w:lang w:val="en-GB" w:eastAsia="en-GB" w:bidi="ar-SA"/>
      </w:rPr>
    </w:rPrDefault>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3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paragraph" w:styleId="Heading1">
    <w:name w:val="heading 1"/>
    <w:basedOn w:val="Normal"/>
    <w:next w:val="Normal"/>
    <w:uiPriority w:val="9"/>
    <w:qFormat/>
    <w:pPr>
      <w:keepNext/>
      <w:spacing w:after="360"/>
      <w:outlineLvl w:val="0"/>
    </w:pPr>
    <w:rPr>
      <w:rFonts w:ascii="Arial" w:eastAsia="Arial" w:hAnsi="Arial" w:cs="Arial"/>
      <w:b/>
      <w:bCs/>
      <w:color w:val="000000"/>
      <w:sz w:val="32"/>
      <w:szCs w:val="32"/>
    </w:rPr>
  </w:style>
  <w:style w:type="paragraph" w:styleId="Heading2">
    <w:name w:val="heading 2"/>
    <w:basedOn w:val="Normal"/>
    <w:next w:val="Normal"/>
    <w:uiPriority w:val="9"/>
    <w:unhideWhenUsed/>
    <w:qFormat/>
    <w:pPr>
      <w:keepNext/>
      <w:spacing w:before="360" w:after="160"/>
      <w:outlineLvl w:val="1"/>
    </w:pPr>
    <w:rPr>
      <w:rFonts w:ascii="Arial" w:eastAsia="Arial" w:hAnsi="Arial" w:cs="Arial"/>
      <w:b/>
      <w:bCs/>
      <w:color w:val="000000"/>
      <w:sz w:val="28"/>
      <w:szCs w:val="28"/>
    </w:rPr>
  </w:style>
  <w:style w:type="paragraph" w:styleId="Heading3">
    <w:name w:val="heading 3"/>
    <w:basedOn w:val="Normal"/>
    <w:next w:val="Normal"/>
    <w:uiPriority w:val="9"/>
    <w:unhideWhenUsed/>
    <w:qFormat/>
    <w:pPr>
      <w:keepNext/>
      <w:spacing w:before="240" w:after="120" w:line="360" w:lineRule="auto"/>
      <w:jc w:val="both"/>
      <w:outlineLvl w:val="2"/>
    </w:pPr>
    <w:rPr>
      <w:rFonts w:ascii="Arial" w:eastAsia="Arial" w:hAnsi="Arial" w:cs="Arial"/>
      <w:color w:val="000000"/>
      <w:sz w:val="28"/>
      <w:szCs w:val="28"/>
    </w:rPr>
  </w:style>
  <w:style w:type="paragraph" w:styleId="Heading4">
    <w:name w:val="heading 4"/>
    <w:basedOn w:val="Normal"/>
    <w:next w:val="Normal"/>
    <w:uiPriority w:val="9"/>
    <w:unhideWhenUsed/>
    <w:qFormat/>
    <w:pPr>
      <w:keepNext/>
      <w:spacing w:before="200" w:after="100"/>
      <w:outlineLvl w:val="3"/>
    </w:pPr>
    <w:rPr>
      <w:rFonts w:ascii="Arial" w:eastAsia="Arial" w:hAnsi="Arial" w:cs="Arial"/>
      <w:b/>
      <w:bCs/>
      <w:i/>
      <w:iCs/>
      <w:color w:val="000000"/>
      <w:sz w:val="24"/>
      <w:szCs w:val="24"/>
    </w:rPr>
  </w:style>
  <w:style w:type="paragraph" w:styleId="Heading5">
    <w:name w:val="heading 5"/>
    <w:basedOn w:val="Normal"/>
    <w:next w:val="Normal"/>
    <w:uiPriority w:val="9"/>
    <w:semiHidden/>
    <w:unhideWhenUsed/>
    <w:qFormat/>
    <w:pPr>
      <w:outlineLvl w:val="4"/>
    </w:pPr>
    <w:rPr>
      <w:color w:val="2E74B5"/>
    </w:rPr>
  </w:style>
  <w:style w:type="paragraph" w:styleId="Heading6">
    <w:name w:val="heading 6"/>
    <w:basedOn w:val="Normal"/>
    <w:next w:val="Normal"/>
    <w:uiPriority w:val="9"/>
    <w:semiHidden/>
    <w:unhideWhenUsed/>
    <w:qFormat/>
    <w:pPr>
      <w:outlineLvl w:val="5"/>
    </w:pPr>
    <w:rPr>
      <w:color w:val="1F4D7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customStyle="1" w:styleId="TableNormal0">
    <w:name w:val="TableNormal"/>
    <w:tblPr>
      <w:tblCellMar>
        <w:top w:w="100" w:type="dxa"/>
        <w:left w:w="100" w:type="dxa"/>
        <w:bottom w:w="100" w:type="dxa"/>
        <w:right w:w="100" w:type="dxa"/>
      </w:tblCellMar>
    </w:tblPr>
  </w:style>
  <w:style w:type="paragraph" w:styleId="Title">
    <w:name w:val="Title"/>
    <w:basedOn w:val="Normal"/>
    <w:next w:val="Normal"/>
    <w:uiPriority w:val="10"/>
    <w:qFormat/>
    <w:rPr>
      <w:color w:val="000000"/>
      <w:sz w:val="56"/>
      <w:szCs w:val="56"/>
    </w:rPr>
  </w:style>
  <w:style w:type="paragraph" w:styleId="Subtitle">
    <w:name w:val="Subtitle"/>
    <w:basedOn w:val="Normal"/>
    <w:next w:val="Normal"/>
    <w:uiPriority w:val="11"/>
    <w:qFormat/>
    <w:pPr>
      <w:keepNext/>
      <w:keepLines/>
      <w:spacing w:before="360" w:after="80"/>
    </w:pPr>
    <w:rPr>
      <w:rFonts w:ascii="Georgia" w:eastAsia="Georgia" w:hAnsi="Georgia" w:cs="Georgia"/>
      <w:i/>
      <w:iCs/>
      <w:color w:val="666666"/>
      <w:sz w:val="48"/>
      <w:szCs w:val="48"/>
    </w:rPr>
  </w:style>
  <w:style w:type="table" w:customStyle="1" w:styleId="a">
    <w:basedOn w:val="TableNormal0"/>
    <w:tblPr>
      <w:tblStyleRowBandSize w:val="1"/>
      <w:tblStyleColBandSize w:val="1"/>
      <w:tblCellMar>
        <w:top w:w="100" w:type="dxa"/>
        <w:left w:w="120" w:type="dxa"/>
        <w:bottom w:w="100" w:type="dxa"/>
        <w:right w:w="120" w:type="dxa"/>
      </w:tblCellMar>
    </w:tblPr>
  </w:style>
  <w:style w:type="table" w:customStyle="1" w:styleId="a0">
    <w:basedOn w:val="TableNormal0"/>
    <w:tblPr>
      <w:tblStyleRowBandSize w:val="1"/>
      <w:tblStyleColBandSize w:val="1"/>
      <w:tblCellMar>
        <w:top w:w="100" w:type="dxa"/>
        <w:left w:w="120" w:type="dxa"/>
        <w:bottom w:w="100" w:type="dxa"/>
        <w:right w:w="120" w:type="dxa"/>
      </w:tblCellMar>
    </w:tblPr>
  </w:style>
  <w:style w:type="table" w:customStyle="1" w:styleId="a1">
    <w:basedOn w:val="TableNormal0"/>
    <w:tblPr>
      <w:tblStyleRowBandSize w:val="1"/>
      <w:tblStyleColBandSize w:val="1"/>
      <w:tblCellMar>
        <w:top w:w="100" w:type="dxa"/>
        <w:left w:w="120" w:type="dxa"/>
        <w:bottom w:w="100" w:type="dxa"/>
        <w:right w:w="120" w:type="dxa"/>
      </w:tblCellMar>
    </w:tblPr>
  </w:style>
  <w:style w:type="table" w:customStyle="1" w:styleId="a2">
    <w:basedOn w:val="TableNormal0"/>
    <w:tblPr>
      <w:tblStyleRowBandSize w:val="1"/>
      <w:tblStyleColBandSize w:val="1"/>
      <w:tblCellMar>
        <w:top w:w="0" w:type="dxa"/>
        <w:left w:w="80" w:type="dxa"/>
        <w:bottom w:w="0" w:type="dxa"/>
        <w:right w:w="80" w:type="dxa"/>
      </w:tblCellMar>
    </w:tblPr>
  </w:style>
  <w:style w:type="table" w:customStyle="1" w:styleId="a3">
    <w:basedOn w:val="TableNormal0"/>
    <w:tblPr>
      <w:tblStyleRowBandSize w:val="1"/>
      <w:tblStyleColBandSize w:val="1"/>
      <w:tblCellMar>
        <w:top w:w="100" w:type="dxa"/>
        <w:left w:w="120" w:type="dxa"/>
        <w:bottom w:w="100" w:type="dxa"/>
        <w:right w:w="120" w:type="dxa"/>
      </w:tblCellMar>
    </w:tblPr>
  </w:style>
  <w:style w:type="table" w:customStyle="1" w:styleId="a4">
    <w:basedOn w:val="TableNormal0"/>
    <w:tblPr>
      <w:tblStyleRowBandSize w:val="1"/>
      <w:tblStyleColBandSize w:val="1"/>
      <w:tblCellMar>
        <w:top w:w="0" w:type="dxa"/>
        <w:left w:w="80" w:type="dxa"/>
        <w:bottom w:w="0" w:type="dxa"/>
        <w:right w:w="80" w:type="dxa"/>
      </w:tblCellMar>
    </w:tblPr>
  </w:style>
  <w:style w:type="table" w:customStyle="1" w:styleId="a5">
    <w:basedOn w:val="TableNormal0"/>
    <w:tblPr>
      <w:tblStyleRowBandSize w:val="1"/>
      <w:tblStyleColBandSize w:val="1"/>
      <w:tblCellMar>
        <w:top w:w="0" w:type="dxa"/>
        <w:left w:w="80" w:type="dxa"/>
        <w:bottom w:w="0" w:type="dxa"/>
        <w:right w:w="80" w:type="dxa"/>
      </w:tblCellMar>
    </w:tblPr>
  </w:style>
  <w:style w:type="table" w:customStyle="1" w:styleId="a6">
    <w:basedOn w:val="TableNormal0"/>
    <w:tblPr>
      <w:tblStyleRowBandSize w:val="1"/>
      <w:tblStyleColBandSize w:val="1"/>
      <w:tblCellMar>
        <w:top w:w="0" w:type="dxa"/>
        <w:left w:w="80" w:type="dxa"/>
        <w:bottom w:w="0" w:type="dxa"/>
        <w:right w:w="80" w:type="dxa"/>
      </w:tblCellMar>
    </w:tblPr>
  </w:style>
  <w:style w:type="table" w:customStyle="1" w:styleId="a7">
    <w:basedOn w:val="TableNormal0"/>
    <w:tblPr>
      <w:tblStyleRowBandSize w:val="1"/>
      <w:tblStyleColBandSize w:val="1"/>
      <w:tblCellMar>
        <w:top w:w="100" w:type="dxa"/>
        <w:left w:w="120" w:type="dxa"/>
        <w:bottom w:w="100" w:type="dxa"/>
        <w:right w:w="120" w:type="dxa"/>
      </w:tblCellMar>
    </w:tblPr>
  </w:style>
  <w:style w:type="table" w:customStyle="1" w:styleId="PlainTable3">
    <w:name w:val="Plain Table 3"/>
    <w:basedOn w:val="TableNormal"/>
    <w:uiPriority w:val="43"/>
    <w:rsid w:val="001E722E"/>
    <w:tblPr>
      <w:tblStyleRowBandSize w:val="1"/>
      <w:tblStyleColBandSize w:val="1"/>
      <w:tblInd w:w="0" w:type="dxa"/>
      <w:tblCellMar>
        <w:top w:w="0" w:type="dxa"/>
        <w:left w:w="108" w:type="dxa"/>
        <w:bottom w:w="0" w:type="dxa"/>
        <w:right w:w="108" w:type="dxa"/>
      </w:tblCellMar>
    </w:tblPr>
    <w:tblStylePr w:type="firstRow">
      <w:rPr>
        <w:b/>
        <w:bCs/>
        <w:caps/>
      </w:rPr>
      <w:tblPr/>
      <w:tcPr>
        <w:tcBorders>
          <w:bottom w:val="single" w:sz="4" w:space="0" w:color="7F7F7F" w:themeColor="text1" w:themeTint="80"/>
        </w:tcBorders>
      </w:tcPr>
    </w:tblStylePr>
    <w:tblStylePr w:type="lastRow">
      <w:rPr>
        <w:b/>
        <w:bCs/>
        <w:caps/>
      </w:rPr>
      <w:tblPr/>
      <w:tcPr>
        <w:tcBorders>
          <w:top w:val="nil"/>
        </w:tcBorders>
      </w:tcPr>
    </w:tblStylePr>
    <w:tblStylePr w:type="firstCol">
      <w:rPr>
        <w:b/>
        <w:bCs/>
        <w:caps/>
      </w:rPr>
      <w:tblPr/>
      <w:tcPr>
        <w:tcBorders>
          <w:right w:val="single" w:sz="4" w:space="0" w:color="7F7F7F" w:themeColor="text1" w:themeTint="80"/>
        </w:tcBorders>
      </w:tcPr>
    </w:tblStylePr>
    <w:tblStylePr w:type="lastCol">
      <w:rPr>
        <w:b/>
        <w:bCs/>
        <w:caps/>
      </w:rPr>
      <w:tblPr/>
      <w:tcPr>
        <w:tcBorders>
          <w:left w:val="nil"/>
        </w:tcBorders>
      </w:tc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tblStylePr w:type="neCell">
      <w:tblPr/>
      <w:tcPr>
        <w:tcBorders>
          <w:left w:val="nil"/>
        </w:tcBorders>
      </w:tcPr>
    </w:tblStylePr>
    <w:tblStylePr w:type="nwCell">
      <w:tblPr/>
      <w:tcPr>
        <w:tcBorders>
          <w:right w:val="nil"/>
        </w:tcBorders>
      </w:tcPr>
    </w:tblStylePr>
  </w:style>
  <w:style w:type="table" w:customStyle="1" w:styleId="PlainTable4">
    <w:name w:val="Plain Table 4"/>
    <w:basedOn w:val="TableNormal"/>
    <w:uiPriority w:val="44"/>
    <w:rsid w:val="001E722E"/>
    <w:tblPr>
      <w:tblStyleRowBandSize w:val="1"/>
      <w:tblStyleColBandSize w:val="1"/>
      <w:tblInd w:w="0" w:type="dxa"/>
      <w:tblCellMar>
        <w:top w:w="0" w:type="dxa"/>
        <w:left w:w="108" w:type="dxa"/>
        <w:bottom w:w="0" w:type="dxa"/>
        <w:right w:w="108" w:type="dxa"/>
      </w:tblCellMar>
    </w:tblPr>
    <w:tblStylePr w:type="firstRow">
      <w:rPr>
        <w:b/>
        <w:bCs/>
      </w:rPr>
    </w:tblStylePr>
    <w:tblStylePr w:type="lastRow">
      <w:rPr>
        <w:b/>
        <w:bCs/>
      </w:rPr>
    </w:tblStylePr>
    <w:tblStylePr w:type="firstCol">
      <w:rPr>
        <w:b/>
        <w:bCs/>
      </w:rPr>
    </w:tblStylePr>
    <w:tblStylePr w:type="lastCol">
      <w:rPr>
        <w:b/>
        <w:bCs/>
      </w:r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style>
  <w:style w:type="paragraph" w:styleId="Header">
    <w:name w:val="header"/>
    <w:basedOn w:val="Normal"/>
    <w:link w:val="HeaderChar"/>
    <w:uiPriority w:val="99"/>
    <w:unhideWhenUsed/>
    <w:rsid w:val="001E722E"/>
    <w:pPr>
      <w:tabs>
        <w:tab w:val="center" w:pos="4513"/>
        <w:tab w:val="right" w:pos="9026"/>
      </w:tabs>
    </w:pPr>
  </w:style>
  <w:style w:type="character" w:customStyle="1" w:styleId="HeaderChar">
    <w:name w:val="Header Char"/>
    <w:basedOn w:val="DefaultParagraphFont"/>
    <w:link w:val="Header"/>
    <w:uiPriority w:val="99"/>
    <w:rsid w:val="001E722E"/>
  </w:style>
  <w:style w:type="paragraph" w:styleId="Footer">
    <w:name w:val="footer"/>
    <w:basedOn w:val="Normal"/>
    <w:link w:val="FooterChar"/>
    <w:uiPriority w:val="99"/>
    <w:unhideWhenUsed/>
    <w:rsid w:val="001E722E"/>
    <w:pPr>
      <w:tabs>
        <w:tab w:val="center" w:pos="4513"/>
        <w:tab w:val="right" w:pos="9026"/>
      </w:tabs>
    </w:pPr>
  </w:style>
  <w:style w:type="character" w:customStyle="1" w:styleId="FooterChar">
    <w:name w:val="Footer Char"/>
    <w:basedOn w:val="DefaultParagraphFont"/>
    <w:link w:val="Footer"/>
    <w:uiPriority w:val="99"/>
    <w:rsid w:val="001E722E"/>
  </w:style>
  <w:style w:type="paragraph" w:styleId="BalloonText">
    <w:name w:val="Balloon Text"/>
    <w:basedOn w:val="Normal"/>
    <w:link w:val="BalloonTextChar"/>
    <w:uiPriority w:val="99"/>
    <w:semiHidden/>
    <w:unhideWhenUsed/>
    <w:rsid w:val="00161751"/>
    <w:rPr>
      <w:rFonts w:ascii="Tahoma" w:hAnsi="Tahoma" w:cs="Tahoma"/>
      <w:sz w:val="16"/>
      <w:szCs w:val="16"/>
    </w:rPr>
  </w:style>
  <w:style w:type="character" w:customStyle="1" w:styleId="BalloonTextChar">
    <w:name w:val="Balloon Text Char"/>
    <w:basedOn w:val="DefaultParagraphFont"/>
    <w:link w:val="BalloonText"/>
    <w:uiPriority w:val="99"/>
    <w:semiHidden/>
    <w:rsid w:val="00161751"/>
    <w:rPr>
      <w:rFonts w:ascii="Tahoma" w:hAnsi="Tahoma" w:cs="Tahoma"/>
      <w:sz w:val="16"/>
      <w:szCs w:val="16"/>
    </w:r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imes New Roman" w:eastAsia="Times New Roman" w:hAnsi="Times New Roman" w:cs="Times New Roman"/>
        <w:lang w:val="en-GB" w:eastAsia="en-GB" w:bidi="ar-SA"/>
      </w:rPr>
    </w:rPrDefault>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3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paragraph" w:styleId="Heading1">
    <w:name w:val="heading 1"/>
    <w:basedOn w:val="Normal"/>
    <w:next w:val="Normal"/>
    <w:uiPriority w:val="9"/>
    <w:qFormat/>
    <w:pPr>
      <w:keepNext/>
      <w:spacing w:after="360"/>
      <w:outlineLvl w:val="0"/>
    </w:pPr>
    <w:rPr>
      <w:rFonts w:ascii="Arial" w:eastAsia="Arial" w:hAnsi="Arial" w:cs="Arial"/>
      <w:b/>
      <w:bCs/>
      <w:color w:val="000000"/>
      <w:sz w:val="32"/>
      <w:szCs w:val="32"/>
    </w:rPr>
  </w:style>
  <w:style w:type="paragraph" w:styleId="Heading2">
    <w:name w:val="heading 2"/>
    <w:basedOn w:val="Normal"/>
    <w:next w:val="Normal"/>
    <w:uiPriority w:val="9"/>
    <w:unhideWhenUsed/>
    <w:qFormat/>
    <w:pPr>
      <w:keepNext/>
      <w:spacing w:before="360" w:after="160"/>
      <w:outlineLvl w:val="1"/>
    </w:pPr>
    <w:rPr>
      <w:rFonts w:ascii="Arial" w:eastAsia="Arial" w:hAnsi="Arial" w:cs="Arial"/>
      <w:b/>
      <w:bCs/>
      <w:color w:val="000000"/>
      <w:sz w:val="28"/>
      <w:szCs w:val="28"/>
    </w:rPr>
  </w:style>
  <w:style w:type="paragraph" w:styleId="Heading3">
    <w:name w:val="heading 3"/>
    <w:basedOn w:val="Normal"/>
    <w:next w:val="Normal"/>
    <w:uiPriority w:val="9"/>
    <w:unhideWhenUsed/>
    <w:qFormat/>
    <w:pPr>
      <w:keepNext/>
      <w:spacing w:before="240" w:after="120" w:line="360" w:lineRule="auto"/>
      <w:jc w:val="both"/>
      <w:outlineLvl w:val="2"/>
    </w:pPr>
    <w:rPr>
      <w:rFonts w:ascii="Arial" w:eastAsia="Arial" w:hAnsi="Arial" w:cs="Arial"/>
      <w:color w:val="000000"/>
      <w:sz w:val="28"/>
      <w:szCs w:val="28"/>
    </w:rPr>
  </w:style>
  <w:style w:type="paragraph" w:styleId="Heading4">
    <w:name w:val="heading 4"/>
    <w:basedOn w:val="Normal"/>
    <w:next w:val="Normal"/>
    <w:uiPriority w:val="9"/>
    <w:unhideWhenUsed/>
    <w:qFormat/>
    <w:pPr>
      <w:keepNext/>
      <w:spacing w:before="200" w:after="100"/>
      <w:outlineLvl w:val="3"/>
    </w:pPr>
    <w:rPr>
      <w:rFonts w:ascii="Arial" w:eastAsia="Arial" w:hAnsi="Arial" w:cs="Arial"/>
      <w:b/>
      <w:bCs/>
      <w:i/>
      <w:iCs/>
      <w:color w:val="000000"/>
      <w:sz w:val="24"/>
      <w:szCs w:val="24"/>
    </w:rPr>
  </w:style>
  <w:style w:type="paragraph" w:styleId="Heading5">
    <w:name w:val="heading 5"/>
    <w:basedOn w:val="Normal"/>
    <w:next w:val="Normal"/>
    <w:uiPriority w:val="9"/>
    <w:semiHidden/>
    <w:unhideWhenUsed/>
    <w:qFormat/>
    <w:pPr>
      <w:outlineLvl w:val="4"/>
    </w:pPr>
    <w:rPr>
      <w:color w:val="2E74B5"/>
    </w:rPr>
  </w:style>
  <w:style w:type="paragraph" w:styleId="Heading6">
    <w:name w:val="heading 6"/>
    <w:basedOn w:val="Normal"/>
    <w:next w:val="Normal"/>
    <w:uiPriority w:val="9"/>
    <w:semiHidden/>
    <w:unhideWhenUsed/>
    <w:qFormat/>
    <w:pPr>
      <w:outlineLvl w:val="5"/>
    </w:pPr>
    <w:rPr>
      <w:color w:val="1F4D7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customStyle="1" w:styleId="TableNormal0">
    <w:name w:val="TableNormal"/>
    <w:tblPr>
      <w:tblCellMar>
        <w:top w:w="100" w:type="dxa"/>
        <w:left w:w="100" w:type="dxa"/>
        <w:bottom w:w="100" w:type="dxa"/>
        <w:right w:w="100" w:type="dxa"/>
      </w:tblCellMar>
    </w:tblPr>
  </w:style>
  <w:style w:type="paragraph" w:styleId="Title">
    <w:name w:val="Title"/>
    <w:basedOn w:val="Normal"/>
    <w:next w:val="Normal"/>
    <w:uiPriority w:val="10"/>
    <w:qFormat/>
    <w:rPr>
      <w:color w:val="000000"/>
      <w:sz w:val="56"/>
      <w:szCs w:val="56"/>
    </w:rPr>
  </w:style>
  <w:style w:type="paragraph" w:styleId="Subtitle">
    <w:name w:val="Subtitle"/>
    <w:basedOn w:val="Normal"/>
    <w:next w:val="Normal"/>
    <w:uiPriority w:val="11"/>
    <w:qFormat/>
    <w:pPr>
      <w:keepNext/>
      <w:keepLines/>
      <w:spacing w:before="360" w:after="80"/>
    </w:pPr>
    <w:rPr>
      <w:rFonts w:ascii="Georgia" w:eastAsia="Georgia" w:hAnsi="Georgia" w:cs="Georgia"/>
      <w:i/>
      <w:iCs/>
      <w:color w:val="666666"/>
      <w:sz w:val="48"/>
      <w:szCs w:val="48"/>
    </w:rPr>
  </w:style>
  <w:style w:type="table" w:customStyle="1" w:styleId="a">
    <w:basedOn w:val="TableNormal0"/>
    <w:tblPr>
      <w:tblStyleRowBandSize w:val="1"/>
      <w:tblStyleColBandSize w:val="1"/>
      <w:tblCellMar>
        <w:top w:w="100" w:type="dxa"/>
        <w:left w:w="120" w:type="dxa"/>
        <w:bottom w:w="100" w:type="dxa"/>
        <w:right w:w="120" w:type="dxa"/>
      </w:tblCellMar>
    </w:tblPr>
  </w:style>
  <w:style w:type="table" w:customStyle="1" w:styleId="a0">
    <w:basedOn w:val="TableNormal0"/>
    <w:tblPr>
      <w:tblStyleRowBandSize w:val="1"/>
      <w:tblStyleColBandSize w:val="1"/>
      <w:tblCellMar>
        <w:top w:w="100" w:type="dxa"/>
        <w:left w:w="120" w:type="dxa"/>
        <w:bottom w:w="100" w:type="dxa"/>
        <w:right w:w="120" w:type="dxa"/>
      </w:tblCellMar>
    </w:tblPr>
  </w:style>
  <w:style w:type="table" w:customStyle="1" w:styleId="a1">
    <w:basedOn w:val="TableNormal0"/>
    <w:tblPr>
      <w:tblStyleRowBandSize w:val="1"/>
      <w:tblStyleColBandSize w:val="1"/>
      <w:tblCellMar>
        <w:top w:w="100" w:type="dxa"/>
        <w:left w:w="120" w:type="dxa"/>
        <w:bottom w:w="100" w:type="dxa"/>
        <w:right w:w="120" w:type="dxa"/>
      </w:tblCellMar>
    </w:tblPr>
  </w:style>
  <w:style w:type="table" w:customStyle="1" w:styleId="a2">
    <w:basedOn w:val="TableNormal0"/>
    <w:tblPr>
      <w:tblStyleRowBandSize w:val="1"/>
      <w:tblStyleColBandSize w:val="1"/>
      <w:tblCellMar>
        <w:top w:w="0" w:type="dxa"/>
        <w:left w:w="80" w:type="dxa"/>
        <w:bottom w:w="0" w:type="dxa"/>
        <w:right w:w="80" w:type="dxa"/>
      </w:tblCellMar>
    </w:tblPr>
  </w:style>
  <w:style w:type="table" w:customStyle="1" w:styleId="a3">
    <w:basedOn w:val="TableNormal0"/>
    <w:tblPr>
      <w:tblStyleRowBandSize w:val="1"/>
      <w:tblStyleColBandSize w:val="1"/>
      <w:tblCellMar>
        <w:top w:w="100" w:type="dxa"/>
        <w:left w:w="120" w:type="dxa"/>
        <w:bottom w:w="100" w:type="dxa"/>
        <w:right w:w="120" w:type="dxa"/>
      </w:tblCellMar>
    </w:tblPr>
  </w:style>
  <w:style w:type="table" w:customStyle="1" w:styleId="a4">
    <w:basedOn w:val="TableNormal0"/>
    <w:tblPr>
      <w:tblStyleRowBandSize w:val="1"/>
      <w:tblStyleColBandSize w:val="1"/>
      <w:tblCellMar>
        <w:top w:w="0" w:type="dxa"/>
        <w:left w:w="80" w:type="dxa"/>
        <w:bottom w:w="0" w:type="dxa"/>
        <w:right w:w="80" w:type="dxa"/>
      </w:tblCellMar>
    </w:tblPr>
  </w:style>
  <w:style w:type="table" w:customStyle="1" w:styleId="a5">
    <w:basedOn w:val="TableNormal0"/>
    <w:tblPr>
      <w:tblStyleRowBandSize w:val="1"/>
      <w:tblStyleColBandSize w:val="1"/>
      <w:tblCellMar>
        <w:top w:w="0" w:type="dxa"/>
        <w:left w:w="80" w:type="dxa"/>
        <w:bottom w:w="0" w:type="dxa"/>
        <w:right w:w="80" w:type="dxa"/>
      </w:tblCellMar>
    </w:tblPr>
  </w:style>
  <w:style w:type="table" w:customStyle="1" w:styleId="a6">
    <w:basedOn w:val="TableNormal0"/>
    <w:tblPr>
      <w:tblStyleRowBandSize w:val="1"/>
      <w:tblStyleColBandSize w:val="1"/>
      <w:tblCellMar>
        <w:top w:w="0" w:type="dxa"/>
        <w:left w:w="80" w:type="dxa"/>
        <w:bottom w:w="0" w:type="dxa"/>
        <w:right w:w="80" w:type="dxa"/>
      </w:tblCellMar>
    </w:tblPr>
  </w:style>
  <w:style w:type="table" w:customStyle="1" w:styleId="a7">
    <w:basedOn w:val="TableNormal0"/>
    <w:tblPr>
      <w:tblStyleRowBandSize w:val="1"/>
      <w:tblStyleColBandSize w:val="1"/>
      <w:tblCellMar>
        <w:top w:w="100" w:type="dxa"/>
        <w:left w:w="120" w:type="dxa"/>
        <w:bottom w:w="100" w:type="dxa"/>
        <w:right w:w="120" w:type="dxa"/>
      </w:tblCellMar>
    </w:tblPr>
  </w:style>
  <w:style w:type="table" w:customStyle="1" w:styleId="PlainTable3">
    <w:name w:val="Plain Table 3"/>
    <w:basedOn w:val="TableNormal"/>
    <w:uiPriority w:val="43"/>
    <w:rsid w:val="001E722E"/>
    <w:tblPr>
      <w:tblStyleRowBandSize w:val="1"/>
      <w:tblStyleColBandSize w:val="1"/>
      <w:tblInd w:w="0" w:type="dxa"/>
      <w:tblCellMar>
        <w:top w:w="0" w:type="dxa"/>
        <w:left w:w="108" w:type="dxa"/>
        <w:bottom w:w="0" w:type="dxa"/>
        <w:right w:w="108" w:type="dxa"/>
      </w:tblCellMar>
    </w:tblPr>
    <w:tblStylePr w:type="firstRow">
      <w:rPr>
        <w:b/>
        <w:bCs/>
        <w:caps/>
      </w:rPr>
      <w:tblPr/>
      <w:tcPr>
        <w:tcBorders>
          <w:bottom w:val="single" w:sz="4" w:space="0" w:color="7F7F7F" w:themeColor="text1" w:themeTint="80"/>
        </w:tcBorders>
      </w:tcPr>
    </w:tblStylePr>
    <w:tblStylePr w:type="lastRow">
      <w:rPr>
        <w:b/>
        <w:bCs/>
        <w:caps/>
      </w:rPr>
      <w:tblPr/>
      <w:tcPr>
        <w:tcBorders>
          <w:top w:val="nil"/>
        </w:tcBorders>
      </w:tcPr>
    </w:tblStylePr>
    <w:tblStylePr w:type="firstCol">
      <w:rPr>
        <w:b/>
        <w:bCs/>
        <w:caps/>
      </w:rPr>
      <w:tblPr/>
      <w:tcPr>
        <w:tcBorders>
          <w:right w:val="single" w:sz="4" w:space="0" w:color="7F7F7F" w:themeColor="text1" w:themeTint="80"/>
        </w:tcBorders>
      </w:tcPr>
    </w:tblStylePr>
    <w:tblStylePr w:type="lastCol">
      <w:rPr>
        <w:b/>
        <w:bCs/>
        <w:caps/>
      </w:rPr>
      <w:tblPr/>
      <w:tcPr>
        <w:tcBorders>
          <w:left w:val="nil"/>
        </w:tcBorders>
      </w:tc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tblStylePr w:type="neCell">
      <w:tblPr/>
      <w:tcPr>
        <w:tcBorders>
          <w:left w:val="nil"/>
        </w:tcBorders>
      </w:tcPr>
    </w:tblStylePr>
    <w:tblStylePr w:type="nwCell">
      <w:tblPr/>
      <w:tcPr>
        <w:tcBorders>
          <w:right w:val="nil"/>
        </w:tcBorders>
      </w:tcPr>
    </w:tblStylePr>
  </w:style>
  <w:style w:type="table" w:customStyle="1" w:styleId="PlainTable4">
    <w:name w:val="Plain Table 4"/>
    <w:basedOn w:val="TableNormal"/>
    <w:uiPriority w:val="44"/>
    <w:rsid w:val="001E722E"/>
    <w:tblPr>
      <w:tblStyleRowBandSize w:val="1"/>
      <w:tblStyleColBandSize w:val="1"/>
      <w:tblInd w:w="0" w:type="dxa"/>
      <w:tblCellMar>
        <w:top w:w="0" w:type="dxa"/>
        <w:left w:w="108" w:type="dxa"/>
        <w:bottom w:w="0" w:type="dxa"/>
        <w:right w:w="108" w:type="dxa"/>
      </w:tblCellMar>
    </w:tblPr>
    <w:tblStylePr w:type="firstRow">
      <w:rPr>
        <w:b/>
        <w:bCs/>
      </w:rPr>
    </w:tblStylePr>
    <w:tblStylePr w:type="lastRow">
      <w:rPr>
        <w:b/>
        <w:bCs/>
      </w:rPr>
    </w:tblStylePr>
    <w:tblStylePr w:type="firstCol">
      <w:rPr>
        <w:b/>
        <w:bCs/>
      </w:rPr>
    </w:tblStylePr>
    <w:tblStylePr w:type="lastCol">
      <w:rPr>
        <w:b/>
        <w:bCs/>
      </w:r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style>
  <w:style w:type="paragraph" w:styleId="Header">
    <w:name w:val="header"/>
    <w:basedOn w:val="Normal"/>
    <w:link w:val="HeaderChar"/>
    <w:uiPriority w:val="99"/>
    <w:unhideWhenUsed/>
    <w:rsid w:val="001E722E"/>
    <w:pPr>
      <w:tabs>
        <w:tab w:val="center" w:pos="4513"/>
        <w:tab w:val="right" w:pos="9026"/>
      </w:tabs>
    </w:pPr>
  </w:style>
  <w:style w:type="character" w:customStyle="1" w:styleId="HeaderChar">
    <w:name w:val="Header Char"/>
    <w:basedOn w:val="DefaultParagraphFont"/>
    <w:link w:val="Header"/>
    <w:uiPriority w:val="99"/>
    <w:rsid w:val="001E722E"/>
  </w:style>
  <w:style w:type="paragraph" w:styleId="Footer">
    <w:name w:val="footer"/>
    <w:basedOn w:val="Normal"/>
    <w:link w:val="FooterChar"/>
    <w:uiPriority w:val="99"/>
    <w:unhideWhenUsed/>
    <w:rsid w:val="001E722E"/>
    <w:pPr>
      <w:tabs>
        <w:tab w:val="center" w:pos="4513"/>
        <w:tab w:val="right" w:pos="9026"/>
      </w:tabs>
    </w:pPr>
  </w:style>
  <w:style w:type="character" w:customStyle="1" w:styleId="FooterChar">
    <w:name w:val="Footer Char"/>
    <w:basedOn w:val="DefaultParagraphFont"/>
    <w:link w:val="Footer"/>
    <w:uiPriority w:val="99"/>
    <w:rsid w:val="001E722E"/>
  </w:style>
  <w:style w:type="paragraph" w:styleId="BalloonText">
    <w:name w:val="Balloon Text"/>
    <w:basedOn w:val="Normal"/>
    <w:link w:val="BalloonTextChar"/>
    <w:uiPriority w:val="99"/>
    <w:semiHidden/>
    <w:unhideWhenUsed/>
    <w:rsid w:val="00161751"/>
    <w:rPr>
      <w:rFonts w:ascii="Tahoma" w:hAnsi="Tahoma" w:cs="Tahoma"/>
      <w:sz w:val="16"/>
      <w:szCs w:val="16"/>
    </w:rPr>
  </w:style>
  <w:style w:type="character" w:customStyle="1" w:styleId="BalloonTextChar">
    <w:name w:val="Balloon Text Char"/>
    <w:basedOn w:val="DefaultParagraphFont"/>
    <w:link w:val="BalloonText"/>
    <w:uiPriority w:val="99"/>
    <w:semiHidden/>
    <w:rsid w:val="00161751"/>
    <w:rPr>
      <w:rFonts w:ascii="Tahoma" w:hAnsi="Tahoma" w:cs="Tahoma"/>
      <w:sz w:val="16"/>
      <w:szCs w:val="1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file>

<file path=word/_rels/document.xml.rels><?xml version="1.0" encoding="UTF-8" standalone="yes"?>
<Relationships xmlns="http://schemas.openxmlformats.org/package/2006/relationships"><Relationship Id="rId13" Type="http://schemas.openxmlformats.org/officeDocument/2006/relationships/footer" Target="footer2.xml"/><Relationship Id="rId18" Type="http://schemas.openxmlformats.org/officeDocument/2006/relationships/image" Target="media/image5.png"/><Relationship Id="rId26" Type="http://schemas.openxmlformats.org/officeDocument/2006/relationships/hyperlink" Target="https://doi.org/10.1136/bmj.l6890" TargetMode="External"/><Relationship Id="rId39" Type="http://schemas.openxmlformats.org/officeDocument/2006/relationships/hyperlink" Target="https://doi.org/10.1186/1471-2458-10-784" TargetMode="External"/><Relationship Id="rId21" Type="http://schemas.openxmlformats.org/officeDocument/2006/relationships/hyperlink" Target="https://doi.org/10.1097/00005650-197501000-00002" TargetMode="External"/><Relationship Id="rId34" Type="http://schemas.openxmlformats.org/officeDocument/2006/relationships/hyperlink" Target="https://healthinnovationnetwork.com/projects/report-cardiovascular-disease-cvd-health-inequalities-projects-in-south-east-london/" TargetMode="External"/><Relationship Id="rId42" Type="http://schemas.openxmlformats.org/officeDocument/2006/relationships/hyperlink" Target="https://www.instituteofhealthequity.org/resources-reports/marmot-review-10-years-on" TargetMode="External"/><Relationship Id="rId47" Type="http://schemas.openxmlformats.org/officeDocument/2006/relationships/hyperlink" Target="https://doi.org/10.1136/bmj.n71" TargetMode="External"/><Relationship Id="rId50" Type="http://schemas.openxmlformats.org/officeDocument/2006/relationships/hyperlink" Target="https://doi.org/10.1093/pubmed/fdv121" TargetMode="External"/><Relationship Id="rId55" Type="http://schemas.openxmlformats.org/officeDocument/2006/relationships/hyperlink" Target="https://doi.org/10.1136/openhrt-2021-001792" TargetMode="External"/><Relationship Id="rId63" Type="http://schemas.openxmlformats.org/officeDocument/2006/relationships/header" Target="header5.xml"/><Relationship Id="rId68" Type="http://schemas.openxmlformats.org/officeDocument/2006/relationships/fontTable" Target="fontTable.xml"/><Relationship Id="rId7" Type="http://schemas.openxmlformats.org/officeDocument/2006/relationships/endnotes" Target="endnotes.xml"/><Relationship Id="rId2" Type="http://schemas.openxmlformats.org/officeDocument/2006/relationships/styles" Target="styles.xml"/><Relationship Id="rId16" Type="http://schemas.openxmlformats.org/officeDocument/2006/relationships/image" Target="media/image3.png"/><Relationship Id="rId29" Type="http://schemas.openxmlformats.org/officeDocument/2006/relationships/hyperlink" Target="https://doi.org/10.1093/pubmed/fdr034" TargetMode="External"/><Relationship Id="rId1" Type="http://schemas.openxmlformats.org/officeDocument/2006/relationships/numbering" Target="numbering.xml"/><Relationship Id="rId6" Type="http://schemas.openxmlformats.org/officeDocument/2006/relationships/footnotes" Target="footnotes.xml"/><Relationship Id="rId11" Type="http://schemas.openxmlformats.org/officeDocument/2006/relationships/header" Target="header2.xml"/><Relationship Id="rId24" Type="http://schemas.openxmlformats.org/officeDocument/2006/relationships/hyperlink" Target="https://www.bhf.org.uk/what-we-do/our-research/heart-statistics/heart-statistics-publications/cardiovascular-disease-statistics-2025" TargetMode="External"/><Relationship Id="rId32" Type="http://schemas.openxmlformats.org/officeDocument/2006/relationships/hyperlink" Target="https://doi.org/10.1186/s12982-026-01931-0" TargetMode="External"/><Relationship Id="rId37" Type="http://schemas.openxmlformats.org/officeDocument/2006/relationships/hyperlink" Target="https://doi.org/10.1177/109019818401100101" TargetMode="External"/><Relationship Id="rId40" Type="http://schemas.openxmlformats.org/officeDocument/2006/relationships/hyperlink" Target="https://doi.org/10.1371/journal.pone.0250627" TargetMode="External"/><Relationship Id="rId45" Type="http://schemas.openxmlformats.org/officeDocument/2006/relationships/hyperlink" Target="https://www.england.nhs.uk/" TargetMode="External"/><Relationship Id="rId53" Type="http://schemas.openxmlformats.org/officeDocument/2006/relationships/hyperlink" Target="https://doi.org/10.1186/s12982-026-01676-w" TargetMode="External"/><Relationship Id="rId58" Type="http://schemas.openxmlformats.org/officeDocument/2006/relationships/hyperlink" Target="https://doi.org/10.1186/1471-2288-8-45" TargetMode="External"/><Relationship Id="rId66" Type="http://schemas.openxmlformats.org/officeDocument/2006/relationships/header" Target="header6.xml"/><Relationship Id="rId5" Type="http://schemas.openxmlformats.org/officeDocument/2006/relationships/webSettings" Target="webSettings.xml"/><Relationship Id="rId15" Type="http://schemas.openxmlformats.org/officeDocument/2006/relationships/footer" Target="footer3.xml"/><Relationship Id="rId23" Type="http://schemas.openxmlformats.org/officeDocument/2006/relationships/hyperlink" Target="https://doi.org/10.1111/hex.12856" TargetMode="External"/><Relationship Id="rId28" Type="http://schemas.openxmlformats.org/officeDocument/2006/relationships/hyperlink" Target="https://casp-uk.net/casp-tools-checklists/" TargetMode="External"/><Relationship Id="rId36" Type="http://schemas.openxmlformats.org/officeDocument/2006/relationships/hyperlink" Target="https://doi.org/10.1002/puh2.70331" TargetMode="External"/><Relationship Id="rId49" Type="http://schemas.openxmlformats.org/officeDocument/2006/relationships/hyperlink" Target="https://www.lancaster.ac.uk/media/lancaster-university/content-assets/documents/fhm/dhr/chir/NSsynthesisguidanceVersion1-April2006.pdf" TargetMode="External"/><Relationship Id="rId57" Type="http://schemas.openxmlformats.org/officeDocument/2006/relationships/hyperlink" Target="https://doi.org/10.31083/RCM25614" TargetMode="External"/><Relationship Id="rId61" Type="http://schemas.openxmlformats.org/officeDocument/2006/relationships/hyperlink" Target="https://www.who.int/news-room/fact-sheets/detail/cardiovascular-diseases-(cvds)" TargetMode="External"/><Relationship Id="rId10" Type="http://schemas.openxmlformats.org/officeDocument/2006/relationships/header" Target="header1.xml"/><Relationship Id="rId19" Type="http://schemas.openxmlformats.org/officeDocument/2006/relationships/hyperlink" Target="https://doi.org/10.3390/ijerph17238957" TargetMode="External"/><Relationship Id="rId31" Type="http://schemas.openxmlformats.org/officeDocument/2006/relationships/hyperlink" Target="https://doi.org/10.1111/hex.70199" TargetMode="External"/><Relationship Id="rId44" Type="http://schemas.openxmlformats.org/officeDocument/2006/relationships/hyperlink" Target="https://doi.org/10.1177/20480040231212278" TargetMode="External"/><Relationship Id="rId52" Type="http://schemas.openxmlformats.org/officeDocument/2006/relationships/hyperlink" Target="https://doi.org/10.1007/s12529-023-10201-1" TargetMode="External"/><Relationship Id="rId60" Type="http://schemas.openxmlformats.org/officeDocument/2006/relationships/hyperlink" Target="https://doi.org/10.1093/fampra/cmr079" TargetMode="External"/><Relationship Id="rId65" Type="http://schemas.openxmlformats.org/officeDocument/2006/relationships/footer" Target="footer5.xm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header" Target="header3.xml"/><Relationship Id="rId22" Type="http://schemas.openxmlformats.org/officeDocument/2006/relationships/hyperlink" Target="https://doi.org/10.1136/bmjopen-2024-096500" TargetMode="External"/><Relationship Id="rId27" Type="http://schemas.openxmlformats.org/officeDocument/2006/relationships/hyperlink" Target="https://doi.org/10.1186/s12913-018-3027-8" TargetMode="External"/><Relationship Id="rId30" Type="http://schemas.openxmlformats.org/officeDocument/2006/relationships/hyperlink" Target="https://assets.publishing.service.gov.uk/media/6a4cfda87abea59ac13fd308/cardiovascular-disease-modern-service-framework.pdf" TargetMode="External"/><Relationship Id="rId35" Type="http://schemas.openxmlformats.org/officeDocument/2006/relationships/hyperlink" Target="https://www.hra.nhs.uk/" TargetMode="External"/><Relationship Id="rId43" Type="http://schemas.openxmlformats.org/officeDocument/2006/relationships/hyperlink" Target="https://doi.org/10.1111/j.1369-7625.2011.00764.x" TargetMode="External"/><Relationship Id="rId48" Type="http://schemas.openxmlformats.org/officeDocument/2006/relationships/hyperlink" Target="https://doi.org/10.1136/bmjopen-2020-042963" TargetMode="External"/><Relationship Id="rId56" Type="http://schemas.openxmlformats.org/officeDocument/2006/relationships/hyperlink" Target="https://doi.org/10.3310/phr07080" TargetMode="External"/><Relationship Id="rId64" Type="http://schemas.openxmlformats.org/officeDocument/2006/relationships/footer" Target="footer4.xml"/><Relationship Id="rId69" Type="http://schemas.openxmlformats.org/officeDocument/2006/relationships/theme" Target="theme/theme1.xml"/><Relationship Id="rId8" Type="http://schemas.openxmlformats.org/officeDocument/2006/relationships/image" Target="media/image1.png"/><Relationship Id="rId51" Type="http://schemas.openxmlformats.org/officeDocument/2006/relationships/hyperlink" Target="https://doi.org/10.3399/BJGP.2020.1021" TargetMode="External"/><Relationship Id="rId3" Type="http://schemas.microsoft.com/office/2007/relationships/stylesWithEffects" Target="stylesWithEffects.xml"/><Relationship Id="rId12" Type="http://schemas.openxmlformats.org/officeDocument/2006/relationships/footer" Target="footer1.xml"/><Relationship Id="rId17" Type="http://schemas.openxmlformats.org/officeDocument/2006/relationships/image" Target="media/image4.png"/><Relationship Id="rId25" Type="http://schemas.openxmlformats.org/officeDocument/2006/relationships/hyperlink" Target="https://www.bhf.org.uk/what-we-do/our-research/heart-statistics/heart-statistics-publications" TargetMode="External"/><Relationship Id="rId33" Type="http://schemas.openxmlformats.org/officeDocument/2006/relationships/hyperlink" Target="https://doi.org/10.1016/j.jacc.2025.08.015" TargetMode="External"/><Relationship Id="rId38" Type="http://schemas.openxmlformats.org/officeDocument/2006/relationships/hyperlink" Target="https://doi.org/10.1186/s12913-023-10084-8" TargetMode="External"/><Relationship Id="rId46" Type="http://schemas.openxmlformats.org/officeDocument/2006/relationships/hyperlink" Target="https://doi.org/10.1080/09515078908256682" TargetMode="External"/><Relationship Id="rId59" Type="http://schemas.openxmlformats.org/officeDocument/2006/relationships/hyperlink" Target="https://doi.org/10.1016/S0140-6736(10)60809-4" TargetMode="External"/><Relationship Id="rId67" Type="http://schemas.openxmlformats.org/officeDocument/2006/relationships/footer" Target="footer6.xml"/><Relationship Id="rId20" Type="http://schemas.openxmlformats.org/officeDocument/2006/relationships/hyperlink" Target="https://www.ncbi.nlm.nih.gov/books/NBK606120/" TargetMode="External"/><Relationship Id="rId41" Type="http://schemas.openxmlformats.org/officeDocument/2006/relationships/hyperlink" Target="https://doi.org/10.1177/2632084320947559" TargetMode="External"/><Relationship Id="rId54" Type="http://schemas.openxmlformats.org/officeDocument/2006/relationships/hyperlink" Target="https://doi.org/10.1001/archinternmed.2009.516" TargetMode="External"/><Relationship Id="rId62" Type="http://schemas.openxmlformats.org/officeDocument/2006/relationships/header" Target="header4.xml"/></Relationships>
</file>

<file path=word/_rels/fontTable.xml.rels><?xml version="1.0" encoding="UTF-8" standalone="yes"?>
<Relationships xmlns="http://schemas.openxmlformats.org/package/2006/relationships"><Relationship Id="rId3" Type="http://schemas.openxmlformats.org/officeDocument/2006/relationships/font" Target="fonts/font3.odttf"/><Relationship Id="rId2" Type="http://schemas.openxmlformats.org/officeDocument/2006/relationships/font" Target="fonts/font2.odttf"/><Relationship Id="rId1" Type="http://schemas.openxmlformats.org/officeDocument/2006/relationships/font" Target="fonts/font1.odttf"/><Relationship Id="rId4" Type="http://schemas.openxmlformats.org/officeDocument/2006/relationships/font" Target="fonts/font4.odtt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Normal</Template>
  <TotalTime>0</TotalTime>
  <Pages>81</Pages>
  <Words>22413</Words>
  <Characters>127757</Characters>
  <Application>Microsoft Office Word</Application>
  <DocSecurity>0</DocSecurity>
  <Lines>1064</Lines>
  <Paragraphs>299</Paragraphs>
  <ScaleCrop>false</ScaleCrop>
  <HeadingPairs>
    <vt:vector size="2" baseType="variant">
      <vt:variant>
        <vt:lpstr>Title</vt:lpstr>
      </vt:variant>
      <vt:variant>
        <vt:i4>1</vt:i4>
      </vt:variant>
    </vt:vector>
  </HeadingPairs>
  <TitlesOfParts>
    <vt:vector size="1" baseType="lpstr">
      <vt:lpstr/>
    </vt:vector>
  </TitlesOfParts>
  <LinksUpToDate>false</LinksUpToDate>
  <CharactersWithSpaces>149871</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cp:lastModifiedBy/>
  <cp:revision>1</cp:revision>
  <dcterms:created xsi:type="dcterms:W3CDTF">2026-09-25T11:08:00Z</dcterms:created>
  <dcterms:modified xsi:type="dcterms:W3CDTF">2026-09-25T11:08:00Z</dcterms:modified>
</cp:coreProperties>
</file>