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B81BCC" w14:textId="588D5763" w:rsidR="00876B5D" w:rsidRDefault="006079FA" w:rsidP="00936EBE">
      <w:pPr>
        <w:spacing w:line="276" w:lineRule="auto"/>
        <w:jc w:val="center"/>
        <w:rPr>
          <w:b/>
          <w:bCs/>
          <w:color w:val="000000" w:themeColor="text1"/>
          <w:sz w:val="40"/>
          <w:szCs w:val="40"/>
          <w:u w:val="dotted"/>
          <w:lang w:val="en-IN"/>
        </w:rPr>
      </w:pPr>
      <w:bookmarkStart w:id="0" w:name="_Hlk220341460"/>
      <w:bookmarkEnd w:id="0"/>
      <w:r>
        <w:rPr>
          <w:b/>
          <w:bCs/>
          <w:noProof/>
          <w:color w:val="000000" w:themeColor="text1"/>
          <w:sz w:val="40"/>
          <w:szCs w:val="40"/>
          <w:u w:val="dotted"/>
          <w:lang w:val="en-IN"/>
          <w14:ligatures w14:val="standardContextual"/>
        </w:rPr>
        <w:drawing>
          <wp:inline distT="0" distB="0" distL="0" distR="0" wp14:anchorId="415E4E67" wp14:editId="59F28C4D">
            <wp:extent cx="3794686" cy="1280160"/>
            <wp:effectExtent l="0" t="0" r="0" b="0"/>
            <wp:docPr id="985928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28660" name="Picture 985928660"/>
                    <pic:cNvPicPr/>
                  </pic:nvPicPr>
                  <pic:blipFill>
                    <a:blip r:embed="rId8">
                      <a:extLst>
                        <a:ext uri="{28A0092B-C50C-407E-A947-70E740481C1C}">
                          <a14:useLocalDpi xmlns:a14="http://schemas.microsoft.com/office/drawing/2010/main" val="0"/>
                        </a:ext>
                      </a:extLst>
                    </a:blip>
                    <a:stretch>
                      <a:fillRect/>
                    </a:stretch>
                  </pic:blipFill>
                  <pic:spPr>
                    <a:xfrm>
                      <a:off x="0" y="0"/>
                      <a:ext cx="3853741" cy="1300082"/>
                    </a:xfrm>
                    <a:prstGeom prst="rect">
                      <a:avLst/>
                    </a:prstGeom>
                  </pic:spPr>
                </pic:pic>
              </a:graphicData>
            </a:graphic>
          </wp:inline>
        </w:drawing>
      </w:r>
    </w:p>
    <w:p w14:paraId="36D9B383" w14:textId="77777777" w:rsidR="00876B5D" w:rsidRDefault="00876B5D" w:rsidP="00936EBE">
      <w:pPr>
        <w:spacing w:line="276" w:lineRule="auto"/>
        <w:jc w:val="center"/>
        <w:rPr>
          <w:b/>
          <w:bCs/>
          <w:color w:val="000000" w:themeColor="text1"/>
          <w:sz w:val="40"/>
          <w:szCs w:val="40"/>
          <w:u w:val="dotted"/>
          <w:lang w:val="en-IN"/>
        </w:rPr>
      </w:pPr>
    </w:p>
    <w:p w14:paraId="1CFEC1A1" w14:textId="77777777" w:rsidR="00876B5D" w:rsidRDefault="00876B5D" w:rsidP="00936EBE">
      <w:pPr>
        <w:spacing w:line="276" w:lineRule="auto"/>
        <w:jc w:val="center"/>
        <w:rPr>
          <w:b/>
          <w:bCs/>
          <w:color w:val="000000" w:themeColor="text1"/>
          <w:sz w:val="40"/>
          <w:szCs w:val="40"/>
          <w:u w:val="dotted"/>
          <w:lang w:val="en-IN"/>
        </w:rPr>
      </w:pPr>
    </w:p>
    <w:p w14:paraId="49BCBEFE" w14:textId="3A13EDE5" w:rsidR="00876B5D" w:rsidRDefault="00876B5D" w:rsidP="00936EBE">
      <w:pPr>
        <w:spacing w:line="276" w:lineRule="auto"/>
        <w:jc w:val="center"/>
        <w:rPr>
          <w:b/>
          <w:bCs/>
          <w:color w:val="000000" w:themeColor="text1"/>
          <w:sz w:val="40"/>
          <w:szCs w:val="40"/>
          <w:u w:val="dotted"/>
          <w:lang w:val="en-IN"/>
        </w:rPr>
      </w:pPr>
    </w:p>
    <w:p w14:paraId="5E401D9B" w14:textId="14E8EB71" w:rsidR="00735123" w:rsidRDefault="00735123" w:rsidP="00936EBE">
      <w:pPr>
        <w:spacing w:line="276" w:lineRule="auto"/>
        <w:jc w:val="center"/>
        <w:rPr>
          <w:b/>
          <w:bCs/>
          <w:color w:val="000000" w:themeColor="text1"/>
          <w:sz w:val="40"/>
          <w:szCs w:val="40"/>
          <w:u w:val="dotted"/>
          <w:lang w:val="en-IN"/>
        </w:rPr>
      </w:pPr>
    </w:p>
    <w:p w14:paraId="57B69D69" w14:textId="77777777" w:rsidR="00936EBE" w:rsidRPr="00936EBE" w:rsidRDefault="00936EBE" w:rsidP="00936EBE">
      <w:pPr>
        <w:spacing w:line="276" w:lineRule="auto"/>
        <w:jc w:val="center"/>
        <w:rPr>
          <w:b/>
          <w:bCs/>
          <w:color w:val="000000" w:themeColor="text1"/>
          <w:lang w:val="en-IN"/>
        </w:rPr>
      </w:pPr>
    </w:p>
    <w:p w14:paraId="13C1A462" w14:textId="77777777" w:rsidR="00936EBE" w:rsidRPr="00936EBE" w:rsidRDefault="00936EBE" w:rsidP="006079FA">
      <w:pPr>
        <w:spacing w:line="276" w:lineRule="auto"/>
        <w:rPr>
          <w:b/>
          <w:bCs/>
          <w:color w:val="000000" w:themeColor="text1"/>
          <w:sz w:val="36"/>
          <w:szCs w:val="36"/>
          <w:lang w:val="en-IN"/>
        </w:rPr>
      </w:pPr>
      <w:r w:rsidRPr="00936EBE">
        <w:rPr>
          <w:b/>
          <w:bCs/>
          <w:color w:val="000000" w:themeColor="text1"/>
          <w:sz w:val="36"/>
          <w:szCs w:val="36"/>
          <w:lang w:val="en-IN"/>
        </w:rPr>
        <w:t xml:space="preserve">Name: Panktibahen </w:t>
      </w:r>
      <w:proofErr w:type="spellStart"/>
      <w:r w:rsidRPr="00936EBE">
        <w:rPr>
          <w:b/>
          <w:bCs/>
          <w:color w:val="000000" w:themeColor="text1"/>
          <w:sz w:val="36"/>
          <w:szCs w:val="36"/>
          <w:lang w:val="en-IN"/>
        </w:rPr>
        <w:t>Mihirkumar</w:t>
      </w:r>
      <w:proofErr w:type="spellEnd"/>
      <w:r w:rsidRPr="00936EBE">
        <w:rPr>
          <w:b/>
          <w:bCs/>
          <w:color w:val="000000" w:themeColor="text1"/>
          <w:sz w:val="36"/>
          <w:szCs w:val="36"/>
          <w:lang w:val="en-IN"/>
        </w:rPr>
        <w:t xml:space="preserve"> Chaudhari</w:t>
      </w:r>
    </w:p>
    <w:p w14:paraId="06CBF1E9" w14:textId="77777777" w:rsidR="00936EBE" w:rsidRPr="00936EBE" w:rsidRDefault="00936EBE" w:rsidP="006079FA">
      <w:pPr>
        <w:spacing w:line="276" w:lineRule="auto"/>
        <w:rPr>
          <w:b/>
          <w:bCs/>
          <w:color w:val="000000" w:themeColor="text1"/>
          <w:sz w:val="36"/>
          <w:szCs w:val="36"/>
          <w:lang w:val="en-IN"/>
        </w:rPr>
      </w:pPr>
      <w:r w:rsidRPr="00936EBE">
        <w:rPr>
          <w:b/>
          <w:bCs/>
          <w:color w:val="000000" w:themeColor="text1"/>
          <w:sz w:val="36"/>
          <w:szCs w:val="36"/>
          <w:lang w:val="en-IN"/>
        </w:rPr>
        <w:t>Student id: 2504333</w:t>
      </w:r>
    </w:p>
    <w:p w14:paraId="590C34DC" w14:textId="7335399A" w:rsidR="00936EBE" w:rsidRPr="00936EBE" w:rsidRDefault="00936EBE" w:rsidP="006079FA">
      <w:pPr>
        <w:spacing w:line="276" w:lineRule="auto"/>
        <w:rPr>
          <w:b/>
          <w:bCs/>
          <w:color w:val="000000" w:themeColor="text1"/>
          <w:sz w:val="36"/>
          <w:szCs w:val="36"/>
          <w:lang w:val="en-IN"/>
        </w:rPr>
      </w:pPr>
      <w:r w:rsidRPr="00936EBE">
        <w:rPr>
          <w:b/>
          <w:bCs/>
          <w:color w:val="000000" w:themeColor="text1"/>
          <w:sz w:val="36"/>
          <w:szCs w:val="36"/>
          <w:lang w:val="en-IN"/>
        </w:rPr>
        <w:t xml:space="preserve">Supervisor: </w:t>
      </w:r>
      <w:proofErr w:type="spellStart"/>
      <w:proofErr w:type="gramStart"/>
      <w:r w:rsidRPr="00936EBE">
        <w:rPr>
          <w:b/>
          <w:bCs/>
          <w:color w:val="000000" w:themeColor="text1"/>
          <w:sz w:val="36"/>
          <w:szCs w:val="36"/>
          <w:lang w:val="en-IN"/>
        </w:rPr>
        <w:t>Dr.Caroline</w:t>
      </w:r>
      <w:proofErr w:type="spellEnd"/>
      <w:proofErr w:type="gramEnd"/>
      <w:r w:rsidRPr="00936EBE">
        <w:rPr>
          <w:b/>
          <w:bCs/>
          <w:color w:val="000000" w:themeColor="text1"/>
          <w:sz w:val="36"/>
          <w:szCs w:val="36"/>
          <w:lang w:val="en-IN"/>
        </w:rPr>
        <w:t xml:space="preserve"> Jawad</w:t>
      </w:r>
    </w:p>
    <w:p w14:paraId="4454C51F" w14:textId="29AAE404" w:rsidR="00936EBE" w:rsidRPr="00936EBE" w:rsidRDefault="00B97545" w:rsidP="006079FA">
      <w:pPr>
        <w:spacing w:line="276" w:lineRule="auto"/>
        <w:rPr>
          <w:b/>
          <w:bCs/>
          <w:color w:val="000000" w:themeColor="text1"/>
          <w:sz w:val="36"/>
          <w:szCs w:val="36"/>
          <w:lang w:val="en-IN"/>
        </w:rPr>
      </w:pPr>
      <w:r>
        <w:rPr>
          <w:b/>
          <w:bCs/>
          <w:color w:val="000000" w:themeColor="text1"/>
          <w:sz w:val="36"/>
          <w:szCs w:val="36"/>
          <w:lang w:val="en-IN"/>
        </w:rPr>
        <w:t>Module</w:t>
      </w:r>
      <w:r w:rsidR="00936EBE" w:rsidRPr="00936EBE">
        <w:rPr>
          <w:b/>
          <w:bCs/>
          <w:color w:val="000000" w:themeColor="text1"/>
          <w:sz w:val="36"/>
          <w:szCs w:val="36"/>
          <w:lang w:val="en-IN"/>
        </w:rPr>
        <w:t xml:space="preserve">: </w:t>
      </w:r>
      <w:r w:rsidR="004D047E">
        <w:rPr>
          <w:b/>
          <w:bCs/>
          <w:color w:val="000000" w:themeColor="text1"/>
          <w:sz w:val="36"/>
          <w:szCs w:val="36"/>
          <w:lang w:val="en-IN"/>
        </w:rPr>
        <w:t>Research principles and philosophy</w:t>
      </w:r>
      <w:r w:rsidR="00876B5D">
        <w:rPr>
          <w:b/>
          <w:bCs/>
          <w:color w:val="000000" w:themeColor="text1"/>
          <w:sz w:val="36"/>
          <w:szCs w:val="36"/>
          <w:lang w:val="en-IN"/>
        </w:rPr>
        <w:t xml:space="preserve"> </w:t>
      </w:r>
      <w:r w:rsidR="004D047E">
        <w:rPr>
          <w:b/>
          <w:bCs/>
          <w:color w:val="000000" w:themeColor="text1"/>
          <w:sz w:val="36"/>
          <w:szCs w:val="36"/>
          <w:lang w:val="en-IN"/>
        </w:rPr>
        <w:t>(LCDB</w:t>
      </w:r>
      <w:r w:rsidR="00876B5D">
        <w:rPr>
          <w:b/>
          <w:bCs/>
          <w:color w:val="000000" w:themeColor="text1"/>
          <w:sz w:val="36"/>
          <w:szCs w:val="36"/>
          <w:lang w:val="en-IN"/>
        </w:rPr>
        <w:t>7007)</w:t>
      </w:r>
    </w:p>
    <w:p w14:paraId="2E884584" w14:textId="5C2E2C96" w:rsidR="00936EBE" w:rsidRPr="00A72364" w:rsidRDefault="00936EBE" w:rsidP="006079FA">
      <w:pPr>
        <w:spacing w:line="276" w:lineRule="auto"/>
        <w:rPr>
          <w:b/>
          <w:bCs/>
          <w:color w:val="000000" w:themeColor="text1"/>
          <w:sz w:val="36"/>
          <w:szCs w:val="36"/>
          <w:lang w:val="en-IN"/>
        </w:rPr>
      </w:pPr>
      <w:r w:rsidRPr="00936EBE">
        <w:rPr>
          <w:b/>
          <w:bCs/>
          <w:color w:val="000000" w:themeColor="text1"/>
          <w:sz w:val="36"/>
          <w:szCs w:val="36"/>
          <w:lang w:val="en-IN"/>
        </w:rPr>
        <w:t>Topic: Generational Perspectives on QR Code Payment Adoption in Rural Gujarat</w:t>
      </w:r>
      <w:r w:rsidR="00101CE8">
        <w:rPr>
          <w:b/>
          <w:bCs/>
          <w:color w:val="000000" w:themeColor="text1"/>
          <w:sz w:val="36"/>
          <w:szCs w:val="36"/>
          <w:lang w:val="en-IN"/>
        </w:rPr>
        <w:t>.</w:t>
      </w:r>
    </w:p>
    <w:p w14:paraId="3CDF9E90" w14:textId="77777777" w:rsidR="00936EBE" w:rsidRPr="00936EBE" w:rsidRDefault="00936EBE" w:rsidP="006079FA">
      <w:pPr>
        <w:spacing w:line="276" w:lineRule="auto"/>
        <w:rPr>
          <w:b/>
          <w:bCs/>
          <w:color w:val="000000" w:themeColor="text1"/>
          <w:lang w:val="en-IN"/>
        </w:rPr>
      </w:pPr>
    </w:p>
    <w:p w14:paraId="69D2CA55" w14:textId="77777777" w:rsidR="00936EBE" w:rsidRPr="00936EBE" w:rsidRDefault="00936EBE" w:rsidP="006079FA">
      <w:pPr>
        <w:spacing w:line="276" w:lineRule="auto"/>
        <w:rPr>
          <w:b/>
          <w:bCs/>
          <w:color w:val="000000" w:themeColor="text1"/>
          <w:lang w:val="en-IN"/>
        </w:rPr>
      </w:pPr>
    </w:p>
    <w:p w14:paraId="56A91EC8" w14:textId="77777777" w:rsidR="00936EBE" w:rsidRPr="00936EBE" w:rsidRDefault="00936EBE" w:rsidP="006079FA">
      <w:pPr>
        <w:spacing w:line="276" w:lineRule="auto"/>
        <w:rPr>
          <w:b/>
          <w:bCs/>
          <w:color w:val="000000" w:themeColor="text1"/>
          <w:lang w:val="en-IN"/>
        </w:rPr>
      </w:pPr>
    </w:p>
    <w:p w14:paraId="310EBAD2" w14:textId="77777777" w:rsidR="00936EBE" w:rsidRPr="00936EBE" w:rsidRDefault="00936EBE" w:rsidP="00936EBE">
      <w:pPr>
        <w:spacing w:line="276" w:lineRule="auto"/>
        <w:jc w:val="both"/>
        <w:rPr>
          <w:b/>
          <w:bCs/>
          <w:color w:val="000000" w:themeColor="text1"/>
          <w:lang w:val="en-IN"/>
        </w:rPr>
      </w:pPr>
    </w:p>
    <w:p w14:paraId="1D21CDCD" w14:textId="77777777" w:rsidR="00936EBE" w:rsidRDefault="00936EBE" w:rsidP="00936EBE">
      <w:pPr>
        <w:spacing w:line="276" w:lineRule="auto"/>
        <w:jc w:val="both"/>
        <w:rPr>
          <w:b/>
          <w:bCs/>
          <w:color w:val="000000" w:themeColor="text1"/>
          <w:lang w:val="en-IN"/>
        </w:rPr>
      </w:pPr>
    </w:p>
    <w:p w14:paraId="615E1687" w14:textId="77777777" w:rsidR="006079FA" w:rsidRPr="00936EBE" w:rsidRDefault="006079FA" w:rsidP="00936EBE">
      <w:pPr>
        <w:spacing w:line="276" w:lineRule="auto"/>
        <w:jc w:val="both"/>
        <w:rPr>
          <w:b/>
          <w:bCs/>
          <w:color w:val="000000" w:themeColor="text1"/>
          <w:lang w:val="en-IN"/>
        </w:rPr>
      </w:pPr>
    </w:p>
    <w:sdt>
      <w:sdtPr>
        <w:rPr>
          <w:color w:val="000000" w:themeColor="text1"/>
        </w:rPr>
        <w:id w:val="-403147654"/>
        <w:docPartObj>
          <w:docPartGallery w:val="Table of Contents"/>
          <w:docPartUnique/>
        </w:docPartObj>
      </w:sdtPr>
      <w:sdtEndPr/>
      <w:sdtContent>
        <w:p w14:paraId="34E0FE33" w14:textId="77777777" w:rsidR="00936EBE" w:rsidRPr="00936EBE" w:rsidRDefault="00936EBE" w:rsidP="00936EBE">
          <w:pPr>
            <w:keepNext/>
            <w:keepLines/>
            <w:spacing w:before="240" w:after="0" w:line="276" w:lineRule="auto"/>
            <w:jc w:val="both"/>
            <w:rPr>
              <w:rFonts w:eastAsia="DengXian Light"/>
              <w:b/>
              <w:bCs/>
              <w:color w:val="000000" w:themeColor="text1"/>
              <w:sz w:val="32"/>
              <w:szCs w:val="32"/>
              <w:lang w:val="en-US" w:eastAsia="en-US"/>
            </w:rPr>
          </w:pPr>
          <w:r w:rsidRPr="00936EBE">
            <w:rPr>
              <w:rFonts w:eastAsia="DengXian Light"/>
              <w:b/>
              <w:bCs/>
              <w:color w:val="000000" w:themeColor="text1"/>
              <w:sz w:val="32"/>
              <w:szCs w:val="32"/>
              <w:lang w:val="en-US" w:eastAsia="en-US"/>
            </w:rPr>
            <w:t>Table of Contents</w:t>
          </w:r>
        </w:p>
        <w:p w14:paraId="3684C45E" w14:textId="77777777" w:rsidR="00936EBE" w:rsidRPr="00936EBE" w:rsidRDefault="00936EBE" w:rsidP="00936EBE">
          <w:pPr>
            <w:tabs>
              <w:tab w:val="right" w:leader="dot" w:pos="9350"/>
            </w:tabs>
            <w:spacing w:after="100" w:line="256" w:lineRule="auto"/>
            <w:rPr>
              <w:rFonts w:eastAsia="DengXian" w:cs="Shruti"/>
              <w:noProof/>
              <w:lang w:val="en-IN"/>
            </w:rPr>
          </w:pPr>
          <w:r w:rsidRPr="00936EBE">
            <w:rPr>
              <w:rFonts w:eastAsia="DengXian"/>
              <w:color w:val="000000" w:themeColor="text1"/>
              <w:sz w:val="22"/>
              <w:szCs w:val="22"/>
              <w:lang w:val="en-US" w:eastAsia="en-US"/>
            </w:rPr>
            <w:fldChar w:fldCharType="begin"/>
          </w:r>
          <w:r w:rsidRPr="00936EBE">
            <w:rPr>
              <w:rFonts w:eastAsia="DengXian"/>
              <w:color w:val="000000" w:themeColor="text1"/>
              <w:sz w:val="22"/>
              <w:szCs w:val="22"/>
              <w:lang w:val="en-US" w:eastAsia="en-US"/>
            </w:rPr>
            <w:instrText xml:space="preserve"> TOC \o "1-3" \h \z \u </w:instrText>
          </w:r>
          <w:r w:rsidRPr="00936EBE">
            <w:rPr>
              <w:rFonts w:eastAsia="DengXian"/>
              <w:color w:val="000000" w:themeColor="text1"/>
              <w:sz w:val="22"/>
              <w:szCs w:val="22"/>
              <w:lang w:val="en-US" w:eastAsia="en-US"/>
            </w:rPr>
            <w:fldChar w:fldCharType="separate"/>
          </w:r>
          <w:hyperlink r:id="rId9" w:anchor="_Toc220267994" w:history="1">
            <w:r w:rsidRPr="00936EBE">
              <w:rPr>
                <w:rFonts w:eastAsia="DengXian"/>
                <w:b/>
                <w:bCs/>
                <w:noProof/>
                <w:color w:val="0563C1" w:themeColor="hyperlink"/>
                <w:sz w:val="22"/>
                <w:szCs w:val="22"/>
                <w:u w:val="single"/>
                <w:lang w:val="en-IN" w:eastAsia="en-US"/>
              </w:rPr>
              <w:t>Introduction</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_Toc220267994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3</w:t>
            </w:r>
            <w:r w:rsidRPr="00936EBE">
              <w:rPr>
                <w:rFonts w:eastAsia="DengXian" w:cs="Times New Roman"/>
                <w:noProof/>
                <w:webHidden/>
                <w:sz w:val="22"/>
                <w:szCs w:val="22"/>
                <w:u w:val="single"/>
                <w:lang w:val="en-US" w:eastAsia="en-US"/>
              </w:rPr>
              <w:fldChar w:fldCharType="end"/>
            </w:r>
          </w:hyperlink>
        </w:p>
        <w:p w14:paraId="1E6E1BD3"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0" w:anchor="_Toc220267995" w:history="1">
            <w:r w:rsidRPr="00936EBE">
              <w:rPr>
                <w:rFonts w:eastAsia="DengXian"/>
                <w:b/>
                <w:bCs/>
                <w:noProof/>
                <w:color w:val="0563C1" w:themeColor="hyperlink"/>
                <w:sz w:val="22"/>
                <w:szCs w:val="22"/>
                <w:u w:val="single"/>
                <w:lang w:val="en-IN" w:eastAsia="en-US"/>
              </w:rPr>
              <w:t>Background and Context</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_Toc220267995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3</w:t>
            </w:r>
            <w:r w:rsidRPr="00936EBE">
              <w:rPr>
                <w:rFonts w:eastAsia="DengXian" w:cs="Times New Roman"/>
                <w:noProof/>
                <w:webHidden/>
                <w:sz w:val="22"/>
                <w:szCs w:val="22"/>
                <w:u w:val="single"/>
                <w:lang w:val="en-US" w:eastAsia="en-US"/>
              </w:rPr>
              <w:fldChar w:fldCharType="end"/>
            </w:r>
          </w:hyperlink>
        </w:p>
        <w:p w14:paraId="012E20AF"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1" w:anchor="_Toc220267996" w:history="1">
            <w:r w:rsidRPr="00936EBE">
              <w:rPr>
                <w:rFonts w:eastAsia="DengXian"/>
                <w:b/>
                <w:bCs/>
                <w:noProof/>
                <w:color w:val="0563C1" w:themeColor="hyperlink"/>
                <w:sz w:val="22"/>
                <w:szCs w:val="22"/>
                <w:u w:val="single"/>
                <w:lang w:val="en-IN" w:eastAsia="en-US"/>
              </w:rPr>
              <w:t>Research Problem Statement</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_Toc220267996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4</w:t>
            </w:r>
            <w:r w:rsidRPr="00936EBE">
              <w:rPr>
                <w:rFonts w:eastAsia="DengXian" w:cs="Times New Roman"/>
                <w:noProof/>
                <w:webHidden/>
                <w:sz w:val="22"/>
                <w:szCs w:val="22"/>
                <w:u w:val="single"/>
                <w:lang w:val="en-US" w:eastAsia="en-US"/>
              </w:rPr>
              <w:fldChar w:fldCharType="end"/>
            </w:r>
          </w:hyperlink>
        </w:p>
        <w:p w14:paraId="61A8816F"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2" w:anchor="_Toc220267997" w:history="1">
            <w:r w:rsidRPr="00936EBE">
              <w:rPr>
                <w:rFonts w:eastAsia="DengXian"/>
                <w:b/>
                <w:bCs/>
                <w:noProof/>
                <w:color w:val="0563C1" w:themeColor="hyperlink"/>
                <w:sz w:val="22"/>
                <w:szCs w:val="22"/>
                <w:u w:val="single"/>
                <w:lang w:val="en-IN" w:eastAsia="en-US"/>
              </w:rPr>
              <w:t>Research Questions and Objectives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_Toc220267997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5</w:t>
            </w:r>
            <w:r w:rsidRPr="00936EBE">
              <w:rPr>
                <w:rFonts w:eastAsia="DengXian" w:cs="Times New Roman"/>
                <w:noProof/>
                <w:webHidden/>
                <w:sz w:val="22"/>
                <w:szCs w:val="22"/>
                <w:u w:val="single"/>
                <w:lang w:val="en-US" w:eastAsia="en-US"/>
              </w:rPr>
              <w:fldChar w:fldCharType="end"/>
            </w:r>
          </w:hyperlink>
        </w:p>
        <w:p w14:paraId="187A7172"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3" w:anchor="_Toc220267998" w:history="1">
            <w:r w:rsidRPr="00936EBE">
              <w:rPr>
                <w:rFonts w:eastAsia="DengXian"/>
                <w:b/>
                <w:bCs/>
                <w:noProof/>
                <w:color w:val="0563C1" w:themeColor="hyperlink"/>
                <w:sz w:val="22"/>
                <w:szCs w:val="22"/>
                <w:u w:val="single"/>
                <w:lang w:val="en-IN" w:eastAsia="en-US"/>
              </w:rPr>
              <w:t>Significance of Research</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_Toc220267998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6</w:t>
            </w:r>
            <w:r w:rsidRPr="00936EBE">
              <w:rPr>
                <w:rFonts w:eastAsia="DengXian" w:cs="Times New Roman"/>
                <w:noProof/>
                <w:webHidden/>
                <w:sz w:val="22"/>
                <w:szCs w:val="22"/>
                <w:u w:val="single"/>
                <w:lang w:val="en-US" w:eastAsia="en-US"/>
              </w:rPr>
              <w:fldChar w:fldCharType="end"/>
            </w:r>
          </w:hyperlink>
        </w:p>
        <w:p w14:paraId="2C5ED37E" w14:textId="77777777" w:rsidR="00936EBE" w:rsidRPr="00936EBE" w:rsidRDefault="00936EBE" w:rsidP="00936EBE">
          <w:pPr>
            <w:tabs>
              <w:tab w:val="right" w:leader="dot" w:pos="9350"/>
            </w:tabs>
            <w:spacing w:after="100" w:line="256" w:lineRule="auto"/>
            <w:rPr>
              <w:rFonts w:eastAsia="DengXian" w:cs="Shruti"/>
              <w:noProof/>
              <w:lang w:val="en-IN"/>
            </w:rPr>
          </w:pPr>
          <w:hyperlink r:id="rId14" w:anchor="_Toc220267999" w:history="1">
            <w:r w:rsidRPr="00936EBE">
              <w:rPr>
                <w:rFonts w:eastAsia="DengXian"/>
                <w:b/>
                <w:bCs/>
                <w:noProof/>
                <w:color w:val="0563C1" w:themeColor="hyperlink"/>
                <w:sz w:val="22"/>
                <w:szCs w:val="22"/>
                <w:u w:val="single"/>
                <w:lang w:val="en-IN" w:eastAsia="en-US"/>
              </w:rPr>
              <w:t>Literature Review</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_Toc220267999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8</w:t>
            </w:r>
            <w:r w:rsidRPr="00936EBE">
              <w:rPr>
                <w:rFonts w:eastAsia="DengXian" w:cs="Times New Roman"/>
                <w:noProof/>
                <w:webHidden/>
                <w:sz w:val="22"/>
                <w:szCs w:val="22"/>
                <w:u w:val="single"/>
                <w:lang w:val="en-US" w:eastAsia="en-US"/>
              </w:rPr>
              <w:fldChar w:fldCharType="end"/>
            </w:r>
          </w:hyperlink>
        </w:p>
        <w:p w14:paraId="4CE461A3"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5" w:anchor="_Toc220268000" w:history="1">
            <w:r w:rsidRPr="00936EBE">
              <w:rPr>
                <w:rFonts w:eastAsia="DengXian"/>
                <w:b/>
                <w:bCs/>
                <w:noProof/>
                <w:color w:val="0563C1" w:themeColor="hyperlink"/>
                <w:sz w:val="22"/>
                <w:szCs w:val="22"/>
                <w:u w:val="single"/>
                <w:lang w:val="en-IN" w:eastAsia="en-US"/>
              </w:rPr>
              <w:t>Digital Payment Adoption in India</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_Toc220268000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8</w:t>
            </w:r>
            <w:r w:rsidRPr="00936EBE">
              <w:rPr>
                <w:rFonts w:eastAsia="DengXian" w:cs="Times New Roman"/>
                <w:noProof/>
                <w:webHidden/>
                <w:sz w:val="22"/>
                <w:szCs w:val="22"/>
                <w:u w:val="single"/>
                <w:lang w:val="en-US" w:eastAsia="en-US"/>
              </w:rPr>
              <w:fldChar w:fldCharType="end"/>
            </w:r>
          </w:hyperlink>
        </w:p>
        <w:p w14:paraId="70829463"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6" w:anchor="_Toc220268001" w:history="1">
            <w:r w:rsidRPr="00936EBE">
              <w:rPr>
                <w:rFonts w:eastAsia="DengXian"/>
                <w:b/>
                <w:bCs/>
                <w:noProof/>
                <w:color w:val="0563C1" w:themeColor="hyperlink"/>
                <w:sz w:val="22"/>
                <w:szCs w:val="22"/>
                <w:u w:val="single"/>
                <w:lang w:val="en-IN" w:eastAsia="en-US"/>
              </w:rPr>
              <w:t>Generational Differences in Technology Adoption</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_Toc220268001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9</w:t>
            </w:r>
            <w:r w:rsidRPr="00936EBE">
              <w:rPr>
                <w:rFonts w:eastAsia="DengXian" w:cs="Times New Roman"/>
                <w:noProof/>
                <w:webHidden/>
                <w:sz w:val="22"/>
                <w:szCs w:val="22"/>
                <w:u w:val="single"/>
                <w:lang w:val="en-US" w:eastAsia="en-US"/>
              </w:rPr>
              <w:fldChar w:fldCharType="end"/>
            </w:r>
          </w:hyperlink>
        </w:p>
        <w:p w14:paraId="5C838290"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7" w:anchor="_Toc220268002" w:history="1">
            <w:r w:rsidRPr="00936EBE">
              <w:rPr>
                <w:rFonts w:eastAsia="DengXian"/>
                <w:b/>
                <w:bCs/>
                <w:noProof/>
                <w:color w:val="0563C1" w:themeColor="hyperlink"/>
                <w:sz w:val="22"/>
                <w:szCs w:val="22"/>
                <w:u w:val="single"/>
                <w:lang w:val="en-US" w:eastAsia="en-US"/>
              </w:rPr>
              <w:t>Creswell’s five approaches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_Toc220268002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10</w:t>
            </w:r>
            <w:r w:rsidRPr="00936EBE">
              <w:rPr>
                <w:rFonts w:eastAsia="DengXian" w:cs="Times New Roman"/>
                <w:noProof/>
                <w:webHidden/>
                <w:sz w:val="22"/>
                <w:szCs w:val="22"/>
                <w:u w:val="single"/>
                <w:lang w:val="en-US" w:eastAsia="en-US"/>
              </w:rPr>
              <w:fldChar w:fldCharType="end"/>
            </w:r>
          </w:hyperlink>
        </w:p>
        <w:p w14:paraId="3C34BE08"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8" w:anchor="_Toc220268003" w:history="1">
            <w:r w:rsidRPr="00936EBE">
              <w:rPr>
                <w:rFonts w:eastAsia="DengXian"/>
                <w:b/>
                <w:bCs/>
                <w:noProof/>
                <w:color w:val="0563C1" w:themeColor="hyperlink"/>
                <w:sz w:val="22"/>
                <w:szCs w:val="22"/>
                <w:u w:val="single"/>
                <w:lang w:val="en-IN" w:eastAsia="en-US"/>
              </w:rPr>
              <w:t>Technology Acceptance Model and Extensions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_Toc220268003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11</w:t>
            </w:r>
            <w:r w:rsidRPr="00936EBE">
              <w:rPr>
                <w:rFonts w:eastAsia="DengXian" w:cs="Times New Roman"/>
                <w:noProof/>
                <w:webHidden/>
                <w:sz w:val="22"/>
                <w:szCs w:val="22"/>
                <w:u w:val="single"/>
                <w:lang w:val="en-US" w:eastAsia="en-US"/>
              </w:rPr>
              <w:fldChar w:fldCharType="end"/>
            </w:r>
          </w:hyperlink>
        </w:p>
        <w:p w14:paraId="4E6B0C13"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19" w:anchor="_Toc220268004" w:history="1">
            <w:r w:rsidRPr="00936EBE">
              <w:rPr>
                <w:rFonts w:eastAsia="DengXian"/>
                <w:b/>
                <w:bCs/>
                <w:noProof/>
                <w:color w:val="0563C1" w:themeColor="hyperlink"/>
                <w:sz w:val="22"/>
                <w:szCs w:val="22"/>
                <w:u w:val="single"/>
                <w:lang w:val="en-IN" w:eastAsia="en-US"/>
              </w:rPr>
              <w:t>Trust in Digital Financial Systems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_Toc220268004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12</w:t>
            </w:r>
            <w:r w:rsidRPr="00936EBE">
              <w:rPr>
                <w:rFonts w:eastAsia="DengXian" w:cs="Times New Roman"/>
                <w:noProof/>
                <w:webHidden/>
                <w:sz w:val="22"/>
                <w:szCs w:val="22"/>
                <w:u w:val="single"/>
                <w:lang w:val="en-US" w:eastAsia="en-US"/>
              </w:rPr>
              <w:fldChar w:fldCharType="end"/>
            </w:r>
          </w:hyperlink>
        </w:p>
        <w:p w14:paraId="7BBB2691"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0" w:anchor="_Toc220268005" w:history="1">
            <w:r w:rsidRPr="00936EBE">
              <w:rPr>
                <w:rFonts w:eastAsia="DengXian"/>
                <w:b/>
                <w:bCs/>
                <w:noProof/>
                <w:color w:val="0563C1" w:themeColor="hyperlink"/>
                <w:sz w:val="22"/>
                <w:szCs w:val="22"/>
                <w:u w:val="single"/>
                <w:lang w:val="en-IN" w:eastAsia="en-US"/>
              </w:rPr>
              <w:t>Gaps Addressed by This Research</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_Toc220268005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12</w:t>
            </w:r>
            <w:r w:rsidRPr="00936EBE">
              <w:rPr>
                <w:rFonts w:eastAsia="DengXian" w:cs="Times New Roman"/>
                <w:noProof/>
                <w:webHidden/>
                <w:sz w:val="22"/>
                <w:szCs w:val="22"/>
                <w:u w:val="single"/>
                <w:lang w:val="en-US" w:eastAsia="en-US"/>
              </w:rPr>
              <w:fldChar w:fldCharType="end"/>
            </w:r>
          </w:hyperlink>
        </w:p>
        <w:p w14:paraId="55C37792" w14:textId="77777777" w:rsidR="00936EBE" w:rsidRPr="00936EBE" w:rsidRDefault="00936EBE" w:rsidP="00936EBE">
          <w:pPr>
            <w:tabs>
              <w:tab w:val="right" w:leader="dot" w:pos="9350"/>
            </w:tabs>
            <w:spacing w:after="100" w:line="256" w:lineRule="auto"/>
            <w:rPr>
              <w:rFonts w:eastAsia="DengXian" w:cs="Shruti"/>
              <w:noProof/>
              <w:lang w:val="en-IN"/>
            </w:rPr>
          </w:pPr>
          <w:hyperlink r:id="rId21" w:anchor="_Toc220268006" w:history="1">
            <w:r w:rsidRPr="00936EBE">
              <w:rPr>
                <w:rFonts w:eastAsia="DengXian"/>
                <w:b/>
                <w:bCs/>
                <w:noProof/>
                <w:color w:val="0563C1" w:themeColor="hyperlink"/>
                <w:sz w:val="22"/>
                <w:szCs w:val="22"/>
                <w:u w:val="single"/>
                <w:lang w:val="en-IN" w:eastAsia="en-US"/>
              </w:rPr>
              <w:t>Theoretical Framework</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_Toc220268006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13</w:t>
            </w:r>
            <w:r w:rsidRPr="00936EBE">
              <w:rPr>
                <w:rFonts w:eastAsia="DengXian" w:cs="Times New Roman"/>
                <w:noProof/>
                <w:webHidden/>
                <w:sz w:val="22"/>
                <w:szCs w:val="22"/>
                <w:u w:val="single"/>
                <w:lang w:val="en-US" w:eastAsia="en-US"/>
              </w:rPr>
              <w:fldChar w:fldCharType="end"/>
            </w:r>
          </w:hyperlink>
        </w:p>
        <w:p w14:paraId="46CEEF49"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2" w:anchor="_Toc220268007" w:history="1">
            <w:r w:rsidRPr="00936EBE">
              <w:rPr>
                <w:rFonts w:eastAsia="DengXian"/>
                <w:b/>
                <w:bCs/>
                <w:noProof/>
                <w:color w:val="0563C1" w:themeColor="hyperlink"/>
                <w:sz w:val="22"/>
                <w:szCs w:val="22"/>
                <w:u w:val="single"/>
                <w:lang w:val="en-IN" w:eastAsia="en-US"/>
              </w:rPr>
              <w:t>Constructivist Paradigm</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_Toc220268007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13</w:t>
            </w:r>
            <w:r w:rsidRPr="00936EBE">
              <w:rPr>
                <w:rFonts w:eastAsia="DengXian" w:cs="Times New Roman"/>
                <w:noProof/>
                <w:webHidden/>
                <w:sz w:val="22"/>
                <w:szCs w:val="22"/>
                <w:u w:val="single"/>
                <w:lang w:val="en-US" w:eastAsia="en-US"/>
              </w:rPr>
              <w:fldChar w:fldCharType="end"/>
            </w:r>
          </w:hyperlink>
        </w:p>
        <w:p w14:paraId="0BBE95CB"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3" w:anchor="_Toc220268008" w:history="1">
            <w:r w:rsidRPr="00936EBE">
              <w:rPr>
                <w:rFonts w:eastAsia="DengXian"/>
                <w:b/>
                <w:bCs/>
                <w:noProof/>
                <w:color w:val="0563C1" w:themeColor="hyperlink"/>
                <w:sz w:val="22"/>
                <w:szCs w:val="22"/>
                <w:u w:val="single"/>
                <w:lang w:val="en-IN" w:eastAsia="en-US"/>
              </w:rPr>
              <w:t>Relevance to the Research Problem</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_Toc220268008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14</w:t>
            </w:r>
            <w:r w:rsidRPr="00936EBE">
              <w:rPr>
                <w:rFonts w:eastAsia="DengXian" w:cs="Times New Roman"/>
                <w:noProof/>
                <w:webHidden/>
                <w:sz w:val="22"/>
                <w:szCs w:val="22"/>
                <w:u w:val="single"/>
                <w:lang w:val="en-US" w:eastAsia="en-US"/>
              </w:rPr>
              <w:fldChar w:fldCharType="end"/>
            </w:r>
          </w:hyperlink>
        </w:p>
        <w:p w14:paraId="29855128"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4" w:anchor="_Toc220268009" w:history="1">
            <w:r w:rsidRPr="00936EBE">
              <w:rPr>
                <w:rFonts w:eastAsia="DengXian"/>
                <w:b/>
                <w:bCs/>
                <w:noProof/>
                <w:color w:val="0563C1" w:themeColor="hyperlink"/>
                <w:sz w:val="22"/>
                <w:szCs w:val="22"/>
                <w:u w:val="single"/>
                <w:lang w:val="en-IN" w:eastAsia="en-US"/>
              </w:rPr>
              <w:t>Technology Acceptance Model Through a Constructivist Lens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_Toc220268009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14</w:t>
            </w:r>
            <w:r w:rsidRPr="00936EBE">
              <w:rPr>
                <w:rFonts w:eastAsia="DengXian" w:cs="Times New Roman"/>
                <w:noProof/>
                <w:webHidden/>
                <w:sz w:val="22"/>
                <w:szCs w:val="22"/>
                <w:u w:val="single"/>
                <w:lang w:val="en-US" w:eastAsia="en-US"/>
              </w:rPr>
              <w:fldChar w:fldCharType="end"/>
            </w:r>
          </w:hyperlink>
        </w:p>
        <w:p w14:paraId="7A873F26" w14:textId="77777777" w:rsidR="00936EBE" w:rsidRPr="00936EBE" w:rsidRDefault="00936EBE" w:rsidP="00936EBE">
          <w:pPr>
            <w:tabs>
              <w:tab w:val="right" w:leader="dot" w:pos="9350"/>
            </w:tabs>
            <w:spacing w:after="100" w:line="256" w:lineRule="auto"/>
            <w:rPr>
              <w:rFonts w:eastAsia="DengXian" w:cs="Shruti"/>
              <w:noProof/>
              <w:lang w:val="en-IN"/>
            </w:rPr>
          </w:pPr>
          <w:hyperlink r:id="rId25" w:anchor="_Toc220268010" w:history="1">
            <w:r w:rsidRPr="00936EBE">
              <w:rPr>
                <w:rFonts w:eastAsia="DengXian"/>
                <w:b/>
                <w:bCs/>
                <w:noProof/>
                <w:color w:val="0563C1" w:themeColor="hyperlink"/>
                <w:sz w:val="22"/>
                <w:szCs w:val="22"/>
                <w:u w:val="single"/>
                <w:lang w:val="en-IN" w:eastAsia="en-US"/>
              </w:rPr>
              <w:t>Conceptual Framework</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_Toc220268010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15</w:t>
            </w:r>
            <w:r w:rsidRPr="00936EBE">
              <w:rPr>
                <w:rFonts w:eastAsia="DengXian" w:cs="Times New Roman"/>
                <w:noProof/>
                <w:webHidden/>
                <w:sz w:val="22"/>
                <w:szCs w:val="22"/>
                <w:u w:val="single"/>
                <w:lang w:val="en-US" w:eastAsia="en-US"/>
              </w:rPr>
              <w:fldChar w:fldCharType="end"/>
            </w:r>
          </w:hyperlink>
        </w:p>
        <w:p w14:paraId="318E89EB"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6" w:anchor="_Toc220268011" w:history="1">
            <w:r w:rsidRPr="00936EBE">
              <w:rPr>
                <w:rFonts w:eastAsia="DengXian"/>
                <w:b/>
                <w:bCs/>
                <w:noProof/>
                <w:color w:val="0563C1" w:themeColor="hyperlink"/>
                <w:sz w:val="22"/>
                <w:szCs w:val="22"/>
                <w:u w:val="single"/>
                <w:lang w:val="en-US" w:eastAsia="en-US"/>
              </w:rPr>
              <w:t>Figure 1: Conceptual framework</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_Toc220268011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16</w:t>
            </w:r>
            <w:r w:rsidRPr="00936EBE">
              <w:rPr>
                <w:rFonts w:eastAsia="DengXian" w:cs="Times New Roman"/>
                <w:noProof/>
                <w:webHidden/>
                <w:sz w:val="22"/>
                <w:szCs w:val="22"/>
                <w:u w:val="single"/>
                <w:lang w:val="en-US" w:eastAsia="en-US"/>
              </w:rPr>
              <w:fldChar w:fldCharType="end"/>
            </w:r>
          </w:hyperlink>
        </w:p>
        <w:p w14:paraId="444DD29D" w14:textId="77777777" w:rsidR="00936EBE" w:rsidRPr="00936EBE" w:rsidRDefault="00936EBE" w:rsidP="00936EBE">
          <w:pPr>
            <w:tabs>
              <w:tab w:val="right" w:leader="dot" w:pos="9350"/>
            </w:tabs>
            <w:spacing w:after="100" w:line="256" w:lineRule="auto"/>
            <w:rPr>
              <w:rFonts w:eastAsia="DengXian" w:cs="Shruti"/>
              <w:noProof/>
              <w:lang w:val="en-IN"/>
            </w:rPr>
          </w:pPr>
          <w:hyperlink r:id="rId27" w:anchor="_Toc220268012" w:history="1">
            <w:r w:rsidRPr="00936EBE">
              <w:rPr>
                <w:rFonts w:eastAsia="DengXian"/>
                <w:b/>
                <w:bCs/>
                <w:noProof/>
                <w:color w:val="0563C1" w:themeColor="hyperlink"/>
                <w:sz w:val="22"/>
                <w:szCs w:val="22"/>
                <w:u w:val="single"/>
                <w:lang w:val="en-IN" w:eastAsia="en-US"/>
              </w:rPr>
              <w:t>Research Methodology</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_Toc220268012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17</w:t>
            </w:r>
            <w:r w:rsidRPr="00936EBE">
              <w:rPr>
                <w:rFonts w:eastAsia="DengXian" w:cs="Times New Roman"/>
                <w:noProof/>
                <w:webHidden/>
                <w:sz w:val="22"/>
                <w:szCs w:val="22"/>
                <w:u w:val="single"/>
                <w:lang w:val="en-US" w:eastAsia="en-US"/>
              </w:rPr>
              <w:fldChar w:fldCharType="end"/>
            </w:r>
          </w:hyperlink>
        </w:p>
        <w:p w14:paraId="7895AD7E"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8" w:anchor="_Toc220268013" w:history="1">
            <w:r w:rsidRPr="00936EBE">
              <w:rPr>
                <w:rFonts w:eastAsia="DengXian"/>
                <w:b/>
                <w:bCs/>
                <w:noProof/>
                <w:color w:val="0563C1" w:themeColor="hyperlink"/>
                <w:sz w:val="22"/>
                <w:szCs w:val="22"/>
                <w:u w:val="single"/>
                <w:lang w:val="en-IN" w:eastAsia="en-US"/>
              </w:rPr>
              <w:t>Paradigmatic Foundations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_Toc220268013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17</w:t>
            </w:r>
            <w:r w:rsidRPr="00936EBE">
              <w:rPr>
                <w:rFonts w:eastAsia="DengXian" w:cs="Times New Roman"/>
                <w:noProof/>
                <w:webHidden/>
                <w:sz w:val="22"/>
                <w:szCs w:val="22"/>
                <w:u w:val="single"/>
                <w:lang w:val="en-US" w:eastAsia="en-US"/>
              </w:rPr>
              <w:fldChar w:fldCharType="end"/>
            </w:r>
          </w:hyperlink>
        </w:p>
        <w:p w14:paraId="212DC086"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29" w:anchor="_Toc220268014" w:history="1">
            <w:r w:rsidRPr="00936EBE">
              <w:rPr>
                <w:rFonts w:eastAsia="DengXian"/>
                <w:b/>
                <w:bCs/>
                <w:noProof/>
                <w:color w:val="0563C1" w:themeColor="hyperlink"/>
                <w:sz w:val="22"/>
                <w:szCs w:val="22"/>
                <w:u w:val="single"/>
                <w:lang w:val="en-IN" w:eastAsia="en-US"/>
              </w:rPr>
              <w:t>Methodological Approach: Interpretative Phenomenological Analysis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_Toc220268014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18</w:t>
            </w:r>
            <w:r w:rsidRPr="00936EBE">
              <w:rPr>
                <w:rFonts w:eastAsia="DengXian" w:cs="Times New Roman"/>
                <w:noProof/>
                <w:webHidden/>
                <w:sz w:val="22"/>
                <w:szCs w:val="22"/>
                <w:u w:val="single"/>
                <w:lang w:val="en-US" w:eastAsia="en-US"/>
              </w:rPr>
              <w:fldChar w:fldCharType="end"/>
            </w:r>
          </w:hyperlink>
        </w:p>
        <w:p w14:paraId="733F90FF" w14:textId="77777777" w:rsidR="00936EBE" w:rsidRPr="00936EBE" w:rsidRDefault="00936EBE" w:rsidP="00936EBE">
          <w:pPr>
            <w:tabs>
              <w:tab w:val="right" w:leader="dot" w:pos="9350"/>
            </w:tabs>
            <w:spacing w:after="100" w:line="256" w:lineRule="auto"/>
            <w:rPr>
              <w:rFonts w:eastAsia="DengXian" w:cs="Shruti"/>
              <w:noProof/>
              <w:lang w:val="en-IN"/>
            </w:rPr>
          </w:pPr>
          <w:hyperlink r:id="rId30" w:anchor="_Toc220268015" w:history="1">
            <w:r w:rsidRPr="00936EBE">
              <w:rPr>
                <w:rFonts w:eastAsia="DengXian"/>
                <w:b/>
                <w:bCs/>
                <w:noProof/>
                <w:color w:val="0563C1" w:themeColor="hyperlink"/>
                <w:sz w:val="22"/>
                <w:szCs w:val="22"/>
                <w:u w:val="single"/>
                <w:lang w:val="en-IN" w:eastAsia="en-US"/>
              </w:rPr>
              <w:t>Research Design and Sampling</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_Toc220268015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19</w:t>
            </w:r>
            <w:r w:rsidRPr="00936EBE">
              <w:rPr>
                <w:rFonts w:eastAsia="DengXian" w:cs="Times New Roman"/>
                <w:noProof/>
                <w:webHidden/>
                <w:sz w:val="22"/>
                <w:szCs w:val="22"/>
                <w:u w:val="single"/>
                <w:lang w:val="en-US" w:eastAsia="en-US"/>
              </w:rPr>
              <w:fldChar w:fldCharType="end"/>
            </w:r>
          </w:hyperlink>
        </w:p>
        <w:p w14:paraId="68AA68F1" w14:textId="77777777" w:rsidR="00936EBE" w:rsidRPr="00936EBE" w:rsidRDefault="00936EBE" w:rsidP="00936EBE">
          <w:pPr>
            <w:tabs>
              <w:tab w:val="right" w:leader="dot" w:pos="9350"/>
            </w:tabs>
            <w:spacing w:after="100" w:line="256" w:lineRule="auto"/>
            <w:rPr>
              <w:rFonts w:eastAsia="DengXian" w:cs="Shruti"/>
              <w:noProof/>
              <w:lang w:val="en-IN"/>
            </w:rPr>
          </w:pPr>
          <w:hyperlink r:id="rId31" w:anchor="_Toc220268016" w:history="1">
            <w:r w:rsidRPr="00936EBE">
              <w:rPr>
                <w:rFonts w:eastAsia="DengXian"/>
                <w:b/>
                <w:bCs/>
                <w:noProof/>
                <w:color w:val="0563C1" w:themeColor="hyperlink"/>
                <w:sz w:val="22"/>
                <w:szCs w:val="22"/>
                <w:u w:val="single"/>
                <w:lang w:val="en-US" w:eastAsia="en-US"/>
              </w:rPr>
              <w:t xml:space="preserve">Table 1 </w:t>
            </w:r>
            <w:r w:rsidRPr="00936EBE">
              <w:rPr>
                <w:rFonts w:eastAsia="DengXian"/>
                <w:b/>
                <w:bCs/>
                <w:noProof/>
                <w:color w:val="0563C1" w:themeColor="hyperlink"/>
                <w:sz w:val="22"/>
                <w:szCs w:val="22"/>
                <w:u w:val="single"/>
                <w:lang w:val="en-IN" w:eastAsia="en-US"/>
              </w:rPr>
              <w:t xml:space="preserve"> Generational Cohorts and Sampling Framework</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_Toc220268016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20</w:t>
            </w:r>
            <w:r w:rsidRPr="00936EBE">
              <w:rPr>
                <w:rFonts w:eastAsia="DengXian" w:cs="Times New Roman"/>
                <w:noProof/>
                <w:webHidden/>
                <w:sz w:val="22"/>
                <w:szCs w:val="22"/>
                <w:u w:val="single"/>
                <w:lang w:val="en-US" w:eastAsia="en-US"/>
              </w:rPr>
              <w:fldChar w:fldCharType="end"/>
            </w:r>
          </w:hyperlink>
        </w:p>
        <w:p w14:paraId="6C88CB60" w14:textId="77777777" w:rsidR="00936EBE" w:rsidRPr="00936EBE" w:rsidRDefault="00936EBE" w:rsidP="00936EBE">
          <w:pPr>
            <w:tabs>
              <w:tab w:val="right" w:leader="dot" w:pos="9350"/>
            </w:tabs>
            <w:spacing w:after="100" w:line="256" w:lineRule="auto"/>
            <w:rPr>
              <w:rFonts w:eastAsia="DengXian" w:cs="Shruti"/>
              <w:noProof/>
              <w:lang w:val="en-IN"/>
            </w:rPr>
          </w:pPr>
          <w:hyperlink r:id="rId32" w:anchor="_Toc220268017" w:history="1">
            <w:r w:rsidRPr="00936EBE">
              <w:rPr>
                <w:rFonts w:eastAsia="DengXian"/>
                <w:b/>
                <w:bCs/>
                <w:noProof/>
                <w:color w:val="0563C1" w:themeColor="hyperlink"/>
                <w:sz w:val="22"/>
                <w:szCs w:val="22"/>
                <w:u w:val="single"/>
                <w:lang w:val="en-IN" w:eastAsia="en-US"/>
              </w:rPr>
              <w:t>Data Collection Methods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_Toc220268017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20</w:t>
            </w:r>
            <w:r w:rsidRPr="00936EBE">
              <w:rPr>
                <w:rFonts w:eastAsia="DengXian" w:cs="Times New Roman"/>
                <w:noProof/>
                <w:webHidden/>
                <w:sz w:val="22"/>
                <w:szCs w:val="22"/>
                <w:u w:val="single"/>
                <w:lang w:val="en-US" w:eastAsia="en-US"/>
              </w:rPr>
              <w:fldChar w:fldCharType="end"/>
            </w:r>
          </w:hyperlink>
        </w:p>
        <w:p w14:paraId="56EF1C4F"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33" w:anchor="_Toc220268018" w:history="1">
            <w:r w:rsidRPr="00936EBE">
              <w:rPr>
                <w:rFonts w:eastAsia="DengXian"/>
                <w:b/>
                <w:bCs/>
                <w:noProof/>
                <w:color w:val="0563C1" w:themeColor="hyperlink"/>
                <w:sz w:val="22"/>
                <w:szCs w:val="22"/>
                <w:u w:val="single"/>
                <w:lang w:val="en-IN" w:eastAsia="en-US"/>
              </w:rPr>
              <w:t>Sample interview questions: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_Toc220268018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21</w:t>
            </w:r>
            <w:r w:rsidRPr="00936EBE">
              <w:rPr>
                <w:rFonts w:eastAsia="DengXian" w:cs="Times New Roman"/>
                <w:noProof/>
                <w:webHidden/>
                <w:sz w:val="22"/>
                <w:szCs w:val="22"/>
                <w:u w:val="single"/>
                <w:lang w:val="en-US" w:eastAsia="en-US"/>
              </w:rPr>
              <w:fldChar w:fldCharType="end"/>
            </w:r>
          </w:hyperlink>
        </w:p>
        <w:p w14:paraId="2E1DD50C" w14:textId="77777777" w:rsidR="00936EBE" w:rsidRPr="00936EBE" w:rsidRDefault="00936EBE" w:rsidP="00936EBE">
          <w:pPr>
            <w:tabs>
              <w:tab w:val="right" w:leader="dot" w:pos="9350"/>
            </w:tabs>
            <w:spacing w:after="100" w:line="256" w:lineRule="auto"/>
            <w:ind w:left="220"/>
            <w:rPr>
              <w:rFonts w:eastAsia="DengXian" w:cs="Shruti"/>
              <w:noProof/>
              <w:lang w:val="en-IN"/>
            </w:rPr>
          </w:pPr>
          <w:hyperlink r:id="rId34" w:anchor="_Toc220268019" w:history="1">
            <w:r w:rsidRPr="00936EBE">
              <w:rPr>
                <w:rFonts w:eastAsia="DengXian"/>
                <w:b/>
                <w:bCs/>
                <w:noProof/>
                <w:color w:val="0563C1" w:themeColor="hyperlink"/>
                <w:sz w:val="22"/>
                <w:szCs w:val="22"/>
                <w:u w:val="single"/>
                <w:lang w:val="en-IN" w:eastAsia="en-US"/>
              </w:rPr>
              <w:t>Data Analysis Procedures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_Toc220268019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21</w:t>
            </w:r>
            <w:r w:rsidRPr="00936EBE">
              <w:rPr>
                <w:rFonts w:eastAsia="DengXian" w:cs="Times New Roman"/>
                <w:noProof/>
                <w:webHidden/>
                <w:sz w:val="22"/>
                <w:szCs w:val="22"/>
                <w:u w:val="single"/>
                <w:lang w:val="en-US" w:eastAsia="en-US"/>
              </w:rPr>
              <w:fldChar w:fldCharType="end"/>
            </w:r>
          </w:hyperlink>
        </w:p>
        <w:p w14:paraId="4982F8BD" w14:textId="77777777" w:rsidR="00936EBE" w:rsidRPr="00936EBE" w:rsidRDefault="00936EBE" w:rsidP="00936EBE">
          <w:pPr>
            <w:tabs>
              <w:tab w:val="right" w:leader="dot" w:pos="9350"/>
            </w:tabs>
            <w:spacing w:after="100" w:line="256" w:lineRule="auto"/>
            <w:rPr>
              <w:rFonts w:eastAsia="DengXian" w:cs="Shruti"/>
              <w:noProof/>
              <w:lang w:val="en-IN"/>
            </w:rPr>
          </w:pPr>
          <w:hyperlink r:id="rId35" w:anchor="_Toc220268020" w:history="1">
            <w:r w:rsidRPr="00936EBE">
              <w:rPr>
                <w:rFonts w:eastAsia="DengXian"/>
                <w:b/>
                <w:bCs/>
                <w:noProof/>
                <w:color w:val="0563C1" w:themeColor="hyperlink"/>
                <w:sz w:val="22"/>
                <w:szCs w:val="22"/>
                <w:u w:val="single"/>
                <w:lang w:val="en-IN" w:eastAsia="en-US"/>
              </w:rPr>
              <w:t>Ethical Considerations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_Toc220268020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23</w:t>
            </w:r>
            <w:r w:rsidRPr="00936EBE">
              <w:rPr>
                <w:rFonts w:eastAsia="DengXian" w:cs="Times New Roman"/>
                <w:noProof/>
                <w:webHidden/>
                <w:sz w:val="22"/>
                <w:szCs w:val="22"/>
                <w:u w:val="single"/>
                <w:lang w:val="en-US" w:eastAsia="en-US"/>
              </w:rPr>
              <w:fldChar w:fldCharType="end"/>
            </w:r>
          </w:hyperlink>
        </w:p>
        <w:p w14:paraId="408D3A29" w14:textId="77777777" w:rsidR="00936EBE" w:rsidRPr="00936EBE" w:rsidRDefault="00936EBE" w:rsidP="00936EBE">
          <w:pPr>
            <w:tabs>
              <w:tab w:val="right" w:leader="dot" w:pos="9350"/>
            </w:tabs>
            <w:spacing w:after="100" w:line="256" w:lineRule="auto"/>
            <w:rPr>
              <w:rFonts w:eastAsia="DengXian" w:cs="Shruti"/>
              <w:noProof/>
              <w:lang w:val="en-IN"/>
            </w:rPr>
          </w:pPr>
          <w:hyperlink r:id="rId36" w:anchor="_Toc220268021" w:history="1">
            <w:r w:rsidRPr="00936EBE">
              <w:rPr>
                <w:rFonts w:eastAsia="DengXian"/>
                <w:b/>
                <w:bCs/>
                <w:noProof/>
                <w:color w:val="0563C1" w:themeColor="hyperlink"/>
                <w:sz w:val="22"/>
                <w:szCs w:val="22"/>
                <w:u w:val="single"/>
                <w:lang w:val="en-IN" w:eastAsia="en-US"/>
              </w:rPr>
              <w:t>Limitations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_Toc220268021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24</w:t>
            </w:r>
            <w:r w:rsidRPr="00936EBE">
              <w:rPr>
                <w:rFonts w:eastAsia="DengXian" w:cs="Times New Roman"/>
                <w:noProof/>
                <w:webHidden/>
                <w:sz w:val="22"/>
                <w:szCs w:val="22"/>
                <w:u w:val="single"/>
                <w:lang w:val="en-US" w:eastAsia="en-US"/>
              </w:rPr>
              <w:fldChar w:fldCharType="end"/>
            </w:r>
          </w:hyperlink>
        </w:p>
        <w:p w14:paraId="04FD0606" w14:textId="77777777" w:rsidR="00936EBE" w:rsidRPr="00936EBE" w:rsidRDefault="00936EBE" w:rsidP="00936EBE">
          <w:pPr>
            <w:tabs>
              <w:tab w:val="right" w:leader="dot" w:pos="9350"/>
            </w:tabs>
            <w:spacing w:after="100" w:line="256" w:lineRule="auto"/>
            <w:rPr>
              <w:rFonts w:eastAsia="DengXian" w:cs="Shruti"/>
              <w:noProof/>
              <w:lang w:val="en-IN"/>
            </w:rPr>
          </w:pPr>
          <w:hyperlink r:id="rId37" w:anchor="_Toc220268022" w:history="1">
            <w:r w:rsidRPr="00936EBE">
              <w:rPr>
                <w:rFonts w:eastAsia="DengXian"/>
                <w:b/>
                <w:bCs/>
                <w:noProof/>
                <w:color w:val="0563C1" w:themeColor="hyperlink"/>
                <w:sz w:val="22"/>
                <w:szCs w:val="22"/>
                <w:u w:val="single"/>
                <w:lang w:val="en-IN" w:eastAsia="en-US"/>
              </w:rPr>
              <w:t>References</w:t>
            </w:r>
            <w:r w:rsidRPr="00936EBE">
              <w:rPr>
                <w:rFonts w:eastAsia="DengXian" w:cs="Times New Roman"/>
                <w:noProof/>
                <w:webHidden/>
                <w:sz w:val="22"/>
                <w:szCs w:val="22"/>
                <w:u w:val="single"/>
                <w:lang w:val="en-US" w:eastAsia="en-US"/>
              </w:rPr>
              <w:tab/>
            </w:r>
            <w:r w:rsidRPr="00936EBE">
              <w:rPr>
                <w:rFonts w:eastAsia="DengXian" w:cs="Times New Roman"/>
                <w:noProof/>
                <w:webHidden/>
                <w:sz w:val="22"/>
                <w:szCs w:val="22"/>
                <w:u w:val="single"/>
                <w:lang w:val="en-US" w:eastAsia="en-US"/>
              </w:rPr>
              <w:fldChar w:fldCharType="begin"/>
            </w:r>
            <w:r w:rsidRPr="00936EBE">
              <w:rPr>
                <w:rFonts w:eastAsia="DengXian" w:cs="Times New Roman"/>
                <w:noProof/>
                <w:webHidden/>
                <w:sz w:val="22"/>
                <w:szCs w:val="22"/>
                <w:u w:val="single"/>
                <w:lang w:val="en-US" w:eastAsia="en-US"/>
              </w:rPr>
              <w:instrText xml:space="preserve"> PAGEREF _Toc220268022 \h </w:instrText>
            </w:r>
            <w:r w:rsidRPr="00936EBE">
              <w:rPr>
                <w:rFonts w:eastAsia="DengXian" w:cs="Times New Roman"/>
                <w:noProof/>
                <w:webHidden/>
                <w:sz w:val="22"/>
                <w:szCs w:val="22"/>
                <w:u w:val="single"/>
                <w:lang w:val="en-US" w:eastAsia="en-US"/>
              </w:rPr>
            </w:r>
            <w:r w:rsidRPr="00936EBE">
              <w:rPr>
                <w:rFonts w:eastAsia="DengXian" w:cs="Times New Roman"/>
                <w:noProof/>
                <w:webHidden/>
                <w:sz w:val="22"/>
                <w:szCs w:val="22"/>
                <w:u w:val="single"/>
                <w:lang w:val="en-US" w:eastAsia="en-US"/>
              </w:rPr>
              <w:fldChar w:fldCharType="separate"/>
            </w:r>
            <w:r w:rsidRPr="00936EBE">
              <w:rPr>
                <w:rFonts w:eastAsia="DengXian" w:cs="Times New Roman"/>
                <w:noProof/>
                <w:webHidden/>
                <w:sz w:val="22"/>
                <w:szCs w:val="22"/>
                <w:u w:val="single"/>
                <w:lang w:val="en-US" w:eastAsia="en-US"/>
              </w:rPr>
              <w:t>26</w:t>
            </w:r>
            <w:r w:rsidRPr="00936EBE">
              <w:rPr>
                <w:rFonts w:eastAsia="DengXian" w:cs="Times New Roman"/>
                <w:noProof/>
                <w:webHidden/>
                <w:sz w:val="22"/>
                <w:szCs w:val="22"/>
                <w:u w:val="single"/>
                <w:lang w:val="en-US" w:eastAsia="en-US"/>
              </w:rPr>
              <w:fldChar w:fldCharType="end"/>
            </w:r>
          </w:hyperlink>
        </w:p>
        <w:p w14:paraId="79DCC076" w14:textId="77777777" w:rsidR="00936EBE" w:rsidRPr="00936EBE" w:rsidRDefault="00936EBE" w:rsidP="00936EBE">
          <w:pPr>
            <w:spacing w:line="276" w:lineRule="auto"/>
            <w:jc w:val="both"/>
            <w:rPr>
              <w:color w:val="000000" w:themeColor="text1"/>
            </w:rPr>
          </w:pPr>
          <w:r w:rsidRPr="00936EBE">
            <w:rPr>
              <w:b/>
              <w:bCs/>
              <w:noProof/>
              <w:color w:val="000000" w:themeColor="text1"/>
            </w:rPr>
            <w:fldChar w:fldCharType="end"/>
          </w:r>
        </w:p>
      </w:sdtContent>
    </w:sdt>
    <w:p w14:paraId="24D0561F" w14:textId="77777777" w:rsidR="00936EBE" w:rsidRPr="00936EBE" w:rsidRDefault="00936EBE" w:rsidP="00936EBE">
      <w:pPr>
        <w:spacing w:line="276" w:lineRule="auto"/>
        <w:jc w:val="both"/>
        <w:rPr>
          <w:b/>
          <w:bCs/>
          <w:color w:val="000000" w:themeColor="text1"/>
          <w:lang w:val="en-IN"/>
        </w:rPr>
      </w:pPr>
    </w:p>
    <w:p w14:paraId="6784A26D"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US"/>
        </w:rPr>
      </w:pPr>
      <w:bookmarkStart w:id="1" w:name="_Toc220267994"/>
      <w:r w:rsidRPr="00936EBE">
        <w:rPr>
          <w:rFonts w:eastAsia="DengXian Light"/>
          <w:b/>
          <w:bCs/>
          <w:color w:val="000000" w:themeColor="text1"/>
          <w:sz w:val="32"/>
          <w:szCs w:val="32"/>
          <w:lang w:val="en-IN"/>
        </w:rPr>
        <w:lastRenderedPageBreak/>
        <w:t>Introduction</w:t>
      </w:r>
      <w:bookmarkEnd w:id="1"/>
      <w:r w:rsidRPr="00936EBE">
        <w:rPr>
          <w:rFonts w:eastAsia="DengXian Light"/>
          <w:b/>
          <w:bCs/>
          <w:color w:val="000000" w:themeColor="text1"/>
          <w:sz w:val="32"/>
          <w:szCs w:val="32"/>
          <w:lang w:val="en-IN"/>
        </w:rPr>
        <w:t xml:space="preserve"> </w:t>
      </w:r>
    </w:p>
    <w:p w14:paraId="66580E28"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US"/>
        </w:rPr>
      </w:pPr>
      <w:bookmarkStart w:id="2" w:name="_Toc220267995"/>
      <w:r w:rsidRPr="00936EBE">
        <w:rPr>
          <w:rFonts w:eastAsia="DengXian Light"/>
          <w:b/>
          <w:bCs/>
          <w:color w:val="000000" w:themeColor="text1"/>
          <w:sz w:val="28"/>
          <w:szCs w:val="28"/>
          <w:lang w:val="en-IN"/>
        </w:rPr>
        <w:t>Background and Context</w:t>
      </w:r>
      <w:bookmarkEnd w:id="2"/>
    </w:p>
    <w:p w14:paraId="5B23F736"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In 2016, the Indian government initiated a demonetisation policy which significantly influenced people’s willingness to adopt cashless transactions, resulting in the growth of digital payment infrastructures across both urban and rural India (Patil et al., 2020). Payment systems based on Quick Response (QR) Codes are the most important innovations because payment systems are easily integrated into other systems and are inexpensive, making digital financial inclusion much easier in areas where the banking system is poorly developed (Rathore, 2020). According to the Reserve Bank of India, the volume of digital payment transactions doubled to reach about 7,422 crores in the financial year 2021-2022, compared to the previous year (2022). However, the growth of digital financial payments in rural areas is much lower than in urban areas.</w:t>
      </w:r>
    </w:p>
    <w:p w14:paraId="0DCFB4ED"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Gujarat, despite its relative wealth compared to most other states in the country, showcases great disparities in the use of digital payments, especially when comparing the urban to the rural parts of the state (Sharma &amp; Gutiérrez, 2010). There lies a curious rural digital payments phenomenon in Gujarat, in that rural communities, which have access to mobile phones, tend to have little digital literacy, if any, and a lack of trust in any form of transactional virtual (Dodiya &amp; Mistry, 2021). The situation in the rural communities of Gujarat, which have access to the digital devices, creates an unusual paradox where, despite a substantial digital payment infrastructure being available, high levels of rural payment digital infrastructure usage will remain limited if there is little acceptance of technological payment systems </w:t>
      </w:r>
      <w:r w:rsidRPr="00936EBE">
        <w:t>(Cham et al., 2022)</w:t>
      </w:r>
      <w:r w:rsidRPr="00936EBE">
        <w:rPr>
          <w:color w:val="000000" w:themeColor="text1"/>
          <w:lang w:val="en-IN"/>
        </w:rPr>
        <w:t>.</w:t>
      </w:r>
    </w:p>
    <w:p w14:paraId="745CA78F"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Much work already exists which illustrates that the absence of digital payments in rural Gujarat is a deliberate choice, rather than the absence of a payment system being a purely technological or economic issue (Venkatesh et al, 2003). Each cohort, having grown up in different generations, tend to have their own unique set of experiences, expectations, and issues concerning the use of, especially, payments systems, which have varying cash or digital payment systems that define their everyday lives (Cham et al, 2023). The cash-dominant older generations likely to have a more sceptical or apprehensive stance towards any digital payments system. In contrast, a more technologically-savvy younger cohort, tends to have greater acceptance of the system if the privacy and security vulnerabilities resulting from the use of the digital payment system have been adequately addressed (Karina, 2024).</w:t>
      </w:r>
    </w:p>
    <w:p w14:paraId="21951362"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In rural areas, the generational aspect becomes evident as members of the extended family interact daily around financial decision-making. In such contexts, the adoption of new payment technologies should not be seen as a personal decision, but rather, as a social process that involves intergenerational negotiation, teaching, and conflict. (Wang et al. 2021). These intergenerational and social negotiation dynamics call for a move beyond the individualistic </w:t>
      </w:r>
      <w:r w:rsidRPr="00936EBE">
        <w:rPr>
          <w:color w:val="000000" w:themeColor="text1"/>
          <w:lang w:val="en-IN"/>
        </w:rPr>
        <w:lastRenderedPageBreak/>
        <w:t>models of technology acceptance, and towards an understanding of the meaning-making processes that take place within families and communities.</w:t>
      </w:r>
    </w:p>
    <w:p w14:paraId="6F1568F2"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In rural Gujarat, the use of QR code payments illustrates the influence of intergenerational and sociocultural dynamics as they interact with technological infrastructure. In rural areas, as opposed to urban areas, where there is a mixture of payment options, QR code payment systems are often the sole and primary alternative to cash. This limited choice of payment options results in heightened socio-economic consequences that stem from the acceptance or rejection of QR code payment systems.</w:t>
      </w:r>
    </w:p>
    <w:p w14:paraId="2367FDA8"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Insufficient investigation continues to permeate the realms of the emotional and social intricacies surrounding the adoption of digital payment systems in the academic literature. Although demographic and adoption rate correlations have been established in the quantitative literature, researchers have yet to address the complexities of individual and collective encounters with new payment technologies, regarding the fears, hopes, and sense making activities (Davis et al., 1989). Factors such as trust, perceived digital and general system safety, and confidence, require inquiry and measurements beyond the quantitative. These factors are multi-layered, making the investigation challenging, and require the intricacies of qualitative methodologies. Rural populations have varied language competency, formal education, and patterns of deference and relations to authority and financial institutions which, collectively and individually, shape how such populations understand and respond to digital payments (Dodiya and Mistry, 2021).</w:t>
      </w:r>
    </w:p>
    <w:p w14:paraId="677AE5AE"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3" w:name="_Toc220267996"/>
      <w:r w:rsidRPr="00936EBE">
        <w:rPr>
          <w:rFonts w:eastAsia="DengXian Light"/>
          <w:b/>
          <w:bCs/>
          <w:color w:val="000000" w:themeColor="text1"/>
          <w:sz w:val="28"/>
          <w:szCs w:val="28"/>
          <w:lang w:val="en-IN"/>
        </w:rPr>
        <w:t>Research Problem Statement</w:t>
      </w:r>
      <w:bookmarkEnd w:id="3"/>
    </w:p>
    <w:p w14:paraId="70CA2145"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India has advanced its digital payment systems, but there is a gap in understanding how people use QR code payment systems, and how this differs across generations in rural areas. Much of the available research has focused on the automation of correlation analyses of demographic variables and technology use in rural areas (Vatsa et al., 2023). These works provide valuable numerical understanding, but lack insights into the use of payment technologies across generations in rural areas, and the cultural, social, and individual factors affecting that use.</w:t>
      </w:r>
    </w:p>
    <w:p w14:paraId="156B44D6"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This gap in scholarship is not due to the inquiry of whether payment technologies are used. Rural communities in Gujarat also have distinct challenges from urban populations, such as lower formal education, and unique social, cultural, and economic relationships and practices of money and trust (Patil et al., 2020). These factors, combined with the rural digital payment technologies, provide unique experiences pertaining to the acceptance and resistance of technology in rural areas </w:t>
      </w:r>
      <w:r w:rsidRPr="00936EBE">
        <w:t>(Creswell and Poth, 2018)</w:t>
      </w:r>
      <w:r w:rsidRPr="00936EBE">
        <w:rPr>
          <w:color w:val="000000" w:themeColor="text1"/>
          <w:lang w:val="en-IN"/>
        </w:rPr>
        <w:t>.</w:t>
      </w:r>
    </w:p>
    <w:p w14:paraId="4F3C8774"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Specifically, there is no literature on digital payments in India's rural areas which addresses the construction of trust, the experience of confidence in the digital world, and the crossing of technological change hurdles through a generational divide. This is a serious concern because </w:t>
      </w:r>
      <w:r w:rsidRPr="00936EBE">
        <w:rPr>
          <w:color w:val="000000" w:themeColor="text1"/>
          <w:lang w:val="en-IN"/>
        </w:rPr>
        <w:lastRenderedPageBreak/>
        <w:t>policy change and the introduction of new technologies are unlikely to have the desired outcome, and may even create new exclusions, if the target population's lived experience is not considered (Rathore, 2020). Research which is claimed to represent the interests of rural people, especially the elders who may be digitally marginalised, does not include their experiences.</w:t>
      </w:r>
    </w:p>
    <w:p w14:paraId="60255271"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This research is designed to fill the gap and aims to find out how various generations in rural Gujarat experience, understand, and make sense of QR code payment systems in their daily activities. Instead of trying to predict or assess the acceptance of the new technology </w:t>
      </w:r>
      <w:proofErr w:type="gramStart"/>
      <w:r w:rsidRPr="00936EBE">
        <w:rPr>
          <w:color w:val="000000" w:themeColor="text1"/>
          <w:lang w:val="en-IN"/>
        </w:rPr>
        <w:t>in order to</w:t>
      </w:r>
      <w:proofErr w:type="gramEnd"/>
      <w:r w:rsidRPr="00936EBE">
        <w:rPr>
          <w:color w:val="000000" w:themeColor="text1"/>
          <w:lang w:val="en-IN"/>
        </w:rPr>
        <w:t xml:space="preserve"> measure its success, this research tries to understand how people banking digitally experience and interpret the intercultural shifts required to adopt new technologies in their daily lives. The study aims to understand how trust, safety, and digital skills are defined and how these definitions shape the willingness to use QR payment systems.</w:t>
      </w:r>
    </w:p>
    <w:p w14:paraId="12D8A912"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This research problem is particularly important because understanding these lived experiences will inform more culturally sensitive and contextually appropriate ways to assist digital financial inclusion. By centring the voices and perspectives of rural community members across several generations, this study aims to offer insights that appreciate the sophistication of the human experience while illuminating the human dimensions of the technology transition in rural India.</w:t>
      </w:r>
    </w:p>
    <w:p w14:paraId="1CDAE039"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4" w:name="_Toc220267997"/>
      <w:r w:rsidRPr="00936EBE">
        <w:rPr>
          <w:rFonts w:eastAsia="DengXian Light"/>
          <w:b/>
          <w:bCs/>
          <w:color w:val="000000" w:themeColor="text1"/>
          <w:sz w:val="28"/>
          <w:szCs w:val="28"/>
          <w:lang w:val="en-IN"/>
        </w:rPr>
        <w:t>Research Questions and Objectives</w:t>
      </w:r>
      <w:bookmarkEnd w:id="4"/>
    </w:p>
    <w:p w14:paraId="13D8A587"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The central research questions guiding this inquiry are designed to explore the lived experiences and meaning-making processes of individuals across different generations as they encounter and engage with QR code payment systems in rural Gujarat:</w:t>
      </w:r>
    </w:p>
    <w:p w14:paraId="7952F612" w14:textId="77777777" w:rsidR="00936EBE" w:rsidRPr="00936EBE" w:rsidRDefault="00936EBE" w:rsidP="00936EBE">
      <w:pPr>
        <w:numPr>
          <w:ilvl w:val="0"/>
          <w:numId w:val="3"/>
        </w:numPr>
        <w:spacing w:line="276" w:lineRule="auto"/>
        <w:jc w:val="both"/>
        <w:rPr>
          <w:color w:val="000000" w:themeColor="text1"/>
          <w:lang w:val="en-IN"/>
        </w:rPr>
      </w:pPr>
      <w:r w:rsidRPr="00936EBE">
        <w:rPr>
          <w:color w:val="000000" w:themeColor="text1"/>
          <w:lang w:val="en-IN"/>
        </w:rPr>
        <w:t>How do lived experiences, habits, and preferences regarding financial transactions across diverse age groups inform their engagement with digital payment systems?</w:t>
      </w:r>
    </w:p>
    <w:p w14:paraId="7EB6FC0F" w14:textId="77777777" w:rsidR="00936EBE" w:rsidRPr="00936EBE" w:rsidRDefault="00936EBE" w:rsidP="00936EBE">
      <w:pPr>
        <w:numPr>
          <w:ilvl w:val="0"/>
          <w:numId w:val="3"/>
        </w:numPr>
        <w:spacing w:line="276" w:lineRule="auto"/>
        <w:jc w:val="both"/>
        <w:rPr>
          <w:color w:val="000000" w:themeColor="text1"/>
          <w:lang w:val="en-IN"/>
        </w:rPr>
      </w:pPr>
      <w:r w:rsidRPr="00936EBE">
        <w:rPr>
          <w:color w:val="000000" w:themeColor="text1"/>
          <w:lang w:val="en-IN"/>
        </w:rPr>
        <w:t>How do individuals across different generations experience the adoption and integration of QR code payments into their daily financial lives?</w:t>
      </w:r>
    </w:p>
    <w:p w14:paraId="4CF0BE77" w14:textId="77777777" w:rsidR="00936EBE" w:rsidRPr="00936EBE" w:rsidRDefault="00936EBE" w:rsidP="00936EBE">
      <w:pPr>
        <w:numPr>
          <w:ilvl w:val="0"/>
          <w:numId w:val="3"/>
        </w:numPr>
        <w:spacing w:line="276" w:lineRule="auto"/>
        <w:jc w:val="both"/>
        <w:rPr>
          <w:color w:val="000000" w:themeColor="text1"/>
          <w:lang w:val="en-IN"/>
        </w:rPr>
      </w:pPr>
      <w:r w:rsidRPr="00936EBE">
        <w:rPr>
          <w:color w:val="000000" w:themeColor="text1"/>
          <w:lang w:val="en-IN"/>
        </w:rPr>
        <w:t>How do participants describe their experiences of trust, safety, and digital confidence when encountering QR payment technologies?</w:t>
      </w:r>
    </w:p>
    <w:p w14:paraId="4AC7AE2D" w14:textId="77777777" w:rsidR="00936EBE" w:rsidRPr="00936EBE" w:rsidRDefault="00936EBE" w:rsidP="00936EBE">
      <w:pPr>
        <w:numPr>
          <w:ilvl w:val="0"/>
          <w:numId w:val="3"/>
        </w:numPr>
        <w:spacing w:line="276" w:lineRule="auto"/>
        <w:jc w:val="both"/>
        <w:rPr>
          <w:color w:val="000000" w:themeColor="text1"/>
          <w:lang w:val="en-IN"/>
        </w:rPr>
      </w:pPr>
      <w:r w:rsidRPr="00936EBE">
        <w:rPr>
          <w:color w:val="000000" w:themeColor="text1"/>
          <w:lang w:val="en-IN"/>
        </w:rPr>
        <w:t>How do participants envision meaningful and supportive conditions for engaging with digital payment systems?</w:t>
      </w:r>
    </w:p>
    <w:p w14:paraId="6971D11B"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In accordance with previous interpretations of the theory (Creswell and </w:t>
      </w:r>
      <w:proofErr w:type="spellStart"/>
      <w:r w:rsidRPr="00936EBE">
        <w:rPr>
          <w:color w:val="000000" w:themeColor="text1"/>
          <w:lang w:val="en-IN"/>
        </w:rPr>
        <w:t>Poth</w:t>
      </w:r>
      <w:proofErr w:type="spellEnd"/>
      <w:r w:rsidRPr="00936EBE">
        <w:rPr>
          <w:color w:val="000000" w:themeColor="text1"/>
          <w:lang w:val="en-IN"/>
        </w:rPr>
        <w:t>, 2018), the questions are meant to be general and exploratory. Open the door to understanding (rather than explaining or predicting). The questions are designed to be answered by participants by expressing their own lived experiences, which elicits a process of thematic and meaning discovery that may not be accounted for by prior theory.</w:t>
      </w:r>
    </w:p>
    <w:p w14:paraId="4E6FF411"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lastRenderedPageBreak/>
        <w:t xml:space="preserve">These research questions require a qualitative approach because they seek to understand </w:t>
      </w:r>
      <w:r w:rsidRPr="00936EBE">
        <w:rPr>
          <w:i/>
          <w:iCs/>
          <w:color w:val="000000" w:themeColor="text1"/>
          <w:lang w:val="en-IN"/>
        </w:rPr>
        <w:t>how</w:t>
      </w:r>
      <w:r w:rsidRPr="00936EBE">
        <w:rPr>
          <w:color w:val="000000" w:themeColor="text1"/>
          <w:lang w:val="en-IN"/>
        </w:rPr>
        <w:t xml:space="preserve"> individuals experience, interpret, and emotionally respond to QR code payment systems within their everyday lives. Quantitative methods are limited to measuring predefined variables and adoption outcomes and are unable to capture the relational, emotional, and culturally embedded meanings that shape technology use in rural Gujarat </w:t>
      </w:r>
      <w:r w:rsidRPr="00936EBE">
        <w:t>(Dodiya and Mistry, 2021)</w:t>
      </w:r>
      <w:r w:rsidRPr="00936EBE">
        <w:rPr>
          <w:color w:val="000000" w:themeColor="text1"/>
          <w:lang w:val="en-IN"/>
        </w:rPr>
        <w:t>.</w:t>
      </w:r>
    </w:p>
    <w:p w14:paraId="37F3024C"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Issues such as trust, intergenerational negotiation, fear of financial loss, confidence, and moral responsibility within families are not reducible to numerical indicators. As Creswell and </w:t>
      </w:r>
      <w:proofErr w:type="spellStart"/>
      <w:r w:rsidRPr="00936EBE">
        <w:rPr>
          <w:color w:val="000000" w:themeColor="text1"/>
          <w:lang w:val="en-IN"/>
        </w:rPr>
        <w:t>Poth</w:t>
      </w:r>
      <w:proofErr w:type="spellEnd"/>
      <w:r w:rsidRPr="00936EBE">
        <w:rPr>
          <w:color w:val="000000" w:themeColor="text1"/>
          <w:lang w:val="en-IN"/>
        </w:rPr>
        <w:t xml:space="preserve"> (2018) argue, qualitative inquiry is most appropriate when the researcher aims to explore lived experience, meaning-making, and social context. This study therefore adopts a qualitative interpretive design to foreground participants’ voices and experiences rather than imposing externally defined success metrics.</w:t>
      </w:r>
    </w:p>
    <w:p w14:paraId="00ABFA73"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The research objectives that support these questions include:</w:t>
      </w:r>
    </w:p>
    <w:p w14:paraId="60B3C346" w14:textId="77777777" w:rsidR="00936EBE" w:rsidRPr="00936EBE" w:rsidRDefault="00936EBE" w:rsidP="00936EBE">
      <w:pPr>
        <w:numPr>
          <w:ilvl w:val="0"/>
          <w:numId w:val="4"/>
        </w:numPr>
        <w:spacing w:line="276" w:lineRule="auto"/>
        <w:jc w:val="both"/>
        <w:rPr>
          <w:color w:val="000000" w:themeColor="text1"/>
          <w:lang w:val="en-IN"/>
        </w:rPr>
      </w:pPr>
      <w:r w:rsidRPr="00936EBE">
        <w:rPr>
          <w:color w:val="000000" w:themeColor="text1"/>
          <w:lang w:val="en-IN"/>
        </w:rPr>
        <w:t>To explore and interpret the habits, preferences, and experiences of financial transaction practices across diverse age groups in rural Gujarat.</w:t>
      </w:r>
    </w:p>
    <w:p w14:paraId="6B5748CB" w14:textId="77777777" w:rsidR="00936EBE" w:rsidRPr="00936EBE" w:rsidRDefault="00936EBE" w:rsidP="00936EBE">
      <w:pPr>
        <w:numPr>
          <w:ilvl w:val="0"/>
          <w:numId w:val="4"/>
        </w:numPr>
        <w:spacing w:line="276" w:lineRule="auto"/>
        <w:jc w:val="both"/>
        <w:rPr>
          <w:color w:val="000000" w:themeColor="text1"/>
          <w:lang w:val="en-IN"/>
        </w:rPr>
      </w:pPr>
      <w:r w:rsidRPr="00936EBE">
        <w:rPr>
          <w:color w:val="000000" w:themeColor="text1"/>
          <w:lang w:val="en-IN"/>
        </w:rPr>
        <w:t>To analyse how these habits and preferences shape users' subjective experiences of QR code payment adoption by examining their motivations, emotional responses, and cognitive perceptions.</w:t>
      </w:r>
    </w:p>
    <w:p w14:paraId="0E907C6D" w14:textId="77777777" w:rsidR="00936EBE" w:rsidRPr="00936EBE" w:rsidRDefault="00936EBE" w:rsidP="00936EBE">
      <w:pPr>
        <w:numPr>
          <w:ilvl w:val="0"/>
          <w:numId w:val="4"/>
        </w:numPr>
        <w:spacing w:line="276" w:lineRule="auto"/>
        <w:jc w:val="both"/>
        <w:rPr>
          <w:color w:val="000000" w:themeColor="text1"/>
          <w:lang w:val="en-IN"/>
        </w:rPr>
      </w:pPr>
      <w:r w:rsidRPr="00936EBE">
        <w:rPr>
          <w:color w:val="000000" w:themeColor="text1"/>
          <w:lang w:val="en-IN"/>
        </w:rPr>
        <w:t>To investigate how participants construct understandings of security, ease of use, and perceived value in relation to QR payment technologies.</w:t>
      </w:r>
    </w:p>
    <w:p w14:paraId="58020BA2" w14:textId="77777777" w:rsidR="00936EBE" w:rsidRPr="00936EBE" w:rsidRDefault="00936EBE" w:rsidP="00936EBE">
      <w:pPr>
        <w:numPr>
          <w:ilvl w:val="0"/>
          <w:numId w:val="4"/>
        </w:numPr>
        <w:spacing w:line="276" w:lineRule="auto"/>
        <w:jc w:val="both"/>
        <w:rPr>
          <w:color w:val="000000" w:themeColor="text1"/>
          <w:lang w:val="en-IN"/>
        </w:rPr>
      </w:pPr>
      <w:r w:rsidRPr="00936EBE">
        <w:rPr>
          <w:color w:val="000000" w:themeColor="text1"/>
          <w:lang w:val="en-IN"/>
        </w:rPr>
        <w:t>To understand what participants, describe as supportive conditions for digital payment adoption within their specific cultural and social contexts.</w:t>
      </w:r>
    </w:p>
    <w:p w14:paraId="61851BDE"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The formulation of these objectives is consistent with an epistemology of interpretivism, where understanding and meaning-making (rather than measurement and intervention) is emphasized. Respecting participant’s perspectives and lived experiences is the hallmark of the research.</w:t>
      </w:r>
    </w:p>
    <w:p w14:paraId="4A8B0191"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5" w:name="_Toc220267998"/>
      <w:r w:rsidRPr="00936EBE">
        <w:rPr>
          <w:rFonts w:eastAsia="DengXian Light"/>
          <w:b/>
          <w:bCs/>
          <w:color w:val="000000" w:themeColor="text1"/>
          <w:sz w:val="28"/>
          <w:szCs w:val="28"/>
          <w:lang w:val="en-IN"/>
        </w:rPr>
        <w:t>Significance of Research</w:t>
      </w:r>
      <w:bookmarkEnd w:id="5"/>
    </w:p>
    <w:p w14:paraId="51C8036C"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The present research is significant on several counts. From a scholarly perspective, the interpretive scholarship on the adoption of technologies in the Global South is still emerging and contributes to the literature (Venkatesh et al., 2003) which is still largely dominated by numerical and quantitative approaches and Western perspectives. This study, by giving voice to the rural Indian communities, challenges the assumptions of universality and brings to the forefront the cultural and inter-generational aspects of people’s relationships with technology in the modern world </w:t>
      </w:r>
      <w:r w:rsidRPr="00936EBE">
        <w:t>(Dodiya and Mistry, 2021)</w:t>
      </w:r>
      <w:r w:rsidRPr="00936EBE">
        <w:rPr>
          <w:color w:val="000000" w:themeColor="text1"/>
          <w:lang w:val="en-IN"/>
        </w:rPr>
        <w:t>.</w:t>
      </w:r>
    </w:p>
    <w:p w14:paraId="013827B8"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lastRenderedPageBreak/>
        <w:t xml:space="preserve">The studies based on the Technology Acceptance Model and the structure have been conducting research on the possible theoretical applications of the effect of age differentiation and its extensive analytical consequences on groups following an exploration as considering no more than a demographic characteristic. The study will be helpful in developing the theoretical in the context of grasping the differences in how the cross-generational historical memories, socio-cultural conditioning, and life stage of the individuals, and the meanings attached to the constructs of digital payment. The socio- technological paradigms that are developed would produce innovations which are created and construed, in the extreme, in the latter generations, and a very large number of economic resources are available in their youth. Economic and technological frames of reference are specific to each successive generation of people based on those years that they were in. That is why, the different cohorts can generate and perceive innovations in different ways (Davis et al., 1989).  </w:t>
      </w:r>
    </w:p>
    <w:p w14:paraId="62587D62"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The given research is an example of phenomenology, where technology is applied </w:t>
      </w:r>
      <w:proofErr w:type="gramStart"/>
      <w:r w:rsidRPr="00936EBE">
        <w:rPr>
          <w:color w:val="000000" w:themeColor="text1"/>
          <w:lang w:val="en-IN"/>
        </w:rPr>
        <w:t>in the area of</w:t>
      </w:r>
      <w:proofErr w:type="gramEnd"/>
      <w:r w:rsidRPr="00936EBE">
        <w:rPr>
          <w:color w:val="000000" w:themeColor="text1"/>
          <w:lang w:val="en-IN"/>
        </w:rPr>
        <w:t xml:space="preserve"> adoption. The methodology is a </w:t>
      </w:r>
      <w:proofErr w:type="spellStart"/>
      <w:r w:rsidRPr="00936EBE">
        <w:rPr>
          <w:color w:val="000000" w:themeColor="text1"/>
          <w:lang w:val="en-IN"/>
        </w:rPr>
        <w:t>modeling</w:t>
      </w:r>
      <w:proofErr w:type="spellEnd"/>
      <w:r w:rsidRPr="00936EBE">
        <w:rPr>
          <w:color w:val="000000" w:themeColor="text1"/>
          <w:lang w:val="en-IN"/>
        </w:rPr>
        <w:t xml:space="preserve"> of an alternative to the prevailing positivistic direction of the extant body of phenomenology. We apply phenomenology in a more reductive and associative way i.e. that way in the present research is value in depth as opposed to value in breadth. This method has been </w:t>
      </w:r>
      <w:proofErr w:type="gramStart"/>
      <w:r w:rsidRPr="00936EBE">
        <w:rPr>
          <w:color w:val="000000" w:themeColor="text1"/>
          <w:lang w:val="en-IN"/>
        </w:rPr>
        <w:t>in a position</w:t>
      </w:r>
      <w:proofErr w:type="gramEnd"/>
      <w:r w:rsidRPr="00936EBE">
        <w:rPr>
          <w:color w:val="000000" w:themeColor="text1"/>
          <w:lang w:val="en-IN"/>
        </w:rPr>
        <w:t xml:space="preserve"> to measure dimensions of experience in the process of adoption that would otherwise be hidden because of larger frameworks or area of study. As a complement to vibrate and contextual facile information, useful findings can contribute to the existing body of knowledge and offer social and contextual data which are offered by mathematical data.</w:t>
      </w:r>
    </w:p>
    <w:p w14:paraId="77CEF3A3"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The research conducted in this area has practical consequences as well as the community, policymakers and techno adopters that are engaged in attempts to promote the idea of digital financial inclusion. All generations of people interpret and sense QR payment systems in different ways, and that perception could be used to hone the process of assisting them to adopt in more considerate and tailored modes of approach. The non adoption is considered by the stakeholders through the prism of education and/or incentives, yet the study can make individuals see the sincere issues, culture, and experiences that drive people to make decisions regarding technology. The shift between the deficit thinking to comprehending inquiry is a good step towards more respectful work with rural communities and is an excellent input (Helsper and Eynon, 2010).</w:t>
      </w:r>
    </w:p>
    <w:p w14:paraId="5965B41E"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Depriving rural Gujarat of the opportunity to hear from the community members who </w:t>
      </w:r>
      <w:proofErr w:type="gramStart"/>
      <w:r w:rsidRPr="00936EBE">
        <w:rPr>
          <w:color w:val="000000" w:themeColor="text1"/>
          <w:lang w:val="en-IN"/>
        </w:rPr>
        <w:t>have to</w:t>
      </w:r>
      <w:proofErr w:type="gramEnd"/>
      <w:r w:rsidRPr="00936EBE">
        <w:rPr>
          <w:color w:val="000000" w:themeColor="text1"/>
          <w:lang w:val="en-IN"/>
        </w:rPr>
        <w:t xml:space="preserve"> live with the consequences is a glaring omission of this research. Instead of community members being treated as passive participants of a technological change, this research recognizes them as active participants who are entitled to make their own choices and sense of the technology as they see fit. This research should better frame the discussion on digital transformation in rural </w:t>
      </w:r>
      <w:r w:rsidRPr="00936EBE">
        <w:rPr>
          <w:color w:val="000000" w:themeColor="text1"/>
          <w:lang w:val="en-IN"/>
        </w:rPr>
        <w:lastRenderedPageBreak/>
        <w:t xml:space="preserve">India, and the inclusion of people who have lived with the consequences of exclusion suggests that inclusion should be more than just technological access </w:t>
      </w:r>
      <w:r w:rsidRPr="00936EBE">
        <w:t>(Karina, 2024)</w:t>
      </w:r>
      <w:r w:rsidRPr="00936EBE">
        <w:rPr>
          <w:color w:val="000000" w:themeColor="text1"/>
          <w:lang w:val="en-IN"/>
        </w:rPr>
        <w:t>.</w:t>
      </w:r>
    </w:p>
    <w:p w14:paraId="2DBBBF23"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IN"/>
        </w:rPr>
      </w:pPr>
      <w:bookmarkStart w:id="6" w:name="_Toc220267999"/>
      <w:r w:rsidRPr="00936EBE">
        <w:rPr>
          <w:rFonts w:eastAsia="DengXian Light"/>
          <w:b/>
          <w:bCs/>
          <w:color w:val="000000" w:themeColor="text1"/>
          <w:sz w:val="32"/>
          <w:szCs w:val="32"/>
          <w:lang w:val="en-IN"/>
        </w:rPr>
        <w:t>Literature Review</w:t>
      </w:r>
      <w:bookmarkEnd w:id="6"/>
      <w:r w:rsidRPr="00936EBE">
        <w:rPr>
          <w:rFonts w:eastAsia="DengXian Light"/>
          <w:b/>
          <w:bCs/>
          <w:color w:val="000000" w:themeColor="text1"/>
          <w:sz w:val="32"/>
          <w:szCs w:val="32"/>
          <w:lang w:val="en-IN"/>
        </w:rPr>
        <w:t xml:space="preserve"> </w:t>
      </w:r>
    </w:p>
    <w:p w14:paraId="16A06C32"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Recently, the literature on the adoption of digital payments in India has expanded in the context of the increasing importance of the country, the rapid development of digital payment systems, and the need for understanding technology-infused financial inclusion in developing economies. This literature review aims to integrate the main findings across the following four interconnected strands of research: digital payment adoption in India, inter-generational discrepancies regarding the adoption of technology, the Technology Acceptance </w:t>
      </w:r>
      <w:proofErr w:type="gramStart"/>
      <w:r w:rsidRPr="00936EBE">
        <w:rPr>
          <w:color w:val="000000" w:themeColor="text1"/>
          <w:lang w:val="en-US"/>
        </w:rPr>
        <w:t>Model</w:t>
      </w:r>
      <w:proofErr w:type="gramEnd"/>
      <w:r w:rsidRPr="00936EBE">
        <w:rPr>
          <w:color w:val="000000" w:themeColor="text1"/>
          <w:lang w:val="en-US"/>
        </w:rPr>
        <w:t xml:space="preserve"> and its extensions, and finally, trust in digital financial systems </w:t>
      </w:r>
      <w:r w:rsidRPr="00936EBE">
        <w:t>(Lincoln and Guba, 2000)</w:t>
      </w:r>
      <w:r w:rsidRPr="00936EBE">
        <w:rPr>
          <w:color w:val="000000" w:themeColor="text1"/>
          <w:lang w:val="en-US"/>
        </w:rPr>
        <w:t>. This review has achieved its aim of bringing to the fore some of the significantly under-researched themes, that have been the focus of the present research.</w:t>
      </w:r>
    </w:p>
    <w:p w14:paraId="236382C6"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7" w:name="_Toc220268000"/>
      <w:r w:rsidRPr="00936EBE">
        <w:rPr>
          <w:rFonts w:eastAsia="DengXian Light"/>
          <w:b/>
          <w:bCs/>
          <w:color w:val="000000" w:themeColor="text1"/>
          <w:sz w:val="28"/>
          <w:szCs w:val="28"/>
          <w:lang w:val="en-IN"/>
        </w:rPr>
        <w:t>Digital Payment Adoption in India</w:t>
      </w:r>
      <w:bookmarkEnd w:id="7"/>
    </w:p>
    <w:p w14:paraId="3B9C99C8"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Research inquiries into the phenomenon of digital payments and their adoption practices in India post the 2016 demonetization exercises, which have the characteristics of a ‘natural’ experimental study (Patil et al., 2019), in addition to the explanation and predictions made in Polat et al, (2019) regarding the impact of a ‘policy shock’ on the immediate </w:t>
      </w:r>
      <w:proofErr w:type="spellStart"/>
      <w:r w:rsidRPr="00936EBE">
        <w:rPr>
          <w:color w:val="000000" w:themeColor="text1"/>
          <w:lang w:val="en-US"/>
        </w:rPr>
        <w:t>behavioural</w:t>
      </w:r>
      <w:proofErr w:type="spellEnd"/>
      <w:r w:rsidRPr="00936EBE">
        <w:rPr>
          <w:color w:val="000000" w:themeColor="text1"/>
          <w:lang w:val="en-US"/>
        </w:rPr>
        <w:t xml:space="preserve"> disruptions on payment practices in India. Studies immediately post demonetization focused on and employed primary quantitative methods and techniques, including but not limited to large scale surveys and secondary transactional data analyses which aided in the mapping of demographic and socio-economic regional adoption of payment practices on a continuum. Rapid adoption of payment practices in urban areas, and continued disparate rural- urban digital payment use, were documented in the published works </w:t>
      </w:r>
      <w:r w:rsidRPr="00936EBE">
        <w:t>(Priya et al., 2018)</w:t>
      </w:r>
      <w:r w:rsidRPr="00936EBE">
        <w:rPr>
          <w:color w:val="000000" w:themeColor="text1"/>
          <w:lang w:val="en-US"/>
        </w:rPr>
        <w:t xml:space="preserve">.  </w:t>
      </w:r>
    </w:p>
    <w:p w14:paraId="01C45BD0"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Rathore went on to present digital payment adoption use in India, through the empirical evidence provided, and the Technology Acceptance Model in which he postulates the perceived ease of use, safety and security, social factors, and perceived value, as strong predictors of digital payment adoption intention (Rathore, 2020). This provided evidence that the factors were present, and hence </w:t>
      </w:r>
      <w:proofErr w:type="gramStart"/>
      <w:r w:rsidRPr="00936EBE">
        <w:rPr>
          <w:color w:val="000000" w:themeColor="text1"/>
          <w:lang w:val="en-US"/>
        </w:rPr>
        <w:t>similar to</w:t>
      </w:r>
      <w:proofErr w:type="gramEnd"/>
      <w:r w:rsidRPr="00936EBE">
        <w:rPr>
          <w:color w:val="000000" w:themeColor="text1"/>
          <w:lang w:val="en-US"/>
        </w:rPr>
        <w:t xml:space="preserve"> the western world. However, the study also provided details of the unique use of digital payments in relation to cash social economies and the cash use culture in India, as well as their complexity as factors that do not ease the narrative of the simple diffusion of technology.</w:t>
      </w:r>
    </w:p>
    <w:p w14:paraId="6502D8FB" w14:textId="77777777" w:rsidR="00936EBE" w:rsidRPr="00936EBE" w:rsidRDefault="00936EBE" w:rsidP="00936EBE">
      <w:pPr>
        <w:spacing w:line="276" w:lineRule="auto"/>
        <w:jc w:val="both"/>
        <w:rPr>
          <w:color w:val="000000" w:themeColor="text1"/>
          <w:lang w:val="en-US"/>
        </w:rPr>
      </w:pPr>
      <w:proofErr w:type="gramStart"/>
      <w:r w:rsidRPr="00936EBE">
        <w:rPr>
          <w:color w:val="000000" w:themeColor="text1"/>
          <w:lang w:val="en-US"/>
        </w:rPr>
        <w:t>With regard to</w:t>
      </w:r>
      <w:proofErr w:type="gramEnd"/>
      <w:r w:rsidRPr="00936EBE">
        <w:rPr>
          <w:color w:val="000000" w:themeColor="text1"/>
          <w:lang w:val="en-US"/>
        </w:rPr>
        <w:t xml:space="preserve"> research on rural contexts, the additional intricacies that the urban studies lack come to the fore. Dodiya and Mistry (2021) identify major barriers such as low levels of digital literacy, worries about the safety of transactions, lack of appropriate technology, and cultural inclinations toward cash. Particularly noteworthy is the fact that their research showed that the </w:t>
      </w:r>
      <w:r w:rsidRPr="00936EBE">
        <w:rPr>
          <w:color w:val="000000" w:themeColor="text1"/>
          <w:lang w:val="en-US"/>
        </w:rPr>
        <w:lastRenderedPageBreak/>
        <w:t xml:space="preserve">rural sector is not constrained by such barriers on the individual level, but by higher order, structural barriers of no or low internet connectivity, a lack of infrastructure to support merchant acceptance, and a lack of tiered support to guide users on functions, systems, and applications, which, in turn, highlights the lack of adequate infrastructure that sustains such barriers on adoption as an individual choice or willingness </w:t>
      </w:r>
      <w:r w:rsidRPr="00936EBE">
        <w:t>(Dwivedi et al., 2017)</w:t>
      </w:r>
      <w:r w:rsidRPr="00936EBE">
        <w:rPr>
          <w:color w:val="000000" w:themeColor="text1"/>
          <w:lang w:val="en-US"/>
        </w:rPr>
        <w:t xml:space="preserve">.  </w:t>
      </w:r>
    </w:p>
    <w:p w14:paraId="394B0BA6"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study by Priya et al. (2018) assessed the rural m-banking adoption in India in the context of the Unified Theory of Acceptance and Use of Technology and concluded that performance expectancy, effort expectancy, and social influence had considerable effects on the m-banking adoption intention; facilitated condition moderated the relationship between the m-banking adoption intention and its actual application. The emphasis on peer pressure and social expectations, in these rural settings, whereby technological decisions are made in a social unit, not alone, emphasized the necessity to reformulate the models of adoption of collectivistic social settings that do not follow the same path as the West models of individualistic social environments. The recent studies discuss the sustainability of digital payments adoption (Patil et al., 2020). The adoption of digital payment has been researched in different perspectives, yet the first one is not sufficient satisfaction. Singh and Sinha examined the variables that have an influence on the further usage of the mobile payments and defined previous experiences and habitual using the service, perceived usefulness of the service, and usefulness to the community as the key ones (Singh and Sinha, 2020). The authors demonstrate that there is </w:t>
      </w:r>
      <w:proofErr w:type="gramStart"/>
      <w:r w:rsidRPr="00936EBE">
        <w:rPr>
          <w:color w:val="000000" w:themeColor="text1"/>
          <w:lang w:val="en-US"/>
        </w:rPr>
        <w:t>a large number of</w:t>
      </w:r>
      <w:proofErr w:type="gramEnd"/>
      <w:r w:rsidRPr="00936EBE">
        <w:rPr>
          <w:color w:val="000000" w:themeColor="text1"/>
          <w:lang w:val="en-US"/>
        </w:rPr>
        <w:t xml:space="preserve"> rural citizens who experiment with digital payments and after some time, they return to using cash. The authors emphasize the necessity of the support that extends beyond promotion tools.</w:t>
      </w:r>
    </w:p>
    <w:p w14:paraId="0F0AB075"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8" w:name="_Toc220268001"/>
      <w:r w:rsidRPr="00936EBE">
        <w:rPr>
          <w:rFonts w:eastAsia="DengXian Light"/>
          <w:b/>
          <w:bCs/>
          <w:color w:val="000000" w:themeColor="text1"/>
          <w:sz w:val="28"/>
          <w:szCs w:val="28"/>
          <w:lang w:val="en-IN"/>
        </w:rPr>
        <w:t>Generational Differences in Technology Adoption</w:t>
      </w:r>
      <w:bookmarkEnd w:id="8"/>
    </w:p>
    <w:p w14:paraId="2820211E"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While the phenomenon that various generational cohorts show different patterns of technology adoption is common knowledge, it has, however, been mainly studied in the Western world. It is in this context that Prensky's valuable distinction between digital natives and digital immigrants, which claims that these groups think and process information in fundamentally different ways, comes into play (Prensky, 2001). Although this binary approach has been rightfully criticized for oversimplifying the situation and for treating the generations as a single entity, it still raises critical questions about the impact of the technology that was present in the formative years of one's life on the attitude one has toward problems and innovations that arise in the world </w:t>
      </w:r>
      <w:r w:rsidRPr="00936EBE">
        <w:t>(Faqih and Jaradat, 2021)</w:t>
      </w:r>
      <w:r w:rsidRPr="00936EBE">
        <w:rPr>
          <w:color w:val="000000" w:themeColor="text1"/>
          <w:lang w:val="en-US"/>
        </w:rPr>
        <w:t>.</w:t>
      </w:r>
    </w:p>
    <w:p w14:paraId="73A3409B"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Studies examining older adults and the technology they adopt have shown low rates of technology adoption and have outlined specific barriers. One of these studies was conducted by Cham and others and it described the barriers older adults face in adopting mobile payment methods to which they cite the complexity of the technology, concerns of security, lack of perceived need, and a tendency to prefer traditional methods (Cham et al., 2022). The value of </w:t>
      </w:r>
      <w:r w:rsidRPr="00936EBE">
        <w:rPr>
          <w:color w:val="000000" w:themeColor="text1"/>
          <w:lang w:val="en-US"/>
        </w:rPr>
        <w:lastRenderedPageBreak/>
        <w:t xml:space="preserve">this research is that it investigated the thought process and experience of older adults, and consequently </w:t>
      </w:r>
      <w:proofErr w:type="gramStart"/>
      <w:r w:rsidRPr="00936EBE">
        <w:rPr>
          <w:color w:val="000000" w:themeColor="text1"/>
          <w:lang w:val="en-US"/>
        </w:rPr>
        <w:t>is able to</w:t>
      </w:r>
      <w:proofErr w:type="gramEnd"/>
      <w:r w:rsidRPr="00936EBE">
        <w:rPr>
          <w:color w:val="000000" w:themeColor="text1"/>
          <w:lang w:val="en-US"/>
        </w:rPr>
        <w:t xml:space="preserve"> show that the opposition does not owe itself to a fear of technology, which is a common misconception, but it is simply a rational approach to the challenges of mobile payment methods </w:t>
      </w:r>
      <w:r w:rsidRPr="00936EBE">
        <w:t>(Faqih and Jaradat, 2021)</w:t>
      </w:r>
      <w:r w:rsidRPr="00936EBE">
        <w:rPr>
          <w:color w:val="000000" w:themeColor="text1"/>
          <w:lang w:val="en-US"/>
        </w:rPr>
        <w:t>.</w:t>
      </w:r>
    </w:p>
    <w:p w14:paraId="58F269CD"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studies conducted in Asia completed in Faqih and Jaradat academically focus on two areas at the same time: the role of culture in the acceptance of new technology and the influence of culture on the generational gap. It was found that there is a difference \ in the perception of the usefulness of technology and ease of use between different groups in terms of demography and culture. Faqih and Jaradat demonstrated that technology adoption models developed in the West cannot be applied as is. There is a need for culturally driven models that take into consideration the differences in values and the social order </w:t>
      </w:r>
      <w:r w:rsidRPr="00936EBE">
        <w:rPr>
          <w:rFonts w:cs="Cambria"/>
          <w:szCs w:val="22"/>
        </w:rPr>
        <w:t>(Schwandt, 2000)</w:t>
      </w:r>
      <w:r w:rsidRPr="00936EBE">
        <w:rPr>
          <w:color w:val="000000" w:themeColor="text1"/>
          <w:lang w:val="en-US"/>
        </w:rPr>
        <w:t xml:space="preserve">. </w:t>
      </w:r>
    </w:p>
    <w:p w14:paraId="66D1C219"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relationship between generations technology adoption and usage in families in India by Kumar and Sharma (2019) has been documented and an observation has been made that it is the younger members of the family, who the authors describe as technological intermediaries, that assist older family members in using new technology. It is the older family members that rely on the younger members for assistance in using new technology. There is a paradox in this relationship as the older family members assist in using new technology, and at the same time, lose their autonomy in the process and experience a reduction in self-competence. The authors argue that in a collectivist culture, technology adoption rests on the family as a social unit, and in this case, it is the younger members of the family who lose their autonomy </w:t>
      </w:r>
      <w:r w:rsidRPr="00936EBE">
        <w:t>(Rathore, 2020)</w:t>
      </w:r>
      <w:r w:rsidRPr="00936EBE">
        <w:rPr>
          <w:color w:val="000000" w:themeColor="text1"/>
          <w:lang w:val="en-US"/>
        </w:rPr>
        <w:t>.</w:t>
      </w:r>
    </w:p>
    <w:p w14:paraId="1810371D"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Recent studies have scrutinized the tendency to view differences in generations' attitudes and behavior from a singular deterministic perspective and noted that the variation </w:t>
      </w:r>
      <w:proofErr w:type="gramStart"/>
      <w:r w:rsidRPr="00936EBE">
        <w:rPr>
          <w:color w:val="000000" w:themeColor="text1"/>
          <w:lang w:val="en-US"/>
        </w:rPr>
        <w:t>in a given</w:t>
      </w:r>
      <w:proofErr w:type="gramEnd"/>
      <w:r w:rsidRPr="00936EBE">
        <w:rPr>
          <w:color w:val="000000" w:themeColor="text1"/>
          <w:lang w:val="en-US"/>
        </w:rPr>
        <w:t xml:space="preserve"> generation is frequently greater than the variation that spans generations. Further, the studies posit that education, prior technology experience, and individual openness to new experiences are more important than the generation a person belongs to (Helsper and Eynon, 2010). This perspective calls for a methodological approach that explores generational differences while avoiding the improper and disproportionate construction of generational boxes, and the assumption of homogeneity among the members of a given cohort.</w:t>
      </w:r>
    </w:p>
    <w:p w14:paraId="411F1AF1"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rPr>
      </w:pPr>
      <w:bookmarkStart w:id="9" w:name="_Toc220268002"/>
      <w:r w:rsidRPr="00936EBE">
        <w:rPr>
          <w:rFonts w:eastAsia="DengXian Light"/>
          <w:b/>
          <w:bCs/>
          <w:color w:val="000000" w:themeColor="text1"/>
          <w:sz w:val="28"/>
          <w:szCs w:val="28"/>
        </w:rPr>
        <w:t>Creswell’s five approaches</w:t>
      </w:r>
      <w:bookmarkEnd w:id="9"/>
    </w:p>
    <w:p w14:paraId="61596D5C" w14:textId="77777777" w:rsidR="00936EBE" w:rsidRPr="00936EBE" w:rsidRDefault="00936EBE" w:rsidP="00936EBE">
      <w:pPr>
        <w:spacing w:line="276" w:lineRule="auto"/>
        <w:jc w:val="both"/>
        <w:rPr>
          <w:color w:val="000000" w:themeColor="text1"/>
        </w:rPr>
      </w:pPr>
      <w:r w:rsidRPr="00936EBE">
        <w:rPr>
          <w:color w:val="000000" w:themeColor="text1"/>
        </w:rPr>
        <w:t xml:space="preserve">As Creswell and Poth (2018) say, qualitative inquiry can typically be designed based on five big methodologies narrative inquiry, phenomenology, grounded theory, ethnography, and case study. Narrative inquiry is based on the life stories of individuals, grounded theory aims at creating theory inductively </w:t>
      </w:r>
      <w:proofErr w:type="gramStart"/>
      <w:r w:rsidRPr="00936EBE">
        <w:rPr>
          <w:color w:val="000000" w:themeColor="text1"/>
        </w:rPr>
        <w:t>on the basis of</w:t>
      </w:r>
      <w:proofErr w:type="gramEnd"/>
      <w:r w:rsidRPr="00936EBE">
        <w:rPr>
          <w:color w:val="000000" w:themeColor="text1"/>
        </w:rPr>
        <w:t xml:space="preserve"> data, ethnography studies common cultural patterns within a group, and case study is a comprehensive study of a limited system or case (Kumar and Sharma, 2019). Of these methods, phenomenology is the one that is especially interested in the nature of the lived experience and the process of sense-making that people experience when </w:t>
      </w:r>
      <w:r w:rsidRPr="00936EBE">
        <w:rPr>
          <w:color w:val="000000" w:themeColor="text1"/>
        </w:rPr>
        <w:lastRenderedPageBreak/>
        <w:t xml:space="preserve">confronted with a certain phenomenon. The study concurs with the phenomenological tradition the most since its main intention is to investigate how people of various generations in rural Gujarat live, perceive, and ascribe meanings to QR code payment systems in their daily lives. As such an interpretative phenomenological analysis (IPA) is adopted, as it allows considering the detailed, idiosyncratic study of the experiences that participants underwent, as well as taking into consideration the active nature of interpretation in the discernment of meaning-making processes. </w:t>
      </w:r>
      <w:proofErr w:type="spellStart"/>
      <w:r w:rsidRPr="00936EBE">
        <w:rPr>
          <w:color w:val="000000" w:themeColor="text1"/>
        </w:rPr>
        <w:t>Ipa</w:t>
      </w:r>
      <w:proofErr w:type="spellEnd"/>
      <w:r w:rsidRPr="00936EBE">
        <w:rPr>
          <w:color w:val="000000" w:themeColor="text1"/>
        </w:rPr>
        <w:t xml:space="preserve"> is most appropriate to this study compared to the other qualitative methods described by Creswell since it is the approach that predicts the subjective experience, reflexivity, and sense-making in the context, as opposed to theory generation, cultural description, and bounded case analysis (Gefen et al., 2003).</w:t>
      </w:r>
    </w:p>
    <w:p w14:paraId="3EC54C25"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10" w:name="_Toc220268003"/>
      <w:r w:rsidRPr="00936EBE">
        <w:rPr>
          <w:rFonts w:eastAsia="DengXian Light"/>
          <w:b/>
          <w:bCs/>
          <w:color w:val="000000" w:themeColor="text1"/>
          <w:sz w:val="28"/>
          <w:szCs w:val="28"/>
          <w:lang w:val="en-IN"/>
        </w:rPr>
        <w:t>Technology Acceptance Model and Extensions</w:t>
      </w:r>
      <w:bookmarkEnd w:id="10"/>
    </w:p>
    <w:p w14:paraId="32070C99"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For over thirty years, the Technology Acceptance Model, conceived by Davis and his colleagues, has reigned as the leading model in technology adoption (Davis et al. 1989). Perceived usefulness and perceived ease of use are the variables the model suggests are the most important in shaping attitudes toward new technologies, influencing the intentions to use those technologies, and ultimately, the actual usage of those technologies. The model has been researched, confirmed, and implemented in numerous settings and technologies, and among various demographics.</w:t>
      </w:r>
    </w:p>
    <w:p w14:paraId="537B054D"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Gefen et al. (2003) expanded the model by including trust, which contributes to one’s perceived ease of use and perceived usefulness, and, in the case of digital payments, is quite essential, as the user </w:t>
      </w:r>
      <w:proofErr w:type="gramStart"/>
      <w:r w:rsidRPr="00936EBE">
        <w:rPr>
          <w:color w:val="000000" w:themeColor="text1"/>
          <w:lang w:val="en-US"/>
        </w:rPr>
        <w:t>has to</w:t>
      </w:r>
      <w:proofErr w:type="gramEnd"/>
      <w:r w:rsidRPr="00936EBE">
        <w:rPr>
          <w:color w:val="000000" w:themeColor="text1"/>
          <w:lang w:val="en-US"/>
        </w:rPr>
        <w:t xml:space="preserve"> trust the technology with sensitive personal and financial data. This interaction demonstrated how trust has a direct impact on one’s perceived usefulness and perceived ease of use, as well as one’s intentions to use the technology </w:t>
      </w:r>
      <w:r w:rsidRPr="00936EBE">
        <w:t>(Reserve Bank of India, 2022)</w:t>
      </w:r>
      <w:r w:rsidRPr="00936EBE">
        <w:rPr>
          <w:color w:val="000000" w:themeColor="text1"/>
          <w:lang w:val="en-US"/>
        </w:rPr>
        <w:t>.</w:t>
      </w:r>
    </w:p>
    <w:p w14:paraId="31872BE5"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In the development of the Unified Theory of Acceptance and Use of Technology, performance expectancy, effort expectancy, social influence, and facilitating conditions were the most prominent variables and the most important of which were moderated by gender, age, experience, and voluntariness (Venkatesh et al, 2003). With the inclusion of social variables and those contextual to the environment, this model, however, also explained adoption factors beyond those captured in the Technology Acceptance Model as were psychological factors.</w:t>
      </w:r>
    </w:p>
    <w:p w14:paraId="29ABD0A0"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The Technology Acceptance Model, however, has attracted criticism in both the Technology Acceptance Model and technology adoption in general. For example, the model assumes that emotional and social factors of the individual are static and fail to influence the adoption of new technologies which in turn drives the model (Dwivedi et al., 2017). While the model assumes that cognitions and perceptions of the individual become static and defined within a “box,” the model also neglects to explore how these perceptions are defined or shaped culturally or how they are constructed and negotiated socially within a community.</w:t>
      </w:r>
    </w:p>
    <w:p w14:paraId="3F6F5B33"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lastRenderedPageBreak/>
        <w:t xml:space="preserve">While TAM and UTAUT have provided valuable insights into technology adoption, scholars increasingly critique their individualistic and cognitively reductionist assumptions, particularly in collectivist societies where technology decisions are negotiated within families and communities </w:t>
      </w:r>
      <w:r w:rsidRPr="00936EBE">
        <w:t>(Sharma and Gutiérrez, 2010)</w:t>
      </w:r>
      <w:r w:rsidRPr="00936EBE">
        <w:rPr>
          <w:color w:val="000000" w:themeColor="text1"/>
          <w:lang w:val="en-US"/>
        </w:rPr>
        <w:t xml:space="preserve">. These models overlook emotional </w:t>
      </w:r>
      <w:proofErr w:type="spellStart"/>
      <w:r w:rsidRPr="00936EBE">
        <w:rPr>
          <w:color w:val="000000" w:themeColor="text1"/>
          <w:lang w:val="en-US"/>
        </w:rPr>
        <w:t>labour</w:t>
      </w:r>
      <w:proofErr w:type="spellEnd"/>
      <w:r w:rsidRPr="00936EBE">
        <w:rPr>
          <w:color w:val="000000" w:themeColor="text1"/>
          <w:lang w:val="en-US"/>
        </w:rPr>
        <w:t>, relational power, and moral responsibility—dimensions that are central to QR payment adoption in rural Gujarat.</w:t>
      </w:r>
    </w:p>
    <w:p w14:paraId="2E0A7B89"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11" w:name="_Toc220268004"/>
      <w:r w:rsidRPr="00936EBE">
        <w:rPr>
          <w:rFonts w:eastAsia="DengXian Light"/>
          <w:b/>
          <w:bCs/>
          <w:color w:val="000000" w:themeColor="text1"/>
          <w:sz w:val="28"/>
          <w:szCs w:val="28"/>
          <w:lang w:val="en-IN"/>
        </w:rPr>
        <w:t>Trust in Digital Financial Systems</w:t>
      </w:r>
      <w:bookmarkEnd w:id="11"/>
    </w:p>
    <w:p w14:paraId="6331FF99"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The role of trust in the adoption of new digital financial technologies is especially salient. Unlike other technologies, financial technologies pose real threats to the users’ financial health. Hence, trust is even more of a consideration. Trust encompasses a variety of dimensions, such as the technologies working as claimed, the technology service providers keeping users’ interest protected, the trust in the technology of the frameworks, the trust in oneself to use technology properly.</w:t>
      </w:r>
    </w:p>
    <w:p w14:paraId="10277FB4"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The literature shows that trust functions quite differently in different parts of the world. In collectivist societies where there are social relationships of a close nature, trust may be more susceptible to the advocacy of community members that are perceived to be trusted, as well as people’s observation of the experiences of others (Senyo and Osabutey, 2020). In rural areas where relationships and reputations are tied to one another in a close manner, the digital nature of transactions that are not face to face can be more challenging, and can create trust that is often not there in cash transactions that are face to face.</w:t>
      </w:r>
    </w:p>
    <w:p w14:paraId="565ADE2D"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12" w:name="_Toc220268005"/>
      <w:r w:rsidRPr="00936EBE">
        <w:rPr>
          <w:rFonts w:eastAsia="DengXian Light"/>
          <w:b/>
          <w:bCs/>
          <w:color w:val="000000" w:themeColor="text1"/>
          <w:sz w:val="28"/>
          <w:szCs w:val="28"/>
          <w:lang w:val="en-IN"/>
        </w:rPr>
        <w:t>Gaps Addressed by This Research</w:t>
      </w:r>
      <w:bookmarkEnd w:id="12"/>
    </w:p>
    <w:p w14:paraId="770A509E"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There is much literature on the adoption of digital payments, but there is also much literature that remains unexamined. There is the issue of measurement validity. Respondents of the </w:t>
      </w:r>
      <w:proofErr w:type="spellStart"/>
      <w:r w:rsidRPr="00936EBE">
        <w:rPr>
          <w:color w:val="000000" w:themeColor="text1"/>
          <w:lang w:val="en-US"/>
        </w:rPr>
        <w:t>the</w:t>
      </w:r>
      <w:proofErr w:type="spellEnd"/>
      <w:r w:rsidRPr="00936EBE">
        <w:rPr>
          <w:color w:val="000000" w:themeColor="text1"/>
          <w:lang w:val="en-US"/>
        </w:rPr>
        <w:t xml:space="preserve"> provided data claims may not have meaningfully engaged with the theoretical underpinnings of the instruments used to capture their lived phenomena (Schwandt, 2000). There is also the issue concerning the way scholars have treated age. As few have explored the ways in which different age cohorts generate different digital technologies. There is also the issue of the research context. Most depopulated rural settings in the global south have also received scant attention the same as their counterparts in the global north that are urbanized. Finally, the issue of examining the emotional and affective dimensions of the adoption of digital payments remains under researched </w:t>
      </w:r>
      <w:r w:rsidRPr="00936EBE">
        <w:t>(Senyo and Osabutey, 2020)</w:t>
      </w:r>
      <w:r w:rsidRPr="00936EBE">
        <w:rPr>
          <w:color w:val="000000" w:themeColor="text1"/>
          <w:lang w:val="en-US"/>
        </w:rPr>
        <w:t>.</w:t>
      </w:r>
    </w:p>
    <w:p w14:paraId="61C3A94B"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research is designed in such a way as to capture the lived dimensions of digital payment adoption. Qualitative methodologies have been designed to capture the emotional, cultural, </w:t>
      </w:r>
      <w:proofErr w:type="gramStart"/>
      <w:r w:rsidRPr="00936EBE">
        <w:rPr>
          <w:color w:val="000000" w:themeColor="text1"/>
          <w:lang w:val="en-US"/>
        </w:rPr>
        <w:t>meaning</w:t>
      </w:r>
      <w:proofErr w:type="gramEnd"/>
      <w:r w:rsidRPr="00936EBE">
        <w:rPr>
          <w:color w:val="000000" w:themeColor="text1"/>
          <w:lang w:val="en-US"/>
        </w:rPr>
        <w:t xml:space="preserve"> and technological loss of the digital.</w:t>
      </w:r>
    </w:p>
    <w:p w14:paraId="2A4291AB"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IN"/>
        </w:rPr>
      </w:pPr>
      <w:bookmarkStart w:id="13" w:name="_Toc220268006"/>
      <w:r w:rsidRPr="00936EBE">
        <w:rPr>
          <w:rFonts w:eastAsia="DengXian Light"/>
          <w:b/>
          <w:bCs/>
          <w:color w:val="000000" w:themeColor="text1"/>
          <w:sz w:val="32"/>
          <w:szCs w:val="32"/>
          <w:lang w:val="en-IN"/>
        </w:rPr>
        <w:lastRenderedPageBreak/>
        <w:t>Theoretical Framework</w:t>
      </w:r>
      <w:bookmarkEnd w:id="13"/>
    </w:p>
    <w:p w14:paraId="56DB046B"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14" w:name="_Toc220268007"/>
      <w:r w:rsidRPr="00936EBE">
        <w:rPr>
          <w:rFonts w:eastAsia="DengXian Light"/>
          <w:b/>
          <w:bCs/>
          <w:color w:val="000000" w:themeColor="text1"/>
          <w:sz w:val="28"/>
          <w:szCs w:val="28"/>
          <w:lang w:val="en-IN"/>
        </w:rPr>
        <w:t>Constructivist Paradigm</w:t>
      </w:r>
      <w:bookmarkEnd w:id="14"/>
    </w:p>
    <w:p w14:paraId="2B4558A9"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There is a need to contextualize this research within the framework of the constructivist paradigm, which is a specific philosophical viewpoint that guides the understanding of knowledge, </w:t>
      </w:r>
      <w:proofErr w:type="gramStart"/>
      <w:r w:rsidRPr="00936EBE">
        <w:rPr>
          <w:color w:val="000000" w:themeColor="text1"/>
          <w:lang w:val="en-US"/>
        </w:rPr>
        <w:t>reality</w:t>
      </w:r>
      <w:proofErr w:type="gramEnd"/>
      <w:r w:rsidRPr="00936EBE">
        <w:rPr>
          <w:color w:val="000000" w:themeColor="text1"/>
          <w:lang w:val="en-US"/>
        </w:rPr>
        <w:t xml:space="preserve"> and the research process as such. Constructivists such as Schwandt and Lincoln explain such a worldview by stating that knowledge is construed and meaning is constructed out of experience and social interactions of the individual and the individual does not just discover existing knowledge and objective truths. According to constructivism, reality is not an absolute settled thing, nor is it an objective thing that just exists outside interpretation of human and exists in vacuum. Instead, easily in constructivism, reality is a social construction which is determined by meaning and interpretation people give it and that meaning is determined by the social construct consciousness of the people, and the enormous plethora of their interactions (Prensky, 2001).  </w:t>
      </w:r>
    </w:p>
    <w:p w14:paraId="1E67126E"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Constructivist paradigm has several basic salient features which can be differentiated in comparison with positivism and post positivism.  To start with, constructivism considers knowledge as a product of interaction between the researcher and the study participants compared to the construct being an objective reality which is remote, neutrally draped, and merely looks through a glass and quantifies in observable unitary amounts. The researcher is not an impartial observer and his/her role in informing the creation of the knowledge is inherent in the form of his/her self-knowledge, </w:t>
      </w:r>
      <w:proofErr w:type="gramStart"/>
      <w:r w:rsidRPr="00936EBE">
        <w:rPr>
          <w:color w:val="000000" w:themeColor="text1"/>
          <w:lang w:val="en-US"/>
        </w:rPr>
        <w:t>supposition</w:t>
      </w:r>
      <w:proofErr w:type="gramEnd"/>
      <w:r w:rsidRPr="00936EBE">
        <w:rPr>
          <w:color w:val="000000" w:themeColor="text1"/>
          <w:lang w:val="en-US"/>
        </w:rPr>
        <w:t xml:space="preserve"> and interpretative perspectives.</w:t>
      </w:r>
    </w:p>
    <w:p w14:paraId="733AC0ED"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second constructivism assumption is the absence of single non-privileged positions that may be accepted as ultimate ones. Different individuals or groups of people might have different understandings of the same phenomenon that are based on various factors, including unique life experiences, </w:t>
      </w:r>
      <w:proofErr w:type="gramStart"/>
      <w:r w:rsidRPr="00936EBE">
        <w:rPr>
          <w:color w:val="000000" w:themeColor="text1"/>
          <w:lang w:val="en-US"/>
        </w:rPr>
        <w:t>culture</w:t>
      </w:r>
      <w:proofErr w:type="gramEnd"/>
      <w:r w:rsidRPr="00936EBE">
        <w:rPr>
          <w:color w:val="000000" w:themeColor="text1"/>
          <w:lang w:val="en-US"/>
        </w:rPr>
        <w:t xml:space="preserve"> and their positions in society. It has been acknowledged that these differing understandings are not incorrect and factual but the other is valid as it is a different real experience. The mentioned assumption applies to the study in the context of the technology adoption research since various generations, due to their exposure to different life experiences, might possess different, and equally valid, perceptions of the digital payment systems (Vatsa et al., 2023).</w:t>
      </w:r>
    </w:p>
    <w:p w14:paraId="3008426E"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Thirdly, the author goes further to explain how constructivism does not exist in a vacuum and the meaning of all social constructs and how they come into existence in the continuum of history, culture, and society. Structure is meaning, and thus, the meaning-making processes should take care of particular social constructs, which both make possible, but also limit the comprehension of a phenomenon. The cultural values, social order, economics as well as history </w:t>
      </w:r>
      <w:r w:rsidRPr="00936EBE">
        <w:rPr>
          <w:color w:val="000000" w:themeColor="text1"/>
          <w:lang w:val="en-US"/>
        </w:rPr>
        <w:lastRenderedPageBreak/>
        <w:t>that dictate how people of rural Gujarat perceive, hence react to, the digital payment technologies is the phenomenon in this case (Smith et al., 2009).</w:t>
      </w:r>
    </w:p>
    <w:p w14:paraId="47E93307"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15" w:name="_Toc220268008"/>
      <w:r w:rsidRPr="00936EBE">
        <w:rPr>
          <w:rFonts w:eastAsia="DengXian Light"/>
          <w:b/>
          <w:bCs/>
          <w:color w:val="000000" w:themeColor="text1"/>
          <w:sz w:val="28"/>
          <w:szCs w:val="28"/>
          <w:lang w:val="en-IN"/>
        </w:rPr>
        <w:t>Relevance to the Research Problem</w:t>
      </w:r>
      <w:bookmarkEnd w:id="15"/>
    </w:p>
    <w:p w14:paraId="58576ECE"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Theoretically, this research is grounded in the constructivist paradigm, particularly because, across generations, the adoption of technology is a process of constructing meaning. Individuals either accept or decline the use of digital payment systems because of their features, but ultimately because of their meaning, in relation to their values and needs, identity, previous experiences, and so forth, such meaning is interpretive. Instead of depicting such interpretation as subjective distortions of reality, constructivism places them at the center of inquiry.</w:t>
      </w:r>
    </w:p>
    <w:p w14:paraId="2D42B7D1"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study is also interested in the different ways in which the cohorts of different generations construct their understanding of digital payments. From a constructivist perspective, these varied interpretations should not be regarded as trivial, but rather as the outcome of different life experiences </w:t>
      </w:r>
      <w:r w:rsidRPr="00936EBE">
        <w:t>(Vatsa et al., 2023)</w:t>
      </w:r>
      <w:r w:rsidRPr="00936EBE">
        <w:rPr>
          <w:color w:val="000000" w:themeColor="text1"/>
          <w:lang w:val="en-US"/>
        </w:rPr>
        <w:t>. This also negates the portrayal of the younger cohort, with a high degree of technological confidence, as the only rational users, leaving the older generations to be more cautious or resistant to the technology.</w:t>
      </w:r>
    </w:p>
    <w:p w14:paraId="7392A4BD"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The Gujarat rural context enhances the design and application of this paradigm. Understanding digital payment systems is governed by a constellation of Social, Cultural and Economic conditions. Constructivism allows the study of these contextual meanings rather than Technology adoption through a constructivist paradigm.</w:t>
      </w:r>
    </w:p>
    <w:p w14:paraId="5BC6E25E" w14:textId="77777777" w:rsidR="00936EBE" w:rsidRPr="00936EBE" w:rsidRDefault="00936EBE" w:rsidP="00936EBE">
      <w:pPr>
        <w:spacing w:line="276" w:lineRule="auto"/>
        <w:jc w:val="both"/>
        <w:rPr>
          <w:color w:val="000000" w:themeColor="text1"/>
          <w:lang w:val="en-US"/>
        </w:rPr>
      </w:pPr>
      <w:proofErr w:type="gramStart"/>
      <w:r w:rsidRPr="00936EBE">
        <w:rPr>
          <w:color w:val="000000" w:themeColor="text1"/>
          <w:lang w:val="en-US"/>
        </w:rPr>
        <w:t>Last but not least</w:t>
      </w:r>
      <w:proofErr w:type="gramEnd"/>
      <w:r w:rsidRPr="00936EBE">
        <w:rPr>
          <w:color w:val="000000" w:themeColor="text1"/>
          <w:lang w:val="en-US"/>
        </w:rPr>
        <w:t xml:space="preserve"> are ethically responsible studies focusing on financial inclusion which must seek to understand how potential users engage with and make sense of digital payments of all types. Constructivism, by focusing on users, offers a plausible strategy to help understand and respect users’ concerns, hopes, and circumstances to produce constructive outcomes when researching positive adoption user experience </w:t>
      </w:r>
      <w:r w:rsidRPr="00936EBE">
        <w:t>(Smith et al., 2009)</w:t>
      </w:r>
      <w:r w:rsidRPr="00936EBE">
        <w:rPr>
          <w:color w:val="000000" w:themeColor="text1"/>
          <w:lang w:val="en-US"/>
        </w:rPr>
        <w:t>.</w:t>
      </w:r>
    </w:p>
    <w:p w14:paraId="77E705CA"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16" w:name="_Toc220268009"/>
      <w:r w:rsidRPr="00936EBE">
        <w:rPr>
          <w:rFonts w:eastAsia="DengXian Light"/>
          <w:b/>
          <w:bCs/>
          <w:color w:val="000000" w:themeColor="text1"/>
          <w:sz w:val="28"/>
          <w:szCs w:val="28"/>
          <w:lang w:val="en-IN"/>
        </w:rPr>
        <w:t>Technology Acceptance Model Through a Constructivist Lens</w:t>
      </w:r>
      <w:bookmarkEnd w:id="16"/>
    </w:p>
    <w:p w14:paraId="74D607D2"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Technology Acceptance Model is being utilized in this research but from a constructivist perspective, as opposed to a positivist one. Classic versions of the Technology Acceptance Model view perceived usefulness and perceived ease of use as cognitive elements that can be quantitatively assessed using a questionnaire as well as predictably influence a person's intention and/or behavioral adoption of a particular technology (Davis et al., 1989). While this perspective has furthered research in the field, it frequently conflates the theoretical understanding of the problem with a misguided assumption that it relates to a static property, representative of the individual minds of the people involved, possessing uniform significance across varied context </w:t>
      </w:r>
      <w:r w:rsidRPr="00936EBE">
        <w:t>(Venkatesh et al., 2003)</w:t>
      </w:r>
      <w:r w:rsidRPr="00936EBE">
        <w:rPr>
          <w:color w:val="000000" w:themeColor="text1"/>
          <w:lang w:val="en-US"/>
        </w:rPr>
        <w:t>.</w:t>
      </w:r>
    </w:p>
    <w:p w14:paraId="51F703CA"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lastRenderedPageBreak/>
        <w:t>In contrast, a constructivist position posits that perceived usefulness and perceived ease of use are not stable characteristics of individuals, but rather are socially constructed meanings developed through experience, interaction, and sense-making processes (Dwivedi et al., 2017). This line of thinking understands meanings, as useful or ease of use, are not taken for granted, rather it is contested by a person’s unique needs, interests, abilities, and culture. Different generations, for instance, may construct considerably different understandings of usefulness based on their unique financial behaviors, life situations, and priorities. Likewise, ease of use is not an inherent characteristic of a technology, but rather a construct of an individual’s past experiences, skills, and expectations</w:t>
      </w:r>
      <w:r w:rsidRPr="00936EBE">
        <w:t xml:space="preserve"> (Venkatesh et al., 2003)</w:t>
      </w:r>
      <w:r w:rsidRPr="00936EBE">
        <w:rPr>
          <w:color w:val="000000" w:themeColor="text1"/>
          <w:lang w:val="en-US"/>
        </w:rPr>
        <w:t>.</w:t>
      </w:r>
    </w:p>
    <w:p w14:paraId="0C594A02"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US"/>
        </w:rPr>
      </w:pPr>
      <w:bookmarkStart w:id="17" w:name="_Toc220268010"/>
      <w:r w:rsidRPr="00936EBE">
        <w:rPr>
          <w:rFonts w:eastAsia="DengXian Light"/>
          <w:b/>
          <w:bCs/>
          <w:color w:val="000000" w:themeColor="text1"/>
          <w:sz w:val="32"/>
          <w:szCs w:val="32"/>
          <w:lang w:val="en-IN"/>
        </w:rPr>
        <w:t>Conceptual Framework</w:t>
      </w:r>
      <w:bookmarkEnd w:id="17"/>
    </w:p>
    <w:p w14:paraId="5878D83C" w14:textId="77777777" w:rsidR="00936EBE" w:rsidRPr="00936EBE" w:rsidRDefault="00936EBE" w:rsidP="00936EBE">
      <w:pPr>
        <w:spacing w:line="276" w:lineRule="auto"/>
        <w:jc w:val="both"/>
        <w:rPr>
          <w:b/>
          <w:bCs/>
          <w:i/>
          <w:iCs/>
          <w:color w:val="000000" w:themeColor="text1"/>
          <w:lang w:val="en-IN"/>
        </w:rPr>
      </w:pPr>
      <w:r w:rsidRPr="00936EBE">
        <w:rPr>
          <w:b/>
          <w:bCs/>
          <w:i/>
          <w:iCs/>
          <w:color w:val="000000" w:themeColor="text1"/>
          <w:lang w:val="en-IN"/>
        </w:rPr>
        <w:t xml:space="preserve"> </w:t>
      </w:r>
      <w:r w:rsidRPr="00936EBE">
        <w:rPr>
          <w:i/>
          <w:iCs/>
          <w:color w:val="000000" w:themeColor="text1"/>
          <w:lang w:val="en-US"/>
        </w:rPr>
        <w:t xml:space="preserve">Figure </w:t>
      </w:r>
      <w:r w:rsidRPr="00936EBE">
        <w:rPr>
          <w:i/>
          <w:iCs/>
          <w:color w:val="000000" w:themeColor="text1"/>
          <w:lang w:val="en-US"/>
        </w:rPr>
        <w:fldChar w:fldCharType="begin"/>
      </w:r>
      <w:r w:rsidRPr="00936EBE">
        <w:rPr>
          <w:i/>
          <w:iCs/>
          <w:color w:val="000000" w:themeColor="text1"/>
          <w:lang w:val="en-US"/>
        </w:rPr>
        <w:instrText xml:space="preserve"> SEQ Figure \* ARABIC </w:instrText>
      </w:r>
      <w:r w:rsidRPr="00936EBE">
        <w:rPr>
          <w:i/>
          <w:iCs/>
          <w:color w:val="000000" w:themeColor="text1"/>
          <w:lang w:val="en-US"/>
        </w:rPr>
        <w:fldChar w:fldCharType="separate"/>
      </w:r>
      <w:r w:rsidRPr="00936EBE">
        <w:rPr>
          <w:i/>
          <w:iCs/>
          <w:color w:val="000000" w:themeColor="text1"/>
          <w:lang w:val="en-US"/>
        </w:rPr>
        <w:t>1</w:t>
      </w:r>
      <w:r w:rsidRPr="00936EBE">
        <w:rPr>
          <w:color w:val="000000" w:themeColor="text1"/>
        </w:rPr>
        <w:fldChar w:fldCharType="end"/>
      </w:r>
      <w:r w:rsidRPr="00936EBE">
        <w:rPr>
          <w:i/>
          <w:iCs/>
          <w:color w:val="000000" w:themeColor="text1"/>
          <w:lang w:val="en-US"/>
        </w:rPr>
        <w:t xml:space="preserve"> </w:t>
      </w:r>
      <w:r w:rsidRPr="00936EBE">
        <w:rPr>
          <w:b/>
          <w:bCs/>
          <w:i/>
          <w:iCs/>
          <w:color w:val="000000" w:themeColor="text1"/>
          <w:lang w:val="en-IN"/>
        </w:rPr>
        <w:t xml:space="preserve"> Conceptual Framework for Understanding Generational QR Code Payment Adoption</w:t>
      </w:r>
    </w:p>
    <w:p w14:paraId="2F0C67C4" w14:textId="77777777" w:rsidR="00936EBE" w:rsidRPr="00936EBE" w:rsidRDefault="00936EBE" w:rsidP="00936EBE">
      <w:pPr>
        <w:spacing w:line="276" w:lineRule="auto"/>
        <w:jc w:val="both"/>
        <w:rPr>
          <w:color w:val="000000" w:themeColor="text1"/>
          <w:lang w:val="en-IN"/>
        </w:rPr>
      </w:pPr>
      <w:r w:rsidRPr="00936EBE">
        <w:rPr>
          <w:noProof/>
        </w:rPr>
        <w:drawing>
          <wp:anchor distT="0" distB="0" distL="114300" distR="114300" simplePos="0" relativeHeight="251659264" behindDoc="1" locked="0" layoutInCell="1" allowOverlap="1" wp14:anchorId="0B7D012B" wp14:editId="55A28AB6">
            <wp:simplePos x="0" y="0"/>
            <wp:positionH relativeFrom="column">
              <wp:posOffset>1320800</wp:posOffset>
            </wp:positionH>
            <wp:positionV relativeFrom="paragraph">
              <wp:posOffset>40640</wp:posOffset>
            </wp:positionV>
            <wp:extent cx="3435350" cy="5152390"/>
            <wp:effectExtent l="0" t="0" r="0" b="0"/>
            <wp:wrapTight wrapText="bothSides">
              <wp:wrapPolygon edited="0">
                <wp:start x="0" y="0"/>
                <wp:lineTo x="0" y="21483"/>
                <wp:lineTo x="21440" y="21483"/>
                <wp:lineTo x="21440" y="0"/>
                <wp:lineTo x="0" y="0"/>
              </wp:wrapPolygon>
            </wp:wrapTight>
            <wp:docPr id="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435350" cy="5152390"/>
                    </a:xfrm>
                    <a:prstGeom prst="rect">
                      <a:avLst/>
                    </a:prstGeom>
                    <a:noFill/>
                  </pic:spPr>
                </pic:pic>
              </a:graphicData>
            </a:graphic>
            <wp14:sizeRelH relativeFrom="margin">
              <wp14:pctWidth>0</wp14:pctWidth>
            </wp14:sizeRelH>
            <wp14:sizeRelV relativeFrom="margin">
              <wp14:pctHeight>0</wp14:pctHeight>
            </wp14:sizeRelV>
          </wp:anchor>
        </w:drawing>
      </w:r>
    </w:p>
    <w:p w14:paraId="09F5883F" w14:textId="77777777" w:rsidR="00936EBE" w:rsidRPr="00936EBE" w:rsidRDefault="00936EBE" w:rsidP="00936EBE">
      <w:pPr>
        <w:spacing w:line="276" w:lineRule="auto"/>
        <w:jc w:val="both"/>
        <w:rPr>
          <w:color w:val="000000" w:themeColor="text1"/>
          <w:lang w:val="en-US"/>
        </w:rPr>
      </w:pPr>
    </w:p>
    <w:p w14:paraId="2B789BA6" w14:textId="77777777" w:rsidR="00936EBE" w:rsidRPr="00936EBE" w:rsidRDefault="00936EBE" w:rsidP="00936EBE">
      <w:pPr>
        <w:spacing w:line="276" w:lineRule="auto"/>
        <w:jc w:val="both"/>
        <w:rPr>
          <w:color w:val="000000" w:themeColor="text1"/>
          <w:lang w:val="en-US"/>
        </w:rPr>
      </w:pPr>
    </w:p>
    <w:p w14:paraId="4CF80313" w14:textId="77777777" w:rsidR="00936EBE" w:rsidRPr="00936EBE" w:rsidRDefault="00936EBE" w:rsidP="00936EBE">
      <w:pPr>
        <w:spacing w:line="276" w:lineRule="auto"/>
        <w:jc w:val="both"/>
        <w:rPr>
          <w:color w:val="000000" w:themeColor="text1"/>
          <w:lang w:val="en-US"/>
        </w:rPr>
      </w:pPr>
    </w:p>
    <w:p w14:paraId="619ACC96" w14:textId="77777777" w:rsidR="00936EBE" w:rsidRPr="00936EBE" w:rsidRDefault="00936EBE" w:rsidP="00936EBE">
      <w:pPr>
        <w:spacing w:line="276" w:lineRule="auto"/>
        <w:jc w:val="both"/>
        <w:rPr>
          <w:color w:val="000000" w:themeColor="text1"/>
          <w:lang w:val="en-US"/>
        </w:rPr>
      </w:pPr>
    </w:p>
    <w:p w14:paraId="0AA78AC9" w14:textId="77777777" w:rsidR="00936EBE" w:rsidRPr="00936EBE" w:rsidRDefault="00936EBE" w:rsidP="00936EBE">
      <w:pPr>
        <w:spacing w:line="276" w:lineRule="auto"/>
        <w:jc w:val="both"/>
        <w:rPr>
          <w:color w:val="000000" w:themeColor="text1"/>
          <w:lang w:val="en-US"/>
        </w:rPr>
      </w:pPr>
    </w:p>
    <w:p w14:paraId="5883F0E6" w14:textId="77777777" w:rsidR="00936EBE" w:rsidRPr="00936EBE" w:rsidRDefault="00936EBE" w:rsidP="00936EBE">
      <w:pPr>
        <w:spacing w:line="276" w:lineRule="auto"/>
        <w:jc w:val="both"/>
        <w:rPr>
          <w:color w:val="000000" w:themeColor="text1"/>
          <w:lang w:val="en-US"/>
        </w:rPr>
      </w:pPr>
    </w:p>
    <w:p w14:paraId="58BD8404" w14:textId="77777777" w:rsidR="00936EBE" w:rsidRPr="00936EBE" w:rsidRDefault="00936EBE" w:rsidP="00936EBE">
      <w:pPr>
        <w:spacing w:line="276" w:lineRule="auto"/>
        <w:jc w:val="both"/>
        <w:rPr>
          <w:color w:val="000000" w:themeColor="text1"/>
          <w:lang w:val="en-US"/>
        </w:rPr>
      </w:pPr>
    </w:p>
    <w:p w14:paraId="797E6CD5" w14:textId="77777777" w:rsidR="00936EBE" w:rsidRPr="00936EBE" w:rsidRDefault="00936EBE" w:rsidP="00936EBE">
      <w:pPr>
        <w:spacing w:line="276" w:lineRule="auto"/>
        <w:jc w:val="both"/>
        <w:rPr>
          <w:color w:val="000000" w:themeColor="text1"/>
          <w:lang w:val="en-US"/>
        </w:rPr>
      </w:pPr>
    </w:p>
    <w:p w14:paraId="0222305A" w14:textId="77777777" w:rsidR="00936EBE" w:rsidRPr="00936EBE" w:rsidRDefault="00936EBE" w:rsidP="00936EBE">
      <w:pPr>
        <w:spacing w:line="276" w:lineRule="auto"/>
        <w:jc w:val="both"/>
        <w:rPr>
          <w:color w:val="000000" w:themeColor="text1"/>
          <w:lang w:val="en-US"/>
        </w:rPr>
      </w:pPr>
    </w:p>
    <w:p w14:paraId="74A5A1AB" w14:textId="77777777" w:rsidR="00936EBE" w:rsidRPr="00936EBE" w:rsidRDefault="00936EBE" w:rsidP="00936EBE">
      <w:pPr>
        <w:spacing w:line="276" w:lineRule="auto"/>
        <w:jc w:val="both"/>
        <w:rPr>
          <w:color w:val="000000" w:themeColor="text1"/>
          <w:lang w:val="en-US"/>
        </w:rPr>
      </w:pPr>
    </w:p>
    <w:p w14:paraId="11380713" w14:textId="77777777" w:rsidR="00936EBE" w:rsidRPr="00936EBE" w:rsidRDefault="00936EBE" w:rsidP="00936EBE">
      <w:pPr>
        <w:spacing w:line="276" w:lineRule="auto"/>
        <w:jc w:val="both"/>
        <w:rPr>
          <w:color w:val="000000" w:themeColor="text1"/>
          <w:lang w:val="en-US"/>
        </w:rPr>
      </w:pPr>
    </w:p>
    <w:p w14:paraId="2D742850" w14:textId="77777777" w:rsidR="00936EBE" w:rsidRPr="00936EBE" w:rsidRDefault="00936EBE" w:rsidP="00936EBE">
      <w:pPr>
        <w:spacing w:line="276" w:lineRule="auto"/>
        <w:jc w:val="both"/>
        <w:rPr>
          <w:color w:val="000000" w:themeColor="text1"/>
          <w:lang w:val="en-US"/>
        </w:rPr>
      </w:pPr>
    </w:p>
    <w:p w14:paraId="5C3B58AE" w14:textId="77777777" w:rsidR="00936EBE" w:rsidRPr="00936EBE" w:rsidRDefault="00936EBE" w:rsidP="00936EBE">
      <w:pPr>
        <w:spacing w:line="276" w:lineRule="auto"/>
        <w:jc w:val="both"/>
        <w:rPr>
          <w:color w:val="000000" w:themeColor="text1"/>
          <w:lang w:val="en-US"/>
        </w:rPr>
      </w:pPr>
    </w:p>
    <w:p w14:paraId="6BC60052" w14:textId="77777777" w:rsidR="00936EBE" w:rsidRPr="00936EBE" w:rsidRDefault="00936EBE" w:rsidP="00936EBE">
      <w:pPr>
        <w:spacing w:line="276" w:lineRule="auto"/>
        <w:jc w:val="both"/>
        <w:rPr>
          <w:color w:val="000000" w:themeColor="text1"/>
          <w:lang w:val="en-US"/>
        </w:rPr>
      </w:pPr>
    </w:p>
    <w:p w14:paraId="26074652" w14:textId="77777777" w:rsidR="00936EBE" w:rsidRPr="00936EBE" w:rsidRDefault="00936EBE" w:rsidP="00936EBE">
      <w:pPr>
        <w:spacing w:line="276" w:lineRule="auto"/>
        <w:jc w:val="both"/>
        <w:rPr>
          <w:color w:val="000000" w:themeColor="text1"/>
          <w:lang w:val="en-US"/>
        </w:rPr>
      </w:pPr>
    </w:p>
    <w:p w14:paraId="00218D70"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US"/>
        </w:rPr>
      </w:pPr>
      <w:bookmarkStart w:id="18" w:name="_Toc220268011"/>
      <w:r w:rsidRPr="00936EBE">
        <w:rPr>
          <w:rFonts w:eastAsia="DengXian Light"/>
          <w:b/>
          <w:bCs/>
          <w:color w:val="000000" w:themeColor="text1"/>
          <w:sz w:val="28"/>
          <w:szCs w:val="28"/>
          <w:lang w:val="en-US"/>
        </w:rPr>
        <w:lastRenderedPageBreak/>
        <w:t>Figure 1: Conceptual framework</w:t>
      </w:r>
      <w:bookmarkEnd w:id="18"/>
    </w:p>
    <w:p w14:paraId="223BA668"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This framework explains how different age groups, cultural considerations, and social arrangements shape experiences regarding QR code payments in rural Gujarat. These analytic experiences inform perspective in construct usefulness, ease, trust, and digital confidence, which overtime mediate varying levels of participation from passive resistance to active participation. The constructivist epistemology evidenced in (Davis et al, 1989, Venkatesh et al, 2003, Smith et al, 2009) explains the framework's focus on the dynamic and bidirectional relationships of the reflexive feedback loop of the framework which explains how engagement activities reshape meaning. The conceptual framework positions lived experience as the central analytical lens through which QR code payment adoption is understood. Rather than assuming linear causality, the framework reflects a constructivist epistemology where meanings are continuously negotiated through social interaction and experience. Engagement patterns emerge not solely from individual attitudes, but from the interaction of generational positioning, cultural norms, and social structures within rural Gujarat </w:t>
      </w:r>
      <w:r w:rsidRPr="00936EBE">
        <w:t>(Venkatesh et al., 2012)</w:t>
      </w:r>
      <w:r w:rsidRPr="00936EBE">
        <w:rPr>
          <w:color w:val="000000" w:themeColor="text1"/>
          <w:lang w:val="en-US"/>
        </w:rPr>
        <w:t>.</w:t>
      </w:r>
    </w:p>
    <w:p w14:paraId="656B9768"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conceptual framework relies on the theory of acceptance of technology, generational studies, and constructivist epistemology. This </w:t>
      </w:r>
      <w:proofErr w:type="gramStart"/>
      <w:r w:rsidRPr="00936EBE">
        <w:rPr>
          <w:color w:val="000000" w:themeColor="text1"/>
          <w:lang w:val="en-US"/>
        </w:rPr>
        <w:t>particular framework</w:t>
      </w:r>
      <w:proofErr w:type="gramEnd"/>
      <w:r w:rsidRPr="00936EBE">
        <w:rPr>
          <w:color w:val="000000" w:themeColor="text1"/>
          <w:lang w:val="en-US"/>
        </w:rPr>
        <w:t xml:space="preserve"> centers lived experiences as the primary phenomenon of interest, consisting of the cognitive, emotional, and physical elements of encounters with digital payment technologies.  </w:t>
      </w:r>
    </w:p>
    <w:p w14:paraId="6B9C5EC6"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framework uncovered generational position, cultural setting, social structures, and lived experience and the theory of four elements and structures in the theory of structures and systems of experience. Social position pertains to the distinct position of social cohorts in one’s natal cohorts and formative experiences with technology. The cultural setting involves socio-cultural and socio-economic structures and systems of rural Gujarat, which determines levels of trust, financial behavior, and the use of appropriate technology. Social structures such as family, peers, and community determine technology use </w:t>
      </w:r>
      <w:r w:rsidRPr="00936EBE">
        <w:t>(Wang et al., 2021)</w:t>
      </w:r>
      <w:r w:rsidRPr="00936EBE">
        <w:rPr>
          <w:color w:val="000000" w:themeColor="text1"/>
          <w:lang w:val="en-US"/>
        </w:rPr>
        <w:t xml:space="preserve">. As for the social structures, these include the availability of the technology, the regulatory control, and the social support systems.  </w:t>
      </w:r>
    </w:p>
    <w:p w14:paraId="68ECC4A5"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How individuals frame meaning around the concepts of perceived utility, perceived ease, trust, and digital confidence determine their engagement with the use of QR code payments, and their engagement can be enthusiastic adoption, selective and conditional use, or rejection and resistance. Engagement evolves through experience and reflection, and these experiences reconstitute meaning in a continuous loop </w:t>
      </w:r>
      <w:r w:rsidRPr="00936EBE">
        <w:t>(Venkatesh et al., 2012)</w:t>
      </w:r>
      <w:r w:rsidRPr="00936EBE">
        <w:rPr>
          <w:color w:val="000000" w:themeColor="text1"/>
          <w:lang w:val="en-US"/>
        </w:rPr>
        <w:t>.</w:t>
      </w:r>
    </w:p>
    <w:p w14:paraId="5E40CB60"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The framework particularly considers all relationships to be bidirectional as well as dynamic rather than being linear and deterministic; congruent with constructivist epistemology which focuses on the constant negotiation of meanings rather than static cause-effect relationships.</w:t>
      </w:r>
    </w:p>
    <w:p w14:paraId="76C70F1E" w14:textId="77777777" w:rsidR="00936EBE" w:rsidRPr="00936EBE" w:rsidRDefault="00936EBE" w:rsidP="00936EBE">
      <w:pPr>
        <w:spacing w:line="276" w:lineRule="auto"/>
        <w:jc w:val="both"/>
        <w:rPr>
          <w:color w:val="000000" w:themeColor="text1"/>
          <w:lang w:val="en-IN"/>
        </w:rPr>
      </w:pPr>
    </w:p>
    <w:p w14:paraId="4D9BEBA8" w14:textId="77777777" w:rsidR="00936EBE" w:rsidRPr="00936EBE" w:rsidRDefault="00936EBE" w:rsidP="00936EBE">
      <w:pPr>
        <w:spacing w:line="276" w:lineRule="auto"/>
        <w:jc w:val="both"/>
        <w:rPr>
          <w:color w:val="000000" w:themeColor="text1"/>
          <w:lang w:val="en-IN"/>
        </w:rPr>
      </w:pPr>
    </w:p>
    <w:p w14:paraId="71AC6C50" w14:textId="77777777" w:rsidR="00936EBE" w:rsidRPr="00936EBE" w:rsidRDefault="00936EBE" w:rsidP="00936EBE">
      <w:pPr>
        <w:spacing w:line="276" w:lineRule="auto"/>
        <w:jc w:val="both"/>
        <w:rPr>
          <w:color w:val="000000" w:themeColor="text1"/>
          <w:lang w:val="en-IN"/>
        </w:rPr>
      </w:pPr>
    </w:p>
    <w:p w14:paraId="7EC4228F"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IN"/>
        </w:rPr>
      </w:pPr>
      <w:bookmarkStart w:id="19" w:name="_Toc220268012"/>
      <w:r w:rsidRPr="00936EBE">
        <w:rPr>
          <w:rFonts w:eastAsia="DengXian Light"/>
          <w:b/>
          <w:bCs/>
          <w:color w:val="000000" w:themeColor="text1"/>
          <w:sz w:val="32"/>
          <w:szCs w:val="32"/>
          <w:lang w:val="en-IN"/>
        </w:rPr>
        <w:t>Research Methodology</w:t>
      </w:r>
      <w:bookmarkEnd w:id="19"/>
    </w:p>
    <w:p w14:paraId="456EBE90"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20" w:name="_Toc220268013"/>
      <w:r w:rsidRPr="00936EBE">
        <w:rPr>
          <w:rFonts w:eastAsia="DengXian Light"/>
          <w:b/>
          <w:bCs/>
          <w:color w:val="000000" w:themeColor="text1"/>
          <w:sz w:val="28"/>
          <w:szCs w:val="28"/>
          <w:lang w:val="en-IN"/>
        </w:rPr>
        <w:t>Paradigmatic Foundations</w:t>
      </w:r>
      <w:bookmarkEnd w:id="20"/>
      <w:r w:rsidRPr="00936EBE">
        <w:rPr>
          <w:rFonts w:eastAsia="DengXian Light"/>
          <w:b/>
          <w:bCs/>
          <w:color w:val="000000" w:themeColor="text1"/>
          <w:sz w:val="28"/>
          <w:szCs w:val="28"/>
          <w:lang w:val="en-IN"/>
        </w:rPr>
        <w:t xml:space="preserve"> </w:t>
      </w:r>
    </w:p>
    <w:p w14:paraId="44916278"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All methodological decisions, as well as every technique to make knowledge and comprehend it, are placed in a constructivist paradigm of this very research. Constructivism provides that reality is not a fixed thinking which can be unearthed in a manner that is discoverable, but it is a phenomenon particular to be conceived and created socially by individuals and communities by giving meaning and making sense in their interactions and experiences (Schwandt 2000; Lincoln and Guba 2000). In this paradigm, it is stated that knowledge is created in a participatory model between the researcher and the participants as opposed to a model where the researcher spectates knowledge as an already existing phenomenon. In this method, the researcher is not just a passive observer, but it is an active participant in the process in which beliefs, attitudes, and paradigms impact the results of observation and thought of the research (Creswell and Poth 2018).</w:t>
      </w:r>
    </w:p>
    <w:p w14:paraId="187B6C5D"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As constructivist approach starts, it has a couple of assumptions. Firstly, the constructivist paradigm permits the coexistence of constructs of digital adoption payment to coexist side by side with no single nugget of construct closer to the sun than another. The variations in the ages of cohorts can initiate the building of various interpretations of QR code payment systems relative to others, and such interpretations are more than democratically appropriate expressions of various lived realities. This assumption itself indicates the framing of the approach to the research on the generational gaps in the research, and eschews the deficit lens, in which assumptions are made that the growing degrees of technological comfort of younger generations are more valid, and in turn, superior to assumptions of older generations regarding their reluctance, and resistance (Wang et al., 2021).</w:t>
      </w:r>
    </w:p>
    <w:p w14:paraId="51F8EC4C"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Second is the assumption that constructivism in the process about QR adoption espouses the view that all meaning making is a construction of the social, historical, and cultural frameworks within an environment, that are dominated by what is thinkable, what is possible, and of what is deemed to be of true significance (Schwandt, 2000). In the rural region of </w:t>
      </w:r>
      <w:proofErr w:type="gramStart"/>
      <w:r w:rsidRPr="00936EBE">
        <w:rPr>
          <w:color w:val="000000" w:themeColor="text1"/>
          <w:lang w:val="en-US"/>
        </w:rPr>
        <w:t>Gujarat</w:t>
      </w:r>
      <w:proofErr w:type="gramEnd"/>
      <w:r w:rsidRPr="00936EBE">
        <w:rPr>
          <w:color w:val="000000" w:themeColor="text1"/>
          <w:lang w:val="en-US"/>
        </w:rPr>
        <w:t xml:space="preserve"> the adoption of QR payment systems requires the construct to be relevant to the social, economic, and cultural frameworks of where it is applied. The research does not seek of adoption a theory of technology that is universal, and applies across the cultural adoption void, but instead seeks to understand the processes that are involved in technology adoption within that cultural void.</w:t>
      </w:r>
    </w:p>
    <w:p w14:paraId="558E0882"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lastRenderedPageBreak/>
        <w:t>Third, constructivist thinking stipulates that there must be reflexivity in the entire research process, which entails self-scrutiny in terms of how the researcher's background, assumptions, culture, and theory may skew the way they see things and the way they interpret their findings. As the researcher, I take responsibility for my own views, which have been informed by my educational background, my exposure to technology, and the culture that I come from. During the entire period of conducting this research, I have promised to keep a reflexive stance by way of documenting my feelings, my assumptions, and my responses in a journal on an ongoing basis; in conversations with my research supervisors and peers, I will analyze the findings to focus on how I have given agency to the research participants so that I have not lost sight of their actual lived, felt, and voiced experiences in order to be able to provide a rich interpretation of the data rather than my own assumptions or conjectures. The explanatory scope that this reflexivity brings to the interpretive process is what very many mainstream researchers see as a weakness, so they usually suppress it.</w:t>
      </w:r>
    </w:p>
    <w:p w14:paraId="44E94874"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A constructivist paradigm, thus, influences not only the philosophical assumptions of the researcher, but the actual methodological decisions as well. It orients the researcher to embrace qualitative approaches that focus on the intricacies of meaning and experiences. It is not concerned with the quantitative attempts that only seek to manipulate variables. It gives priority to what the participants define as important rather than what the researcher imposes. It entails a pluralistic approach that is within the context, as opposed to a generalizable one that is wide. These commitments have been manifested in the specific methodological choices described in following sections.</w:t>
      </w:r>
    </w:p>
    <w:p w14:paraId="448D7331"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21" w:name="_Toc220268014"/>
      <w:r w:rsidRPr="00936EBE">
        <w:rPr>
          <w:rFonts w:eastAsia="DengXian Light"/>
          <w:b/>
          <w:bCs/>
          <w:color w:val="000000" w:themeColor="text1"/>
          <w:sz w:val="28"/>
          <w:szCs w:val="28"/>
          <w:lang w:val="en-IN"/>
        </w:rPr>
        <w:t>Methodological Approach: Interpretative Phenomenological Analysis</w:t>
      </w:r>
      <w:bookmarkEnd w:id="21"/>
      <w:r w:rsidRPr="00936EBE">
        <w:rPr>
          <w:rFonts w:eastAsia="DengXian Light"/>
          <w:b/>
          <w:bCs/>
          <w:color w:val="000000" w:themeColor="text1"/>
          <w:sz w:val="28"/>
          <w:szCs w:val="28"/>
          <w:lang w:val="en-IN"/>
        </w:rPr>
        <w:t xml:space="preserve"> </w:t>
      </w:r>
    </w:p>
    <w:p w14:paraId="0188EB9B"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In the larger context of the research design, the author intends to employ an IPA, i.e., an Integrative Phenomenological Analysis, within the constructivist paradigm. According to Smith et al. (2009), ‘Phenomenology’ is a particular tradition of both philosophy and methodology, which examines the subjective lived experiences of individuals and seeks to fully understand the core structures and meanings of the </w:t>
      </w:r>
      <w:proofErr w:type="gramStart"/>
      <w:r w:rsidRPr="00936EBE">
        <w:rPr>
          <w:color w:val="000000" w:themeColor="text1"/>
          <w:lang w:val="en-US"/>
        </w:rPr>
        <w:t>particular phenomena</w:t>
      </w:r>
      <w:proofErr w:type="gramEnd"/>
      <w:r w:rsidRPr="00936EBE">
        <w:rPr>
          <w:color w:val="000000" w:themeColor="text1"/>
          <w:lang w:val="en-US"/>
        </w:rPr>
        <w:t xml:space="preserve"> as they are encountered in the daily life of human beings. What makes phenomenology unique are its simple yet profound questions. What is the experience of a particular phenomenon like for the individuals who live through it? With nuances and details in lived experiences, phenomenology attempts to go beyond the surface descriptions and gain access to the core meanings and essences of the experiences lived.</w:t>
      </w:r>
    </w:p>
    <w:p w14:paraId="7CC353C0"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With the intertwined philosophy of phenomenology and hermeneutics, IPA, as conceived and elaborated by Jonathan Smith and his colleagues, constitutes a unique approach in the tradition of phenomenology </w:t>
      </w:r>
      <w:r w:rsidRPr="00936EBE">
        <w:t>(Wang et al., 2021)</w:t>
      </w:r>
      <w:r w:rsidRPr="00936EBE">
        <w:rPr>
          <w:color w:val="000000" w:themeColor="text1"/>
          <w:lang w:val="en-US"/>
        </w:rPr>
        <w:t xml:space="preserve">. Phenomenology, to Smith and his colleagues, is a passionate epistemological interest in experience and its transformative interpretation. It is vital to acknowledge, as Smith et al. (2009) assert, that understanding and having access to the </w:t>
      </w:r>
      <w:r w:rsidRPr="00936EBE">
        <w:rPr>
          <w:color w:val="000000" w:themeColor="text1"/>
          <w:lang w:val="en-US"/>
        </w:rPr>
        <w:lastRenderedPageBreak/>
        <w:t>experience of participants involves the interpretation of sense-making processes surrounding it, i.e. the participant’s experience. With the participants engaged in the reflective articulation of their lived experiences, IPA relies on the double hermeneutic to deepen the understanding of the phenomenological experience.</w:t>
      </w:r>
    </w:p>
    <w:p w14:paraId="6C70E0AA"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Einaudi describes ideography in terms of its focus on particular people in particular settings as opposed to immediately </w:t>
      </w:r>
      <w:r w:rsidRPr="00936EBE">
        <w:rPr>
          <w:color w:val="000000" w:themeColor="text1"/>
          <w:lang w:val="en-GB"/>
        </w:rPr>
        <w:t>generalising</w:t>
      </w:r>
      <w:r w:rsidRPr="00936EBE">
        <w:rPr>
          <w:color w:val="000000" w:themeColor="text1"/>
          <w:lang w:val="en-US"/>
        </w:rPr>
        <w:t xml:space="preserve">. Rather than attempting to </w:t>
      </w:r>
      <w:proofErr w:type="spellStart"/>
      <w:r w:rsidRPr="00936EBE">
        <w:rPr>
          <w:color w:val="000000" w:themeColor="text1"/>
          <w:lang w:val="en-US"/>
        </w:rPr>
        <w:t>generalise</w:t>
      </w:r>
      <w:proofErr w:type="spellEnd"/>
      <w:r w:rsidRPr="00936EBE">
        <w:rPr>
          <w:color w:val="000000" w:themeColor="text1"/>
          <w:lang w:val="en-US"/>
        </w:rPr>
        <w:t>, this type of research approach selects a small number of cases and conducts in-depth analyses of each, followed by comparisons between cases. This approach acknowledges health research while also identifying divergences.</w:t>
      </w:r>
    </w:p>
    <w:p w14:paraId="4167BF23"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There are </w:t>
      </w:r>
      <w:proofErr w:type="gramStart"/>
      <w:r w:rsidRPr="00936EBE">
        <w:rPr>
          <w:color w:val="000000" w:themeColor="text1"/>
          <w:lang w:val="en-US"/>
        </w:rPr>
        <w:t>a number of</w:t>
      </w:r>
      <w:proofErr w:type="gramEnd"/>
      <w:r w:rsidRPr="00936EBE">
        <w:rPr>
          <w:color w:val="000000" w:themeColor="text1"/>
          <w:lang w:val="en-US"/>
        </w:rPr>
        <w:t xml:space="preserve"> reasons why Interpretive Phenomenological Analysis is the best option for this research. First, the study design is focused on in-depth analyses of lived experiences, which intersects with the research objective of uncovering how different cohorts experience the adoption of QR code payments. Second, Interpretive Phenomenological Analysis has been employed successfully in the past for comparative studies aimed at assessing the differences in experience of a phenomenon across different cohorts, which makes it apt for this study. Third, the recognition of active engagement as opposed to passive observation in the interpretative process aligns with the methodology's emphasis on the interpretative stance. Finally, the existence of clear and established frameworks in Interpretive Phenomenological Analysis allows for this to be small-scale, flexible in the face of unexpected findings while supporting thorough engagement in the analysis.</w:t>
      </w:r>
    </w:p>
    <w:p w14:paraId="441C726A"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IN"/>
        </w:rPr>
      </w:pPr>
      <w:bookmarkStart w:id="22" w:name="_Toc220268015"/>
      <w:r w:rsidRPr="00936EBE">
        <w:rPr>
          <w:rFonts w:eastAsia="DengXian Light"/>
          <w:b/>
          <w:bCs/>
          <w:color w:val="000000" w:themeColor="text1"/>
          <w:sz w:val="32"/>
          <w:szCs w:val="32"/>
          <w:lang w:val="en-IN"/>
        </w:rPr>
        <w:t>Research Design and Sampling</w:t>
      </w:r>
      <w:bookmarkEnd w:id="22"/>
    </w:p>
    <w:p w14:paraId="125E180A" w14:textId="77777777" w:rsidR="00936EBE" w:rsidRPr="00936EBE" w:rsidRDefault="00936EBE" w:rsidP="00936EBE">
      <w:pPr>
        <w:spacing w:line="276" w:lineRule="auto"/>
        <w:jc w:val="both"/>
        <w:rPr>
          <w:color w:val="000000" w:themeColor="text1"/>
          <w:lang w:val="en-IN"/>
        </w:rPr>
      </w:pPr>
      <w:r w:rsidRPr="00936EBE">
        <w:rPr>
          <w:color w:val="000000" w:themeColor="text1"/>
          <w:lang w:val="en-US"/>
        </w:rPr>
        <w:t>This study will employ purposive sampling to recruit approximately 15–20 participants across four generational cohorts. IPA prioritizes depth over breadth, and this sample size is consistent with methodological guidance for doctoral-level phenomenological research. Participants will be selected to ensure diversity in gender, education, occupation, and levels of digital engagement.</w:t>
      </w:r>
    </w:p>
    <w:p w14:paraId="3ECCEEB5"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This study employs a cross-generational comparative design using Interpretative Phenomenological Analysis (IPA) to explore lived experiences across four generational cohorts: Baby Boomers (1946-1964, ages 60-78), Generation X (1965-1980, ages 44-59), Millennials (1981-1996, ages 28-43), and Generation Z (1997-2012, ages 18-27) (Smith et al., 2009). This design enables examination of both convergence and divergence in experiences while acknowledging within-cohort variation.</w:t>
      </w:r>
    </w:p>
    <w:p w14:paraId="56EE5CA3" w14:textId="77777777" w:rsidR="00936EBE" w:rsidRPr="00936EBE" w:rsidRDefault="00936EBE" w:rsidP="00936EBE">
      <w:pPr>
        <w:spacing w:line="276" w:lineRule="auto"/>
        <w:jc w:val="both"/>
        <w:rPr>
          <w:b/>
          <w:bCs/>
          <w:i/>
          <w:iCs/>
          <w:color w:val="000000" w:themeColor="text1"/>
          <w:lang w:val="en-IN"/>
        </w:rPr>
      </w:pPr>
    </w:p>
    <w:p w14:paraId="1164AC9D" w14:textId="77777777" w:rsidR="00936EBE" w:rsidRPr="00936EBE" w:rsidRDefault="00936EBE" w:rsidP="00936EBE">
      <w:pPr>
        <w:spacing w:line="276" w:lineRule="auto"/>
        <w:jc w:val="both"/>
        <w:rPr>
          <w:b/>
          <w:bCs/>
          <w:i/>
          <w:iCs/>
          <w:color w:val="000000" w:themeColor="text1"/>
          <w:lang w:val="en-IN"/>
        </w:rPr>
      </w:pPr>
    </w:p>
    <w:p w14:paraId="5E3EBCE1" w14:textId="77777777" w:rsidR="00936EBE" w:rsidRPr="00936EBE" w:rsidRDefault="00936EBE" w:rsidP="00936EBE">
      <w:pPr>
        <w:spacing w:line="276" w:lineRule="auto"/>
        <w:jc w:val="both"/>
        <w:rPr>
          <w:b/>
          <w:bCs/>
          <w:i/>
          <w:iCs/>
          <w:color w:val="000000" w:themeColor="text1"/>
          <w:lang w:val="en-IN"/>
        </w:rPr>
      </w:pPr>
    </w:p>
    <w:p w14:paraId="27E0E645"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IN"/>
        </w:rPr>
      </w:pPr>
      <w:r w:rsidRPr="00936EBE">
        <w:rPr>
          <w:rFonts w:eastAsia="DengXian Light"/>
          <w:color w:val="000000" w:themeColor="text1"/>
          <w:sz w:val="40"/>
          <w:szCs w:val="40"/>
          <w:lang w:val="en-IN"/>
        </w:rPr>
        <w:lastRenderedPageBreak/>
        <w:t xml:space="preserve"> </w:t>
      </w:r>
      <w:bookmarkStart w:id="23" w:name="_Toc220268016"/>
      <w:r w:rsidRPr="00936EBE">
        <w:rPr>
          <w:rFonts w:eastAsia="DengXian Light"/>
          <w:b/>
          <w:bCs/>
          <w:color w:val="000000" w:themeColor="text1"/>
          <w:sz w:val="32"/>
          <w:szCs w:val="32"/>
          <w:lang w:val="en-US"/>
        </w:rPr>
        <w:t xml:space="preserve">Table </w:t>
      </w:r>
      <w:r w:rsidRPr="00936EBE">
        <w:rPr>
          <w:rFonts w:ascii="Calibri Light" w:eastAsia="DengXian Light" w:hAnsi="Calibri Light" w:cs="Shruti"/>
          <w:color w:val="2F5496" w:themeColor="accent1" w:themeShade="BF"/>
          <w:sz w:val="40"/>
          <w:szCs w:val="40"/>
        </w:rPr>
        <w:fldChar w:fldCharType="begin"/>
      </w:r>
      <w:r w:rsidRPr="00936EBE">
        <w:rPr>
          <w:rFonts w:eastAsia="DengXian Light"/>
          <w:b/>
          <w:bCs/>
          <w:color w:val="000000" w:themeColor="text1"/>
          <w:sz w:val="32"/>
          <w:szCs w:val="32"/>
          <w:lang w:val="en-US"/>
        </w:rPr>
        <w:instrText xml:space="preserve"> SEQ Table \* ARABIC </w:instrText>
      </w:r>
      <w:r w:rsidRPr="00936EBE">
        <w:rPr>
          <w:rFonts w:ascii="Calibri Light" w:eastAsia="DengXian Light" w:hAnsi="Calibri Light" w:cs="Shruti"/>
          <w:color w:val="2F5496" w:themeColor="accent1" w:themeShade="BF"/>
          <w:sz w:val="40"/>
          <w:szCs w:val="40"/>
        </w:rPr>
        <w:fldChar w:fldCharType="separate"/>
      </w:r>
      <w:r w:rsidRPr="00936EBE">
        <w:rPr>
          <w:rFonts w:eastAsia="DengXian Light"/>
          <w:b/>
          <w:bCs/>
          <w:color w:val="000000" w:themeColor="text1"/>
          <w:sz w:val="32"/>
          <w:szCs w:val="32"/>
          <w:lang w:val="en-US"/>
        </w:rPr>
        <w:t>1</w:t>
      </w:r>
      <w:r w:rsidRPr="00936EBE">
        <w:rPr>
          <w:rFonts w:ascii="Calibri Light" w:eastAsia="DengXian Light" w:hAnsi="Calibri Light" w:cs="Shruti"/>
          <w:color w:val="2F5496" w:themeColor="accent1" w:themeShade="BF"/>
          <w:sz w:val="40"/>
          <w:szCs w:val="40"/>
        </w:rPr>
        <w:fldChar w:fldCharType="end"/>
      </w:r>
      <w:r w:rsidRPr="00936EBE">
        <w:rPr>
          <w:rFonts w:eastAsia="DengXian Light"/>
          <w:b/>
          <w:bCs/>
          <w:color w:val="000000" w:themeColor="text1"/>
          <w:sz w:val="32"/>
          <w:szCs w:val="32"/>
          <w:lang w:val="en-US"/>
        </w:rPr>
        <w:t xml:space="preserve"> </w:t>
      </w:r>
      <w:r w:rsidRPr="00936EBE">
        <w:rPr>
          <w:rFonts w:eastAsia="DengXian Light"/>
          <w:b/>
          <w:bCs/>
          <w:color w:val="000000" w:themeColor="text1"/>
          <w:sz w:val="32"/>
          <w:szCs w:val="32"/>
          <w:lang w:val="en-IN"/>
        </w:rPr>
        <w:t xml:space="preserve"> Generational Cohorts and Sampling Framework</w:t>
      </w:r>
      <w:bookmarkEnd w:id="23"/>
    </w:p>
    <w:tbl>
      <w:tblPr>
        <w:tblStyle w:val="TableGrid2"/>
        <w:tblW w:w="9627" w:type="dxa"/>
        <w:tblInd w:w="0" w:type="dxa"/>
        <w:tblLook w:val="04A0" w:firstRow="1" w:lastRow="0" w:firstColumn="1" w:lastColumn="0" w:noHBand="0" w:noVBand="1"/>
      </w:tblPr>
      <w:tblGrid>
        <w:gridCol w:w="1753"/>
        <w:gridCol w:w="1411"/>
        <w:gridCol w:w="1369"/>
        <w:gridCol w:w="1778"/>
        <w:gridCol w:w="3316"/>
      </w:tblGrid>
      <w:tr w:rsidR="00936EBE" w:rsidRPr="00936EBE" w14:paraId="1B684DD2" w14:textId="77777777">
        <w:trPr>
          <w:trHeight w:val="505"/>
        </w:trPr>
        <w:tc>
          <w:tcPr>
            <w:tcW w:w="0" w:type="auto"/>
            <w:tcBorders>
              <w:top w:val="single" w:sz="4" w:space="0" w:color="auto"/>
              <w:left w:val="single" w:sz="4" w:space="0" w:color="auto"/>
              <w:bottom w:val="single" w:sz="4" w:space="0" w:color="auto"/>
              <w:right w:val="single" w:sz="4" w:space="0" w:color="auto"/>
            </w:tcBorders>
            <w:hideMark/>
          </w:tcPr>
          <w:p w14:paraId="79EEB96F" w14:textId="77777777" w:rsidR="00936EBE" w:rsidRPr="00936EBE" w:rsidRDefault="00936EBE" w:rsidP="00936EBE">
            <w:pPr>
              <w:spacing w:line="276" w:lineRule="auto"/>
              <w:jc w:val="both"/>
              <w:rPr>
                <w:b/>
                <w:bCs/>
                <w:color w:val="000000" w:themeColor="text1"/>
                <w:lang w:val="en-IN"/>
              </w:rPr>
            </w:pPr>
            <w:r w:rsidRPr="00936EBE">
              <w:rPr>
                <w:b/>
                <w:bCs/>
                <w:color w:val="000000" w:themeColor="text1"/>
                <w:lang w:val="en-IN"/>
              </w:rPr>
              <w:t>Cohort</w:t>
            </w:r>
          </w:p>
        </w:tc>
        <w:tc>
          <w:tcPr>
            <w:tcW w:w="0" w:type="auto"/>
            <w:tcBorders>
              <w:top w:val="single" w:sz="4" w:space="0" w:color="auto"/>
              <w:left w:val="single" w:sz="4" w:space="0" w:color="auto"/>
              <w:bottom w:val="single" w:sz="4" w:space="0" w:color="auto"/>
              <w:right w:val="single" w:sz="4" w:space="0" w:color="auto"/>
            </w:tcBorders>
            <w:hideMark/>
          </w:tcPr>
          <w:p w14:paraId="564CC565" w14:textId="77777777" w:rsidR="00936EBE" w:rsidRPr="00936EBE" w:rsidRDefault="00936EBE" w:rsidP="00936EBE">
            <w:pPr>
              <w:spacing w:line="276" w:lineRule="auto"/>
              <w:jc w:val="both"/>
              <w:rPr>
                <w:b/>
                <w:bCs/>
                <w:color w:val="000000" w:themeColor="text1"/>
                <w:lang w:val="en-IN"/>
              </w:rPr>
            </w:pPr>
            <w:r w:rsidRPr="00936EBE">
              <w:rPr>
                <w:b/>
                <w:bCs/>
                <w:color w:val="000000" w:themeColor="text1"/>
                <w:lang w:val="en-IN"/>
              </w:rPr>
              <w:t>Birth Years</w:t>
            </w:r>
          </w:p>
        </w:tc>
        <w:tc>
          <w:tcPr>
            <w:tcW w:w="0" w:type="auto"/>
            <w:tcBorders>
              <w:top w:val="single" w:sz="4" w:space="0" w:color="auto"/>
              <w:left w:val="single" w:sz="4" w:space="0" w:color="auto"/>
              <w:bottom w:val="single" w:sz="4" w:space="0" w:color="auto"/>
              <w:right w:val="single" w:sz="4" w:space="0" w:color="auto"/>
            </w:tcBorders>
            <w:hideMark/>
          </w:tcPr>
          <w:p w14:paraId="5A3D8716" w14:textId="77777777" w:rsidR="00936EBE" w:rsidRPr="00936EBE" w:rsidRDefault="00936EBE" w:rsidP="00936EBE">
            <w:pPr>
              <w:spacing w:line="276" w:lineRule="auto"/>
              <w:jc w:val="both"/>
              <w:rPr>
                <w:b/>
                <w:bCs/>
                <w:color w:val="000000" w:themeColor="text1"/>
                <w:lang w:val="en-IN"/>
              </w:rPr>
            </w:pPr>
            <w:r w:rsidRPr="00936EBE">
              <w:rPr>
                <w:b/>
                <w:bCs/>
                <w:color w:val="000000" w:themeColor="text1"/>
                <w:lang w:val="en-IN"/>
              </w:rPr>
              <w:t>Age Range</w:t>
            </w:r>
          </w:p>
        </w:tc>
        <w:tc>
          <w:tcPr>
            <w:tcW w:w="0" w:type="auto"/>
            <w:tcBorders>
              <w:top w:val="single" w:sz="4" w:space="0" w:color="auto"/>
              <w:left w:val="single" w:sz="4" w:space="0" w:color="auto"/>
              <w:bottom w:val="single" w:sz="4" w:space="0" w:color="auto"/>
              <w:right w:val="single" w:sz="4" w:space="0" w:color="auto"/>
            </w:tcBorders>
            <w:hideMark/>
          </w:tcPr>
          <w:p w14:paraId="05743734" w14:textId="77777777" w:rsidR="00936EBE" w:rsidRPr="00936EBE" w:rsidRDefault="00936EBE" w:rsidP="00936EBE">
            <w:pPr>
              <w:spacing w:line="276" w:lineRule="auto"/>
              <w:jc w:val="both"/>
              <w:rPr>
                <w:b/>
                <w:bCs/>
                <w:color w:val="000000" w:themeColor="text1"/>
                <w:lang w:val="en-IN"/>
              </w:rPr>
            </w:pPr>
            <w:r w:rsidRPr="00936EBE">
              <w:rPr>
                <w:b/>
                <w:bCs/>
                <w:color w:val="000000" w:themeColor="text1"/>
                <w:lang w:val="en-IN"/>
              </w:rPr>
              <w:t>Target Sample</w:t>
            </w:r>
          </w:p>
        </w:tc>
        <w:tc>
          <w:tcPr>
            <w:tcW w:w="0" w:type="auto"/>
            <w:tcBorders>
              <w:top w:val="single" w:sz="4" w:space="0" w:color="auto"/>
              <w:left w:val="single" w:sz="4" w:space="0" w:color="auto"/>
              <w:bottom w:val="single" w:sz="4" w:space="0" w:color="auto"/>
              <w:right w:val="single" w:sz="4" w:space="0" w:color="auto"/>
            </w:tcBorders>
            <w:hideMark/>
          </w:tcPr>
          <w:p w14:paraId="5676820F" w14:textId="77777777" w:rsidR="00936EBE" w:rsidRPr="00936EBE" w:rsidRDefault="00936EBE" w:rsidP="00936EBE">
            <w:pPr>
              <w:spacing w:line="276" w:lineRule="auto"/>
              <w:jc w:val="both"/>
              <w:rPr>
                <w:b/>
                <w:bCs/>
                <w:color w:val="000000" w:themeColor="text1"/>
                <w:lang w:val="en-IN"/>
              </w:rPr>
            </w:pPr>
            <w:r w:rsidRPr="00936EBE">
              <w:rPr>
                <w:b/>
                <w:bCs/>
                <w:color w:val="000000" w:themeColor="text1"/>
                <w:lang w:val="en-IN"/>
              </w:rPr>
              <w:t>Key Characteristics</w:t>
            </w:r>
          </w:p>
        </w:tc>
      </w:tr>
      <w:tr w:rsidR="00936EBE" w:rsidRPr="00936EBE" w14:paraId="41367F32" w14:textId="77777777">
        <w:trPr>
          <w:trHeight w:val="505"/>
        </w:trPr>
        <w:tc>
          <w:tcPr>
            <w:tcW w:w="0" w:type="auto"/>
            <w:tcBorders>
              <w:top w:val="single" w:sz="4" w:space="0" w:color="auto"/>
              <w:left w:val="single" w:sz="4" w:space="0" w:color="auto"/>
              <w:bottom w:val="single" w:sz="4" w:space="0" w:color="auto"/>
              <w:right w:val="single" w:sz="4" w:space="0" w:color="auto"/>
            </w:tcBorders>
            <w:hideMark/>
          </w:tcPr>
          <w:p w14:paraId="0B7E3900"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Baby Boomers</w:t>
            </w:r>
          </w:p>
        </w:tc>
        <w:tc>
          <w:tcPr>
            <w:tcW w:w="0" w:type="auto"/>
            <w:tcBorders>
              <w:top w:val="single" w:sz="4" w:space="0" w:color="auto"/>
              <w:left w:val="single" w:sz="4" w:space="0" w:color="auto"/>
              <w:bottom w:val="single" w:sz="4" w:space="0" w:color="auto"/>
              <w:right w:val="single" w:sz="4" w:space="0" w:color="auto"/>
            </w:tcBorders>
            <w:hideMark/>
          </w:tcPr>
          <w:p w14:paraId="045D61F6"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1946-1964</w:t>
            </w:r>
          </w:p>
        </w:tc>
        <w:tc>
          <w:tcPr>
            <w:tcW w:w="0" w:type="auto"/>
            <w:tcBorders>
              <w:top w:val="single" w:sz="4" w:space="0" w:color="auto"/>
              <w:left w:val="single" w:sz="4" w:space="0" w:color="auto"/>
              <w:bottom w:val="single" w:sz="4" w:space="0" w:color="auto"/>
              <w:right w:val="single" w:sz="4" w:space="0" w:color="auto"/>
            </w:tcBorders>
            <w:hideMark/>
          </w:tcPr>
          <w:p w14:paraId="0D83CD3F"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60-78</w:t>
            </w:r>
          </w:p>
        </w:tc>
        <w:tc>
          <w:tcPr>
            <w:tcW w:w="0" w:type="auto"/>
            <w:tcBorders>
              <w:top w:val="single" w:sz="4" w:space="0" w:color="auto"/>
              <w:left w:val="single" w:sz="4" w:space="0" w:color="auto"/>
              <w:bottom w:val="single" w:sz="4" w:space="0" w:color="auto"/>
              <w:right w:val="single" w:sz="4" w:space="0" w:color="auto"/>
            </w:tcBorders>
            <w:hideMark/>
          </w:tcPr>
          <w:p w14:paraId="1465AA2E"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10-15</w:t>
            </w:r>
          </w:p>
        </w:tc>
        <w:tc>
          <w:tcPr>
            <w:tcW w:w="0" w:type="auto"/>
            <w:tcBorders>
              <w:top w:val="single" w:sz="4" w:space="0" w:color="auto"/>
              <w:left w:val="single" w:sz="4" w:space="0" w:color="auto"/>
              <w:bottom w:val="single" w:sz="4" w:space="0" w:color="auto"/>
              <w:right w:val="single" w:sz="4" w:space="0" w:color="auto"/>
            </w:tcBorders>
            <w:hideMark/>
          </w:tcPr>
          <w:p w14:paraId="1B3E5458"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Pre-digital formative years</w:t>
            </w:r>
          </w:p>
        </w:tc>
      </w:tr>
      <w:tr w:rsidR="00936EBE" w:rsidRPr="00936EBE" w14:paraId="3D1BB357" w14:textId="77777777">
        <w:trPr>
          <w:trHeight w:val="493"/>
        </w:trPr>
        <w:tc>
          <w:tcPr>
            <w:tcW w:w="0" w:type="auto"/>
            <w:tcBorders>
              <w:top w:val="single" w:sz="4" w:space="0" w:color="auto"/>
              <w:left w:val="single" w:sz="4" w:space="0" w:color="auto"/>
              <w:bottom w:val="single" w:sz="4" w:space="0" w:color="auto"/>
              <w:right w:val="single" w:sz="4" w:space="0" w:color="auto"/>
            </w:tcBorders>
            <w:hideMark/>
          </w:tcPr>
          <w:p w14:paraId="62BA8916"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Generation X</w:t>
            </w:r>
          </w:p>
        </w:tc>
        <w:tc>
          <w:tcPr>
            <w:tcW w:w="0" w:type="auto"/>
            <w:tcBorders>
              <w:top w:val="single" w:sz="4" w:space="0" w:color="auto"/>
              <w:left w:val="single" w:sz="4" w:space="0" w:color="auto"/>
              <w:bottom w:val="single" w:sz="4" w:space="0" w:color="auto"/>
              <w:right w:val="single" w:sz="4" w:space="0" w:color="auto"/>
            </w:tcBorders>
            <w:hideMark/>
          </w:tcPr>
          <w:p w14:paraId="292A0EB9"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1965-1980</w:t>
            </w:r>
          </w:p>
        </w:tc>
        <w:tc>
          <w:tcPr>
            <w:tcW w:w="0" w:type="auto"/>
            <w:tcBorders>
              <w:top w:val="single" w:sz="4" w:space="0" w:color="auto"/>
              <w:left w:val="single" w:sz="4" w:space="0" w:color="auto"/>
              <w:bottom w:val="single" w:sz="4" w:space="0" w:color="auto"/>
              <w:right w:val="single" w:sz="4" w:space="0" w:color="auto"/>
            </w:tcBorders>
            <w:hideMark/>
          </w:tcPr>
          <w:p w14:paraId="4D83A11A"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44-59</w:t>
            </w:r>
          </w:p>
        </w:tc>
        <w:tc>
          <w:tcPr>
            <w:tcW w:w="0" w:type="auto"/>
            <w:tcBorders>
              <w:top w:val="single" w:sz="4" w:space="0" w:color="auto"/>
              <w:left w:val="single" w:sz="4" w:space="0" w:color="auto"/>
              <w:bottom w:val="single" w:sz="4" w:space="0" w:color="auto"/>
              <w:right w:val="single" w:sz="4" w:space="0" w:color="auto"/>
            </w:tcBorders>
            <w:hideMark/>
          </w:tcPr>
          <w:p w14:paraId="4DC850BD"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10-15</w:t>
            </w:r>
          </w:p>
        </w:tc>
        <w:tc>
          <w:tcPr>
            <w:tcW w:w="0" w:type="auto"/>
            <w:tcBorders>
              <w:top w:val="single" w:sz="4" w:space="0" w:color="auto"/>
              <w:left w:val="single" w:sz="4" w:space="0" w:color="auto"/>
              <w:bottom w:val="single" w:sz="4" w:space="0" w:color="auto"/>
              <w:right w:val="single" w:sz="4" w:space="0" w:color="auto"/>
            </w:tcBorders>
            <w:hideMark/>
          </w:tcPr>
          <w:p w14:paraId="18CE4AE3"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Analog-to-digital transition</w:t>
            </w:r>
          </w:p>
        </w:tc>
      </w:tr>
      <w:tr w:rsidR="00936EBE" w:rsidRPr="00936EBE" w14:paraId="13485525" w14:textId="77777777">
        <w:trPr>
          <w:trHeight w:val="505"/>
        </w:trPr>
        <w:tc>
          <w:tcPr>
            <w:tcW w:w="0" w:type="auto"/>
            <w:tcBorders>
              <w:top w:val="single" w:sz="4" w:space="0" w:color="auto"/>
              <w:left w:val="single" w:sz="4" w:space="0" w:color="auto"/>
              <w:bottom w:val="single" w:sz="4" w:space="0" w:color="auto"/>
              <w:right w:val="single" w:sz="4" w:space="0" w:color="auto"/>
            </w:tcBorders>
            <w:hideMark/>
          </w:tcPr>
          <w:p w14:paraId="6ABBF861"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Millennials</w:t>
            </w:r>
          </w:p>
        </w:tc>
        <w:tc>
          <w:tcPr>
            <w:tcW w:w="0" w:type="auto"/>
            <w:tcBorders>
              <w:top w:val="single" w:sz="4" w:space="0" w:color="auto"/>
              <w:left w:val="single" w:sz="4" w:space="0" w:color="auto"/>
              <w:bottom w:val="single" w:sz="4" w:space="0" w:color="auto"/>
              <w:right w:val="single" w:sz="4" w:space="0" w:color="auto"/>
            </w:tcBorders>
            <w:hideMark/>
          </w:tcPr>
          <w:p w14:paraId="48349108"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1981-1996</w:t>
            </w:r>
          </w:p>
        </w:tc>
        <w:tc>
          <w:tcPr>
            <w:tcW w:w="0" w:type="auto"/>
            <w:tcBorders>
              <w:top w:val="single" w:sz="4" w:space="0" w:color="auto"/>
              <w:left w:val="single" w:sz="4" w:space="0" w:color="auto"/>
              <w:bottom w:val="single" w:sz="4" w:space="0" w:color="auto"/>
              <w:right w:val="single" w:sz="4" w:space="0" w:color="auto"/>
            </w:tcBorders>
            <w:hideMark/>
          </w:tcPr>
          <w:p w14:paraId="23ACBA0C"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28-43</w:t>
            </w:r>
          </w:p>
        </w:tc>
        <w:tc>
          <w:tcPr>
            <w:tcW w:w="0" w:type="auto"/>
            <w:tcBorders>
              <w:top w:val="single" w:sz="4" w:space="0" w:color="auto"/>
              <w:left w:val="single" w:sz="4" w:space="0" w:color="auto"/>
              <w:bottom w:val="single" w:sz="4" w:space="0" w:color="auto"/>
              <w:right w:val="single" w:sz="4" w:space="0" w:color="auto"/>
            </w:tcBorders>
            <w:hideMark/>
          </w:tcPr>
          <w:p w14:paraId="346A258B"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10-15</w:t>
            </w:r>
          </w:p>
        </w:tc>
        <w:tc>
          <w:tcPr>
            <w:tcW w:w="0" w:type="auto"/>
            <w:tcBorders>
              <w:top w:val="single" w:sz="4" w:space="0" w:color="auto"/>
              <w:left w:val="single" w:sz="4" w:space="0" w:color="auto"/>
              <w:bottom w:val="single" w:sz="4" w:space="0" w:color="auto"/>
              <w:right w:val="single" w:sz="4" w:space="0" w:color="auto"/>
            </w:tcBorders>
            <w:hideMark/>
          </w:tcPr>
          <w:p w14:paraId="672F0E66"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Digital adoption in adulthood</w:t>
            </w:r>
          </w:p>
        </w:tc>
      </w:tr>
      <w:tr w:rsidR="00936EBE" w:rsidRPr="00936EBE" w14:paraId="08A2A0D8" w14:textId="77777777">
        <w:trPr>
          <w:trHeight w:val="505"/>
        </w:trPr>
        <w:tc>
          <w:tcPr>
            <w:tcW w:w="0" w:type="auto"/>
            <w:tcBorders>
              <w:top w:val="single" w:sz="4" w:space="0" w:color="auto"/>
              <w:left w:val="single" w:sz="4" w:space="0" w:color="auto"/>
              <w:bottom w:val="single" w:sz="4" w:space="0" w:color="auto"/>
              <w:right w:val="single" w:sz="4" w:space="0" w:color="auto"/>
            </w:tcBorders>
            <w:hideMark/>
          </w:tcPr>
          <w:p w14:paraId="58F72A1B"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Generation Z</w:t>
            </w:r>
          </w:p>
        </w:tc>
        <w:tc>
          <w:tcPr>
            <w:tcW w:w="0" w:type="auto"/>
            <w:tcBorders>
              <w:top w:val="single" w:sz="4" w:space="0" w:color="auto"/>
              <w:left w:val="single" w:sz="4" w:space="0" w:color="auto"/>
              <w:bottom w:val="single" w:sz="4" w:space="0" w:color="auto"/>
              <w:right w:val="single" w:sz="4" w:space="0" w:color="auto"/>
            </w:tcBorders>
            <w:hideMark/>
          </w:tcPr>
          <w:p w14:paraId="1D173A75"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1997-2012</w:t>
            </w:r>
          </w:p>
        </w:tc>
        <w:tc>
          <w:tcPr>
            <w:tcW w:w="0" w:type="auto"/>
            <w:tcBorders>
              <w:top w:val="single" w:sz="4" w:space="0" w:color="auto"/>
              <w:left w:val="single" w:sz="4" w:space="0" w:color="auto"/>
              <w:bottom w:val="single" w:sz="4" w:space="0" w:color="auto"/>
              <w:right w:val="single" w:sz="4" w:space="0" w:color="auto"/>
            </w:tcBorders>
            <w:hideMark/>
          </w:tcPr>
          <w:p w14:paraId="1F2A5C85"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18-27</w:t>
            </w:r>
          </w:p>
        </w:tc>
        <w:tc>
          <w:tcPr>
            <w:tcW w:w="0" w:type="auto"/>
            <w:tcBorders>
              <w:top w:val="single" w:sz="4" w:space="0" w:color="auto"/>
              <w:left w:val="single" w:sz="4" w:space="0" w:color="auto"/>
              <w:bottom w:val="single" w:sz="4" w:space="0" w:color="auto"/>
              <w:right w:val="single" w:sz="4" w:space="0" w:color="auto"/>
            </w:tcBorders>
            <w:hideMark/>
          </w:tcPr>
          <w:p w14:paraId="372C0EC4"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10-15</w:t>
            </w:r>
          </w:p>
        </w:tc>
        <w:tc>
          <w:tcPr>
            <w:tcW w:w="0" w:type="auto"/>
            <w:tcBorders>
              <w:top w:val="single" w:sz="4" w:space="0" w:color="auto"/>
              <w:left w:val="single" w:sz="4" w:space="0" w:color="auto"/>
              <w:bottom w:val="single" w:sz="4" w:space="0" w:color="auto"/>
              <w:right w:val="single" w:sz="4" w:space="0" w:color="auto"/>
            </w:tcBorders>
            <w:hideMark/>
          </w:tcPr>
          <w:p w14:paraId="303F54BD"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Digital natives</w:t>
            </w:r>
          </w:p>
        </w:tc>
      </w:tr>
    </w:tbl>
    <w:p w14:paraId="62012B33" w14:textId="77777777" w:rsidR="00936EBE" w:rsidRPr="00936EBE" w:rsidRDefault="00936EBE" w:rsidP="00936EBE">
      <w:pPr>
        <w:spacing w:line="276" w:lineRule="auto"/>
        <w:jc w:val="both"/>
        <w:rPr>
          <w:color w:val="000000" w:themeColor="text1"/>
          <w:lang w:val="en-IN"/>
        </w:rPr>
      </w:pPr>
      <w:r w:rsidRPr="00936EBE">
        <w:rPr>
          <w:i/>
          <w:iCs/>
          <w:color w:val="000000" w:themeColor="text1"/>
          <w:lang w:val="en-IN"/>
        </w:rPr>
        <w:t>Source: Adapted from Prensky (2001) and Helsper and Eynon (2010)</w:t>
      </w:r>
    </w:p>
    <w:p w14:paraId="61E32E39"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Purpose sampling will systematically contact organizations across rural Gujarat to obtain participants that fit specified criteria until thematic saturation is reached (Creswell &amp; </w:t>
      </w:r>
      <w:proofErr w:type="spellStart"/>
      <w:r w:rsidRPr="00936EBE">
        <w:rPr>
          <w:color w:val="000000" w:themeColor="text1"/>
          <w:lang w:val="en-IN"/>
        </w:rPr>
        <w:t>Poth</w:t>
      </w:r>
      <w:proofErr w:type="spellEnd"/>
      <w:r w:rsidRPr="00936EBE">
        <w:rPr>
          <w:color w:val="000000" w:themeColor="text1"/>
          <w:lang w:val="en-IN"/>
        </w:rPr>
        <w:t xml:space="preserve">, 2018). The criteria for participants include: living in rural areas, having an experience with QR code payments (considered or actual use), and having some knowledge in Hindi, English, or Gujarati. The sampling and data collection will include participants of all genders, educational backgrounds, professions, and different socioeconomic classes to ensure that there is not overrepresentation of any groups with high levels of technological competency. </w:t>
      </w:r>
    </w:p>
    <w:p w14:paraId="637133B8"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IN"/>
        </w:rPr>
      </w:pPr>
      <w:bookmarkStart w:id="24" w:name="_Toc220268017"/>
      <w:r w:rsidRPr="00936EBE">
        <w:rPr>
          <w:rFonts w:eastAsia="DengXian Light"/>
          <w:b/>
          <w:bCs/>
          <w:color w:val="000000" w:themeColor="text1"/>
          <w:sz w:val="32"/>
          <w:szCs w:val="32"/>
          <w:lang w:val="en-IN"/>
        </w:rPr>
        <w:t>Data Collection Methods</w:t>
      </w:r>
      <w:bookmarkEnd w:id="24"/>
      <w:r w:rsidRPr="00936EBE">
        <w:rPr>
          <w:rFonts w:eastAsia="DengXian Light"/>
          <w:b/>
          <w:bCs/>
          <w:color w:val="000000" w:themeColor="text1"/>
          <w:sz w:val="32"/>
          <w:szCs w:val="32"/>
          <w:lang w:val="en-IN"/>
        </w:rPr>
        <w:t xml:space="preserve"> </w:t>
      </w:r>
    </w:p>
    <w:p w14:paraId="08DA1315"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Semi-structured interviews that focus solely on one participant for 60 to 90 minutes work best, following Smith et al. (2009), and giving us the best opportunities to explore the lived experiences of </w:t>
      </w:r>
      <w:proofErr w:type="gramStart"/>
      <w:r w:rsidRPr="00936EBE">
        <w:rPr>
          <w:color w:val="000000" w:themeColor="text1"/>
          <w:lang w:val="en-IN"/>
        </w:rPr>
        <w:t>each individual</w:t>
      </w:r>
      <w:proofErr w:type="gramEnd"/>
      <w:r w:rsidRPr="00936EBE">
        <w:rPr>
          <w:color w:val="000000" w:themeColor="text1"/>
          <w:lang w:val="en-IN"/>
        </w:rPr>
        <w:t xml:space="preserve">. The questionnaire will have some form of accountability to ensure the questions asked do not stray too far from the topic, with the first question most likely being very broad and general, such as, “How do you handle money and payments normally?” to ensure that the participant is verbally encouraged to go into depth with their response, and then continuing through the questions until there is an opportunity for the interviewer to ask something spontaneous and curious that can steer the conversation a different way based on the participant’s experiences. </w:t>
      </w:r>
    </w:p>
    <w:p w14:paraId="311ABC0F"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Creswell &amp; </w:t>
      </w:r>
      <w:proofErr w:type="spellStart"/>
      <w:r w:rsidRPr="00936EBE">
        <w:rPr>
          <w:color w:val="000000" w:themeColor="text1"/>
          <w:lang w:val="en-IN"/>
        </w:rPr>
        <w:t>Poth</w:t>
      </w:r>
      <w:proofErr w:type="spellEnd"/>
      <w:r w:rsidRPr="00936EBE">
        <w:rPr>
          <w:color w:val="000000" w:themeColor="text1"/>
          <w:lang w:val="en-IN"/>
        </w:rPr>
        <w:t xml:space="preserve"> (2018) mention that the participants will be interviewed in the language of their choice to breakdown different language barriers to ensure that the participants can freely express themselves. For the varying levels of access, both to the internet and in relation to their living conditions, there will be some opportunities to hold the interviews in person, with some being filmed over the internet. For each of the interviews, audio will be recorded, following the interviewer documenting their observations on the participants emotions and any contextual information that help explain the situation.</w:t>
      </w:r>
    </w:p>
    <w:p w14:paraId="69AD6476"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25" w:name="_Toc220268018"/>
      <w:r w:rsidRPr="00936EBE">
        <w:rPr>
          <w:rFonts w:eastAsia="DengXian Light"/>
          <w:b/>
          <w:bCs/>
          <w:color w:val="000000" w:themeColor="text1"/>
          <w:sz w:val="28"/>
          <w:szCs w:val="28"/>
          <w:lang w:val="en-IN"/>
        </w:rPr>
        <w:lastRenderedPageBreak/>
        <w:t>Sample interview questions:</w:t>
      </w:r>
      <w:bookmarkEnd w:id="25"/>
    </w:p>
    <w:p w14:paraId="3BF3FAFA" w14:textId="77777777" w:rsidR="00936EBE" w:rsidRPr="00936EBE" w:rsidRDefault="00936EBE" w:rsidP="00936EBE">
      <w:pPr>
        <w:numPr>
          <w:ilvl w:val="0"/>
          <w:numId w:val="6"/>
        </w:numPr>
        <w:spacing w:line="276" w:lineRule="auto"/>
        <w:jc w:val="both"/>
        <w:rPr>
          <w:color w:val="000000" w:themeColor="text1"/>
          <w:lang w:val="en-IN"/>
        </w:rPr>
      </w:pPr>
      <w:r w:rsidRPr="00936EBE">
        <w:rPr>
          <w:color w:val="000000" w:themeColor="text1"/>
          <w:lang w:val="en-IN"/>
        </w:rPr>
        <w:t>Can you describe how you usually make payments in your daily life?</w:t>
      </w:r>
    </w:p>
    <w:p w14:paraId="19F0292E" w14:textId="77777777" w:rsidR="00936EBE" w:rsidRPr="00936EBE" w:rsidRDefault="00936EBE" w:rsidP="00936EBE">
      <w:pPr>
        <w:numPr>
          <w:ilvl w:val="0"/>
          <w:numId w:val="6"/>
        </w:numPr>
        <w:spacing w:line="276" w:lineRule="auto"/>
        <w:jc w:val="both"/>
        <w:rPr>
          <w:color w:val="000000" w:themeColor="text1"/>
          <w:lang w:val="en-IN"/>
        </w:rPr>
      </w:pPr>
      <w:r w:rsidRPr="00936EBE">
        <w:rPr>
          <w:color w:val="000000" w:themeColor="text1"/>
          <w:lang w:val="en-IN"/>
        </w:rPr>
        <w:t>Tell me about your first experience with QR code payments.</w:t>
      </w:r>
    </w:p>
    <w:p w14:paraId="2D6893D1" w14:textId="77777777" w:rsidR="00936EBE" w:rsidRPr="00936EBE" w:rsidRDefault="00936EBE" w:rsidP="00936EBE">
      <w:pPr>
        <w:numPr>
          <w:ilvl w:val="0"/>
          <w:numId w:val="6"/>
        </w:numPr>
        <w:spacing w:line="276" w:lineRule="auto"/>
        <w:jc w:val="both"/>
        <w:rPr>
          <w:color w:val="000000" w:themeColor="text1"/>
          <w:lang w:val="en-IN"/>
        </w:rPr>
      </w:pPr>
      <w:r w:rsidRPr="00936EBE">
        <w:rPr>
          <w:color w:val="000000" w:themeColor="text1"/>
          <w:lang w:val="en-IN"/>
        </w:rPr>
        <w:t>How do you feel when using (or avoiding) QR payments?</w:t>
      </w:r>
    </w:p>
    <w:p w14:paraId="1FFB850E" w14:textId="77777777" w:rsidR="00936EBE" w:rsidRPr="00936EBE" w:rsidRDefault="00936EBE" w:rsidP="00936EBE">
      <w:pPr>
        <w:numPr>
          <w:ilvl w:val="0"/>
          <w:numId w:val="6"/>
        </w:numPr>
        <w:spacing w:line="276" w:lineRule="auto"/>
        <w:jc w:val="both"/>
        <w:rPr>
          <w:color w:val="000000" w:themeColor="text1"/>
          <w:lang w:val="en-IN"/>
        </w:rPr>
      </w:pPr>
      <w:r w:rsidRPr="00936EBE">
        <w:rPr>
          <w:color w:val="000000" w:themeColor="text1"/>
          <w:lang w:val="en-IN"/>
        </w:rPr>
        <w:t>Who helps you, if anyone, when using digital payments?</w:t>
      </w:r>
    </w:p>
    <w:p w14:paraId="0F2C328B" w14:textId="77777777" w:rsidR="00936EBE" w:rsidRPr="00936EBE" w:rsidRDefault="00936EBE" w:rsidP="00936EBE">
      <w:pPr>
        <w:numPr>
          <w:ilvl w:val="0"/>
          <w:numId w:val="6"/>
        </w:numPr>
        <w:spacing w:line="276" w:lineRule="auto"/>
        <w:jc w:val="both"/>
        <w:rPr>
          <w:color w:val="000000" w:themeColor="text1"/>
          <w:lang w:val="en-IN"/>
        </w:rPr>
      </w:pPr>
      <w:r w:rsidRPr="00936EBE">
        <w:rPr>
          <w:color w:val="000000" w:themeColor="text1"/>
          <w:lang w:val="en-IN"/>
        </w:rPr>
        <w:t>What makes a payment method feel “safe” or “unsafe” to you?</w:t>
      </w:r>
    </w:p>
    <w:p w14:paraId="2D9BCAC6" w14:textId="77777777" w:rsidR="00936EBE" w:rsidRPr="00936EBE" w:rsidRDefault="00936EBE" w:rsidP="00936EBE">
      <w:pPr>
        <w:spacing w:line="276" w:lineRule="auto"/>
        <w:jc w:val="both"/>
        <w:rPr>
          <w:color w:val="000000" w:themeColor="text1"/>
          <w:lang w:val="en-IN"/>
        </w:rPr>
      </w:pPr>
    </w:p>
    <w:p w14:paraId="4CBEE452" w14:textId="77777777" w:rsidR="00936EBE" w:rsidRPr="00936EBE" w:rsidRDefault="00936EBE" w:rsidP="00936EBE">
      <w:pPr>
        <w:keepNext/>
        <w:keepLines/>
        <w:spacing w:before="160" w:after="80" w:line="276" w:lineRule="auto"/>
        <w:jc w:val="both"/>
        <w:outlineLvl w:val="1"/>
        <w:rPr>
          <w:rFonts w:eastAsia="DengXian Light"/>
          <w:b/>
          <w:bCs/>
          <w:color w:val="000000" w:themeColor="text1"/>
          <w:sz w:val="28"/>
          <w:szCs w:val="28"/>
          <w:lang w:val="en-IN"/>
        </w:rPr>
      </w:pPr>
      <w:bookmarkStart w:id="26" w:name="_Toc220268019"/>
      <w:r w:rsidRPr="00936EBE">
        <w:rPr>
          <w:rFonts w:eastAsia="DengXian Light"/>
          <w:b/>
          <w:bCs/>
          <w:color w:val="000000" w:themeColor="text1"/>
          <w:sz w:val="28"/>
          <w:szCs w:val="28"/>
          <w:lang w:val="en-IN"/>
        </w:rPr>
        <w:t>Data Analysis Procedures</w:t>
      </w:r>
      <w:bookmarkEnd w:id="26"/>
      <w:r w:rsidRPr="00936EBE">
        <w:rPr>
          <w:rFonts w:eastAsia="DengXian Light"/>
          <w:b/>
          <w:bCs/>
          <w:color w:val="000000" w:themeColor="text1"/>
          <w:sz w:val="28"/>
          <w:szCs w:val="28"/>
          <w:lang w:val="en-IN"/>
        </w:rPr>
        <w:t xml:space="preserve"> </w:t>
      </w:r>
    </w:p>
    <w:p w14:paraId="524A0830"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Data analysis will follow an Interpretative Phenomenological Analysis approach, supported by Braun and Clarke’s six-phase thematic analysis framework to ensure transparency and </w:t>
      </w:r>
      <w:proofErr w:type="spellStart"/>
      <w:r w:rsidRPr="00936EBE">
        <w:rPr>
          <w:color w:val="000000" w:themeColor="text1"/>
          <w:lang w:val="en-US"/>
        </w:rPr>
        <w:t>rigour</w:t>
      </w:r>
      <w:proofErr w:type="spellEnd"/>
      <w:r w:rsidRPr="00936EBE">
        <w:rPr>
          <w:color w:val="000000" w:themeColor="text1"/>
          <w:lang w:val="en-US"/>
        </w:rPr>
        <w:t xml:space="preserve">. While IPA guides the idiographic and interpretive focus, Braun and Clarke’s framework provides a systematic structure for coding, theme development, and reflexive engagement with the data. The first of these steps consists of reading and re-reading the transcripts of the interviews to achieve a depth of immersion and familiarity with the data. In this phase, a minimum of three reads of each transcript will be accompanied by listening to the audio recording of the interview, while also reading the transcript, </w:t>
      </w:r>
      <w:proofErr w:type="gramStart"/>
      <w:r w:rsidRPr="00936EBE">
        <w:rPr>
          <w:color w:val="000000" w:themeColor="text1"/>
          <w:lang w:val="en-US"/>
        </w:rPr>
        <w:t>in order to</w:t>
      </w:r>
      <w:proofErr w:type="gramEnd"/>
      <w:r w:rsidRPr="00936EBE">
        <w:rPr>
          <w:color w:val="000000" w:themeColor="text1"/>
          <w:lang w:val="en-US"/>
        </w:rPr>
        <w:t xml:space="preserve"> note the verbal nuances, pauses, emotional tones, and emphatic words that have the potential to color the text significantly. This level of engagement allows the analyst to start to go above and beyond rote data parsing to build a construct for the accounts, perhaps </w:t>
      </w:r>
      <w:proofErr w:type="gramStart"/>
      <w:r w:rsidRPr="00936EBE">
        <w:rPr>
          <w:color w:val="000000" w:themeColor="text1"/>
          <w:lang w:val="en-US"/>
        </w:rPr>
        <w:t>beginning to notice</w:t>
      </w:r>
      <w:proofErr w:type="gramEnd"/>
      <w:r w:rsidRPr="00936EBE">
        <w:rPr>
          <w:color w:val="000000" w:themeColor="text1"/>
          <w:lang w:val="en-US"/>
        </w:rPr>
        <w:t xml:space="preserve"> order, discordance, and patterns in the accounts of the participants.</w:t>
      </w:r>
    </w:p>
    <w:p w14:paraId="7D28F093"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Analyzing the transcript in detail, alongside participants' accounts in reaction to noted observations, recordings, and the marking of the possible significant features, characterizes the second step of this system. Three forms of comments were captured in the initial noting. These are paraphrased comments, which summarize what participants are saying, comments on the language which capture the use of repetition, hesitancy, and creative language during discourse, and comments of greater synthesis that are more interpretive with respect to the potential connections or meaning. Initial noting is key, since it serves to create a canvas upon which the themes will be developed. </w:t>
      </w:r>
    </w:p>
    <w:p w14:paraId="26A2411F"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Step three is developing themes that are based on the notes that are comprised. These core themes are the central organizing features of the participants lived experiences. Although these themes are abstract and higher-order in terms of the detailing provided in the themes, that by no means indicates that these themes are no longer grounded on the essence of the participants </w:t>
      </w:r>
      <w:r w:rsidRPr="00936EBE">
        <w:rPr>
          <w:color w:val="000000" w:themeColor="text1"/>
          <w:lang w:val="en-US"/>
        </w:rPr>
        <w:lastRenderedPageBreak/>
        <w:t>experience. Therefore, they are an amalgamation of the significant aspects of the experience, in addition to the level of detail provided by the participants.</w:t>
      </w:r>
    </w:p>
    <w:p w14:paraId="39A916B5"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In the fourth step, the analyst looks for relationships among the different themes in each case, focusing on the themes for relationships such as patterns, clusters, hierarchies, temporal order, and oppositionality. Some themes might be combined as part of superordinate themes which are more general than others, while others might be more in line with each other. This produces a coherent and thematic framework for each case that shows how the different parts of a case are meaningfully integrated and puts the stamp of the analyst on it.</w:t>
      </w:r>
    </w:p>
    <w:p w14:paraId="26D8EC6E"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In the fifth step, the analyst moves on to the next case and replicates the entire analytic procedure from the beginning. Interpretive Phenomenological Analysis ensures idiographic commitment by fully attending to each case in isolation before performing any comparisons across cases. This avoids premature analytical closure in which later cases are “pigeonholed, to fit interpretive grids established by earlier cases,” ensuring that each case sheds the light of its individual experiences.</w:t>
      </w:r>
    </w:p>
    <w:p w14:paraId="6AF30728"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The final section of this research is to discover similarities among the case studies. This involves spotting the themes that keep coming up in the narratives of different participants; as well as bringing to light the differences where participants experienced the phenomenon in different ways. This analysis of multiple cases allows the research to present more generalized conclusions about the phenomenon and still pay respect to the different ways in which people endure and understand it. During this analysis, an audit trail will be created to explain the analytic choices, theories used, and methods, to show how interpretations were created, and how it encourages continuing reflexivity.</w:t>
      </w:r>
    </w:p>
    <w:p w14:paraId="08668983" w14:textId="77777777" w:rsidR="00936EBE" w:rsidRPr="00936EBE" w:rsidRDefault="00936EBE" w:rsidP="00936EBE">
      <w:pPr>
        <w:spacing w:line="276" w:lineRule="auto"/>
        <w:jc w:val="both"/>
        <w:rPr>
          <w:b/>
          <w:bCs/>
          <w:color w:val="000000" w:themeColor="text1"/>
          <w:lang w:val="en-US"/>
        </w:rPr>
      </w:pPr>
      <w:r w:rsidRPr="00936EBE">
        <w:rPr>
          <w:b/>
          <w:bCs/>
          <w:color w:val="000000" w:themeColor="text1"/>
          <w:lang w:val="en-US"/>
        </w:rPr>
        <w:t>Elucidating the incorporation of IPA and Framework of Braun and Clarke.</w:t>
      </w:r>
    </w:p>
    <w:p w14:paraId="60B6235B"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The proposed research uses the Interpretative Phenomenological Analysis (IPA) as the main methodological approach. It is based on phenomenology, hermeneutics and ideography and is interested in investigating how people make sense of their lived experiences </w:t>
      </w:r>
      <w:proofErr w:type="gramStart"/>
      <w:r w:rsidRPr="00936EBE">
        <w:rPr>
          <w:color w:val="000000" w:themeColor="text1"/>
          <w:lang w:val="en-US"/>
        </w:rPr>
        <w:t>in a given</w:t>
      </w:r>
      <w:proofErr w:type="gramEnd"/>
      <w:r w:rsidRPr="00936EBE">
        <w:rPr>
          <w:color w:val="000000" w:themeColor="text1"/>
          <w:lang w:val="en-US"/>
        </w:rPr>
        <w:t xml:space="preserve"> social and cultural context (Smith et al., 2009). Transplanted to the epistemological underpinnings of IPA, this study aims at producing idiographic, interpretive, and experiential knowledge instead of </w:t>
      </w:r>
      <w:proofErr w:type="spellStart"/>
      <w:r w:rsidRPr="00936EBE">
        <w:rPr>
          <w:color w:val="000000" w:themeColor="text1"/>
          <w:lang w:val="en-US"/>
        </w:rPr>
        <w:t>generalisable</w:t>
      </w:r>
      <w:proofErr w:type="spellEnd"/>
      <w:r w:rsidRPr="00936EBE">
        <w:rPr>
          <w:color w:val="000000" w:themeColor="text1"/>
          <w:lang w:val="en-US"/>
        </w:rPr>
        <w:t xml:space="preserve"> or predictive results. Analytic emphasis thus continues to be on the processes of meaning-making of participants when they experience and negotiate the QR code payment technologies in their daily lives.</w:t>
      </w:r>
    </w:p>
    <w:p w14:paraId="46773FD0"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In this general IPA framework, the six-phase thematic analysis paradigm of Braun and Clarke (2006) is used procedurally to allow transparency, </w:t>
      </w:r>
      <w:proofErr w:type="spellStart"/>
      <w:proofErr w:type="gramStart"/>
      <w:r w:rsidRPr="00936EBE">
        <w:rPr>
          <w:color w:val="000000" w:themeColor="text1"/>
          <w:lang w:val="en-US"/>
        </w:rPr>
        <w:t>rigour</w:t>
      </w:r>
      <w:proofErr w:type="spellEnd"/>
      <w:proofErr w:type="gramEnd"/>
      <w:r w:rsidRPr="00936EBE">
        <w:rPr>
          <w:color w:val="000000" w:themeColor="text1"/>
          <w:lang w:val="en-US"/>
        </w:rPr>
        <w:t xml:space="preserve"> and clarity in analysis. Notably, the framework by Braun and Clarke is not applied as an alternative or rival to the methodology, but as a systematizing tool of analytic coding and theme development in an IPA logic. The established </w:t>
      </w:r>
      <w:r w:rsidRPr="00936EBE">
        <w:rPr>
          <w:color w:val="000000" w:themeColor="text1"/>
          <w:lang w:val="en-US"/>
        </w:rPr>
        <w:lastRenderedPageBreak/>
        <w:t xml:space="preserve">type of knowledge required by IPA is interpretive understanding of lived experience, whereas the framework by Braun and Clarke offers a clear and auditable procedure in how patterns of meaning can be found, </w:t>
      </w:r>
      <w:proofErr w:type="gramStart"/>
      <w:r w:rsidRPr="00936EBE">
        <w:rPr>
          <w:color w:val="000000" w:themeColor="text1"/>
          <w:lang w:val="en-US"/>
        </w:rPr>
        <w:t>structured</w:t>
      </w:r>
      <w:proofErr w:type="gramEnd"/>
      <w:r w:rsidRPr="00936EBE">
        <w:rPr>
          <w:color w:val="000000" w:themeColor="text1"/>
          <w:lang w:val="en-US"/>
        </w:rPr>
        <w:t xml:space="preserve"> and optimized across the data.</w:t>
      </w:r>
    </w:p>
    <w:p w14:paraId="67D7DBA9"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Application of the framework by Braun and Clarke is therefore reasonable on pragmatic and epistemological basis. Pragmatically, it presents a clear and best-known framework of work with qualitative information, which improves its plausibility and auditability of the analytic process. Its reflexive and flexible orientation, epistemologically, is consonant to the IPA desire to interpret, not to test theories or positivist code. Themes produced by this procedure are not viewed as surface categories but as interpretive constructions, elaborated by long-term interactions with each case and followed by cross-case comparison, which is in line with the idiographic commitments of IPA.</w:t>
      </w:r>
    </w:p>
    <w:p w14:paraId="5F12DF13"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This combined method is in line with the existing principles of qualitative practice since most scholars of the IPA rely on the framework by Braun and Clarke to conceptualizes thematic development without losing the affective richness of phenomenology and interpretive sensitivity. By clearly placing the framework by Braun and Clarke in the context of IPA analytic logic, this paper does not entail the problem of methodological mixing, and rather portrays an analytic coherent and reflexive relation of epistemology, methodology, and analytic procedure.</w:t>
      </w:r>
    </w:p>
    <w:p w14:paraId="7204BF54"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IN"/>
        </w:rPr>
      </w:pPr>
      <w:bookmarkStart w:id="27" w:name="_Toc220268020"/>
      <w:r w:rsidRPr="00936EBE">
        <w:rPr>
          <w:rFonts w:eastAsia="DengXian Light"/>
          <w:b/>
          <w:bCs/>
          <w:color w:val="000000" w:themeColor="text1"/>
          <w:sz w:val="32"/>
          <w:szCs w:val="32"/>
          <w:lang w:val="en-IN"/>
        </w:rPr>
        <w:t>Ethical Considerations</w:t>
      </w:r>
      <w:bookmarkEnd w:id="27"/>
    </w:p>
    <w:p w14:paraId="3B2CFB24"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The research will be a qualitative investigation into the life experience of people of various generations in rural Gujarat with the use of digital payment systems based on QR code. Due to the financial sensitivity of the issue and the possible vulnerability of the participants, especially the older adults and those with low digital literacy, ethical considerations should be paid close attention to during the research process.</w:t>
      </w:r>
    </w:p>
    <w:p w14:paraId="47AB7735"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One of the ethical requirements of this study is informed consent. Every participant will be given clear and easily available information concerning the aim of the research, the type of participation, and the rights of the participants. The consent procedures will be localized to local context such as the use of verbal explanations in the languages that the participants prefer to understand </w:t>
      </w:r>
      <w:proofErr w:type="gramStart"/>
      <w:r w:rsidRPr="00936EBE">
        <w:rPr>
          <w:color w:val="000000" w:themeColor="text1"/>
          <w:lang w:val="en-IN"/>
        </w:rPr>
        <w:t>so as to</w:t>
      </w:r>
      <w:proofErr w:type="gramEnd"/>
      <w:r w:rsidRPr="00936EBE">
        <w:rPr>
          <w:color w:val="000000" w:themeColor="text1"/>
          <w:lang w:val="en-IN"/>
        </w:rPr>
        <w:t xml:space="preserve"> cover the different levels of literacy. The process will be purely voluntary and the participant will be allowed to pull out of the research at any point without any penalty or other adverse effects.</w:t>
      </w:r>
    </w:p>
    <w:p w14:paraId="18091202"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Both confidentiality and anonymity should be highly accommodated because the discussions might touch on issues regarding personal financial practices, belief in institutions, and concerns regarding fraud or cyber insecurity. Transcripts and reports will have all the identifying information extracted and participants will be identified by pseudonyms. The information will be </w:t>
      </w:r>
      <w:r w:rsidRPr="00936EBE">
        <w:rPr>
          <w:color w:val="000000" w:themeColor="text1"/>
          <w:lang w:val="en-IN"/>
        </w:rPr>
        <w:lastRenderedPageBreak/>
        <w:t>saved in coded digital files that can only be accessed by the researcher, and the institutional data protection policies will be followed.</w:t>
      </w:r>
    </w:p>
    <w:p w14:paraId="2F04A3D4"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The paper also acknowledges possible power disparities between the researcher and the participants, particularly in rural areas, where education, technology, and other socio-economic disparities can affect the interactions. The researcher to deal with this will make a reflexive and respectful position to the expertise that the participants have in their lived experiences and will not judge the use or non-use of technology. Caution will be exercised to avoid putting the participants in the deficit and resistance position, but to view them as meaning-makers who work under particular social and cultural situations.</w:t>
      </w:r>
    </w:p>
    <w:p w14:paraId="600DD255"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As the research is oriented towards constructivism and interpretivism, the ethical responsibility is not limited to the procedural ethics but to the relational ethics. It also involves the fact that it should pay attention to the emotional comfort of participants to the interview and be sensitive to the fact that this or that aspect should be discussed, e.g., mistrust, anxiety, or negative experiences with digital payments. The paper will not in any way encourage or discourage the use of digital payments, so the research is not going to be interventionist.</w:t>
      </w:r>
    </w:p>
    <w:p w14:paraId="0D4AEA50" w14:textId="77777777" w:rsidR="00936EBE" w:rsidRPr="00936EBE" w:rsidRDefault="00936EBE" w:rsidP="00936EBE">
      <w:pPr>
        <w:spacing w:line="276" w:lineRule="auto"/>
        <w:jc w:val="both"/>
        <w:rPr>
          <w:color w:val="000000" w:themeColor="text1"/>
          <w:lang w:val="en-IN"/>
        </w:rPr>
      </w:pPr>
      <w:r w:rsidRPr="00936EBE">
        <w:rPr>
          <w:color w:val="000000" w:themeColor="text1"/>
          <w:lang w:val="en-IN"/>
        </w:rPr>
        <w:t xml:space="preserve">Lastly, the study will also aim to make its contribution to the ethics of the wider discourse on digital financial inclusion by ensuring that the voices of participants are represented in a fair and respectable way. The results will be reported in a way that would not perpetuate stereotypes regarding rural citizens or older people, but rather show the structural, </w:t>
      </w:r>
      <w:proofErr w:type="gramStart"/>
      <w:r w:rsidRPr="00936EBE">
        <w:rPr>
          <w:color w:val="000000" w:themeColor="text1"/>
          <w:lang w:val="en-IN"/>
        </w:rPr>
        <w:t>social</w:t>
      </w:r>
      <w:proofErr w:type="gramEnd"/>
      <w:r w:rsidRPr="00936EBE">
        <w:rPr>
          <w:color w:val="000000" w:themeColor="text1"/>
          <w:lang w:val="en-IN"/>
        </w:rPr>
        <w:t xml:space="preserve"> and contextual factors behind digital payment experiences.</w:t>
      </w:r>
    </w:p>
    <w:p w14:paraId="0E0BB3F7" w14:textId="77777777" w:rsidR="00936EBE" w:rsidRPr="00936EBE" w:rsidRDefault="00936EBE" w:rsidP="00936EBE">
      <w:pPr>
        <w:keepNext/>
        <w:keepLines/>
        <w:spacing w:before="360" w:after="80" w:line="276" w:lineRule="auto"/>
        <w:jc w:val="both"/>
        <w:outlineLvl w:val="0"/>
        <w:rPr>
          <w:rFonts w:eastAsia="DengXian Light"/>
          <w:b/>
          <w:bCs/>
          <w:color w:val="000000" w:themeColor="text1"/>
          <w:sz w:val="32"/>
          <w:szCs w:val="32"/>
          <w:lang w:val="en-IN"/>
        </w:rPr>
      </w:pPr>
      <w:bookmarkStart w:id="28" w:name="_Toc220268021"/>
      <w:r w:rsidRPr="00936EBE">
        <w:rPr>
          <w:rFonts w:eastAsia="DengXian Light"/>
          <w:b/>
          <w:bCs/>
          <w:color w:val="000000" w:themeColor="text1"/>
          <w:sz w:val="32"/>
          <w:szCs w:val="32"/>
          <w:lang w:val="en-IN"/>
        </w:rPr>
        <w:t>Limitations</w:t>
      </w:r>
      <w:bookmarkEnd w:id="28"/>
    </w:p>
    <w:p w14:paraId="7203C758" w14:textId="77777777" w:rsidR="00936EBE" w:rsidRPr="00936EBE" w:rsidRDefault="00936EBE" w:rsidP="00936EBE">
      <w:pPr>
        <w:spacing w:line="276" w:lineRule="auto"/>
        <w:jc w:val="both"/>
        <w:rPr>
          <w:color w:val="000000" w:themeColor="text1"/>
          <w:lang w:val="en-US"/>
        </w:rPr>
      </w:pPr>
      <w:r w:rsidRPr="00936EBE">
        <w:rPr>
          <w:color w:val="000000" w:themeColor="text1"/>
          <w:lang w:val="en-US"/>
        </w:rPr>
        <w:t xml:space="preserve">As with any study, this work has some limitations which need to be scrutinized: To begin with, this study concerns only rural Gujarat, and its findings cannot be generalized to every rural area of India and other countries.  Each area is different regarding the cultures, the economies, and the adoptions of technologies. The study concentrates on one area and develops a profound comprehension of the context while still being open to the passage of methodology.    The research does not track change over time, and, therefore, is limited to a single study and not a series of studies on the topic. The adoption of technology is always changing, as technologies change, as do the social views towards those technologies and the individuals. While doing a series of studies on a single topic is always the best alternative, it is not possible to do this for a PhD.  The study aimed for more of a diverse sample and representation than was possible to capture the total novelty of the vast, mixed populations. Each of these groups has also been formed </w:t>
      </w:r>
      <w:proofErr w:type="gramStart"/>
      <w:r w:rsidRPr="00936EBE">
        <w:rPr>
          <w:color w:val="000000" w:themeColor="text1"/>
          <w:lang w:val="en-US"/>
        </w:rPr>
        <w:t>on the basis of</w:t>
      </w:r>
      <w:proofErr w:type="gramEnd"/>
      <w:r w:rsidRPr="00936EBE">
        <w:rPr>
          <w:color w:val="000000" w:themeColor="text1"/>
          <w:lang w:val="en-US"/>
        </w:rPr>
        <w:t xml:space="preserve"> other classifications such as gender, caste, class, education, occupation, etc., as there is a social-differentiations which cannot be fully illustrated, and doing so could be misleading especially in the context of a generation system.    </w:t>
      </w:r>
      <w:r w:rsidRPr="00936EBE">
        <w:rPr>
          <w:color w:val="000000" w:themeColor="text1"/>
          <w:lang w:val="en-US"/>
        </w:rPr>
        <w:br w:type="page"/>
      </w:r>
    </w:p>
    <w:p w14:paraId="3354AACE" w14:textId="77777777" w:rsidR="009A218B" w:rsidRPr="009A218B" w:rsidRDefault="009A218B" w:rsidP="009A218B">
      <w:pPr>
        <w:keepNext/>
        <w:keepLines/>
        <w:spacing w:before="360" w:after="80" w:line="276" w:lineRule="auto"/>
        <w:jc w:val="both"/>
        <w:outlineLvl w:val="0"/>
        <w:rPr>
          <w:rFonts w:eastAsia="DengXian Light"/>
          <w:b/>
          <w:bCs/>
          <w:color w:val="000000" w:themeColor="text1"/>
          <w:sz w:val="32"/>
          <w:szCs w:val="32"/>
          <w:lang w:val="en-IN"/>
        </w:rPr>
      </w:pPr>
      <w:bookmarkStart w:id="29" w:name="_Toc220268022"/>
      <w:r w:rsidRPr="009A218B">
        <w:rPr>
          <w:rFonts w:eastAsia="DengXian Light"/>
          <w:b/>
          <w:bCs/>
          <w:color w:val="000000" w:themeColor="text1"/>
          <w:sz w:val="32"/>
          <w:szCs w:val="32"/>
          <w:lang w:val="en-IN"/>
        </w:rPr>
        <w:lastRenderedPageBreak/>
        <w:t>References</w:t>
      </w:r>
      <w:bookmarkEnd w:id="29"/>
    </w:p>
    <w:p w14:paraId="6902DCB4" w14:textId="16C3FFC0" w:rsidR="00200493" w:rsidRPr="00834479" w:rsidRDefault="00834479" w:rsidP="00945684">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Anjaneyulu, D., &amp; Gurumurthy, M. (2025). </w:t>
      </w:r>
      <w:r w:rsidRPr="00834479">
        <w:rPr>
          <w:rFonts w:eastAsia="DengXian Light"/>
          <w:i/>
          <w:iCs/>
          <w:color w:val="000000" w:themeColor="text1"/>
        </w:rPr>
        <w:t>DIGITAL PAYMENT SYSTEMS IN INDIA</w:t>
      </w:r>
      <w:r w:rsidRPr="00834479">
        <w:rPr>
          <w:rFonts w:eastAsia="DengXian Light"/>
          <w:color w:val="000000" w:themeColor="text1"/>
        </w:rPr>
        <w:t xml:space="preserve">. Laxmi Book Publication. </w:t>
      </w:r>
      <w:hyperlink r:id="rId39" w:history="1">
        <w:r w:rsidRPr="00834479">
          <w:rPr>
            <w:rStyle w:val="Hyperlink"/>
            <w:rFonts w:eastAsia="DengXian Light"/>
          </w:rPr>
          <w:t>https://books.google.com/books?hl=en&amp;lr=&amp;id=UDOEEQAAQBAJ&amp;oi=fnd&amp;pg=PA42&amp;dq=QR+Code+Payment+Adoption+in+Rural+Gujarat&amp;ots=-N9s9u_r0_&amp;sig=eSReqMKzHGN_NL_vC3HiCb3I2pQ</w:t>
        </w:r>
      </w:hyperlink>
    </w:p>
    <w:p w14:paraId="1B4B2F51"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Banik, N., &amp; </w:t>
      </w:r>
      <w:proofErr w:type="spellStart"/>
      <w:r w:rsidRPr="00834479">
        <w:rPr>
          <w:rFonts w:eastAsia="DengXian Light"/>
          <w:color w:val="000000" w:themeColor="text1"/>
        </w:rPr>
        <w:t>Chandrakar</w:t>
      </w:r>
      <w:proofErr w:type="spellEnd"/>
      <w:r w:rsidRPr="00834479">
        <w:rPr>
          <w:rFonts w:eastAsia="DengXian Light"/>
          <w:color w:val="000000" w:themeColor="text1"/>
        </w:rPr>
        <w:t>, P. (2025). Toward Inclusive Finance: Mapping Digital Disparities Across India. </w:t>
      </w:r>
      <w:r w:rsidRPr="00834479">
        <w:rPr>
          <w:rFonts w:eastAsia="DengXian Light"/>
          <w:i/>
          <w:iCs/>
          <w:color w:val="000000" w:themeColor="text1"/>
        </w:rPr>
        <w:t>Journal of Emerging Market Finance</w:t>
      </w:r>
      <w:r w:rsidRPr="00834479">
        <w:rPr>
          <w:rFonts w:eastAsia="DengXian Light"/>
          <w:color w:val="000000" w:themeColor="text1"/>
        </w:rPr>
        <w:t xml:space="preserve">, 09726527251392740. </w:t>
      </w:r>
      <w:hyperlink r:id="rId40" w:history="1">
        <w:r w:rsidRPr="00834479">
          <w:rPr>
            <w:rStyle w:val="Hyperlink"/>
            <w:rFonts w:eastAsia="DengXian Light"/>
          </w:rPr>
          <w:t>http://www.nilanjanbanik.in/artical/Research-Paper-journal-of-emerging-market-finance.pdf</w:t>
        </w:r>
      </w:hyperlink>
    </w:p>
    <w:p w14:paraId="2E62FB1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Bhalodia, D., Rajani, C., &amp; Shah, S. </w:t>
      </w:r>
      <w:proofErr w:type="gramStart"/>
      <w:r w:rsidRPr="00834479">
        <w:rPr>
          <w:rFonts w:eastAsia="DengXian Light"/>
          <w:color w:val="000000" w:themeColor="text1"/>
        </w:rPr>
        <w:t>Awareness</w:t>
      </w:r>
      <w:proofErr w:type="gramEnd"/>
      <w:r w:rsidRPr="00834479">
        <w:rPr>
          <w:rFonts w:eastAsia="DengXian Light"/>
          <w:color w:val="000000" w:themeColor="text1"/>
        </w:rPr>
        <w:t xml:space="preserve"> and usage of digital payment modes among people of Rajkot city. In </w:t>
      </w:r>
      <w:r w:rsidRPr="00834479">
        <w:rPr>
          <w:rFonts w:eastAsia="DengXian Light"/>
          <w:i/>
          <w:iCs/>
          <w:color w:val="000000" w:themeColor="text1"/>
        </w:rPr>
        <w:t>Digital Transformation and Sustainability of Business</w:t>
      </w:r>
      <w:r w:rsidRPr="00834479">
        <w:rPr>
          <w:rFonts w:eastAsia="DengXian Light"/>
          <w:color w:val="000000" w:themeColor="text1"/>
        </w:rPr>
        <w:t xml:space="preserve"> (pp. 647-650). CRC Press. </w:t>
      </w:r>
      <w:hyperlink r:id="rId41" w:history="1">
        <w:r w:rsidRPr="00834479">
          <w:rPr>
            <w:rStyle w:val="Hyperlink"/>
            <w:rFonts w:eastAsia="DengXian Light"/>
          </w:rPr>
          <w:t>https://www.taylorfrancis.com/chapters/edit/10.1201/9781003606185-154/awareness-usage-digital-payment-modes-among-people-rajkot-city-dhara-bhalodia-chintan-rajani-sahil-shah</w:t>
        </w:r>
      </w:hyperlink>
    </w:p>
    <w:p w14:paraId="264656FA"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Bhatia-Kalluri, A., &amp; Caraway, B. R. (2023). Transformation of the digital payment ecosystem in India: a case study of Paytm. </w:t>
      </w:r>
      <w:hyperlink r:id="rId42" w:history="1">
        <w:r w:rsidRPr="00834479">
          <w:rPr>
            <w:rStyle w:val="Hyperlink"/>
            <w:rFonts w:eastAsia="DengXian Light"/>
          </w:rPr>
          <w:t>https://utoronto.scholaris.ca/bitstreams/6f86149d-f7bf-4a40-9a11-934734c1b7fc/download</w:t>
        </w:r>
      </w:hyperlink>
    </w:p>
    <w:p w14:paraId="7383773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Cham, T.H., Cheah, J.H., Cheng, B.L. and Lim, X.J. (2022) 'I am too old for this! Barriers contributing to the non-adoption of mobile payment', </w:t>
      </w:r>
      <w:r w:rsidRPr="00834479">
        <w:rPr>
          <w:rFonts w:eastAsia="DengXian Light"/>
          <w:i/>
          <w:iCs/>
          <w:color w:val="000000" w:themeColor="text1"/>
          <w:lang w:val="en-IN"/>
        </w:rPr>
        <w:t>International Journal of Bank Marketing</w:t>
      </w:r>
      <w:r w:rsidRPr="00834479">
        <w:rPr>
          <w:rFonts w:eastAsia="DengXian Light"/>
          <w:color w:val="000000" w:themeColor="text1"/>
          <w:lang w:val="en-IN"/>
        </w:rPr>
        <w:t xml:space="preserve">, 40(5), pp. 1017–1050. Available at: </w:t>
      </w:r>
      <w:hyperlink r:id="rId43" w:history="1">
        <w:r w:rsidRPr="00834479">
          <w:rPr>
            <w:rStyle w:val="Hyperlink"/>
            <w:rFonts w:eastAsia="DengXian Light"/>
            <w:lang w:val="en-IN"/>
          </w:rPr>
          <w:t>https://doi.org/10.1108/IJBM-06-2021-0283</w:t>
        </w:r>
      </w:hyperlink>
    </w:p>
    <w:p w14:paraId="1581038C"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Creswell, J.W. and </w:t>
      </w:r>
      <w:proofErr w:type="spellStart"/>
      <w:r w:rsidRPr="00834479">
        <w:rPr>
          <w:rFonts w:eastAsia="DengXian Light"/>
          <w:color w:val="000000" w:themeColor="text1"/>
          <w:lang w:val="en-IN"/>
        </w:rPr>
        <w:t>Poth</w:t>
      </w:r>
      <w:proofErr w:type="spellEnd"/>
      <w:r w:rsidRPr="00834479">
        <w:rPr>
          <w:rFonts w:eastAsia="DengXian Light"/>
          <w:color w:val="000000" w:themeColor="text1"/>
          <w:lang w:val="en-IN"/>
        </w:rPr>
        <w:t xml:space="preserve">, C.N. (2018) </w:t>
      </w:r>
      <w:r w:rsidRPr="00834479">
        <w:rPr>
          <w:rFonts w:eastAsia="DengXian Light"/>
          <w:i/>
          <w:iCs/>
          <w:color w:val="000000" w:themeColor="text1"/>
          <w:lang w:val="en-IN"/>
        </w:rPr>
        <w:t>Qualitative inquiry and research design: Choosing among five approaches</w:t>
      </w:r>
      <w:r w:rsidRPr="00834479">
        <w:rPr>
          <w:rFonts w:eastAsia="DengXian Light"/>
          <w:color w:val="000000" w:themeColor="text1"/>
          <w:lang w:val="en-IN"/>
        </w:rPr>
        <w:t xml:space="preserve">. 4th </w:t>
      </w:r>
      <w:proofErr w:type="spellStart"/>
      <w:r w:rsidRPr="00834479">
        <w:rPr>
          <w:rFonts w:eastAsia="DengXian Light"/>
          <w:color w:val="000000" w:themeColor="text1"/>
          <w:lang w:val="en-IN"/>
        </w:rPr>
        <w:t>edn</w:t>
      </w:r>
      <w:proofErr w:type="spellEnd"/>
      <w:r w:rsidRPr="00834479">
        <w:rPr>
          <w:rFonts w:eastAsia="DengXian Light"/>
          <w:color w:val="000000" w:themeColor="text1"/>
          <w:lang w:val="en-IN"/>
        </w:rPr>
        <w:t>. Thousand Oaks, CA: SAGE Publications.</w:t>
      </w:r>
    </w:p>
    <w:p w14:paraId="1171DCDE"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Das, G. (2025). Strategic Integration of FinTech in MSMEs: Enhancing Financial Inclusion and Business Sustainability in India. </w:t>
      </w:r>
      <w:r w:rsidRPr="00834479">
        <w:rPr>
          <w:rFonts w:eastAsia="DengXian Light"/>
          <w:i/>
          <w:iCs/>
          <w:color w:val="000000" w:themeColor="text1"/>
        </w:rPr>
        <w:t>GRWS International National Journal of Applied Commerce and Strategic Management p-ISSN 3051-262X e-ISSN 3051-2638</w:t>
      </w:r>
      <w:r w:rsidRPr="00834479">
        <w:rPr>
          <w:rFonts w:eastAsia="DengXian Light"/>
          <w:color w:val="000000" w:themeColor="text1"/>
        </w:rPr>
        <w:t>, </w:t>
      </w:r>
      <w:r w:rsidRPr="00834479">
        <w:rPr>
          <w:rFonts w:eastAsia="DengXian Light"/>
          <w:i/>
          <w:iCs/>
          <w:color w:val="000000" w:themeColor="text1"/>
        </w:rPr>
        <w:t>1</w:t>
      </w:r>
      <w:r w:rsidRPr="00834479">
        <w:rPr>
          <w:rFonts w:eastAsia="DengXian Light"/>
          <w:color w:val="000000" w:themeColor="text1"/>
        </w:rPr>
        <w:t xml:space="preserve">(01), 1-10. </w:t>
      </w:r>
      <w:hyperlink r:id="rId44" w:history="1">
        <w:r w:rsidRPr="00834479">
          <w:rPr>
            <w:rStyle w:val="Hyperlink"/>
            <w:rFonts w:eastAsia="DengXian Light"/>
          </w:rPr>
          <w:t>https://grwsijacsm.com/journal/index.php/grws/article/download/2/2</w:t>
        </w:r>
      </w:hyperlink>
    </w:p>
    <w:p w14:paraId="5832DD4E"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lastRenderedPageBreak/>
        <w:t xml:space="preserve">Davis, F.D., Bagozzi, R.P. and Warshaw, P.R. (1989) 'User acceptance of computer technology: A comparison of two theoretical models', </w:t>
      </w:r>
      <w:r w:rsidRPr="00834479">
        <w:rPr>
          <w:rFonts w:eastAsia="DengXian Light"/>
          <w:i/>
          <w:iCs/>
          <w:color w:val="000000" w:themeColor="text1"/>
          <w:lang w:val="en-IN"/>
        </w:rPr>
        <w:t>Management Science</w:t>
      </w:r>
      <w:r w:rsidRPr="00834479">
        <w:rPr>
          <w:rFonts w:eastAsia="DengXian Light"/>
          <w:color w:val="000000" w:themeColor="text1"/>
          <w:lang w:val="en-IN"/>
        </w:rPr>
        <w:t xml:space="preserve">, 35(8), pp. 982–1003. Available at: </w:t>
      </w:r>
      <w:hyperlink r:id="rId45" w:history="1">
        <w:r w:rsidRPr="00834479">
          <w:rPr>
            <w:rStyle w:val="Hyperlink"/>
            <w:rFonts w:eastAsia="DengXian Light"/>
            <w:lang w:val="en-IN"/>
          </w:rPr>
          <w:t>https://doi.org/10.1287/mnsc.35.8.982</w:t>
        </w:r>
      </w:hyperlink>
    </w:p>
    <w:p w14:paraId="3260DD11"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Dei, P. R. The evolution of digital payments: Examining user preferences for UPI apps. </w:t>
      </w:r>
      <w:hyperlink r:id="rId46" w:history="1">
        <w:r w:rsidRPr="00834479">
          <w:rPr>
            <w:rStyle w:val="Hyperlink"/>
            <w:rFonts w:eastAsia="DengXian Light"/>
          </w:rPr>
          <w:t>https://www.researchgate.net/profile/Dr-Dei/publication/399881980_The_evolution_of_digital_payments_Examining_user_preferences_for_UPI_apps/links/696e3a0321a46d6f7023859b/The-evolution-of-digital-payments-Examining-user-preferences-for-UPI-apps.pdf</w:t>
        </w:r>
      </w:hyperlink>
    </w:p>
    <w:p w14:paraId="490DA5F3"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Dey, S., Panda, S. K., Sen, D., &amp; Bhatt, A. (2025). Adoption and Future Potential of QR Codes in Academic Libraries: Bridging Physical and Digital Resources. </w:t>
      </w:r>
      <w:r w:rsidRPr="00834479">
        <w:rPr>
          <w:rFonts w:eastAsia="DengXian Light"/>
          <w:i/>
          <w:iCs/>
          <w:color w:val="000000" w:themeColor="text1"/>
        </w:rPr>
        <w:t>DESIDOC Journal of Library &amp; Information Technology</w:t>
      </w:r>
      <w:r w:rsidRPr="00834479">
        <w:rPr>
          <w:rFonts w:eastAsia="DengXian Light"/>
          <w:color w:val="000000" w:themeColor="text1"/>
        </w:rPr>
        <w:t>, </w:t>
      </w:r>
      <w:r w:rsidRPr="00834479">
        <w:rPr>
          <w:rFonts w:eastAsia="DengXian Light"/>
          <w:i/>
          <w:iCs/>
          <w:color w:val="000000" w:themeColor="text1"/>
        </w:rPr>
        <w:t>45</w:t>
      </w:r>
      <w:r w:rsidRPr="00834479">
        <w:rPr>
          <w:rFonts w:eastAsia="DengXian Light"/>
          <w:color w:val="000000" w:themeColor="text1"/>
        </w:rPr>
        <w:t xml:space="preserve">(6), 555-560. </w:t>
      </w:r>
      <w:hyperlink r:id="rId47" w:history="1">
        <w:r w:rsidRPr="00834479">
          <w:rPr>
            <w:rStyle w:val="Hyperlink"/>
            <w:rFonts w:eastAsia="DengXian Light"/>
          </w:rPr>
          <w:t>https://publicationsdrdo.in/index.php/djlit/article/download/20943/8705</w:t>
        </w:r>
      </w:hyperlink>
    </w:p>
    <w:p w14:paraId="2BA42DC6"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Dhamala, M. (2024). Adoption and trust in QR code technology: Insights from Kathmandu. </w:t>
      </w:r>
      <w:r w:rsidRPr="00834479">
        <w:rPr>
          <w:rFonts w:eastAsia="DengXian Light"/>
          <w:i/>
          <w:iCs/>
          <w:color w:val="000000" w:themeColor="text1"/>
        </w:rPr>
        <w:t>NPRC Journal of Multidisciplinary Research</w:t>
      </w:r>
      <w:r w:rsidRPr="00834479">
        <w:rPr>
          <w:rFonts w:eastAsia="DengXian Light"/>
          <w:color w:val="000000" w:themeColor="text1"/>
        </w:rPr>
        <w:t>, </w:t>
      </w:r>
      <w:r w:rsidRPr="00834479">
        <w:rPr>
          <w:rFonts w:eastAsia="DengXian Light"/>
          <w:i/>
          <w:iCs/>
          <w:color w:val="000000" w:themeColor="text1"/>
        </w:rPr>
        <w:t>1</w:t>
      </w:r>
      <w:r w:rsidRPr="00834479">
        <w:rPr>
          <w:rFonts w:eastAsia="DengXian Light"/>
          <w:color w:val="000000" w:themeColor="text1"/>
        </w:rPr>
        <w:t xml:space="preserve">(8), 94-105. </w:t>
      </w:r>
      <w:hyperlink r:id="rId48" w:history="1">
        <w:r w:rsidRPr="00834479">
          <w:rPr>
            <w:rStyle w:val="Hyperlink"/>
            <w:rFonts w:eastAsia="DengXian Light"/>
          </w:rPr>
          <w:t>https://nepjol.info/index.php/nprcjmr/article/download/73040/55830</w:t>
        </w:r>
      </w:hyperlink>
    </w:p>
    <w:p w14:paraId="547CDE3E"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Dodiya, </w:t>
      </w:r>
      <w:proofErr w:type="gramStart"/>
      <w:r w:rsidRPr="00834479">
        <w:rPr>
          <w:rFonts w:eastAsia="DengXian Light"/>
          <w:color w:val="000000" w:themeColor="text1"/>
          <w:lang w:val="en-IN"/>
        </w:rPr>
        <w:t>M.</w:t>
      </w:r>
      <w:proofErr w:type="gramEnd"/>
      <w:r w:rsidRPr="00834479">
        <w:rPr>
          <w:rFonts w:eastAsia="DengXian Light"/>
          <w:color w:val="000000" w:themeColor="text1"/>
          <w:lang w:val="en-IN"/>
        </w:rPr>
        <w:t xml:space="preserve"> and Mistry, V. (2021) 'Digital payment adoption in rural India: A study of barriers and enablers', </w:t>
      </w:r>
      <w:r w:rsidRPr="00834479">
        <w:rPr>
          <w:rFonts w:eastAsia="DengXian Light"/>
          <w:i/>
          <w:iCs/>
          <w:color w:val="000000" w:themeColor="text1"/>
          <w:lang w:val="en-IN"/>
        </w:rPr>
        <w:t>Journal of Rural Studies</w:t>
      </w:r>
      <w:r w:rsidRPr="00834479">
        <w:rPr>
          <w:rFonts w:eastAsia="DengXian Light"/>
          <w:color w:val="000000" w:themeColor="text1"/>
          <w:lang w:val="en-IN"/>
        </w:rPr>
        <w:t xml:space="preserve">, 82, pp. 104–115. Available at: </w:t>
      </w:r>
      <w:hyperlink r:id="rId49" w:history="1">
        <w:r w:rsidRPr="00834479">
          <w:rPr>
            <w:rStyle w:val="Hyperlink"/>
            <w:rFonts w:eastAsia="DengXian Light"/>
            <w:lang w:val="en-IN"/>
          </w:rPr>
          <w:t>https://doi.org/10.1016/j.jrurstud.2021.01.001</w:t>
        </w:r>
      </w:hyperlink>
    </w:p>
    <w:p w14:paraId="5566DE2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Dutta, N., Kar, S., &amp; Guha, S. (2023). Informal sector in India and adoption of digital technologies. </w:t>
      </w:r>
      <w:r w:rsidRPr="00834479">
        <w:rPr>
          <w:rFonts w:eastAsia="DengXian Light"/>
          <w:i/>
          <w:iCs/>
          <w:color w:val="000000" w:themeColor="text1"/>
        </w:rPr>
        <w:t>Indian Growth and Development Review</w:t>
      </w:r>
      <w:r w:rsidRPr="00834479">
        <w:rPr>
          <w:rFonts w:eastAsia="DengXian Light"/>
          <w:color w:val="000000" w:themeColor="text1"/>
        </w:rPr>
        <w:t>, </w:t>
      </w:r>
      <w:r w:rsidRPr="00834479">
        <w:rPr>
          <w:rFonts w:eastAsia="DengXian Light"/>
          <w:i/>
          <w:iCs/>
          <w:color w:val="000000" w:themeColor="text1"/>
        </w:rPr>
        <w:t>16</w:t>
      </w:r>
      <w:r w:rsidRPr="00834479">
        <w:rPr>
          <w:rFonts w:eastAsia="DengXian Light"/>
          <w:color w:val="000000" w:themeColor="text1"/>
        </w:rPr>
        <w:t xml:space="preserve">(3), 230-246. </w:t>
      </w:r>
      <w:hyperlink r:id="rId50" w:history="1">
        <w:r w:rsidRPr="00834479">
          <w:rPr>
            <w:rStyle w:val="Hyperlink"/>
            <w:rFonts w:eastAsia="DengXian Light"/>
          </w:rPr>
          <w:t>https://www.emerald.com/igdr/article-pdf/16/3/230/1320623/igdr-12-2022-0144.pdf</w:t>
        </w:r>
      </w:hyperlink>
    </w:p>
    <w:p w14:paraId="6665015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Dwivedi, Y.K., Rana, N.P., Jeyaraj, A., Clement, </w:t>
      </w:r>
      <w:proofErr w:type="gramStart"/>
      <w:r w:rsidRPr="00834479">
        <w:rPr>
          <w:rFonts w:eastAsia="DengXian Light"/>
          <w:color w:val="000000" w:themeColor="text1"/>
          <w:lang w:val="en-IN"/>
        </w:rPr>
        <w:t>M.</w:t>
      </w:r>
      <w:proofErr w:type="gramEnd"/>
      <w:r w:rsidRPr="00834479">
        <w:rPr>
          <w:rFonts w:eastAsia="DengXian Light"/>
          <w:color w:val="000000" w:themeColor="text1"/>
          <w:lang w:val="en-IN"/>
        </w:rPr>
        <w:t xml:space="preserve"> and Williams, M.D. (2017) 'Re-examining the unified theory of acceptance and use of technology (UTAUT): Towards a revised theoretical model', </w:t>
      </w:r>
      <w:r w:rsidRPr="00834479">
        <w:rPr>
          <w:rFonts w:eastAsia="DengXian Light"/>
          <w:i/>
          <w:iCs/>
          <w:color w:val="000000" w:themeColor="text1"/>
          <w:lang w:val="en-IN"/>
        </w:rPr>
        <w:t>Information Systems Frontiers</w:t>
      </w:r>
      <w:r w:rsidRPr="00834479">
        <w:rPr>
          <w:rFonts w:eastAsia="DengXian Light"/>
          <w:color w:val="000000" w:themeColor="text1"/>
          <w:lang w:val="en-IN"/>
        </w:rPr>
        <w:t xml:space="preserve">, 21(3), pp. 719–734. Available at: </w:t>
      </w:r>
      <w:hyperlink r:id="rId51" w:history="1">
        <w:r w:rsidRPr="00834479">
          <w:rPr>
            <w:rStyle w:val="Hyperlink"/>
            <w:rFonts w:eastAsia="DengXian Light"/>
            <w:lang w:val="en-IN"/>
          </w:rPr>
          <w:t>https://doi.org/10.1007/s10796-017-9774-y</w:t>
        </w:r>
      </w:hyperlink>
    </w:p>
    <w:p w14:paraId="4BF04C07"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Faqih, K.M. and Jaradat, M.I.R.M. (2021) 'Assessing the moderating effect of gender differences and individualism-collectivism at individual level on the adoption of mobile commerce technology: TAM3 perspective', </w:t>
      </w:r>
      <w:r w:rsidRPr="00834479">
        <w:rPr>
          <w:rFonts w:eastAsia="DengXian Light"/>
          <w:i/>
          <w:iCs/>
          <w:color w:val="000000" w:themeColor="text1"/>
          <w:lang w:val="en-IN"/>
        </w:rPr>
        <w:t>Journal of Retailing and Consumer Services</w:t>
      </w:r>
      <w:r w:rsidRPr="00834479">
        <w:rPr>
          <w:rFonts w:eastAsia="DengXian Light"/>
          <w:color w:val="000000" w:themeColor="text1"/>
          <w:lang w:val="en-IN"/>
        </w:rPr>
        <w:t xml:space="preserve">, 59, p. 102216. Available at: </w:t>
      </w:r>
      <w:hyperlink r:id="rId52" w:history="1">
        <w:r w:rsidRPr="00834479">
          <w:rPr>
            <w:rStyle w:val="Hyperlink"/>
            <w:rFonts w:eastAsia="DengXian Light"/>
            <w:lang w:val="en-IN"/>
          </w:rPr>
          <w:t>https://doi.org/10.1016/j.jretconser.2020.102216</w:t>
        </w:r>
      </w:hyperlink>
    </w:p>
    <w:p w14:paraId="5CA18CF2"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lastRenderedPageBreak/>
        <w:t xml:space="preserve">Gefen, D., </w:t>
      </w:r>
      <w:proofErr w:type="spellStart"/>
      <w:r w:rsidRPr="00834479">
        <w:rPr>
          <w:rFonts w:eastAsia="DengXian Light"/>
          <w:color w:val="000000" w:themeColor="text1"/>
          <w:lang w:val="en-IN"/>
        </w:rPr>
        <w:t>Karahanna</w:t>
      </w:r>
      <w:proofErr w:type="spellEnd"/>
      <w:r w:rsidRPr="00834479">
        <w:rPr>
          <w:rFonts w:eastAsia="DengXian Light"/>
          <w:color w:val="000000" w:themeColor="text1"/>
          <w:lang w:val="en-IN"/>
        </w:rPr>
        <w:t xml:space="preserve">, E. and Straub, D.W. (2003) 'Trust and TAM in online shopping: An integrated model', </w:t>
      </w:r>
      <w:r w:rsidRPr="00834479">
        <w:rPr>
          <w:rFonts w:eastAsia="DengXian Light"/>
          <w:i/>
          <w:iCs/>
          <w:color w:val="000000" w:themeColor="text1"/>
          <w:lang w:val="en-IN"/>
        </w:rPr>
        <w:t>MIS Quarterly</w:t>
      </w:r>
      <w:r w:rsidRPr="00834479">
        <w:rPr>
          <w:rFonts w:eastAsia="DengXian Light"/>
          <w:color w:val="000000" w:themeColor="text1"/>
          <w:lang w:val="en-IN"/>
        </w:rPr>
        <w:t xml:space="preserve">, 27(1), pp. 51–90. Available at: </w:t>
      </w:r>
      <w:hyperlink r:id="rId53" w:history="1">
        <w:r w:rsidRPr="00834479">
          <w:rPr>
            <w:rStyle w:val="Hyperlink"/>
            <w:rFonts w:eastAsia="DengXian Light"/>
            <w:lang w:val="en-IN"/>
          </w:rPr>
          <w:t>https://doi.org/10.2307/30036519</w:t>
        </w:r>
      </w:hyperlink>
    </w:p>
    <w:p w14:paraId="3CA9090A"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Gelb, A., Mukherjee, A., &amp; Webster, B. (2022). </w:t>
      </w:r>
      <w:r w:rsidRPr="00834479">
        <w:rPr>
          <w:rFonts w:eastAsia="DengXian Light"/>
          <w:i/>
          <w:iCs/>
          <w:color w:val="000000" w:themeColor="text1"/>
        </w:rPr>
        <w:t xml:space="preserve">Can Digital G2P Transfers Drive Financial Inclusion and Digital </w:t>
      </w:r>
      <w:proofErr w:type="gramStart"/>
      <w:r w:rsidRPr="00834479">
        <w:rPr>
          <w:rFonts w:eastAsia="DengXian Light"/>
          <w:i/>
          <w:iCs/>
          <w:color w:val="000000" w:themeColor="text1"/>
        </w:rPr>
        <w:t>Payments?:</w:t>
      </w:r>
      <w:proofErr w:type="gramEnd"/>
      <w:r w:rsidRPr="00834479">
        <w:rPr>
          <w:rFonts w:eastAsia="DengXian Light"/>
          <w:i/>
          <w:iCs/>
          <w:color w:val="000000" w:themeColor="text1"/>
        </w:rPr>
        <w:t xml:space="preserve"> Evidence from India</w:t>
      </w:r>
      <w:r w:rsidRPr="00834479">
        <w:rPr>
          <w:rFonts w:eastAsia="DengXian Light"/>
          <w:color w:val="000000" w:themeColor="text1"/>
        </w:rPr>
        <w:t xml:space="preserve"> (No. 618, p. 20230019276). Center for Global Development. </w:t>
      </w:r>
      <w:hyperlink r:id="rId54" w:history="1">
        <w:r w:rsidRPr="00834479">
          <w:rPr>
            <w:rStyle w:val="Hyperlink"/>
            <w:rFonts w:eastAsia="DengXian Light"/>
          </w:rPr>
          <w:t>https://www.cgdev.org/sites/default/files/can-digital-g2p-transfers-drive-financial-inclusion-and-digital-payments-evidence-india.pdf</w:t>
        </w:r>
      </w:hyperlink>
    </w:p>
    <w:p w14:paraId="3BCC9867"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Helsper, E.J. and Eynon, R. (2010) 'Digital natives: Where is the evidence?', </w:t>
      </w:r>
      <w:r w:rsidRPr="00834479">
        <w:rPr>
          <w:rFonts w:eastAsia="DengXian Light"/>
          <w:i/>
          <w:iCs/>
          <w:color w:val="000000" w:themeColor="text1"/>
          <w:lang w:val="en-IN"/>
        </w:rPr>
        <w:t>British Educational Research Journal</w:t>
      </w:r>
      <w:r w:rsidRPr="00834479">
        <w:rPr>
          <w:rFonts w:eastAsia="DengXian Light"/>
          <w:color w:val="000000" w:themeColor="text1"/>
          <w:lang w:val="en-IN"/>
        </w:rPr>
        <w:t xml:space="preserve">, 36(3), pp. 503–520. Available at: </w:t>
      </w:r>
      <w:hyperlink r:id="rId55" w:history="1">
        <w:r w:rsidRPr="00834479">
          <w:rPr>
            <w:rStyle w:val="Hyperlink"/>
            <w:rFonts w:eastAsia="DengXian Light"/>
            <w:lang w:val="en-IN"/>
          </w:rPr>
          <w:t>https://doi.org/10.1080/01411920902989227</w:t>
        </w:r>
      </w:hyperlink>
    </w:p>
    <w:p w14:paraId="32FF841B"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Jadhav, S. D., &amp; Pawa, N. B. (2022). A study of customer awareness of Payment Apps in rural areas with special reference Satara district. </w:t>
      </w:r>
      <w:r w:rsidRPr="00834479">
        <w:rPr>
          <w:rFonts w:eastAsia="DengXian Light"/>
          <w:i/>
          <w:iCs/>
          <w:color w:val="000000" w:themeColor="text1"/>
        </w:rPr>
        <w:t>ASEAN Journal of Community Service and Education</w:t>
      </w:r>
      <w:r w:rsidRPr="00834479">
        <w:rPr>
          <w:rFonts w:eastAsia="DengXian Light"/>
          <w:color w:val="000000" w:themeColor="text1"/>
        </w:rPr>
        <w:t>, </w:t>
      </w:r>
      <w:r w:rsidRPr="00834479">
        <w:rPr>
          <w:rFonts w:eastAsia="DengXian Light"/>
          <w:i/>
          <w:iCs/>
          <w:color w:val="000000" w:themeColor="text1"/>
        </w:rPr>
        <w:t>1</w:t>
      </w:r>
      <w:r w:rsidRPr="00834479">
        <w:rPr>
          <w:rFonts w:eastAsia="DengXian Light"/>
          <w:color w:val="000000" w:themeColor="text1"/>
        </w:rPr>
        <w:t xml:space="preserve">(2), 121-126. </w:t>
      </w:r>
      <w:hyperlink r:id="rId56" w:history="1">
        <w:r w:rsidRPr="00834479">
          <w:rPr>
            <w:rStyle w:val="Hyperlink"/>
            <w:rFonts w:eastAsia="DengXian Light"/>
          </w:rPr>
          <w:t>https://ejournal.bumipublikasinusantara.id/index.php/ajcse/article/viewFile/152/148</w:t>
        </w:r>
      </w:hyperlink>
    </w:p>
    <w:p w14:paraId="0F7BCDBD"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James, J. (2025). Understanding the Behavioral Drivers of QR-Based UPI Usage Among Gen Z in India: A PLS-SEM Study. </w:t>
      </w:r>
      <w:hyperlink r:id="rId57" w:history="1">
        <w:r w:rsidRPr="00834479">
          <w:rPr>
            <w:rStyle w:val="Hyperlink"/>
            <w:rFonts w:eastAsia="DengXian Light"/>
          </w:rPr>
          <w:t>https://papers.ssrn.com/sol3/Delivery.cfm?abstractid=5353745</w:t>
        </w:r>
      </w:hyperlink>
    </w:p>
    <w:p w14:paraId="1B907B8B"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Karina, Y. (2024) 'Factors that influence the intention of the use of e-CNY among university students in China', </w:t>
      </w:r>
      <w:r w:rsidRPr="00834479">
        <w:rPr>
          <w:rFonts w:eastAsia="DengXian Light"/>
          <w:i/>
          <w:iCs/>
          <w:color w:val="000000" w:themeColor="text1"/>
          <w:lang w:val="en-IN"/>
        </w:rPr>
        <w:t>Theoretical Economics Letters</w:t>
      </w:r>
      <w:r w:rsidRPr="00834479">
        <w:rPr>
          <w:rFonts w:eastAsia="DengXian Light"/>
          <w:color w:val="000000" w:themeColor="text1"/>
          <w:lang w:val="en-IN"/>
        </w:rPr>
        <w:t xml:space="preserve">, 14(3), pp. 1000–1034. Available at: </w:t>
      </w:r>
      <w:hyperlink r:id="rId58" w:history="1">
        <w:r w:rsidRPr="00834479">
          <w:rPr>
            <w:rStyle w:val="Hyperlink"/>
            <w:rFonts w:eastAsia="DengXian Light"/>
            <w:lang w:val="en-IN"/>
          </w:rPr>
          <w:t>https://doi.org/10.4236/tel.2024.143052</w:t>
        </w:r>
      </w:hyperlink>
    </w:p>
    <w:p w14:paraId="10E03999"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Kerai, D., &amp; Vidani, J. (2025). A Study on Impact of Retina and Iris Based Payment Technology Introduced by Digital Payment Apps on Financial Scams in Ahmedabad City. </w:t>
      </w:r>
      <w:hyperlink r:id="rId59" w:history="1">
        <w:r w:rsidRPr="00834479">
          <w:rPr>
            <w:rStyle w:val="Hyperlink"/>
            <w:rFonts w:eastAsia="DengXian Light"/>
          </w:rPr>
          <w:t>https://cosmorsij.com/published/CRSIJ25000029.pdf</w:t>
        </w:r>
      </w:hyperlink>
    </w:p>
    <w:p w14:paraId="050E5B9B"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Kumar, </w:t>
      </w:r>
      <w:proofErr w:type="gramStart"/>
      <w:r w:rsidRPr="00834479">
        <w:rPr>
          <w:rFonts w:eastAsia="DengXian Light"/>
          <w:color w:val="000000" w:themeColor="text1"/>
          <w:lang w:val="en-IN"/>
        </w:rPr>
        <w:t>S.</w:t>
      </w:r>
      <w:proofErr w:type="gramEnd"/>
      <w:r w:rsidRPr="00834479">
        <w:rPr>
          <w:rFonts w:eastAsia="DengXian Light"/>
          <w:color w:val="000000" w:themeColor="text1"/>
          <w:lang w:val="en-IN"/>
        </w:rPr>
        <w:t xml:space="preserve"> and Sharma, M. (2019) 'Examining the role of trust and quality dimensions in the actual usage of mobile banking services: An empirical investigation', </w:t>
      </w:r>
      <w:r w:rsidRPr="00834479">
        <w:rPr>
          <w:rFonts w:eastAsia="DengXian Light"/>
          <w:i/>
          <w:iCs/>
          <w:color w:val="000000" w:themeColor="text1"/>
          <w:lang w:val="en-IN"/>
        </w:rPr>
        <w:t>International Journal of Information Management</w:t>
      </w:r>
      <w:r w:rsidRPr="00834479">
        <w:rPr>
          <w:rFonts w:eastAsia="DengXian Light"/>
          <w:color w:val="000000" w:themeColor="text1"/>
          <w:lang w:val="en-IN"/>
        </w:rPr>
        <w:t xml:space="preserve">, 44, pp. 65–75. Available at: </w:t>
      </w:r>
      <w:hyperlink r:id="rId60" w:history="1">
        <w:r w:rsidRPr="00834479">
          <w:rPr>
            <w:rStyle w:val="Hyperlink"/>
            <w:rFonts w:eastAsia="DengXian Light"/>
            <w:lang w:val="en-IN"/>
          </w:rPr>
          <w:t>https://doi.org/10.1016/j.ijinfomgt.2018.09.013</w:t>
        </w:r>
      </w:hyperlink>
    </w:p>
    <w:p w14:paraId="12DD058E"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Lincoln, Y.S. and Guba, E.G. (2000) 'Paradigmatic controversies, contradictions, and emerging confluences', in Denzin, N.K. and Lincoln, Y.S. (eds.) </w:t>
      </w:r>
      <w:r w:rsidRPr="00834479">
        <w:rPr>
          <w:rFonts w:eastAsia="DengXian Light"/>
          <w:i/>
          <w:iCs/>
          <w:color w:val="000000" w:themeColor="text1"/>
          <w:lang w:val="en-IN"/>
        </w:rPr>
        <w:t>Handbook of qualitative research</w:t>
      </w:r>
      <w:r w:rsidRPr="00834479">
        <w:rPr>
          <w:rFonts w:eastAsia="DengXian Light"/>
          <w:color w:val="000000" w:themeColor="text1"/>
          <w:lang w:val="en-IN"/>
        </w:rPr>
        <w:t xml:space="preserve">. 2nd </w:t>
      </w:r>
      <w:proofErr w:type="spellStart"/>
      <w:r w:rsidRPr="00834479">
        <w:rPr>
          <w:rFonts w:eastAsia="DengXian Light"/>
          <w:color w:val="000000" w:themeColor="text1"/>
          <w:lang w:val="en-IN"/>
        </w:rPr>
        <w:t>edn</w:t>
      </w:r>
      <w:proofErr w:type="spellEnd"/>
      <w:r w:rsidRPr="00834479">
        <w:rPr>
          <w:rFonts w:eastAsia="DengXian Light"/>
          <w:color w:val="000000" w:themeColor="text1"/>
          <w:lang w:val="en-IN"/>
        </w:rPr>
        <w:t>. Thousand Oaks, CA: SAGE Publications, pp. 163–188.</w:t>
      </w:r>
    </w:p>
    <w:p w14:paraId="442ACD8F"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lastRenderedPageBreak/>
        <w:t xml:space="preserve">Madhani, J., </w:t>
      </w:r>
      <w:proofErr w:type="spellStart"/>
      <w:r w:rsidRPr="00834479">
        <w:rPr>
          <w:rFonts w:eastAsia="DengXian Light"/>
          <w:color w:val="000000" w:themeColor="text1"/>
        </w:rPr>
        <w:t>Savjani</w:t>
      </w:r>
      <w:proofErr w:type="spellEnd"/>
      <w:r w:rsidRPr="00834479">
        <w:rPr>
          <w:rFonts w:eastAsia="DengXian Light"/>
          <w:color w:val="000000" w:themeColor="text1"/>
        </w:rPr>
        <w:t>, J., Trivedi, A., &amp; Jobanputra, K. Exploring factors affecting adoption of UPI among Generation Z with special reference to Rajkot city. In </w:t>
      </w:r>
      <w:r w:rsidRPr="00834479">
        <w:rPr>
          <w:rFonts w:eastAsia="DengXian Light"/>
          <w:i/>
          <w:iCs/>
          <w:color w:val="000000" w:themeColor="text1"/>
        </w:rPr>
        <w:t>Digital Transformation and Sustainability of Business</w:t>
      </w:r>
      <w:r w:rsidRPr="00834479">
        <w:rPr>
          <w:rFonts w:eastAsia="DengXian Light"/>
          <w:color w:val="000000" w:themeColor="text1"/>
        </w:rPr>
        <w:t xml:space="preserve"> (pp. 586-588). CRC Press. </w:t>
      </w:r>
      <w:hyperlink r:id="rId61" w:history="1">
        <w:r w:rsidRPr="00834479">
          <w:rPr>
            <w:rStyle w:val="Hyperlink"/>
            <w:rFonts w:eastAsia="DengXian Light"/>
          </w:rPr>
          <w:t>https://www.taylorfrancis.com/chapters/edit/10.1201/9781003606185-139/exploring-factors-affecting-adoption-upi-among-generation-special-reference-rajkot-city-jeet-madhani-janvi-savjani-alankar-trivedi-kuldeep-jobanputra</w:t>
        </w:r>
      </w:hyperlink>
    </w:p>
    <w:p w14:paraId="391CD0E6"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Mahesh, K. M., Aithal, P. S., &amp; Sharma, K. R. S. (2025). Impact of UPI Digital Payment Services in The Karnataka State Road Transportation Corporation: For Promoting Sustainable Development Goals (SDGs). </w:t>
      </w:r>
      <w:proofErr w:type="spellStart"/>
      <w:r w:rsidRPr="00834479">
        <w:rPr>
          <w:rFonts w:eastAsia="DengXian Light"/>
          <w:i/>
          <w:iCs/>
          <w:color w:val="000000" w:themeColor="text1"/>
        </w:rPr>
        <w:t>Poornaprajna</w:t>
      </w:r>
      <w:proofErr w:type="spellEnd"/>
      <w:r w:rsidRPr="00834479">
        <w:rPr>
          <w:rFonts w:eastAsia="DengXian Light"/>
          <w:i/>
          <w:iCs/>
          <w:color w:val="000000" w:themeColor="text1"/>
        </w:rPr>
        <w:t xml:space="preserve"> International Journal of Management, Education &amp; Social Science (PIJMESS)</w:t>
      </w:r>
      <w:r w:rsidRPr="00834479">
        <w:rPr>
          <w:rFonts w:eastAsia="DengXian Light"/>
          <w:color w:val="000000" w:themeColor="text1"/>
        </w:rPr>
        <w:t>, </w:t>
      </w:r>
      <w:r w:rsidRPr="00834479">
        <w:rPr>
          <w:rFonts w:eastAsia="DengXian Light"/>
          <w:i/>
          <w:iCs/>
          <w:color w:val="000000" w:themeColor="text1"/>
        </w:rPr>
        <w:t>2</w:t>
      </w:r>
      <w:r w:rsidRPr="00834479">
        <w:rPr>
          <w:rFonts w:eastAsia="DengXian Light"/>
          <w:color w:val="000000" w:themeColor="text1"/>
        </w:rPr>
        <w:t xml:space="preserve">(2), 131-147. </w:t>
      </w:r>
      <w:hyperlink r:id="rId62" w:history="1">
        <w:r w:rsidRPr="00834479">
          <w:rPr>
            <w:rStyle w:val="Hyperlink"/>
            <w:rFonts w:eastAsia="DengXian Light"/>
          </w:rPr>
          <w:t>http://poornaprajnapublication.com/index.php/pijmess/article/download/138/114</w:t>
        </w:r>
      </w:hyperlink>
    </w:p>
    <w:p w14:paraId="2186DB4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proofErr w:type="spellStart"/>
      <w:r w:rsidRPr="00834479">
        <w:rPr>
          <w:rFonts w:eastAsia="DengXian Light"/>
          <w:color w:val="000000" w:themeColor="text1"/>
        </w:rPr>
        <w:t>Majithiya</w:t>
      </w:r>
      <w:proofErr w:type="spellEnd"/>
      <w:r w:rsidRPr="00834479">
        <w:rPr>
          <w:rFonts w:eastAsia="DengXian Light"/>
          <w:color w:val="000000" w:themeColor="text1"/>
        </w:rPr>
        <w:t>, D., &amp; Varia, H. (2025). Digital Solutions for Seamless Multimodal Transport in Kachchh: Challenges and Opportunities. </w:t>
      </w:r>
      <w:r w:rsidRPr="00834479">
        <w:rPr>
          <w:rFonts w:eastAsia="DengXian Light"/>
          <w:i/>
          <w:iCs/>
          <w:color w:val="000000" w:themeColor="text1"/>
        </w:rPr>
        <w:t>International Journal of Scientific Research in Science, Engineering and Technology</w:t>
      </w:r>
      <w:r w:rsidRPr="00834479">
        <w:rPr>
          <w:rFonts w:eastAsia="DengXian Light"/>
          <w:color w:val="000000" w:themeColor="text1"/>
        </w:rPr>
        <w:t>, </w:t>
      </w:r>
      <w:r w:rsidRPr="00834479">
        <w:rPr>
          <w:rFonts w:eastAsia="DengXian Light"/>
          <w:i/>
          <w:iCs/>
          <w:color w:val="000000" w:themeColor="text1"/>
        </w:rPr>
        <w:t>12</w:t>
      </w:r>
      <w:r w:rsidRPr="00834479">
        <w:rPr>
          <w:rFonts w:eastAsia="DengXian Light"/>
          <w:color w:val="000000" w:themeColor="text1"/>
        </w:rPr>
        <w:t xml:space="preserve">(5), 241-53. </w:t>
      </w:r>
      <w:hyperlink r:id="rId63" w:history="1">
        <w:r w:rsidRPr="00834479">
          <w:rPr>
            <w:rStyle w:val="Hyperlink"/>
            <w:rFonts w:eastAsia="DengXian Light"/>
          </w:rPr>
          <w:t>https://www.researchgate.net/profile/Devang-Majithiya-3/publication/396652723_Digital_Solutions_for_Seamless_Multimodal_Transport_in_Kachchh_Challenges_and_Opportunities/links/68f3d7067d9a4d4e870ac03b/Digital-Solutions-for-Seamless-Multimodal-Transport-in-Kachchh-Challenges-and-Opportunities.pdf</w:t>
        </w:r>
      </w:hyperlink>
    </w:p>
    <w:p w14:paraId="4D95FBF8"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Malde, J., </w:t>
      </w:r>
      <w:proofErr w:type="spellStart"/>
      <w:r w:rsidRPr="00834479">
        <w:rPr>
          <w:rFonts w:eastAsia="DengXian Light"/>
          <w:color w:val="000000" w:themeColor="text1"/>
          <w:lang w:val="en-IN"/>
        </w:rPr>
        <w:t>Bulchandani</w:t>
      </w:r>
      <w:proofErr w:type="spellEnd"/>
      <w:r w:rsidRPr="00834479">
        <w:rPr>
          <w:rFonts w:eastAsia="DengXian Light"/>
          <w:color w:val="000000" w:themeColor="text1"/>
          <w:lang w:val="en-IN"/>
        </w:rPr>
        <w:t xml:space="preserve">, D., &amp; Vidani, J. (2025). Post COVID-19: Impact of Digital Transformation on Day-to-Day Spending of Consumers in Jamnagar and Ahmedabad Cities. International Journal of Economic, Finance and Business Statistics, 3(5), 307-326. </w:t>
      </w:r>
      <w:hyperlink r:id="rId64" w:history="1">
        <w:r w:rsidRPr="00834479">
          <w:rPr>
            <w:rStyle w:val="Hyperlink"/>
            <w:rFonts w:eastAsia="DengXian Light"/>
            <w:lang w:val="en-IN"/>
          </w:rPr>
          <w:t>https://dmimultitechpublisher.my.id/index.php/ijefbs/article/download/197/241</w:t>
        </w:r>
      </w:hyperlink>
    </w:p>
    <w:p w14:paraId="0DF02B25"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Maru, K. V. UPI as a Tool for Financial Inclusion: Adoption Trends Among Females in Junagadh District. </w:t>
      </w:r>
      <w:hyperlink r:id="rId65" w:history="1">
        <w:r w:rsidRPr="00834479">
          <w:rPr>
            <w:rStyle w:val="Hyperlink"/>
            <w:rFonts w:eastAsia="DengXian Light"/>
          </w:rPr>
          <w:t>https://kcectrust.org/uploads/articleJournal/December2024685.pdf</w:t>
        </w:r>
      </w:hyperlink>
    </w:p>
    <w:p w14:paraId="51B3D9F2"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Nandru, P., SA, S. K., &amp; </w:t>
      </w:r>
      <w:proofErr w:type="spellStart"/>
      <w:r w:rsidRPr="00834479">
        <w:rPr>
          <w:rFonts w:eastAsia="DengXian Light"/>
          <w:color w:val="000000" w:themeColor="text1"/>
        </w:rPr>
        <w:t>Chendragiri</w:t>
      </w:r>
      <w:proofErr w:type="spellEnd"/>
      <w:r w:rsidRPr="00834479">
        <w:rPr>
          <w:rFonts w:eastAsia="DengXian Light"/>
          <w:color w:val="000000" w:themeColor="text1"/>
        </w:rPr>
        <w:t>, M. (2024). Adoption intention of mobile QR code payment system among marginalized street vendors: an empirical investigation from an emerging economy. </w:t>
      </w:r>
      <w:r w:rsidRPr="00834479">
        <w:rPr>
          <w:rFonts w:eastAsia="DengXian Light"/>
          <w:i/>
          <w:iCs/>
          <w:color w:val="000000" w:themeColor="text1"/>
        </w:rPr>
        <w:t>Journal of Science and Technology Policy Management</w:t>
      </w:r>
      <w:r w:rsidRPr="00834479">
        <w:rPr>
          <w:rFonts w:eastAsia="DengXian Light"/>
          <w:color w:val="000000" w:themeColor="text1"/>
        </w:rPr>
        <w:t>, </w:t>
      </w:r>
      <w:r w:rsidRPr="00834479">
        <w:rPr>
          <w:rFonts w:eastAsia="DengXian Light"/>
          <w:i/>
          <w:iCs/>
          <w:color w:val="000000" w:themeColor="text1"/>
        </w:rPr>
        <w:t>15</w:t>
      </w:r>
      <w:r w:rsidRPr="00834479">
        <w:rPr>
          <w:rFonts w:eastAsia="DengXian Light"/>
          <w:color w:val="000000" w:themeColor="text1"/>
        </w:rPr>
        <w:t xml:space="preserve">(6), 1709-1733. </w:t>
      </w:r>
      <w:hyperlink r:id="rId66" w:history="1">
        <w:r w:rsidRPr="00834479">
          <w:rPr>
            <w:rStyle w:val="Hyperlink"/>
            <w:rFonts w:eastAsia="DengXian Light"/>
          </w:rPr>
          <w:t>https://www.emerald.com/jstpm/article-pdf/15/6/1709/9466962/jstpm-03-2023-0035.pdf</w:t>
        </w:r>
      </w:hyperlink>
    </w:p>
    <w:p w14:paraId="7BBCF8E5"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lastRenderedPageBreak/>
        <w:t xml:space="preserve">Patel, P., &amp; </w:t>
      </w:r>
      <w:proofErr w:type="spellStart"/>
      <w:r w:rsidRPr="00834479">
        <w:rPr>
          <w:rFonts w:eastAsia="DengXian Light"/>
          <w:color w:val="000000" w:themeColor="text1"/>
        </w:rPr>
        <w:t>Halvadia</w:t>
      </w:r>
      <w:proofErr w:type="spellEnd"/>
      <w:r w:rsidRPr="00834479">
        <w:rPr>
          <w:rFonts w:eastAsia="DengXian Light"/>
          <w:color w:val="000000" w:themeColor="text1"/>
        </w:rPr>
        <w:t>, N. (2025). Information Systems in Indian Dairy Cooperatives: A Case Study of Sabar. </w:t>
      </w:r>
      <w:r w:rsidRPr="00834479">
        <w:rPr>
          <w:rFonts w:eastAsia="DengXian Light"/>
          <w:i/>
          <w:iCs/>
          <w:color w:val="000000" w:themeColor="text1"/>
        </w:rPr>
        <w:t>Information Systems for Intelligent Systems: Proceedings of ISBM 2024, Volume 4</w:t>
      </w:r>
      <w:r w:rsidRPr="00834479">
        <w:rPr>
          <w:rFonts w:eastAsia="DengXian Light"/>
          <w:color w:val="000000" w:themeColor="text1"/>
        </w:rPr>
        <w:t>, </w:t>
      </w:r>
      <w:r w:rsidRPr="00834479">
        <w:rPr>
          <w:rFonts w:eastAsia="DengXian Light"/>
          <w:i/>
          <w:iCs/>
          <w:color w:val="000000" w:themeColor="text1"/>
        </w:rPr>
        <w:t>1254</w:t>
      </w:r>
      <w:r w:rsidRPr="00834479">
        <w:rPr>
          <w:rFonts w:eastAsia="DengXian Light"/>
          <w:color w:val="000000" w:themeColor="text1"/>
        </w:rPr>
        <w:t xml:space="preserve">, 469. </w:t>
      </w:r>
      <w:hyperlink r:id="rId67" w:history="1">
        <w:r w:rsidRPr="00834479">
          <w:rPr>
            <w:rStyle w:val="Hyperlink"/>
            <w:rFonts w:eastAsia="DengXian Light"/>
          </w:rPr>
          <w:t>https://books.google.com/books?hl=en&amp;lr=&amp;id=x-VhEQAAQBAJ&amp;oi=fnd&amp;pg=PA468&amp;dq=QR+Code+Payment+Adoption+in+Rural+Gujarat&amp;ots=LX2wk1HUoW&amp;sig=za0knm6kT-athRebxzEquYvyrfI</w:t>
        </w:r>
      </w:hyperlink>
    </w:p>
    <w:p w14:paraId="1BA55D2F"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Patil, P.P., Dwivedi, Y.K. and Rana, N.P. (2020) 'Digital payments adoption: An analysis of literature', in Elbanna, A. et al. (eds.) </w:t>
      </w:r>
      <w:r w:rsidRPr="00834479">
        <w:rPr>
          <w:rFonts w:eastAsia="DengXian Light"/>
          <w:i/>
          <w:iCs/>
          <w:color w:val="000000" w:themeColor="text1"/>
          <w:lang w:val="en-IN"/>
        </w:rPr>
        <w:t>Digital and social media marketing</w:t>
      </w:r>
      <w:r w:rsidRPr="00834479">
        <w:rPr>
          <w:rFonts w:eastAsia="DengXian Light"/>
          <w:color w:val="000000" w:themeColor="text1"/>
          <w:lang w:val="en-IN"/>
        </w:rPr>
        <w:t xml:space="preserve">. Cham: Springer, pp. 61–70. Available at: </w:t>
      </w:r>
      <w:hyperlink r:id="rId68" w:history="1">
        <w:r w:rsidRPr="00834479">
          <w:rPr>
            <w:rStyle w:val="Hyperlink"/>
            <w:rFonts w:eastAsia="DengXian Light"/>
            <w:lang w:val="en-IN"/>
          </w:rPr>
          <w:t>https://doi.org/10.1007/978-3-030-24374-6_5</w:t>
        </w:r>
      </w:hyperlink>
    </w:p>
    <w:p w14:paraId="31F48E72"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Prensky, M. (2001) 'Digital natives, digital immigrants', </w:t>
      </w:r>
      <w:r w:rsidRPr="00834479">
        <w:rPr>
          <w:rFonts w:eastAsia="DengXian Light"/>
          <w:i/>
          <w:iCs/>
          <w:color w:val="000000" w:themeColor="text1"/>
          <w:lang w:val="en-IN"/>
        </w:rPr>
        <w:t>On the Horizon</w:t>
      </w:r>
      <w:r w:rsidRPr="00834479">
        <w:rPr>
          <w:rFonts w:eastAsia="DengXian Light"/>
          <w:color w:val="000000" w:themeColor="text1"/>
          <w:lang w:val="en-IN"/>
        </w:rPr>
        <w:t xml:space="preserve">, 9(5), pp. 1–6. Available at: </w:t>
      </w:r>
      <w:hyperlink r:id="rId69" w:history="1">
        <w:r w:rsidRPr="00834479">
          <w:rPr>
            <w:rStyle w:val="Hyperlink"/>
            <w:rFonts w:eastAsia="DengXian Light"/>
            <w:lang w:val="en-IN"/>
          </w:rPr>
          <w:t>https://doi.org/10.1108/10748120110424816</w:t>
        </w:r>
      </w:hyperlink>
    </w:p>
    <w:p w14:paraId="0E09720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Priya, R., Gandhi, A.V. and Shaikh, A. (2018) 'Mobile banking adoption in an emerging economy: An empirical analysis of young Indian consumers', </w:t>
      </w:r>
      <w:r w:rsidRPr="00834479">
        <w:rPr>
          <w:rFonts w:eastAsia="DengXian Light"/>
          <w:i/>
          <w:iCs/>
          <w:color w:val="000000" w:themeColor="text1"/>
          <w:lang w:val="en-IN"/>
        </w:rPr>
        <w:t>Benchmarking: An International Journal</w:t>
      </w:r>
      <w:r w:rsidRPr="00834479">
        <w:rPr>
          <w:rFonts w:eastAsia="DengXian Light"/>
          <w:color w:val="000000" w:themeColor="text1"/>
          <w:lang w:val="en-IN"/>
        </w:rPr>
        <w:t xml:space="preserve">, 25(2), pp. 743–762. Available at: </w:t>
      </w:r>
      <w:hyperlink r:id="rId70" w:history="1">
        <w:r w:rsidRPr="00834479">
          <w:rPr>
            <w:rStyle w:val="Hyperlink"/>
            <w:rFonts w:eastAsia="DengXian Light"/>
            <w:lang w:val="en-IN"/>
          </w:rPr>
          <w:t>https://doi.org/10.1108/BIJ-01-2016-0009</w:t>
        </w:r>
      </w:hyperlink>
    </w:p>
    <w:p w14:paraId="1B672186"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Rathore, H.S. (2020) 'Adoption of digital payment by Indian consumers: An empirical investigation', </w:t>
      </w:r>
      <w:r w:rsidRPr="00834479">
        <w:rPr>
          <w:rFonts w:eastAsia="DengXian Light"/>
          <w:i/>
          <w:iCs/>
          <w:color w:val="000000" w:themeColor="text1"/>
          <w:lang w:val="en-IN"/>
        </w:rPr>
        <w:t>Journal of Indian Business Research</w:t>
      </w:r>
      <w:r w:rsidRPr="00834479">
        <w:rPr>
          <w:rFonts w:eastAsia="DengXian Light"/>
          <w:color w:val="000000" w:themeColor="text1"/>
          <w:lang w:val="en-IN"/>
        </w:rPr>
        <w:t xml:space="preserve">, 12(3), pp. 309–334. Available at: </w:t>
      </w:r>
      <w:hyperlink r:id="rId71" w:history="1">
        <w:r w:rsidRPr="00834479">
          <w:rPr>
            <w:rStyle w:val="Hyperlink"/>
            <w:rFonts w:eastAsia="DengXian Light"/>
            <w:lang w:val="en-IN"/>
          </w:rPr>
          <w:t>https://doi.org/10.1108/JIBR-01-2019-0029</w:t>
        </w:r>
      </w:hyperlink>
    </w:p>
    <w:p w14:paraId="5E7DDC02"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Raut, N. (2024). DIGITAL PAYMENT SYSTEM IN INDIA–PATHWAY TO DIGITAL INDIA. </w:t>
      </w:r>
      <w:r w:rsidRPr="00834479">
        <w:rPr>
          <w:rFonts w:eastAsia="DengXian Light"/>
          <w:i/>
          <w:iCs/>
          <w:color w:val="000000" w:themeColor="text1"/>
        </w:rPr>
        <w:t>International Journal of Management, Economics and Commerce</w:t>
      </w:r>
      <w:r w:rsidRPr="00834479">
        <w:rPr>
          <w:rFonts w:eastAsia="DengXian Light"/>
          <w:color w:val="000000" w:themeColor="text1"/>
        </w:rPr>
        <w:t>, </w:t>
      </w:r>
      <w:r w:rsidRPr="00834479">
        <w:rPr>
          <w:rFonts w:eastAsia="DengXian Light"/>
          <w:i/>
          <w:iCs/>
          <w:color w:val="000000" w:themeColor="text1"/>
        </w:rPr>
        <w:t>1</w:t>
      </w:r>
      <w:r w:rsidRPr="00834479">
        <w:rPr>
          <w:rFonts w:eastAsia="DengXian Light"/>
          <w:color w:val="000000" w:themeColor="text1"/>
        </w:rPr>
        <w:t xml:space="preserve">(1), 55-58. </w:t>
      </w:r>
      <w:hyperlink r:id="rId72" w:history="1">
        <w:r w:rsidRPr="00834479">
          <w:rPr>
            <w:rStyle w:val="Hyperlink"/>
            <w:rFonts w:eastAsia="DengXian Light"/>
          </w:rPr>
          <w:t>https://pdfs.semanticscholar.org/e74e/d8341841cd47a3377adab2c042626464cbe4.pdf</w:t>
        </w:r>
      </w:hyperlink>
      <w:r w:rsidRPr="00834479">
        <w:rPr>
          <w:rFonts w:eastAsia="DengXian Light"/>
          <w:color w:val="000000" w:themeColor="text1"/>
        </w:rPr>
        <w:t xml:space="preserve"> </w:t>
      </w:r>
    </w:p>
    <w:p w14:paraId="1D6E19C3"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Reserve Bank of India (2022) </w:t>
      </w:r>
      <w:r w:rsidRPr="00834479">
        <w:rPr>
          <w:rFonts w:eastAsia="DengXian Light"/>
          <w:i/>
          <w:iCs/>
          <w:color w:val="000000" w:themeColor="text1"/>
          <w:lang w:val="en-IN"/>
        </w:rPr>
        <w:t>Annual report 2021-2022</w:t>
      </w:r>
      <w:r w:rsidRPr="00834479">
        <w:rPr>
          <w:rFonts w:eastAsia="DengXian Light"/>
          <w:color w:val="000000" w:themeColor="text1"/>
          <w:lang w:val="en-IN"/>
        </w:rPr>
        <w:t xml:space="preserve">. Mumbai: Reserve Bank of India. Available at: </w:t>
      </w:r>
      <w:hyperlink r:id="rId73" w:history="1">
        <w:r w:rsidRPr="00834479">
          <w:rPr>
            <w:rStyle w:val="Hyperlink"/>
            <w:rFonts w:eastAsia="DengXian Light"/>
            <w:lang w:val="en-IN"/>
          </w:rPr>
          <w:t>https://www.rbi.org.in/Scripts/AnnualReportPublications.aspx</w:t>
        </w:r>
      </w:hyperlink>
      <w:r w:rsidRPr="00834479">
        <w:rPr>
          <w:rFonts w:eastAsia="DengXian Light"/>
          <w:color w:val="000000" w:themeColor="text1"/>
          <w:lang w:val="en-IN"/>
        </w:rPr>
        <w:t xml:space="preserve"> (Accessed: 15 October 2024).</w:t>
      </w:r>
    </w:p>
    <w:p w14:paraId="23DF09EF"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Schwandt, T.A. (2000) 'Three epistemological stances for qualitative inquiry: Interpretivism, hermeneutics, and social constructionism', in Denzin, N.K. and Lincoln, Y.S. (eds.) </w:t>
      </w:r>
      <w:r w:rsidRPr="00834479">
        <w:rPr>
          <w:rFonts w:eastAsia="DengXian Light"/>
          <w:i/>
          <w:iCs/>
          <w:color w:val="000000" w:themeColor="text1"/>
          <w:lang w:val="en-IN"/>
        </w:rPr>
        <w:t>Handbook of qualitative research</w:t>
      </w:r>
      <w:r w:rsidRPr="00834479">
        <w:rPr>
          <w:rFonts w:eastAsia="DengXian Light"/>
          <w:color w:val="000000" w:themeColor="text1"/>
          <w:lang w:val="en-IN"/>
        </w:rPr>
        <w:t xml:space="preserve">. 2nd </w:t>
      </w:r>
      <w:proofErr w:type="spellStart"/>
      <w:r w:rsidRPr="00834479">
        <w:rPr>
          <w:rFonts w:eastAsia="DengXian Light"/>
          <w:color w:val="000000" w:themeColor="text1"/>
          <w:lang w:val="en-IN"/>
        </w:rPr>
        <w:t>edn</w:t>
      </w:r>
      <w:proofErr w:type="spellEnd"/>
      <w:r w:rsidRPr="00834479">
        <w:rPr>
          <w:rFonts w:eastAsia="DengXian Light"/>
          <w:color w:val="000000" w:themeColor="text1"/>
          <w:lang w:val="en-IN"/>
        </w:rPr>
        <w:t>. Thousand Oaks, CA: SAGE Publications, pp. 189–213.</w:t>
      </w:r>
    </w:p>
    <w:p w14:paraId="3E8CE33A"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Senyo, P.K. and Osabutey, E.L.C. (2020) 'Unearthing antecedents to financial inclusion through FinTech innovations', </w:t>
      </w:r>
      <w:proofErr w:type="spellStart"/>
      <w:r w:rsidRPr="00834479">
        <w:rPr>
          <w:rFonts w:eastAsia="DengXian Light"/>
          <w:i/>
          <w:iCs/>
          <w:color w:val="000000" w:themeColor="text1"/>
          <w:lang w:val="en-IN"/>
        </w:rPr>
        <w:t>Technovation</w:t>
      </w:r>
      <w:proofErr w:type="spellEnd"/>
      <w:r w:rsidRPr="00834479">
        <w:rPr>
          <w:rFonts w:eastAsia="DengXian Light"/>
          <w:color w:val="000000" w:themeColor="text1"/>
          <w:lang w:val="en-IN"/>
        </w:rPr>
        <w:t xml:space="preserve">, 98, p. 102155. Available at: </w:t>
      </w:r>
      <w:hyperlink r:id="rId74" w:history="1">
        <w:r w:rsidRPr="00834479">
          <w:rPr>
            <w:rStyle w:val="Hyperlink"/>
            <w:rFonts w:eastAsia="DengXian Light"/>
            <w:lang w:val="en-IN"/>
          </w:rPr>
          <w:t>https://doi.org/10.1016/j.technovation.2020.102155</w:t>
        </w:r>
      </w:hyperlink>
    </w:p>
    <w:p w14:paraId="3DF5F3E6"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lastRenderedPageBreak/>
        <w:t xml:space="preserve">Shah, D. S., &amp; Bhatt, C. Empirical Study to Measure user Opinion towards Digital Payment in Rural Gujarat. </w:t>
      </w:r>
      <w:hyperlink r:id="rId75" w:history="1">
        <w:r w:rsidRPr="00834479">
          <w:rPr>
            <w:rStyle w:val="Hyperlink"/>
            <w:rFonts w:eastAsia="DengXian Light"/>
          </w:rPr>
          <w:t>https://aims-international.org/aims20/20aproceedings/PDF/A2505-Final.pdf</w:t>
        </w:r>
      </w:hyperlink>
    </w:p>
    <w:p w14:paraId="1F9A9181"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Shah, D., &amp; Bhatt, C. (2023). Digital payment in rural Gujarat-</w:t>
      </w:r>
      <w:proofErr w:type="gramStart"/>
      <w:r w:rsidRPr="00834479">
        <w:rPr>
          <w:rFonts w:eastAsia="DengXian Light"/>
          <w:color w:val="000000" w:themeColor="text1"/>
        </w:rPr>
        <w:t>an empirical evidence</w:t>
      </w:r>
      <w:proofErr w:type="gramEnd"/>
      <w:r w:rsidRPr="00834479">
        <w:rPr>
          <w:rFonts w:eastAsia="DengXian Light"/>
          <w:color w:val="000000" w:themeColor="text1"/>
        </w:rPr>
        <w:t xml:space="preserve"> for </w:t>
      </w:r>
      <w:proofErr w:type="spellStart"/>
      <w:r w:rsidRPr="00834479">
        <w:rPr>
          <w:rFonts w:eastAsia="DengXian Light"/>
          <w:color w:val="000000" w:themeColor="text1"/>
        </w:rPr>
        <w:t>Atmanirbhar</w:t>
      </w:r>
      <w:proofErr w:type="spellEnd"/>
      <w:r w:rsidRPr="00834479">
        <w:rPr>
          <w:rFonts w:eastAsia="DengXian Light"/>
          <w:color w:val="000000" w:themeColor="text1"/>
        </w:rPr>
        <w:t xml:space="preserve"> Bharat. </w:t>
      </w:r>
      <w:r w:rsidRPr="00834479">
        <w:rPr>
          <w:rFonts w:eastAsia="DengXian Light"/>
          <w:i/>
          <w:iCs/>
          <w:color w:val="000000" w:themeColor="text1"/>
        </w:rPr>
        <w:t>International Journal of Management, Public Policy and Research</w:t>
      </w:r>
      <w:r w:rsidRPr="00834479">
        <w:rPr>
          <w:rFonts w:eastAsia="DengXian Light"/>
          <w:color w:val="000000" w:themeColor="text1"/>
        </w:rPr>
        <w:t>, </w:t>
      </w:r>
      <w:r w:rsidRPr="00834479">
        <w:rPr>
          <w:rFonts w:eastAsia="DengXian Light"/>
          <w:i/>
          <w:iCs/>
          <w:color w:val="000000" w:themeColor="text1"/>
        </w:rPr>
        <w:t>2</w:t>
      </w:r>
      <w:r w:rsidRPr="00834479">
        <w:rPr>
          <w:rFonts w:eastAsia="DengXian Light"/>
          <w:color w:val="000000" w:themeColor="text1"/>
        </w:rPr>
        <w:t xml:space="preserve">(1), 7-16. </w:t>
      </w:r>
      <w:hyperlink r:id="rId76" w:history="1">
        <w:r w:rsidRPr="00834479">
          <w:rPr>
            <w:rStyle w:val="Hyperlink"/>
            <w:rFonts w:eastAsia="DengXian Light"/>
          </w:rPr>
          <w:t>https://ijmpr.org/index.php/IJMPR/article/download/102/58</w:t>
        </w:r>
      </w:hyperlink>
    </w:p>
    <w:p w14:paraId="07CCB84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Sharma, </w:t>
      </w:r>
      <w:proofErr w:type="gramStart"/>
      <w:r w:rsidRPr="00834479">
        <w:rPr>
          <w:rFonts w:eastAsia="DengXian Light"/>
          <w:color w:val="000000" w:themeColor="text1"/>
          <w:lang w:val="en-IN"/>
        </w:rPr>
        <w:t>A.</w:t>
      </w:r>
      <w:proofErr w:type="gramEnd"/>
      <w:r w:rsidRPr="00834479">
        <w:rPr>
          <w:rFonts w:eastAsia="DengXian Light"/>
          <w:color w:val="000000" w:themeColor="text1"/>
          <w:lang w:val="en-IN"/>
        </w:rPr>
        <w:t xml:space="preserve"> and Gutiérrez, J.A. (2010) 'An evaluation framework for viable business models for m-commerce in the information technology sector', </w:t>
      </w:r>
      <w:r w:rsidRPr="00834479">
        <w:rPr>
          <w:rFonts w:eastAsia="DengXian Light"/>
          <w:i/>
          <w:iCs/>
          <w:color w:val="000000" w:themeColor="text1"/>
          <w:lang w:val="en-IN"/>
        </w:rPr>
        <w:t>Electronic Markets</w:t>
      </w:r>
      <w:r w:rsidRPr="00834479">
        <w:rPr>
          <w:rFonts w:eastAsia="DengXian Light"/>
          <w:color w:val="000000" w:themeColor="text1"/>
          <w:lang w:val="en-IN"/>
        </w:rPr>
        <w:t xml:space="preserve">, 20(1), pp. 33–52. Available at: </w:t>
      </w:r>
      <w:hyperlink r:id="rId77" w:history="1">
        <w:r w:rsidRPr="00834479">
          <w:rPr>
            <w:rStyle w:val="Hyperlink"/>
            <w:rFonts w:eastAsia="DengXian Light"/>
            <w:lang w:val="en-IN"/>
          </w:rPr>
          <w:t>https://doi.org/10.1007/s12525-009-0026-5</w:t>
        </w:r>
      </w:hyperlink>
    </w:p>
    <w:p w14:paraId="53C5B73C"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Singh, </w:t>
      </w:r>
      <w:proofErr w:type="gramStart"/>
      <w:r w:rsidRPr="00834479">
        <w:rPr>
          <w:rFonts w:eastAsia="DengXian Light"/>
          <w:color w:val="000000" w:themeColor="text1"/>
          <w:lang w:val="en-IN"/>
        </w:rPr>
        <w:t>N.</w:t>
      </w:r>
      <w:proofErr w:type="gramEnd"/>
      <w:r w:rsidRPr="00834479">
        <w:rPr>
          <w:rFonts w:eastAsia="DengXian Light"/>
          <w:color w:val="000000" w:themeColor="text1"/>
          <w:lang w:val="en-IN"/>
        </w:rPr>
        <w:t xml:space="preserve"> and Sinha, N. (2020) 'How perceived trust mediates merchant's intention to use a mobile wallet technology', </w:t>
      </w:r>
      <w:r w:rsidRPr="00834479">
        <w:rPr>
          <w:rFonts w:eastAsia="DengXian Light"/>
          <w:i/>
          <w:iCs/>
          <w:color w:val="000000" w:themeColor="text1"/>
          <w:lang w:val="en-IN"/>
        </w:rPr>
        <w:t>Journal of Retailing and Consumer Services</w:t>
      </w:r>
      <w:r w:rsidRPr="00834479">
        <w:rPr>
          <w:rFonts w:eastAsia="DengXian Light"/>
          <w:color w:val="000000" w:themeColor="text1"/>
          <w:lang w:val="en-IN"/>
        </w:rPr>
        <w:t xml:space="preserve">, 52, p. 101894. Available at: </w:t>
      </w:r>
      <w:hyperlink r:id="rId78" w:history="1">
        <w:r w:rsidRPr="00834479">
          <w:rPr>
            <w:rStyle w:val="Hyperlink"/>
            <w:rFonts w:eastAsia="DengXian Light"/>
            <w:lang w:val="en-IN"/>
          </w:rPr>
          <w:t>https://doi.org/10.1016/j.jretconser.2019.101894</w:t>
        </w:r>
      </w:hyperlink>
    </w:p>
    <w:p w14:paraId="63134AEB"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Smith, J.A., Flowers, </w:t>
      </w:r>
      <w:proofErr w:type="gramStart"/>
      <w:r w:rsidRPr="00834479">
        <w:rPr>
          <w:rFonts w:eastAsia="DengXian Light"/>
          <w:color w:val="000000" w:themeColor="text1"/>
          <w:lang w:val="en-IN"/>
        </w:rPr>
        <w:t>P.</w:t>
      </w:r>
      <w:proofErr w:type="gramEnd"/>
      <w:r w:rsidRPr="00834479">
        <w:rPr>
          <w:rFonts w:eastAsia="DengXian Light"/>
          <w:color w:val="000000" w:themeColor="text1"/>
          <w:lang w:val="en-IN"/>
        </w:rPr>
        <w:t xml:space="preserve"> and Larkin, M. (2009) </w:t>
      </w:r>
      <w:r w:rsidRPr="00834479">
        <w:rPr>
          <w:rFonts w:eastAsia="DengXian Light"/>
          <w:i/>
          <w:iCs/>
          <w:color w:val="000000" w:themeColor="text1"/>
          <w:lang w:val="en-IN"/>
        </w:rPr>
        <w:t xml:space="preserve">Interpretative phenomenological analysis: Theory, </w:t>
      </w:r>
      <w:proofErr w:type="gramStart"/>
      <w:r w:rsidRPr="00834479">
        <w:rPr>
          <w:rFonts w:eastAsia="DengXian Light"/>
          <w:i/>
          <w:iCs/>
          <w:color w:val="000000" w:themeColor="text1"/>
          <w:lang w:val="en-IN"/>
        </w:rPr>
        <w:t>method</w:t>
      </w:r>
      <w:proofErr w:type="gramEnd"/>
      <w:r w:rsidRPr="00834479">
        <w:rPr>
          <w:rFonts w:eastAsia="DengXian Light"/>
          <w:i/>
          <w:iCs/>
          <w:color w:val="000000" w:themeColor="text1"/>
          <w:lang w:val="en-IN"/>
        </w:rPr>
        <w:t xml:space="preserve"> and research</w:t>
      </w:r>
      <w:r w:rsidRPr="00834479">
        <w:rPr>
          <w:rFonts w:eastAsia="DengXian Light"/>
          <w:color w:val="000000" w:themeColor="text1"/>
          <w:lang w:val="en-IN"/>
        </w:rPr>
        <w:t>. London: SAGE Publications.</w:t>
      </w:r>
    </w:p>
    <w:p w14:paraId="762DF63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Vatsa, P., Ma, </w:t>
      </w:r>
      <w:proofErr w:type="gramStart"/>
      <w:r w:rsidRPr="00834479">
        <w:rPr>
          <w:rFonts w:eastAsia="DengXian Light"/>
          <w:color w:val="000000" w:themeColor="text1"/>
          <w:lang w:val="en-IN"/>
        </w:rPr>
        <w:t>W.</w:t>
      </w:r>
      <w:proofErr w:type="gramEnd"/>
      <w:r w:rsidRPr="00834479">
        <w:rPr>
          <w:rFonts w:eastAsia="DengXian Light"/>
          <w:color w:val="000000" w:themeColor="text1"/>
          <w:lang w:val="en-IN"/>
        </w:rPr>
        <w:t xml:space="preserve"> and Zheng, H. (2023) 'Mobile payment adoption in China: Do demographic and socioeconomic factors matter?', </w:t>
      </w:r>
      <w:r w:rsidRPr="00834479">
        <w:rPr>
          <w:rFonts w:eastAsia="DengXian Light"/>
          <w:i/>
          <w:iCs/>
          <w:color w:val="000000" w:themeColor="text1"/>
          <w:lang w:val="en-IN"/>
        </w:rPr>
        <w:t>Managerial and Decision Economics</w:t>
      </w:r>
      <w:r w:rsidRPr="00834479">
        <w:rPr>
          <w:rFonts w:eastAsia="DengXian Light"/>
          <w:color w:val="000000" w:themeColor="text1"/>
          <w:lang w:val="en-IN"/>
        </w:rPr>
        <w:t xml:space="preserve">, 45(3), pp. 1547–1562. Available at: </w:t>
      </w:r>
      <w:hyperlink r:id="rId79" w:history="1">
        <w:r w:rsidRPr="00834479">
          <w:rPr>
            <w:rStyle w:val="Hyperlink"/>
            <w:rFonts w:eastAsia="DengXian Light"/>
            <w:lang w:val="en-IN"/>
          </w:rPr>
          <w:t>https://doi.org/10.1002/mde.4086</w:t>
        </w:r>
      </w:hyperlink>
    </w:p>
    <w:p w14:paraId="5C4B2B1D"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Venkatesh, V., Morris, M.G., Davis, G.B. and Davis, F.D. (2003) 'User acceptance of information technology: Toward a unified view', </w:t>
      </w:r>
      <w:r w:rsidRPr="00834479">
        <w:rPr>
          <w:rFonts w:eastAsia="DengXian Light"/>
          <w:i/>
          <w:iCs/>
          <w:color w:val="000000" w:themeColor="text1"/>
          <w:lang w:val="en-IN"/>
        </w:rPr>
        <w:t>MIS Quarterly</w:t>
      </w:r>
      <w:r w:rsidRPr="00834479">
        <w:rPr>
          <w:rFonts w:eastAsia="DengXian Light"/>
          <w:color w:val="000000" w:themeColor="text1"/>
          <w:lang w:val="en-IN"/>
        </w:rPr>
        <w:t xml:space="preserve">, 27(3), pp. 425–478. Available at: </w:t>
      </w:r>
      <w:hyperlink r:id="rId80" w:history="1">
        <w:r w:rsidRPr="00834479">
          <w:rPr>
            <w:rStyle w:val="Hyperlink"/>
            <w:rFonts w:eastAsia="DengXian Light"/>
            <w:lang w:val="en-IN"/>
          </w:rPr>
          <w:t>https://doi.org/10.2307/30036540</w:t>
        </w:r>
      </w:hyperlink>
    </w:p>
    <w:p w14:paraId="4AC1EC0C"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Venkatesh, V., Thong, J.Y.L. and Xu, X. (2012) 'Consumer acceptance and use of information technology: Extending the unified theory of acceptance and use of technology', </w:t>
      </w:r>
      <w:r w:rsidRPr="00834479">
        <w:rPr>
          <w:rFonts w:eastAsia="DengXian Light"/>
          <w:i/>
          <w:iCs/>
          <w:color w:val="000000" w:themeColor="text1"/>
          <w:lang w:val="en-IN"/>
        </w:rPr>
        <w:t>MIS Quarterly</w:t>
      </w:r>
      <w:r w:rsidRPr="00834479">
        <w:rPr>
          <w:rFonts w:eastAsia="DengXian Light"/>
          <w:color w:val="000000" w:themeColor="text1"/>
          <w:lang w:val="en-IN"/>
        </w:rPr>
        <w:t xml:space="preserve">, 36(1), pp. 157–178. Available at: </w:t>
      </w:r>
      <w:hyperlink r:id="rId81" w:history="1">
        <w:r w:rsidRPr="00834479">
          <w:rPr>
            <w:rStyle w:val="Hyperlink"/>
            <w:rFonts w:eastAsia="DengXian Light"/>
            <w:lang w:val="en-IN"/>
          </w:rPr>
          <w:t>https://doi.org/10.2307/41410412</w:t>
        </w:r>
      </w:hyperlink>
    </w:p>
    <w:p w14:paraId="0C897383"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Vidani, J. (2024). A Study on the Rise and Recent Development in Unified Payments Interface. </w:t>
      </w:r>
      <w:r w:rsidRPr="00834479">
        <w:rPr>
          <w:rFonts w:eastAsia="DengXian Light"/>
          <w:i/>
          <w:iCs/>
          <w:color w:val="000000" w:themeColor="text1"/>
        </w:rPr>
        <w:t>Available at SSRN 4849785</w:t>
      </w:r>
      <w:r w:rsidRPr="00834479">
        <w:rPr>
          <w:rFonts w:eastAsia="DengXian Light"/>
          <w:color w:val="000000" w:themeColor="text1"/>
        </w:rPr>
        <w:t xml:space="preserve">. </w:t>
      </w:r>
      <w:hyperlink r:id="rId82" w:history="1">
        <w:r w:rsidRPr="00834479">
          <w:rPr>
            <w:rStyle w:val="Hyperlink"/>
            <w:rFonts w:eastAsia="DengXian Light"/>
          </w:rPr>
          <w:t>https://papers.ssrn.com/sol3/Delivery.cfm?abstractid=4849785</w:t>
        </w:r>
      </w:hyperlink>
    </w:p>
    <w:p w14:paraId="10211254"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lastRenderedPageBreak/>
        <w:t xml:space="preserve">Vishwakarma, K., Mishra, A., &amp; Shailendra, D. Adoption and Challenges of Digital Payment Systems: A Study of Consumer Perception in Urban and Rural India. </w:t>
      </w:r>
      <w:hyperlink r:id="rId83" w:history="1">
        <w:r w:rsidRPr="00834479">
          <w:rPr>
            <w:rStyle w:val="Hyperlink"/>
            <w:rFonts w:eastAsia="DengXian Light"/>
          </w:rPr>
          <w:t>http://poornaprajnapublication.com/index.php/pijmess/article/download/138/114</w:t>
        </w:r>
      </w:hyperlink>
    </w:p>
    <w:p w14:paraId="5FC8DAA9"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Vyas, Y. (2024). Exploring Consumer Behavior Towards Mobile Wallet Adoption </w:t>
      </w:r>
      <w:proofErr w:type="gramStart"/>
      <w:r w:rsidRPr="00834479">
        <w:rPr>
          <w:rFonts w:eastAsia="DengXian Light"/>
          <w:color w:val="000000" w:themeColor="text1"/>
        </w:rPr>
        <w:t>In</w:t>
      </w:r>
      <w:proofErr w:type="gramEnd"/>
      <w:r w:rsidRPr="00834479">
        <w:rPr>
          <w:rFonts w:eastAsia="DengXian Light"/>
          <w:color w:val="000000" w:themeColor="text1"/>
        </w:rPr>
        <w:t xml:space="preserve"> Rural Surat, Gujarat. </w:t>
      </w:r>
      <w:r w:rsidRPr="00834479">
        <w:rPr>
          <w:rFonts w:eastAsia="DengXian Light"/>
          <w:i/>
          <w:iCs/>
          <w:color w:val="000000" w:themeColor="text1"/>
        </w:rPr>
        <w:t>Educational Administration: Theory and Practice, 30 (1) 3912</w:t>
      </w:r>
      <w:r w:rsidRPr="00834479">
        <w:rPr>
          <w:rFonts w:eastAsia="DengXian Light"/>
          <w:color w:val="000000" w:themeColor="text1"/>
        </w:rPr>
        <w:t>, </w:t>
      </w:r>
      <w:r w:rsidRPr="00834479">
        <w:rPr>
          <w:rFonts w:eastAsia="DengXian Light"/>
          <w:i/>
          <w:iCs/>
          <w:color w:val="000000" w:themeColor="text1"/>
        </w:rPr>
        <w:t>3921</w:t>
      </w:r>
      <w:r w:rsidRPr="00834479">
        <w:rPr>
          <w:rFonts w:eastAsia="DengXian Light"/>
          <w:color w:val="000000" w:themeColor="text1"/>
        </w:rPr>
        <w:t xml:space="preserve">. </w:t>
      </w:r>
      <w:hyperlink r:id="rId84" w:history="1">
        <w:r w:rsidRPr="00834479">
          <w:rPr>
            <w:rStyle w:val="Hyperlink"/>
            <w:rFonts w:eastAsia="DengXian Light"/>
          </w:rPr>
          <w:t>https://www.researchgate.net/profile/Bhavna-Parwani/publication/384024152_Exploring_Consumer_Behavior_Towards_Mobile_Wallet_Adoption_In_Rural_Surat/links/66e52e94b1606e24c228d7c8/Exploring-Consumer-Behavior-Towards-Mobile-Wallet-Adoption-In-Rural-Surat.pdf</w:t>
        </w:r>
      </w:hyperlink>
    </w:p>
    <w:p w14:paraId="37795D70"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rPr>
        <w:t xml:space="preserve">Vyas, Y., &amp; Parwani, B. EXPLORING DIGITAL PAYMENT ADOPTION PATTERNS IN GUJARAT: A CONSUMER INSIGHTS ANALYSIS. </w:t>
      </w:r>
      <w:hyperlink r:id="rId85" w:history="1">
        <w:r w:rsidRPr="00834479">
          <w:rPr>
            <w:rStyle w:val="Hyperlink"/>
            <w:rFonts w:eastAsia="DengXian Light"/>
          </w:rPr>
          <w:t>https://www.researchgate.net/profile/Bhavna-Parwani/publication/387906798_EXPLORING_DIGITAL_PAYMENT_ADOPTION_PATTERNS_IN_GUJARAT_A_CONSUMER_Yesha_Vyas-_DR_BHAVNA_PARWANI/links/678211463e33dd0be9fb34b7/EXPLORING-DIGITAL-PAYMENT-ADOPTION-PATTERNS-IN-GUJARAT-A-CONSUMER-Yesha-Vyas-DR-BHAVNA-PARWANI.pdf</w:t>
        </w:r>
      </w:hyperlink>
    </w:p>
    <w:p w14:paraId="46025593" w14:textId="77777777" w:rsidR="00834479" w:rsidRPr="00834479" w:rsidRDefault="00834479" w:rsidP="00834479">
      <w:pPr>
        <w:keepNext/>
        <w:keepLines/>
        <w:numPr>
          <w:ilvl w:val="0"/>
          <w:numId w:val="7"/>
        </w:numPr>
        <w:spacing w:before="360" w:after="80" w:line="276" w:lineRule="auto"/>
        <w:jc w:val="both"/>
        <w:outlineLvl w:val="0"/>
        <w:rPr>
          <w:rFonts w:eastAsia="DengXian Light"/>
          <w:color w:val="000000" w:themeColor="text1"/>
          <w:lang w:val="en-IN"/>
        </w:rPr>
      </w:pPr>
      <w:r w:rsidRPr="00834479">
        <w:rPr>
          <w:rFonts w:eastAsia="DengXian Light"/>
          <w:color w:val="000000" w:themeColor="text1"/>
          <w:lang w:val="en-IN"/>
        </w:rPr>
        <w:t xml:space="preserve">Wang, Y., Jia, X., Guo, </w:t>
      </w:r>
      <w:proofErr w:type="gramStart"/>
      <w:r w:rsidRPr="00834479">
        <w:rPr>
          <w:rFonts w:eastAsia="DengXian Light"/>
          <w:color w:val="000000" w:themeColor="text1"/>
          <w:lang w:val="en-IN"/>
        </w:rPr>
        <w:t>Q.</w:t>
      </w:r>
      <w:proofErr w:type="gramEnd"/>
      <w:r w:rsidRPr="00834479">
        <w:rPr>
          <w:rFonts w:eastAsia="DengXian Light"/>
          <w:color w:val="000000" w:themeColor="text1"/>
          <w:lang w:val="en-IN"/>
        </w:rPr>
        <w:t xml:space="preserve"> and Guo, G. (2021) 'How the popularity of mobile payments reshapes the way people make purchases: Evidence from China', </w:t>
      </w:r>
      <w:r w:rsidRPr="00834479">
        <w:rPr>
          <w:rFonts w:eastAsia="DengXian Light"/>
          <w:i/>
          <w:iCs/>
          <w:color w:val="000000" w:themeColor="text1"/>
          <w:lang w:val="en-IN"/>
        </w:rPr>
        <w:t>Electronic Commerce Research and Applications</w:t>
      </w:r>
      <w:r w:rsidRPr="00834479">
        <w:rPr>
          <w:rFonts w:eastAsia="DengXian Light"/>
          <w:color w:val="000000" w:themeColor="text1"/>
          <w:lang w:val="en-IN"/>
        </w:rPr>
        <w:t xml:space="preserve">, 48, p. 101068. Available at: </w:t>
      </w:r>
      <w:hyperlink r:id="rId86" w:history="1">
        <w:r w:rsidRPr="00834479">
          <w:rPr>
            <w:rStyle w:val="Hyperlink"/>
            <w:rFonts w:eastAsia="DengXian Light"/>
            <w:lang w:val="en-IN"/>
          </w:rPr>
          <w:t>https://doi.org/10.1016/j.elerap.2021.101068</w:t>
        </w:r>
      </w:hyperlink>
    </w:p>
    <w:p w14:paraId="6299B19B" w14:textId="77777777" w:rsidR="00834479" w:rsidRPr="00834479" w:rsidRDefault="00834479" w:rsidP="00834479">
      <w:pPr>
        <w:keepNext/>
        <w:keepLines/>
        <w:spacing w:before="360" w:after="80" w:line="276" w:lineRule="auto"/>
        <w:jc w:val="both"/>
        <w:outlineLvl w:val="0"/>
        <w:rPr>
          <w:rFonts w:eastAsia="DengXian Light"/>
          <w:color w:val="000000" w:themeColor="text1"/>
          <w:lang w:val="en-IN"/>
        </w:rPr>
      </w:pPr>
    </w:p>
    <w:p w14:paraId="3D3F72E8" w14:textId="77777777" w:rsidR="00834479" w:rsidRPr="00834479" w:rsidRDefault="00834479" w:rsidP="00834479">
      <w:pPr>
        <w:keepNext/>
        <w:keepLines/>
        <w:spacing w:before="360" w:after="80" w:line="276" w:lineRule="auto"/>
        <w:jc w:val="both"/>
        <w:outlineLvl w:val="0"/>
        <w:rPr>
          <w:rFonts w:eastAsia="DengXian Light"/>
          <w:color w:val="000000" w:themeColor="text1"/>
          <w:lang w:val="en-US"/>
        </w:rPr>
      </w:pPr>
    </w:p>
    <w:p w14:paraId="462801D4" w14:textId="77777777" w:rsidR="00834479" w:rsidRPr="00834479" w:rsidRDefault="00834479" w:rsidP="00834479">
      <w:pPr>
        <w:keepNext/>
        <w:keepLines/>
        <w:spacing w:before="360" w:after="80" w:line="276" w:lineRule="auto"/>
        <w:jc w:val="both"/>
        <w:outlineLvl w:val="0"/>
        <w:rPr>
          <w:rFonts w:eastAsia="DengXian Light"/>
          <w:color w:val="000000" w:themeColor="text1"/>
        </w:rPr>
      </w:pPr>
    </w:p>
    <w:p w14:paraId="30FEAA19" w14:textId="5214BD85" w:rsidR="00BF42E7" w:rsidRPr="00936EBE" w:rsidRDefault="00BF42E7" w:rsidP="00834479">
      <w:pPr>
        <w:keepNext/>
        <w:keepLines/>
        <w:spacing w:before="360" w:after="80" w:line="276" w:lineRule="auto"/>
        <w:jc w:val="both"/>
        <w:outlineLvl w:val="0"/>
      </w:pPr>
    </w:p>
    <w:sectPr w:rsidR="00BF42E7" w:rsidRPr="00936EBE">
      <w:headerReference w:type="even" r:id="rId87"/>
      <w:headerReference w:type="default" r:id="rId88"/>
      <w:footerReference w:type="even" r:id="rId89"/>
      <w:footerReference w:type="default" r:id="rId90"/>
      <w:headerReference w:type="first" r:id="rId91"/>
      <w:footerReference w:type="first" r:id="rId9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FB6D18" w14:textId="77777777" w:rsidR="001C045F" w:rsidRDefault="001C045F" w:rsidP="001C045F">
      <w:pPr>
        <w:spacing w:after="0" w:line="240" w:lineRule="auto"/>
      </w:pPr>
      <w:r>
        <w:separator/>
      </w:r>
    </w:p>
  </w:endnote>
  <w:endnote w:type="continuationSeparator" w:id="0">
    <w:p w14:paraId="1167BCB5" w14:textId="77777777" w:rsidR="001C045F" w:rsidRDefault="001C045F" w:rsidP="001C0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7581E" w14:textId="77777777" w:rsidR="001C045F" w:rsidRDefault="001C04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907C9" w14:textId="77777777" w:rsidR="001C045F" w:rsidRDefault="001C04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2D9E7" w14:textId="77777777" w:rsidR="001C045F" w:rsidRDefault="001C0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869CC" w14:textId="77777777" w:rsidR="001C045F" w:rsidRDefault="001C045F" w:rsidP="001C045F">
      <w:pPr>
        <w:spacing w:after="0" w:line="240" w:lineRule="auto"/>
      </w:pPr>
      <w:r>
        <w:separator/>
      </w:r>
    </w:p>
  </w:footnote>
  <w:footnote w:type="continuationSeparator" w:id="0">
    <w:p w14:paraId="27F4BC83" w14:textId="77777777" w:rsidR="001C045F" w:rsidRDefault="001C045F" w:rsidP="001C04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F7C32" w14:textId="77777777" w:rsidR="001C045F" w:rsidRDefault="001C04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9A78B1" w14:textId="77777777" w:rsidR="001C045F" w:rsidRDefault="001C04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FDAF6" w14:textId="77777777" w:rsidR="001C045F" w:rsidRDefault="001C04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910C5"/>
    <w:multiLevelType w:val="multilevel"/>
    <w:tmpl w:val="EF726EF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0842A8A"/>
    <w:multiLevelType w:val="multilevel"/>
    <w:tmpl w:val="46688EE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3111196B"/>
    <w:multiLevelType w:val="multilevel"/>
    <w:tmpl w:val="B6A4205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54BA26AB"/>
    <w:multiLevelType w:val="hybridMultilevel"/>
    <w:tmpl w:val="6680D788"/>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4" w15:restartNumberingAfterBreak="0">
    <w:nsid w:val="567C1E5F"/>
    <w:multiLevelType w:val="hybridMultilevel"/>
    <w:tmpl w:val="A13276CA"/>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5" w15:restartNumberingAfterBreak="0">
    <w:nsid w:val="75F760D0"/>
    <w:multiLevelType w:val="multilevel"/>
    <w:tmpl w:val="E0A24BCA"/>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667594047">
    <w:abstractNumId w:val="5"/>
  </w:num>
  <w:num w:numId="2" w16cid:durableId="1686594163">
    <w:abstractNumId w:val="1"/>
  </w:num>
  <w:num w:numId="3" w16cid:durableId="101306655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68705331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39033581">
    <w:abstractNumId w:val="3"/>
  </w:num>
  <w:num w:numId="6" w16cid:durableId="2095515405">
    <w:abstractNumId w:val="3"/>
  </w:num>
  <w:num w:numId="7" w16cid:durableId="81815443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60B"/>
    <w:rsid w:val="0003720D"/>
    <w:rsid w:val="000468FD"/>
    <w:rsid w:val="000B20F5"/>
    <w:rsid w:val="000B6FD5"/>
    <w:rsid w:val="000D3E15"/>
    <w:rsid w:val="00101CE8"/>
    <w:rsid w:val="00123B88"/>
    <w:rsid w:val="001330AE"/>
    <w:rsid w:val="00190911"/>
    <w:rsid w:val="001C045F"/>
    <w:rsid w:val="001D560C"/>
    <w:rsid w:val="00200493"/>
    <w:rsid w:val="002319B8"/>
    <w:rsid w:val="0024603F"/>
    <w:rsid w:val="002533FF"/>
    <w:rsid w:val="0028664D"/>
    <w:rsid w:val="0029093A"/>
    <w:rsid w:val="002A49C1"/>
    <w:rsid w:val="002A699B"/>
    <w:rsid w:val="00310004"/>
    <w:rsid w:val="003775F0"/>
    <w:rsid w:val="003827F1"/>
    <w:rsid w:val="003921C6"/>
    <w:rsid w:val="003B2D58"/>
    <w:rsid w:val="003D216E"/>
    <w:rsid w:val="003D5494"/>
    <w:rsid w:val="003F4225"/>
    <w:rsid w:val="00415289"/>
    <w:rsid w:val="0044675D"/>
    <w:rsid w:val="0045160B"/>
    <w:rsid w:val="00461854"/>
    <w:rsid w:val="00493D45"/>
    <w:rsid w:val="004A7120"/>
    <w:rsid w:val="004B7D4E"/>
    <w:rsid w:val="004D047E"/>
    <w:rsid w:val="00512697"/>
    <w:rsid w:val="00524CCF"/>
    <w:rsid w:val="00530F7D"/>
    <w:rsid w:val="00543C43"/>
    <w:rsid w:val="00597D28"/>
    <w:rsid w:val="005C0B66"/>
    <w:rsid w:val="005E38E5"/>
    <w:rsid w:val="005F07AB"/>
    <w:rsid w:val="006079FA"/>
    <w:rsid w:val="006103B5"/>
    <w:rsid w:val="00626711"/>
    <w:rsid w:val="006311EF"/>
    <w:rsid w:val="006A5B2C"/>
    <w:rsid w:val="006C51A2"/>
    <w:rsid w:val="006F38B4"/>
    <w:rsid w:val="00735123"/>
    <w:rsid w:val="00772F92"/>
    <w:rsid w:val="007B3B48"/>
    <w:rsid w:val="007D5B43"/>
    <w:rsid w:val="007E76CC"/>
    <w:rsid w:val="00805A72"/>
    <w:rsid w:val="00831E80"/>
    <w:rsid w:val="00834479"/>
    <w:rsid w:val="00837789"/>
    <w:rsid w:val="00856CD7"/>
    <w:rsid w:val="00865ABF"/>
    <w:rsid w:val="00876B5D"/>
    <w:rsid w:val="008B4E79"/>
    <w:rsid w:val="008C23B7"/>
    <w:rsid w:val="008D59FA"/>
    <w:rsid w:val="008E1B08"/>
    <w:rsid w:val="008F151E"/>
    <w:rsid w:val="00902345"/>
    <w:rsid w:val="0091712D"/>
    <w:rsid w:val="00930103"/>
    <w:rsid w:val="00936D12"/>
    <w:rsid w:val="00936EBE"/>
    <w:rsid w:val="00945684"/>
    <w:rsid w:val="00971877"/>
    <w:rsid w:val="0098141C"/>
    <w:rsid w:val="009842A7"/>
    <w:rsid w:val="009950EC"/>
    <w:rsid w:val="009A218B"/>
    <w:rsid w:val="009C237B"/>
    <w:rsid w:val="00A13C88"/>
    <w:rsid w:val="00A23AF5"/>
    <w:rsid w:val="00A561AC"/>
    <w:rsid w:val="00A72364"/>
    <w:rsid w:val="00AA1CFB"/>
    <w:rsid w:val="00AC3BEF"/>
    <w:rsid w:val="00AE0F80"/>
    <w:rsid w:val="00AE5092"/>
    <w:rsid w:val="00B97545"/>
    <w:rsid w:val="00BC3C22"/>
    <w:rsid w:val="00BD3686"/>
    <w:rsid w:val="00BE71E8"/>
    <w:rsid w:val="00BF42E7"/>
    <w:rsid w:val="00BF6855"/>
    <w:rsid w:val="00C21F0B"/>
    <w:rsid w:val="00C45B36"/>
    <w:rsid w:val="00C65311"/>
    <w:rsid w:val="00CC23B7"/>
    <w:rsid w:val="00CD018A"/>
    <w:rsid w:val="00DA7DEC"/>
    <w:rsid w:val="00DC17CD"/>
    <w:rsid w:val="00E31BC9"/>
    <w:rsid w:val="00E408CC"/>
    <w:rsid w:val="00E42237"/>
    <w:rsid w:val="00EA37B5"/>
    <w:rsid w:val="00EC40E2"/>
    <w:rsid w:val="00ED4BDB"/>
    <w:rsid w:val="00EF6429"/>
    <w:rsid w:val="00F012F8"/>
    <w:rsid w:val="00F0619D"/>
    <w:rsid w:val="00F20857"/>
    <w:rsid w:val="00F274E3"/>
    <w:rsid w:val="00F50F4B"/>
    <w:rsid w:val="00F56E3C"/>
    <w:rsid w:val="00F60589"/>
    <w:rsid w:val="00F84279"/>
    <w:rsid w:val="00F9103E"/>
    <w:rsid w:val="00FA57F3"/>
    <w:rsid w:val="00FD72C1"/>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F3B48"/>
  <w15:chartTrackingRefBased/>
  <w15:docId w15:val="{BE6851C1-528B-4A46-A39B-157055BD3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60B"/>
    <w:rPr>
      <w:rFonts w:ascii="Calibri" w:eastAsia="Calibri" w:hAnsi="Calibri" w:cs="Calibri"/>
      <w:kern w:val="0"/>
      <w:lang w:val="en" w:eastAsia="en-IN"/>
      <w14:ligatures w14:val="none"/>
    </w:rPr>
  </w:style>
  <w:style w:type="paragraph" w:styleId="Heading1">
    <w:name w:val="heading 1"/>
    <w:basedOn w:val="Normal"/>
    <w:next w:val="Normal"/>
    <w:link w:val="Heading1Char"/>
    <w:uiPriority w:val="9"/>
    <w:qFormat/>
    <w:rsid w:val="0045160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5160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5160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160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160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16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16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16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16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60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516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5160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160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160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16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16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16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160B"/>
    <w:rPr>
      <w:rFonts w:eastAsiaTheme="majorEastAsia" w:cstheme="majorBidi"/>
      <w:color w:val="272727" w:themeColor="text1" w:themeTint="D8"/>
    </w:rPr>
  </w:style>
  <w:style w:type="paragraph" w:styleId="Title">
    <w:name w:val="Title"/>
    <w:basedOn w:val="Normal"/>
    <w:next w:val="Normal"/>
    <w:link w:val="TitleChar"/>
    <w:uiPriority w:val="10"/>
    <w:qFormat/>
    <w:rsid w:val="004516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16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16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16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160B"/>
    <w:pPr>
      <w:spacing w:before="160"/>
      <w:jc w:val="center"/>
    </w:pPr>
    <w:rPr>
      <w:i/>
      <w:iCs/>
      <w:color w:val="404040" w:themeColor="text1" w:themeTint="BF"/>
    </w:rPr>
  </w:style>
  <w:style w:type="character" w:customStyle="1" w:styleId="QuoteChar">
    <w:name w:val="Quote Char"/>
    <w:basedOn w:val="DefaultParagraphFont"/>
    <w:link w:val="Quote"/>
    <w:uiPriority w:val="29"/>
    <w:rsid w:val="0045160B"/>
    <w:rPr>
      <w:i/>
      <w:iCs/>
      <w:color w:val="404040" w:themeColor="text1" w:themeTint="BF"/>
    </w:rPr>
  </w:style>
  <w:style w:type="paragraph" w:styleId="ListParagraph">
    <w:name w:val="List Paragraph"/>
    <w:basedOn w:val="Normal"/>
    <w:uiPriority w:val="34"/>
    <w:qFormat/>
    <w:rsid w:val="0045160B"/>
    <w:pPr>
      <w:ind w:left="720"/>
      <w:contextualSpacing/>
    </w:pPr>
  </w:style>
  <w:style w:type="character" w:styleId="IntenseEmphasis">
    <w:name w:val="Intense Emphasis"/>
    <w:basedOn w:val="DefaultParagraphFont"/>
    <w:uiPriority w:val="21"/>
    <w:qFormat/>
    <w:rsid w:val="0045160B"/>
    <w:rPr>
      <w:i/>
      <w:iCs/>
      <w:color w:val="2F5496" w:themeColor="accent1" w:themeShade="BF"/>
    </w:rPr>
  </w:style>
  <w:style w:type="paragraph" w:styleId="IntenseQuote">
    <w:name w:val="Intense Quote"/>
    <w:basedOn w:val="Normal"/>
    <w:next w:val="Normal"/>
    <w:link w:val="IntenseQuoteChar"/>
    <w:uiPriority w:val="30"/>
    <w:qFormat/>
    <w:rsid w:val="004516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160B"/>
    <w:rPr>
      <w:i/>
      <w:iCs/>
      <w:color w:val="2F5496" w:themeColor="accent1" w:themeShade="BF"/>
    </w:rPr>
  </w:style>
  <w:style w:type="character" w:styleId="IntenseReference">
    <w:name w:val="Intense Reference"/>
    <w:basedOn w:val="DefaultParagraphFont"/>
    <w:uiPriority w:val="32"/>
    <w:qFormat/>
    <w:rsid w:val="0045160B"/>
    <w:rPr>
      <w:b/>
      <w:bCs/>
      <w:smallCaps/>
      <w:color w:val="2F5496" w:themeColor="accent1" w:themeShade="BF"/>
      <w:spacing w:val="5"/>
    </w:rPr>
  </w:style>
  <w:style w:type="table" w:styleId="TableGrid">
    <w:name w:val="Table Grid"/>
    <w:basedOn w:val="TableNormal"/>
    <w:uiPriority w:val="39"/>
    <w:rsid w:val="00AC3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3BEF"/>
    <w:rPr>
      <w:color w:val="0563C1" w:themeColor="hyperlink"/>
      <w:u w:val="single"/>
    </w:rPr>
  </w:style>
  <w:style w:type="character" w:styleId="UnresolvedMention">
    <w:name w:val="Unresolved Mention"/>
    <w:basedOn w:val="DefaultParagraphFont"/>
    <w:uiPriority w:val="99"/>
    <w:semiHidden/>
    <w:unhideWhenUsed/>
    <w:rsid w:val="00AC3BEF"/>
    <w:rPr>
      <w:color w:val="605E5C"/>
      <w:shd w:val="clear" w:color="auto" w:fill="E1DFDD"/>
    </w:rPr>
  </w:style>
  <w:style w:type="paragraph" w:styleId="TOCHeading">
    <w:name w:val="TOC Heading"/>
    <w:basedOn w:val="Heading1"/>
    <w:next w:val="Normal"/>
    <w:uiPriority w:val="39"/>
    <w:unhideWhenUsed/>
    <w:qFormat/>
    <w:rsid w:val="006103B5"/>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6103B5"/>
    <w:pPr>
      <w:spacing w:after="100" w:line="259" w:lineRule="auto"/>
      <w:ind w:left="220"/>
    </w:pPr>
    <w:rPr>
      <w:rFonts w:asciiTheme="minorHAnsi" w:eastAsiaTheme="minorEastAsia" w:hAnsiTheme="minorHAnsi" w:cs="Times New Roman"/>
      <w:sz w:val="22"/>
      <w:szCs w:val="22"/>
      <w:lang w:val="en-US" w:eastAsia="en-US"/>
    </w:rPr>
  </w:style>
  <w:style w:type="paragraph" w:styleId="TOC1">
    <w:name w:val="toc 1"/>
    <w:basedOn w:val="Normal"/>
    <w:next w:val="Normal"/>
    <w:autoRedefine/>
    <w:uiPriority w:val="39"/>
    <w:unhideWhenUsed/>
    <w:rsid w:val="006103B5"/>
    <w:pPr>
      <w:spacing w:after="100" w:line="259" w:lineRule="auto"/>
    </w:pPr>
    <w:rPr>
      <w:rFonts w:asciiTheme="minorHAnsi" w:eastAsiaTheme="minorEastAsia" w:hAnsiTheme="minorHAnsi" w:cs="Times New Roman"/>
      <w:sz w:val="22"/>
      <w:szCs w:val="22"/>
      <w:lang w:val="en-US" w:eastAsia="en-US"/>
    </w:rPr>
  </w:style>
  <w:style w:type="table" w:customStyle="1" w:styleId="TableGrid1">
    <w:name w:val="Table Grid1"/>
    <w:basedOn w:val="TableNormal"/>
    <w:next w:val="TableGrid"/>
    <w:uiPriority w:val="39"/>
    <w:rsid w:val="00BE71E8"/>
    <w:pPr>
      <w:spacing w:after="0" w:line="240" w:lineRule="auto"/>
    </w:pPr>
    <w:rPr>
      <w:rFonts w:ascii="Calibri" w:eastAsia="Calibri" w:hAnsi="Calibri" w:cs="Shrut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36EBE"/>
    <w:pPr>
      <w:spacing w:after="0" w:line="240" w:lineRule="auto"/>
    </w:pPr>
    <w:rPr>
      <w:rFonts w:ascii="Calibri" w:eastAsia="Calibri" w:hAnsi="Calibri" w:cs="Shrut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04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045F"/>
    <w:rPr>
      <w:rFonts w:ascii="Calibri" w:eastAsia="Calibri" w:hAnsi="Calibri" w:cs="Calibri"/>
      <w:kern w:val="0"/>
      <w:lang w:val="en" w:eastAsia="en-IN"/>
      <w14:ligatures w14:val="none"/>
    </w:rPr>
  </w:style>
  <w:style w:type="paragraph" w:styleId="Footer">
    <w:name w:val="footer"/>
    <w:basedOn w:val="Normal"/>
    <w:link w:val="FooterChar"/>
    <w:uiPriority w:val="99"/>
    <w:unhideWhenUsed/>
    <w:rsid w:val="001C04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045F"/>
    <w:rPr>
      <w:rFonts w:ascii="Calibri" w:eastAsia="Calibri" w:hAnsi="Calibri" w:cs="Calibri"/>
      <w:kern w:val="0"/>
      <w:lang w:val="e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ahip\Downloads\Updated%20PANKTI%20(1)%20(1).docx" TargetMode="External"/><Relationship Id="rId18" Type="http://schemas.openxmlformats.org/officeDocument/2006/relationships/hyperlink" Target="file:///C:\Users\mahip\Downloads\Updated%20PANKTI%20(1)%20(1).docx" TargetMode="External"/><Relationship Id="rId26" Type="http://schemas.openxmlformats.org/officeDocument/2006/relationships/hyperlink" Target="file:///C:\Users\mahip\Downloads\Updated%20PANKTI%20(1)%20(1).docx" TargetMode="External"/><Relationship Id="rId39" Type="http://schemas.openxmlformats.org/officeDocument/2006/relationships/hyperlink" Target="https://books.google.com/books?hl=en&amp;lr=&amp;id=UDOEEQAAQBAJ&amp;oi=fnd&amp;pg=PA42&amp;dq=QR+Code+Payment+Adoption+in+Rural+Gujarat&amp;ots=-N9s9u_r0_&amp;sig=eSReqMKzHGN_NL_vC3HiCb3I2pQ" TargetMode="External"/><Relationship Id="rId21" Type="http://schemas.openxmlformats.org/officeDocument/2006/relationships/hyperlink" Target="file:///C:\Users\mahip\Downloads\Updated%20PANKTI%20(1)%20(1).docx" TargetMode="External"/><Relationship Id="rId34" Type="http://schemas.openxmlformats.org/officeDocument/2006/relationships/hyperlink" Target="file:///C:\Users\mahip\Downloads\Updated%20PANKTI%20(1)%20(1).docx" TargetMode="External"/><Relationship Id="rId42" Type="http://schemas.openxmlformats.org/officeDocument/2006/relationships/hyperlink" Target="https://utoronto.scholaris.ca/bitstreams/6f86149d-f7bf-4a40-9a11-934734c1b7fc/download" TargetMode="External"/><Relationship Id="rId47" Type="http://schemas.openxmlformats.org/officeDocument/2006/relationships/hyperlink" Target="https://publicationsdrdo.in/index.php/djlit/article/download/20943/8705" TargetMode="External"/><Relationship Id="rId50" Type="http://schemas.openxmlformats.org/officeDocument/2006/relationships/hyperlink" Target="https://www.emerald.com/igdr/article-pdf/16/3/230/1320623/igdr-12-2022-0144.pdf" TargetMode="External"/><Relationship Id="rId55" Type="http://schemas.openxmlformats.org/officeDocument/2006/relationships/hyperlink" Target="https://doi.org/10.1080/01411920902989227" TargetMode="External"/><Relationship Id="rId63" Type="http://schemas.openxmlformats.org/officeDocument/2006/relationships/hyperlink" Target="https://www.researchgate.net/profile/Devang-Majithiya-3/publication/396652723_Digital_Solutions_for_Seamless_Multimodal_Transport_in_Kachchh_Challenges_and_Opportunities/links/68f3d7067d9a4d4e870ac03b/Digital-Solutions-for-Seamless-Multimodal-Transport-in-Kachchh-Challenges-and-Opportunities.pdf" TargetMode="External"/><Relationship Id="rId68" Type="http://schemas.openxmlformats.org/officeDocument/2006/relationships/hyperlink" Target="https://doi.org/10.1007/978-3-030-24374-6_5" TargetMode="External"/><Relationship Id="rId76" Type="http://schemas.openxmlformats.org/officeDocument/2006/relationships/hyperlink" Target="https://ijmpr.org/index.php/IJMPR/article/download/102/58" TargetMode="External"/><Relationship Id="rId84" Type="http://schemas.openxmlformats.org/officeDocument/2006/relationships/hyperlink" Target="https://www.researchgate.net/profile/Bhavna-Parwani/publication/384024152_Exploring_Consumer_Behavior_Towards_Mobile_Wallet_Adoption_In_Rural_Surat/links/66e52e94b1606e24c228d7c8/Exploring-Consumer-Behavior-Towards-Mobile-Wallet-Adoption-In-Rural-Surat.pdf" TargetMode="External"/><Relationship Id="rId89"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1108/JIBR-01-2019-0029" TargetMode="External"/><Relationship Id="rId9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file:///C:\Users\mahip\Downloads\Updated%20PANKTI%20(1)%20(1).docx" TargetMode="External"/><Relationship Id="rId29" Type="http://schemas.openxmlformats.org/officeDocument/2006/relationships/hyperlink" Target="file:///C:\Users\mahip\Downloads\Updated%20PANKTI%20(1)%20(1).docx" TargetMode="External"/><Relationship Id="rId11" Type="http://schemas.openxmlformats.org/officeDocument/2006/relationships/hyperlink" Target="file:///C:\Users\mahip\Downloads\Updated%20PANKTI%20(1)%20(1).docx" TargetMode="External"/><Relationship Id="rId24" Type="http://schemas.openxmlformats.org/officeDocument/2006/relationships/hyperlink" Target="file:///C:\Users\mahip\Downloads\Updated%20PANKTI%20(1)%20(1).docx" TargetMode="External"/><Relationship Id="rId32" Type="http://schemas.openxmlformats.org/officeDocument/2006/relationships/hyperlink" Target="file:///C:\Users\mahip\Downloads\Updated%20PANKTI%20(1)%20(1).docx" TargetMode="External"/><Relationship Id="rId37" Type="http://schemas.openxmlformats.org/officeDocument/2006/relationships/hyperlink" Target="file:///C:\Users\mahip\Downloads\Updated%20PANKTI%20(1)%20(1).docx" TargetMode="External"/><Relationship Id="rId40" Type="http://schemas.openxmlformats.org/officeDocument/2006/relationships/hyperlink" Target="http://www.nilanjanbanik.in/artical/Research-Paper-journal-of-emerging-market-finance.pdf" TargetMode="External"/><Relationship Id="rId45" Type="http://schemas.openxmlformats.org/officeDocument/2006/relationships/hyperlink" Target="https://doi.org/10.1287/mnsc.35.8.982" TargetMode="External"/><Relationship Id="rId53" Type="http://schemas.openxmlformats.org/officeDocument/2006/relationships/hyperlink" Target="https://doi.org/10.2307/30036519" TargetMode="External"/><Relationship Id="rId58" Type="http://schemas.openxmlformats.org/officeDocument/2006/relationships/hyperlink" Target="https://doi.org/10.4236/tel.2024.143052" TargetMode="External"/><Relationship Id="rId66" Type="http://schemas.openxmlformats.org/officeDocument/2006/relationships/hyperlink" Target="https://www.emerald.com/jstpm/article-pdf/15/6/1709/9466962/jstpm-03-2023-0035.pdf" TargetMode="External"/><Relationship Id="rId74" Type="http://schemas.openxmlformats.org/officeDocument/2006/relationships/hyperlink" Target="https://doi.org/10.1016/j.technovation.2020.102155" TargetMode="External"/><Relationship Id="rId79" Type="http://schemas.openxmlformats.org/officeDocument/2006/relationships/hyperlink" Target="https://doi.org/10.1002/mde.4086" TargetMode="External"/><Relationship Id="rId87"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www.taylorfrancis.com/chapters/edit/10.1201/9781003606185-139/exploring-factors-affecting-adoption-upi-among-generation-special-reference-rajkot-city-jeet-madhani-janvi-savjani-alankar-trivedi-kuldeep-jobanputra" TargetMode="External"/><Relationship Id="rId82" Type="http://schemas.openxmlformats.org/officeDocument/2006/relationships/hyperlink" Target="https://papers.ssrn.com/sol3/Delivery.cfm?abstractid=4849785" TargetMode="External"/><Relationship Id="rId90" Type="http://schemas.openxmlformats.org/officeDocument/2006/relationships/footer" Target="footer2.xml"/><Relationship Id="rId19" Type="http://schemas.openxmlformats.org/officeDocument/2006/relationships/hyperlink" Target="file:///C:\Users\mahip\Downloads\Updated%20PANKTI%20(1)%20(1).docx" TargetMode="External"/><Relationship Id="rId14" Type="http://schemas.openxmlformats.org/officeDocument/2006/relationships/hyperlink" Target="file:///C:\Users\mahip\Downloads\Updated%20PANKTI%20(1)%20(1).docx" TargetMode="External"/><Relationship Id="rId22" Type="http://schemas.openxmlformats.org/officeDocument/2006/relationships/hyperlink" Target="file:///C:\Users\mahip\Downloads\Updated%20PANKTI%20(1)%20(1).docx" TargetMode="External"/><Relationship Id="rId27" Type="http://schemas.openxmlformats.org/officeDocument/2006/relationships/hyperlink" Target="file:///C:\Users\mahip\Downloads\Updated%20PANKTI%20(1)%20(1).docx" TargetMode="External"/><Relationship Id="rId30" Type="http://schemas.openxmlformats.org/officeDocument/2006/relationships/hyperlink" Target="file:///C:\Users\mahip\Downloads\Updated%20PANKTI%20(1)%20(1).docx" TargetMode="External"/><Relationship Id="rId35" Type="http://schemas.openxmlformats.org/officeDocument/2006/relationships/hyperlink" Target="file:///C:\Users\mahip\Downloads\Updated%20PANKTI%20(1)%20(1).docx" TargetMode="External"/><Relationship Id="rId43" Type="http://schemas.openxmlformats.org/officeDocument/2006/relationships/hyperlink" Target="https://doi.org/10.1108/IJBM-06-2021-0283" TargetMode="External"/><Relationship Id="rId48" Type="http://schemas.openxmlformats.org/officeDocument/2006/relationships/hyperlink" Target="https://nepjol.info/index.php/nprcjmr/article/download/73040/55830" TargetMode="External"/><Relationship Id="rId56" Type="http://schemas.openxmlformats.org/officeDocument/2006/relationships/hyperlink" Target="https://ejournal.bumipublikasinusantara.id/index.php/ajcse/article/viewFile/152/148" TargetMode="External"/><Relationship Id="rId64" Type="http://schemas.openxmlformats.org/officeDocument/2006/relationships/hyperlink" Target="https://dmimultitechpublisher.my.id/index.php/ijefbs/article/download/197/241" TargetMode="External"/><Relationship Id="rId69" Type="http://schemas.openxmlformats.org/officeDocument/2006/relationships/hyperlink" Target="https://doi.org/10.1108/10748120110424816" TargetMode="External"/><Relationship Id="rId77" Type="http://schemas.openxmlformats.org/officeDocument/2006/relationships/hyperlink" Target="https://doi.org/10.1007/s12525-009-0026-5" TargetMode="External"/><Relationship Id="rId8" Type="http://schemas.openxmlformats.org/officeDocument/2006/relationships/image" Target="media/image1.jpeg"/><Relationship Id="rId51" Type="http://schemas.openxmlformats.org/officeDocument/2006/relationships/hyperlink" Target="https://doi.org/10.1007/s10796-017-9774-y" TargetMode="External"/><Relationship Id="rId72" Type="http://schemas.openxmlformats.org/officeDocument/2006/relationships/hyperlink" Target="https://pdfs.semanticscholar.org/e74e/d8341841cd47a3377adab2c042626464cbe4.pdf" TargetMode="External"/><Relationship Id="rId80" Type="http://schemas.openxmlformats.org/officeDocument/2006/relationships/hyperlink" Target="https://doi.org/10.2307/30036540" TargetMode="External"/><Relationship Id="rId85" Type="http://schemas.openxmlformats.org/officeDocument/2006/relationships/hyperlink" Target="https://www.researchgate.net/profile/Bhavna-Parwani/publication/387906798_EXPLORING_DIGITAL_PAYMENT_ADOPTION_PATTERNS_IN_GUJARAT_A_CONSUMER_Yesha_Vyas-_DR_BHAVNA_PARWANI/links/678211463e33dd0be9fb34b7/EXPLORING-DIGITAL-PAYMENT-ADOPTION-PATTERNS-IN-GUJARAT-A-CONSUMER-Yesha-Vyas-DR-BHAVNA-PARWANI.pdf"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C:\Users\mahip\Downloads\Updated%20PANKTI%20(1)%20(1).docx" TargetMode="External"/><Relationship Id="rId17" Type="http://schemas.openxmlformats.org/officeDocument/2006/relationships/hyperlink" Target="file:///C:\Users\mahip\Downloads\Updated%20PANKTI%20(1)%20(1).docx" TargetMode="External"/><Relationship Id="rId25" Type="http://schemas.openxmlformats.org/officeDocument/2006/relationships/hyperlink" Target="file:///C:\Users\mahip\Downloads\Updated%20PANKTI%20(1)%20(1).docx" TargetMode="External"/><Relationship Id="rId33" Type="http://schemas.openxmlformats.org/officeDocument/2006/relationships/hyperlink" Target="file:///C:\Users\mahip\Downloads\Updated%20PANKTI%20(1)%20(1).docx" TargetMode="External"/><Relationship Id="rId38" Type="http://schemas.openxmlformats.org/officeDocument/2006/relationships/image" Target="media/image2.png"/><Relationship Id="rId46" Type="http://schemas.openxmlformats.org/officeDocument/2006/relationships/hyperlink" Target="https://www.researchgate.net/profile/Dr-Dei/publication/399881980_The_evolution_of_digital_payments_Examining_user_preferences_for_UPI_apps/links/696e3a0321a46d6f7023859b/The-evolution-of-digital-payments-Examining-user-preferences-for-UPI-apps.pdf" TargetMode="External"/><Relationship Id="rId59" Type="http://schemas.openxmlformats.org/officeDocument/2006/relationships/hyperlink" Target="https://cosmorsij.com/published/CRSIJ25000029.pdf" TargetMode="External"/><Relationship Id="rId67" Type="http://schemas.openxmlformats.org/officeDocument/2006/relationships/hyperlink" Target="https://books.google.com/books?hl=en&amp;lr=&amp;id=x-VhEQAAQBAJ&amp;oi=fnd&amp;pg=PA468&amp;dq=QR+Code+Payment+Adoption+in+Rural+Gujarat&amp;ots=LX2wk1HUoW&amp;sig=za0knm6kT-athRebxzEquYvyrfI" TargetMode="External"/><Relationship Id="rId20" Type="http://schemas.openxmlformats.org/officeDocument/2006/relationships/hyperlink" Target="file:///C:\Users\mahip\Downloads\Updated%20PANKTI%20(1)%20(1).docx" TargetMode="External"/><Relationship Id="rId41" Type="http://schemas.openxmlformats.org/officeDocument/2006/relationships/hyperlink" Target="https://www.taylorfrancis.com/chapters/edit/10.1201/9781003606185-154/awareness-usage-digital-payment-modes-among-people-rajkot-city-dhara-bhalodia-chintan-rajani-sahil-shah" TargetMode="External"/><Relationship Id="rId54" Type="http://schemas.openxmlformats.org/officeDocument/2006/relationships/hyperlink" Target="https://www.cgdev.org/sites/default/files/can-digital-g2p-transfers-drive-financial-inclusion-and-digital-payments-evidence-india.pdf" TargetMode="External"/><Relationship Id="rId62" Type="http://schemas.openxmlformats.org/officeDocument/2006/relationships/hyperlink" Target="http://poornaprajnapublication.com/index.php/pijmess/article/download/138/114" TargetMode="External"/><Relationship Id="rId70" Type="http://schemas.openxmlformats.org/officeDocument/2006/relationships/hyperlink" Target="https://doi.org/10.1108/BIJ-01-2016-0009" TargetMode="External"/><Relationship Id="rId75" Type="http://schemas.openxmlformats.org/officeDocument/2006/relationships/hyperlink" Target="https://aims-international.org/aims20/20aproceedings/PDF/A2505-Final.pdf" TargetMode="External"/><Relationship Id="rId83" Type="http://schemas.openxmlformats.org/officeDocument/2006/relationships/hyperlink" Target="http://poornaprajnapublication.com/index.php/pijmess/article/download/138/114" TargetMode="External"/><Relationship Id="rId88" Type="http://schemas.openxmlformats.org/officeDocument/2006/relationships/header" Target="header2.xml"/><Relationship Id="rId9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mahip\Downloads\Updated%20PANKTI%20(1)%20(1).docx" TargetMode="External"/><Relationship Id="rId23" Type="http://schemas.openxmlformats.org/officeDocument/2006/relationships/hyperlink" Target="file:///C:\Users\mahip\Downloads\Updated%20PANKTI%20(1)%20(1).docx" TargetMode="External"/><Relationship Id="rId28" Type="http://schemas.openxmlformats.org/officeDocument/2006/relationships/hyperlink" Target="file:///C:\Users\mahip\Downloads\Updated%20PANKTI%20(1)%20(1).docx" TargetMode="External"/><Relationship Id="rId36" Type="http://schemas.openxmlformats.org/officeDocument/2006/relationships/hyperlink" Target="file:///C:\Users\mahip\Downloads\Updated%20PANKTI%20(1)%20(1).docx" TargetMode="External"/><Relationship Id="rId49" Type="http://schemas.openxmlformats.org/officeDocument/2006/relationships/hyperlink" Target="https://doi.org/10.1016/j.jrurstud.2021.01.001" TargetMode="External"/><Relationship Id="rId57" Type="http://schemas.openxmlformats.org/officeDocument/2006/relationships/hyperlink" Target="https://papers.ssrn.com/sol3/Delivery.cfm?abstractid=5353745" TargetMode="External"/><Relationship Id="rId10" Type="http://schemas.openxmlformats.org/officeDocument/2006/relationships/hyperlink" Target="file:///C:\Users\mahip\Downloads\Updated%20PANKTI%20(1)%20(1).docx" TargetMode="External"/><Relationship Id="rId31" Type="http://schemas.openxmlformats.org/officeDocument/2006/relationships/hyperlink" Target="file:///C:\Users\mahip\Downloads\Updated%20PANKTI%20(1)%20(1).docx" TargetMode="External"/><Relationship Id="rId44" Type="http://schemas.openxmlformats.org/officeDocument/2006/relationships/hyperlink" Target="https://grwsijacsm.com/journal/index.php/grws/article/download/2/2" TargetMode="External"/><Relationship Id="rId52" Type="http://schemas.openxmlformats.org/officeDocument/2006/relationships/hyperlink" Target="https://doi.org/10.1016/j.jretconser.2020.102216" TargetMode="External"/><Relationship Id="rId60" Type="http://schemas.openxmlformats.org/officeDocument/2006/relationships/hyperlink" Target="https://doi.org/10.1016/j.ijinfomgt.2018.09.013" TargetMode="External"/><Relationship Id="rId65" Type="http://schemas.openxmlformats.org/officeDocument/2006/relationships/hyperlink" Target="https://kcectrust.org/uploads/articleJournal/December2024685.pdf" TargetMode="External"/><Relationship Id="rId73" Type="http://schemas.openxmlformats.org/officeDocument/2006/relationships/hyperlink" Target="https://www.rbi.org.in/Scripts/AnnualReportPublications.aspx" TargetMode="External"/><Relationship Id="rId78" Type="http://schemas.openxmlformats.org/officeDocument/2006/relationships/hyperlink" Target="https://doi.org/10.1016/j.jretconser.2019.101894" TargetMode="External"/><Relationship Id="rId81" Type="http://schemas.openxmlformats.org/officeDocument/2006/relationships/hyperlink" Target="https://doi.org/10.2307/41410412" TargetMode="External"/><Relationship Id="rId86" Type="http://schemas.openxmlformats.org/officeDocument/2006/relationships/hyperlink" Target="https://doi.org/10.1016/j.elerap.2021.101068"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mahip\Downloads\Updated%20PANKTI%20(1)%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D7D28-F4AD-41C2-BA1E-5C883ED09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31</Pages>
  <Words>12851</Words>
  <Characters>73251</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panktibahenmchaudhari970@gmail.com</dc:creator>
  <cp:keywords/>
  <dc:description/>
  <cp:lastModifiedBy>Panktibahen Chaudhari</cp:lastModifiedBy>
  <cp:revision>118</cp:revision>
  <dcterms:created xsi:type="dcterms:W3CDTF">2026-01-05T11:20:00Z</dcterms:created>
  <dcterms:modified xsi:type="dcterms:W3CDTF">2026-01-26T17:37:00Z</dcterms:modified>
</cp:coreProperties>
</file>