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CA654" w14:textId="5351F738" w:rsidR="00BB2446" w:rsidRDefault="00BB2446">
      <w:pPr>
        <w:jc w:val="center"/>
        <w:rPr>
          <w:sz w:val="28"/>
        </w:rPr>
      </w:pPr>
      <w:r w:rsidRPr="00BB2446">
        <w:rPr>
          <w:rFonts w:eastAsia="Times New Roman" w:cs="Times New Roman"/>
          <w:noProof/>
          <w:szCs w:val="24"/>
          <w:lang w:eastAsia="en-GB"/>
        </w:rPr>
        <w:drawing>
          <wp:anchor distT="0" distB="0" distL="114300" distR="114300" simplePos="0" relativeHeight="251660288" behindDoc="1" locked="0" layoutInCell="1" allowOverlap="1" wp14:anchorId="0A860B65" wp14:editId="536FD252">
            <wp:simplePos x="0" y="0"/>
            <wp:positionH relativeFrom="column">
              <wp:posOffset>1758413</wp:posOffset>
            </wp:positionH>
            <wp:positionV relativeFrom="paragraph">
              <wp:posOffset>-21003</wp:posOffset>
            </wp:positionV>
            <wp:extent cx="2347546" cy="1760158"/>
            <wp:effectExtent l="0" t="0" r="2540" b="5715"/>
            <wp:wrapNone/>
            <wp:docPr id="2" name="Picture 2" descr="CONN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N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51021" cy="17627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1604AC" w14:textId="154331CE" w:rsidR="00BB2446" w:rsidRDefault="00BB2446">
      <w:pPr>
        <w:jc w:val="center"/>
        <w:rPr>
          <w:sz w:val="28"/>
        </w:rPr>
      </w:pPr>
    </w:p>
    <w:p w14:paraId="4DDA5EDD" w14:textId="208251CA" w:rsidR="00BB2446" w:rsidRDefault="00BB2446">
      <w:pPr>
        <w:jc w:val="center"/>
        <w:rPr>
          <w:sz w:val="28"/>
        </w:rPr>
      </w:pPr>
    </w:p>
    <w:p w14:paraId="47972202" w14:textId="388E275B" w:rsidR="00BB2446" w:rsidRPr="00BB2446" w:rsidRDefault="00BB2446" w:rsidP="00BB2446">
      <w:pPr>
        <w:spacing w:after="0" w:line="240" w:lineRule="auto"/>
        <w:jc w:val="left"/>
        <w:rPr>
          <w:rFonts w:eastAsia="Times New Roman" w:cs="Times New Roman"/>
          <w:szCs w:val="24"/>
          <w:lang w:eastAsia="en-GB"/>
        </w:rPr>
      </w:pPr>
      <w:r w:rsidRPr="00BB2446">
        <w:rPr>
          <w:rFonts w:eastAsia="Times New Roman" w:cs="Times New Roman"/>
          <w:szCs w:val="24"/>
          <w:lang w:eastAsia="en-GB"/>
        </w:rPr>
        <w:fldChar w:fldCharType="begin"/>
      </w:r>
      <w:r w:rsidRPr="00BB2446">
        <w:rPr>
          <w:rFonts w:eastAsia="Times New Roman" w:cs="Times New Roman"/>
          <w:szCs w:val="24"/>
          <w:lang w:eastAsia="en-GB"/>
        </w:rPr>
        <w:instrText xml:space="preserve"> INCLUDEPICTURE "/var/folders/07/5v629ykd791f7pvss9kbkmzc0000gn/T/com.microsoft.Word/WebArchiveCopyPasteTempFiles/ymAI5b52w0AyYcDCg6vr3NbnZKrcC4d8spEy7lXq.jpeg" \* MERGEFORMATINET </w:instrText>
      </w:r>
      <w:r w:rsidRPr="00BB2446">
        <w:rPr>
          <w:rFonts w:eastAsia="Times New Roman" w:cs="Times New Roman"/>
          <w:szCs w:val="24"/>
          <w:lang w:eastAsia="en-GB"/>
        </w:rPr>
        <w:fldChar w:fldCharType="separate"/>
      </w:r>
      <w:r w:rsidRPr="00BB2446">
        <w:rPr>
          <w:rFonts w:eastAsia="Times New Roman" w:cs="Times New Roman"/>
          <w:szCs w:val="24"/>
          <w:lang w:eastAsia="en-GB"/>
        </w:rPr>
        <w:fldChar w:fldCharType="end"/>
      </w:r>
    </w:p>
    <w:p w14:paraId="45B0F758" w14:textId="2FDD5A50" w:rsidR="00BB2446" w:rsidRDefault="00BB2446">
      <w:pPr>
        <w:jc w:val="center"/>
        <w:rPr>
          <w:sz w:val="28"/>
        </w:rPr>
      </w:pPr>
    </w:p>
    <w:p w14:paraId="409D0022" w14:textId="5FA94A21" w:rsidR="00BB2446" w:rsidRDefault="00BB2446">
      <w:pPr>
        <w:jc w:val="center"/>
        <w:rPr>
          <w:sz w:val="28"/>
        </w:rPr>
      </w:pPr>
    </w:p>
    <w:p w14:paraId="4833E7E0" w14:textId="0A23FD5D" w:rsidR="008E356E" w:rsidRPr="00BB2446" w:rsidRDefault="0095434A">
      <w:pPr>
        <w:jc w:val="center"/>
        <w:rPr>
          <w:sz w:val="40"/>
          <w:szCs w:val="40"/>
        </w:rPr>
      </w:pPr>
      <w:r w:rsidRPr="00BB2446">
        <w:rPr>
          <w:sz w:val="40"/>
          <w:szCs w:val="40"/>
        </w:rPr>
        <w:t>Financial Management for the Hotel Industry</w:t>
      </w:r>
    </w:p>
    <w:p w14:paraId="0A536308" w14:textId="109D263C" w:rsidR="008E356E" w:rsidRDefault="008E356E"/>
    <w:p w14:paraId="3BE5FECA" w14:textId="440D5D65" w:rsidR="00BB2446" w:rsidRPr="00B30756" w:rsidRDefault="00BB2446" w:rsidP="00BB2446">
      <w:pPr>
        <w:pStyle w:val="Title"/>
        <w:rPr>
          <w:rFonts w:ascii="Times New Roman" w:hAnsi="Times New Roman" w:cs="Times New Roman"/>
          <w:sz w:val="32"/>
          <w:szCs w:val="32"/>
        </w:rPr>
      </w:pPr>
      <w:r>
        <w:rPr>
          <w:rFonts w:ascii="Times New Roman" w:eastAsia="Calibri" w:hAnsi="Times New Roman" w:cs="Times New Roman"/>
          <w:sz w:val="32"/>
          <w:szCs w:val="32"/>
        </w:rPr>
        <w:t xml:space="preserve">                                       </w:t>
      </w:r>
      <w:r w:rsidRPr="00B30756">
        <w:rPr>
          <w:rFonts w:ascii="Times New Roman" w:eastAsia="Calibri" w:hAnsi="Times New Roman" w:cs="Times New Roman"/>
          <w:sz w:val="32"/>
          <w:szCs w:val="32"/>
        </w:rPr>
        <w:t>Module Code:</w:t>
      </w:r>
      <w:r w:rsidRPr="00B30756">
        <w:rPr>
          <w:rFonts w:ascii="Times New Roman" w:hAnsi="Times New Roman" w:cs="Times New Roman"/>
          <w:sz w:val="32"/>
          <w:szCs w:val="32"/>
        </w:rPr>
        <w:t xml:space="preserve"> BMIH5007</w:t>
      </w:r>
    </w:p>
    <w:p w14:paraId="016C53EB" w14:textId="69305A1A" w:rsidR="00BB2446" w:rsidRPr="00583F5F" w:rsidRDefault="00BB2446" w:rsidP="00BB2446">
      <w:pPr>
        <w:spacing w:line="256" w:lineRule="auto"/>
        <w:rPr>
          <w:rFonts w:cs="Times New Roman"/>
          <w:sz w:val="28"/>
        </w:rPr>
      </w:pPr>
    </w:p>
    <w:p w14:paraId="33DC0B41" w14:textId="6CA4F2CA" w:rsidR="00BB2446" w:rsidRPr="00583F5F" w:rsidRDefault="00BB2446" w:rsidP="00BB2446">
      <w:pPr>
        <w:spacing w:line="256" w:lineRule="auto"/>
        <w:rPr>
          <w:rFonts w:cs="Times New Roman"/>
          <w:sz w:val="28"/>
        </w:rPr>
      </w:pPr>
      <w:r>
        <w:rPr>
          <w:rFonts w:cs="Times New Roman"/>
          <w:sz w:val="28"/>
        </w:rPr>
        <w:t xml:space="preserve">                                </w:t>
      </w:r>
      <w:r w:rsidRPr="00583F5F">
        <w:rPr>
          <w:rFonts w:cs="Times New Roman"/>
          <w:sz w:val="28"/>
        </w:rPr>
        <w:t xml:space="preserve">Student Name: </w:t>
      </w:r>
      <w:r>
        <w:rPr>
          <w:rFonts w:cs="Times New Roman"/>
          <w:sz w:val="28"/>
        </w:rPr>
        <w:t xml:space="preserve">Mohammad </w:t>
      </w:r>
      <w:proofErr w:type="spellStart"/>
      <w:r>
        <w:rPr>
          <w:rFonts w:cs="Times New Roman"/>
          <w:sz w:val="28"/>
        </w:rPr>
        <w:t>Arifur</w:t>
      </w:r>
      <w:proofErr w:type="spellEnd"/>
      <w:r>
        <w:rPr>
          <w:rFonts w:cs="Times New Roman"/>
          <w:sz w:val="28"/>
        </w:rPr>
        <w:t xml:space="preserve"> Rahman Khan</w:t>
      </w:r>
    </w:p>
    <w:p w14:paraId="1BA88EE3" w14:textId="17077C96" w:rsidR="00BB2446" w:rsidRDefault="00BB2446" w:rsidP="00BB2446">
      <w:pPr>
        <w:spacing w:line="256" w:lineRule="auto"/>
        <w:rPr>
          <w:rFonts w:cs="Times New Roman"/>
          <w:sz w:val="28"/>
        </w:rPr>
      </w:pPr>
      <w:r>
        <w:rPr>
          <w:rFonts w:cs="Times New Roman"/>
          <w:sz w:val="28"/>
        </w:rPr>
        <w:t xml:space="preserve">                                      Student Id:</w:t>
      </w:r>
      <w:r>
        <w:rPr>
          <w:rFonts w:cs="Times New Roman"/>
          <w:sz w:val="28"/>
        </w:rPr>
        <w:t xml:space="preserve"> 2022401</w:t>
      </w:r>
    </w:p>
    <w:p w14:paraId="7C777558" w14:textId="269A0E9E" w:rsidR="008E356E" w:rsidRPr="0095434A" w:rsidRDefault="00BB2446" w:rsidP="00BB2446">
      <w:pPr>
        <w:rPr>
          <w:b/>
          <w:i/>
        </w:rPr>
      </w:pPr>
      <w:r>
        <w:rPr>
          <w:rFonts w:cs="Times New Roman"/>
          <w:sz w:val="28"/>
        </w:rPr>
        <w:t xml:space="preserve">                              </w:t>
      </w:r>
      <w:r>
        <w:rPr>
          <w:rFonts w:cs="Times New Roman"/>
          <w:sz w:val="28"/>
        </w:rPr>
        <w:t xml:space="preserve">Lecturer Name: </w:t>
      </w:r>
      <w:r w:rsidRPr="00B30756">
        <w:rPr>
          <w:rFonts w:cs="Times New Roman"/>
          <w:sz w:val="28"/>
        </w:rPr>
        <w:t>Dale Clarke</w:t>
      </w:r>
      <w:r>
        <w:t xml:space="preserve"> </w:t>
      </w:r>
      <w:r w:rsidR="0095434A">
        <w:br w:type="page"/>
      </w:r>
      <w:r w:rsidR="0095434A" w:rsidRPr="0095434A">
        <w:rPr>
          <w:b/>
          <w:i/>
        </w:rPr>
        <w:lastRenderedPageBreak/>
        <w:t>Executive Summary</w:t>
      </w:r>
    </w:p>
    <w:p w14:paraId="0DDDAEB4" w14:textId="77777777" w:rsidR="008E356E" w:rsidRDefault="0095434A" w:rsidP="0095434A">
      <w:r>
        <w:rPr>
          <w:lang w:val="en-US"/>
        </w:rPr>
        <w:t>The purpose of the report is to analyse the financial statements of Hilton Worldwide Holding Inc for the period 2019 and 2020 to perform the year-on-year percentage change in significant financial variables. This report will also explore some significant vertical ratios such as liquidity and solvency ratios for Hilton. Finally, the report will present the importance of ratio analysis in decision making for the stakeholders of Hilton and the limitations associated with such analyses.</w:t>
      </w:r>
    </w:p>
    <w:p w14:paraId="0C83DB14" w14:textId="77777777" w:rsidR="008E356E" w:rsidRDefault="008E356E">
      <w:pPr>
        <w:spacing w:line="259" w:lineRule="auto"/>
        <w:jc w:val="left"/>
      </w:pPr>
    </w:p>
    <w:p w14:paraId="39783DC5" w14:textId="77777777" w:rsidR="008E356E" w:rsidRDefault="0095434A">
      <w:pPr>
        <w:spacing w:line="259" w:lineRule="auto"/>
        <w:jc w:val="left"/>
      </w:pPr>
      <w:r>
        <w:rPr>
          <w:lang w:val="en-US"/>
        </w:rPr>
        <w:br w:type="page"/>
      </w:r>
    </w:p>
    <w:p w14:paraId="54E68E8C" w14:textId="77777777" w:rsidR="008E356E" w:rsidRDefault="008E356E">
      <w:pPr>
        <w:spacing w:line="259" w:lineRule="auto"/>
        <w:jc w:val="left"/>
      </w:pPr>
    </w:p>
    <w:p w14:paraId="2BF784DA" w14:textId="77777777" w:rsidR="008E356E" w:rsidRDefault="0095434A">
      <w:pPr>
        <w:pStyle w:val="TOCHeading"/>
      </w:pPr>
      <w:r>
        <w:t>Contents</w:t>
      </w:r>
    </w:p>
    <w:p w14:paraId="51B05990" w14:textId="77777777" w:rsidR="008E356E" w:rsidRDefault="0095434A">
      <w:pPr>
        <w:pStyle w:val="TOC1"/>
        <w:tabs>
          <w:tab w:val="right" w:leader="dot" w:pos="9350"/>
        </w:tabs>
        <w:rPr>
          <w:rFonts w:ascii="Calibri" w:eastAsia="SimSun" w:hAnsi="Calibri"/>
          <w:noProof/>
          <w:sz w:val="22"/>
          <w:lang w:val="en-US"/>
        </w:rPr>
      </w:pPr>
      <w:r>
        <w:fldChar w:fldCharType="begin"/>
      </w:r>
      <w:r>
        <w:instrText xml:space="preserve"> TOC \o "1-3" \h \z \u </w:instrText>
      </w:r>
      <w:r>
        <w:fldChar w:fldCharType="separate"/>
      </w:r>
      <w:hyperlink w:anchor="_Toc103683220" w:history="1">
        <w:r>
          <w:rPr>
            <w:rStyle w:val="Hyperlink"/>
            <w:noProof/>
          </w:rPr>
          <w:t>Introduction</w:t>
        </w:r>
        <w:r>
          <w:rPr>
            <w:noProof/>
            <w:webHidden/>
          </w:rPr>
          <w:tab/>
        </w:r>
        <w:r>
          <w:rPr>
            <w:noProof/>
            <w:webHidden/>
          </w:rPr>
          <w:fldChar w:fldCharType="begin"/>
        </w:r>
        <w:r>
          <w:rPr>
            <w:noProof/>
            <w:webHidden/>
          </w:rPr>
          <w:instrText xml:space="preserve"> PAGEREF _Toc103683220 \h </w:instrText>
        </w:r>
        <w:r>
          <w:rPr>
            <w:noProof/>
            <w:webHidden/>
          </w:rPr>
        </w:r>
        <w:r>
          <w:rPr>
            <w:noProof/>
            <w:webHidden/>
          </w:rPr>
          <w:fldChar w:fldCharType="separate"/>
        </w:r>
        <w:r>
          <w:rPr>
            <w:noProof/>
            <w:webHidden/>
          </w:rPr>
          <w:t>3</w:t>
        </w:r>
        <w:r>
          <w:rPr>
            <w:noProof/>
            <w:webHidden/>
          </w:rPr>
          <w:fldChar w:fldCharType="end"/>
        </w:r>
      </w:hyperlink>
    </w:p>
    <w:p w14:paraId="7568D641" w14:textId="77777777" w:rsidR="008E356E" w:rsidRDefault="004A2407">
      <w:pPr>
        <w:pStyle w:val="TOC1"/>
        <w:tabs>
          <w:tab w:val="right" w:leader="dot" w:pos="9350"/>
        </w:tabs>
        <w:rPr>
          <w:rFonts w:ascii="Calibri" w:eastAsia="SimSun" w:hAnsi="Calibri"/>
          <w:noProof/>
          <w:sz w:val="22"/>
          <w:lang w:val="en-US"/>
        </w:rPr>
      </w:pPr>
      <w:hyperlink w:anchor="_Toc103683221" w:history="1">
        <w:r w:rsidR="0095434A">
          <w:rPr>
            <w:rStyle w:val="Hyperlink"/>
            <w:noProof/>
          </w:rPr>
          <w:t>Horizontal Ratios Calculation and Analysis</w:t>
        </w:r>
        <w:r w:rsidR="0095434A">
          <w:rPr>
            <w:noProof/>
            <w:webHidden/>
          </w:rPr>
          <w:tab/>
        </w:r>
        <w:r w:rsidR="0095434A">
          <w:rPr>
            <w:noProof/>
            <w:webHidden/>
          </w:rPr>
          <w:fldChar w:fldCharType="begin"/>
        </w:r>
        <w:r w:rsidR="0095434A">
          <w:rPr>
            <w:noProof/>
            <w:webHidden/>
          </w:rPr>
          <w:instrText xml:space="preserve"> PAGEREF _Toc103683221 \h </w:instrText>
        </w:r>
        <w:r w:rsidR="0095434A">
          <w:rPr>
            <w:noProof/>
            <w:webHidden/>
          </w:rPr>
        </w:r>
        <w:r w:rsidR="0095434A">
          <w:rPr>
            <w:noProof/>
            <w:webHidden/>
          </w:rPr>
          <w:fldChar w:fldCharType="separate"/>
        </w:r>
        <w:r w:rsidR="0095434A">
          <w:rPr>
            <w:noProof/>
            <w:webHidden/>
          </w:rPr>
          <w:t>4</w:t>
        </w:r>
        <w:r w:rsidR="0095434A">
          <w:rPr>
            <w:noProof/>
            <w:webHidden/>
          </w:rPr>
          <w:fldChar w:fldCharType="end"/>
        </w:r>
      </w:hyperlink>
    </w:p>
    <w:p w14:paraId="51F07FDC" w14:textId="698B1E81" w:rsidR="008E356E" w:rsidRDefault="004A2407">
      <w:pPr>
        <w:pStyle w:val="TOC1"/>
        <w:tabs>
          <w:tab w:val="right" w:leader="dot" w:pos="9350"/>
        </w:tabs>
        <w:rPr>
          <w:rFonts w:ascii="Calibri" w:eastAsia="SimSun" w:hAnsi="Calibri"/>
          <w:noProof/>
          <w:sz w:val="22"/>
          <w:lang w:val="en-US"/>
        </w:rPr>
      </w:pPr>
      <w:hyperlink w:anchor="_Toc103683222" w:history="1">
        <w:r w:rsidR="0095434A">
          <w:rPr>
            <w:rStyle w:val="Hyperlink"/>
            <w:noProof/>
          </w:rPr>
          <w:t>Other Financial Ratios</w:t>
        </w:r>
        <w:r w:rsidR="0095434A">
          <w:rPr>
            <w:noProof/>
            <w:webHidden/>
          </w:rPr>
          <w:tab/>
        </w:r>
        <w:r>
          <w:rPr>
            <w:noProof/>
            <w:webHidden/>
          </w:rPr>
          <w:t>7</w:t>
        </w:r>
      </w:hyperlink>
    </w:p>
    <w:p w14:paraId="12660BB1" w14:textId="35D5C37B" w:rsidR="008E356E" w:rsidRDefault="004A2407">
      <w:pPr>
        <w:pStyle w:val="TOC1"/>
        <w:tabs>
          <w:tab w:val="right" w:leader="dot" w:pos="9350"/>
        </w:tabs>
        <w:rPr>
          <w:rFonts w:ascii="Calibri" w:eastAsia="SimSun" w:hAnsi="Calibri"/>
          <w:noProof/>
          <w:sz w:val="22"/>
          <w:lang w:val="en-US"/>
        </w:rPr>
      </w:pPr>
      <w:hyperlink w:anchor="_Toc103683223" w:history="1">
        <w:r w:rsidR="0095434A">
          <w:rPr>
            <w:rStyle w:val="Hyperlink"/>
            <w:noProof/>
          </w:rPr>
          <w:t>Importance of Ratio Analysis in Decision Making</w:t>
        </w:r>
        <w:r w:rsidR="0095434A">
          <w:rPr>
            <w:noProof/>
            <w:webHidden/>
          </w:rPr>
          <w:tab/>
        </w:r>
        <w:r>
          <w:rPr>
            <w:noProof/>
            <w:webHidden/>
          </w:rPr>
          <w:t>9</w:t>
        </w:r>
      </w:hyperlink>
    </w:p>
    <w:p w14:paraId="6FDB46EF" w14:textId="77777777" w:rsidR="008E356E" w:rsidRDefault="004A2407">
      <w:pPr>
        <w:pStyle w:val="TOC1"/>
        <w:tabs>
          <w:tab w:val="right" w:leader="dot" w:pos="9350"/>
        </w:tabs>
        <w:rPr>
          <w:rFonts w:ascii="Calibri" w:eastAsia="SimSun" w:hAnsi="Calibri"/>
          <w:noProof/>
          <w:sz w:val="22"/>
          <w:lang w:val="en-US"/>
        </w:rPr>
      </w:pPr>
      <w:hyperlink w:anchor="_Toc103683224" w:history="1">
        <w:r w:rsidR="0095434A">
          <w:rPr>
            <w:rStyle w:val="Hyperlink"/>
            <w:noProof/>
          </w:rPr>
          <w:t>Limitations of Ratio Analysis</w:t>
        </w:r>
        <w:r w:rsidR="0095434A">
          <w:rPr>
            <w:noProof/>
            <w:webHidden/>
          </w:rPr>
          <w:tab/>
        </w:r>
        <w:r w:rsidR="0095434A">
          <w:rPr>
            <w:noProof/>
            <w:webHidden/>
          </w:rPr>
          <w:fldChar w:fldCharType="begin"/>
        </w:r>
        <w:r w:rsidR="0095434A">
          <w:rPr>
            <w:noProof/>
            <w:webHidden/>
          </w:rPr>
          <w:instrText xml:space="preserve"> PAGEREF _Toc103683224 \h </w:instrText>
        </w:r>
        <w:r w:rsidR="0095434A">
          <w:rPr>
            <w:noProof/>
            <w:webHidden/>
          </w:rPr>
        </w:r>
        <w:r w:rsidR="0095434A">
          <w:rPr>
            <w:noProof/>
            <w:webHidden/>
          </w:rPr>
          <w:fldChar w:fldCharType="separate"/>
        </w:r>
        <w:r w:rsidR="0095434A">
          <w:rPr>
            <w:noProof/>
            <w:webHidden/>
          </w:rPr>
          <w:t>10</w:t>
        </w:r>
        <w:r w:rsidR="0095434A">
          <w:rPr>
            <w:noProof/>
            <w:webHidden/>
          </w:rPr>
          <w:fldChar w:fldCharType="end"/>
        </w:r>
      </w:hyperlink>
    </w:p>
    <w:p w14:paraId="4A3D4386" w14:textId="77777777" w:rsidR="008E356E" w:rsidRDefault="004A2407">
      <w:pPr>
        <w:pStyle w:val="TOC1"/>
        <w:tabs>
          <w:tab w:val="right" w:leader="dot" w:pos="9350"/>
        </w:tabs>
        <w:rPr>
          <w:rFonts w:ascii="Calibri" w:eastAsia="SimSun" w:hAnsi="Calibri"/>
          <w:noProof/>
          <w:sz w:val="22"/>
          <w:lang w:val="en-US"/>
        </w:rPr>
      </w:pPr>
      <w:hyperlink w:anchor="_Toc103683225" w:history="1">
        <w:r w:rsidR="0095434A">
          <w:rPr>
            <w:rStyle w:val="Hyperlink"/>
            <w:noProof/>
          </w:rPr>
          <w:t>Conclusion</w:t>
        </w:r>
        <w:r w:rsidR="0095434A">
          <w:rPr>
            <w:noProof/>
            <w:webHidden/>
          </w:rPr>
          <w:tab/>
        </w:r>
        <w:r w:rsidR="0095434A">
          <w:rPr>
            <w:noProof/>
            <w:webHidden/>
          </w:rPr>
          <w:fldChar w:fldCharType="begin"/>
        </w:r>
        <w:r w:rsidR="0095434A">
          <w:rPr>
            <w:noProof/>
            <w:webHidden/>
          </w:rPr>
          <w:instrText xml:space="preserve"> PAGEREF _Toc103683225 \h </w:instrText>
        </w:r>
        <w:r w:rsidR="0095434A">
          <w:rPr>
            <w:noProof/>
            <w:webHidden/>
          </w:rPr>
        </w:r>
        <w:r w:rsidR="0095434A">
          <w:rPr>
            <w:noProof/>
            <w:webHidden/>
          </w:rPr>
          <w:fldChar w:fldCharType="separate"/>
        </w:r>
        <w:r w:rsidR="0095434A">
          <w:rPr>
            <w:noProof/>
            <w:webHidden/>
          </w:rPr>
          <w:t>11</w:t>
        </w:r>
        <w:r w:rsidR="0095434A">
          <w:rPr>
            <w:noProof/>
            <w:webHidden/>
          </w:rPr>
          <w:fldChar w:fldCharType="end"/>
        </w:r>
      </w:hyperlink>
    </w:p>
    <w:p w14:paraId="2B543988" w14:textId="77777777" w:rsidR="008E356E" w:rsidRDefault="004A2407">
      <w:pPr>
        <w:pStyle w:val="TOC1"/>
        <w:tabs>
          <w:tab w:val="right" w:leader="dot" w:pos="9350"/>
        </w:tabs>
        <w:rPr>
          <w:rFonts w:ascii="Calibri" w:eastAsia="SimSun" w:hAnsi="Calibri"/>
          <w:noProof/>
          <w:sz w:val="22"/>
          <w:lang w:val="en-US"/>
        </w:rPr>
      </w:pPr>
      <w:hyperlink w:anchor="_Toc103683226" w:history="1">
        <w:r w:rsidR="0095434A">
          <w:rPr>
            <w:rStyle w:val="Hyperlink"/>
            <w:noProof/>
          </w:rPr>
          <w:t>References</w:t>
        </w:r>
        <w:r w:rsidR="0095434A">
          <w:rPr>
            <w:noProof/>
            <w:webHidden/>
          </w:rPr>
          <w:tab/>
        </w:r>
        <w:r w:rsidR="0095434A">
          <w:rPr>
            <w:noProof/>
            <w:webHidden/>
          </w:rPr>
          <w:fldChar w:fldCharType="begin"/>
        </w:r>
        <w:r w:rsidR="0095434A">
          <w:rPr>
            <w:noProof/>
            <w:webHidden/>
          </w:rPr>
          <w:instrText xml:space="preserve"> PAGEREF _Toc103683226 \h </w:instrText>
        </w:r>
        <w:r w:rsidR="0095434A">
          <w:rPr>
            <w:noProof/>
            <w:webHidden/>
          </w:rPr>
        </w:r>
        <w:r w:rsidR="0095434A">
          <w:rPr>
            <w:noProof/>
            <w:webHidden/>
          </w:rPr>
          <w:fldChar w:fldCharType="separate"/>
        </w:r>
        <w:r w:rsidR="0095434A">
          <w:rPr>
            <w:noProof/>
            <w:webHidden/>
          </w:rPr>
          <w:t>12</w:t>
        </w:r>
        <w:r w:rsidR="0095434A">
          <w:rPr>
            <w:noProof/>
            <w:webHidden/>
          </w:rPr>
          <w:fldChar w:fldCharType="end"/>
        </w:r>
      </w:hyperlink>
    </w:p>
    <w:p w14:paraId="592FE5AE" w14:textId="77777777" w:rsidR="008E356E" w:rsidRDefault="0095434A">
      <w:r>
        <w:rPr>
          <w:b/>
          <w:bCs/>
          <w:noProof/>
        </w:rPr>
        <w:fldChar w:fldCharType="end"/>
      </w:r>
    </w:p>
    <w:p w14:paraId="1D8B24CC" w14:textId="77777777" w:rsidR="008E356E" w:rsidRDefault="008E356E"/>
    <w:p w14:paraId="7E0F5EC0" w14:textId="77777777" w:rsidR="008E356E" w:rsidRDefault="0095434A">
      <w:pPr>
        <w:spacing w:line="259" w:lineRule="auto"/>
        <w:jc w:val="left"/>
      </w:pPr>
      <w:r>
        <w:br w:type="page"/>
      </w:r>
    </w:p>
    <w:p w14:paraId="2EB2F83E" w14:textId="77777777" w:rsidR="008E356E" w:rsidRDefault="0095434A">
      <w:pPr>
        <w:pStyle w:val="Heading1"/>
      </w:pPr>
      <w:bookmarkStart w:id="0" w:name="_Toc103683220"/>
      <w:r>
        <w:lastRenderedPageBreak/>
        <w:t>Introduction</w:t>
      </w:r>
      <w:bookmarkEnd w:id="0"/>
    </w:p>
    <w:p w14:paraId="22EA2C2E" w14:textId="77777777" w:rsidR="008E356E" w:rsidRDefault="0095434A" w:rsidP="00012B15">
      <w:r>
        <w:rPr>
          <w:lang w:val="en-US"/>
        </w:rPr>
        <w:t>This report will conduct a horizontal ratio analysis of the financial figures of Hilton Worldwide Inc for the periods 2019 and 2020. I will also measure the efficiency and solvency of Hilton through relevant ratio analysis. Next, I will explain how Rati analysis helps the company in logical and informed decision making. Finally, I will stay the limitations of rationally and recommend ways to consider during the analysis.</w:t>
      </w:r>
    </w:p>
    <w:p w14:paraId="0CADA965" w14:textId="77777777" w:rsidR="008E356E" w:rsidRDefault="0095434A" w:rsidP="00012B15">
      <w:pPr>
        <w:jc w:val="left"/>
      </w:pPr>
      <w:r>
        <w:br w:type="page"/>
      </w:r>
    </w:p>
    <w:p w14:paraId="7D484282" w14:textId="77777777" w:rsidR="008E356E" w:rsidRDefault="0095434A" w:rsidP="00012B15">
      <w:pPr>
        <w:pStyle w:val="Heading1"/>
      </w:pPr>
      <w:bookmarkStart w:id="1" w:name="_Toc103683221"/>
      <w:r>
        <w:lastRenderedPageBreak/>
        <w:t>Horizontal Ratios Calculation and Analysis</w:t>
      </w:r>
      <w:bookmarkEnd w:id="1"/>
    </w:p>
    <w:p w14:paraId="582C659E" w14:textId="77777777" w:rsidR="008E356E" w:rsidRDefault="0095434A" w:rsidP="00012B15">
      <w:r>
        <w:t xml:space="preserve">Horizontal ratio analysis relates to the analysis of percentage change in financial variables over some periods. Commonly, financial managers look into the percentage change in variables in the current period in relation to the prior period to find trends and other comparative information. Comparative horizontal rationalises helps managers to keep control in the amounts of financial variables and take necessary measures if any discrepancy occurs </w:t>
      </w:r>
      <w:r>
        <w:rPr>
          <w:lang w:val="en-US"/>
        </w:rPr>
        <w:t>(Paton and Russell Alger Stevenson, 2016)</w:t>
      </w:r>
      <w:r>
        <w:t>.</w:t>
      </w:r>
    </w:p>
    <w:p w14:paraId="3A4349EC" w14:textId="58C43157" w:rsidR="008E356E" w:rsidRDefault="0095434A" w:rsidP="00012B15">
      <w:r>
        <w:t>In this section, I will be conducting the horizontal ratio calculation and presenting the interpretation of the financial variables for Hilton Worldwide Holdings Inc for the financial years 2019 and 2020. In The table below, I have used the amounts of variables presented in the assignment brief and the calculation of the percentage change is based on the automated formulaic operation in Microsoft Excel.</w:t>
      </w:r>
    </w:p>
    <w:p w14:paraId="79A5AF9E" w14:textId="77777777" w:rsidR="0044027F" w:rsidRDefault="0044027F" w:rsidP="00012B15"/>
    <w:tbl>
      <w:tblPr>
        <w:tblW w:w="9300" w:type="dxa"/>
        <w:tblLook w:val="04A0" w:firstRow="1" w:lastRow="0" w:firstColumn="1" w:lastColumn="0" w:noHBand="0" w:noVBand="1"/>
      </w:tblPr>
      <w:tblGrid>
        <w:gridCol w:w="4067"/>
        <w:gridCol w:w="1454"/>
        <w:gridCol w:w="1454"/>
        <w:gridCol w:w="1169"/>
        <w:gridCol w:w="1156"/>
      </w:tblGrid>
      <w:tr w:rsidR="00803EA4" w:rsidRPr="00AA7664" w14:paraId="13CD22E0" w14:textId="77777777" w:rsidTr="007A4670">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4C7263"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Income statement 2019 &amp; 2020</w:t>
            </w:r>
          </w:p>
        </w:tc>
      </w:tr>
      <w:tr w:rsidR="00803EA4" w:rsidRPr="00AA7664" w14:paraId="33E4F263" w14:textId="77777777" w:rsidTr="007A4670">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F95DC"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Hilton Worldwide Holdings Inc. (HLT)</w:t>
            </w:r>
          </w:p>
        </w:tc>
      </w:tr>
      <w:tr w:rsidR="00803EA4" w:rsidRPr="00AA7664" w14:paraId="5E546C97"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71339528"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 </w:t>
            </w:r>
          </w:p>
        </w:tc>
        <w:tc>
          <w:tcPr>
            <w:tcW w:w="1454" w:type="dxa"/>
            <w:tcBorders>
              <w:top w:val="nil"/>
              <w:left w:val="nil"/>
              <w:bottom w:val="single" w:sz="4" w:space="0" w:color="auto"/>
              <w:right w:val="single" w:sz="4" w:space="0" w:color="auto"/>
            </w:tcBorders>
            <w:shd w:val="clear" w:color="auto" w:fill="auto"/>
            <w:noWrap/>
            <w:vAlign w:val="bottom"/>
            <w:hideMark/>
          </w:tcPr>
          <w:p w14:paraId="62EE0D86"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2020</w:t>
            </w:r>
          </w:p>
        </w:tc>
        <w:tc>
          <w:tcPr>
            <w:tcW w:w="1454" w:type="dxa"/>
            <w:tcBorders>
              <w:top w:val="nil"/>
              <w:left w:val="nil"/>
              <w:bottom w:val="single" w:sz="4" w:space="0" w:color="auto"/>
              <w:right w:val="single" w:sz="4" w:space="0" w:color="auto"/>
            </w:tcBorders>
            <w:shd w:val="clear" w:color="auto" w:fill="auto"/>
            <w:noWrap/>
            <w:vAlign w:val="bottom"/>
            <w:hideMark/>
          </w:tcPr>
          <w:p w14:paraId="6189C065"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2019</w:t>
            </w:r>
          </w:p>
        </w:tc>
        <w:tc>
          <w:tcPr>
            <w:tcW w:w="1169" w:type="dxa"/>
            <w:tcBorders>
              <w:top w:val="nil"/>
              <w:left w:val="nil"/>
              <w:bottom w:val="single" w:sz="4" w:space="0" w:color="auto"/>
              <w:right w:val="single" w:sz="4" w:space="0" w:color="auto"/>
            </w:tcBorders>
            <w:shd w:val="clear" w:color="auto" w:fill="auto"/>
            <w:noWrap/>
            <w:vAlign w:val="bottom"/>
            <w:hideMark/>
          </w:tcPr>
          <w:p w14:paraId="7CA6C00C"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Change</w:t>
            </w:r>
          </w:p>
        </w:tc>
        <w:tc>
          <w:tcPr>
            <w:tcW w:w="1156" w:type="dxa"/>
            <w:tcBorders>
              <w:top w:val="nil"/>
              <w:left w:val="nil"/>
              <w:bottom w:val="single" w:sz="4" w:space="0" w:color="auto"/>
              <w:right w:val="single" w:sz="4" w:space="0" w:color="auto"/>
            </w:tcBorders>
            <w:shd w:val="clear" w:color="auto" w:fill="auto"/>
            <w:noWrap/>
            <w:vAlign w:val="bottom"/>
            <w:hideMark/>
          </w:tcPr>
          <w:p w14:paraId="24229900"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%Change</w:t>
            </w:r>
          </w:p>
        </w:tc>
      </w:tr>
      <w:tr w:rsidR="00803EA4" w:rsidRPr="00AA7664" w14:paraId="7965069B"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67D6C3A8"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Fiscal Year Ends</w:t>
            </w:r>
          </w:p>
        </w:tc>
        <w:tc>
          <w:tcPr>
            <w:tcW w:w="1454" w:type="dxa"/>
            <w:tcBorders>
              <w:top w:val="nil"/>
              <w:left w:val="nil"/>
              <w:bottom w:val="single" w:sz="4" w:space="0" w:color="auto"/>
              <w:right w:val="single" w:sz="4" w:space="0" w:color="auto"/>
            </w:tcBorders>
            <w:shd w:val="clear" w:color="auto" w:fill="auto"/>
            <w:noWrap/>
            <w:vAlign w:val="bottom"/>
            <w:hideMark/>
          </w:tcPr>
          <w:p w14:paraId="351CE5F7"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31/12/2021</w:t>
            </w:r>
          </w:p>
        </w:tc>
        <w:tc>
          <w:tcPr>
            <w:tcW w:w="1454" w:type="dxa"/>
            <w:tcBorders>
              <w:top w:val="nil"/>
              <w:left w:val="nil"/>
              <w:bottom w:val="single" w:sz="4" w:space="0" w:color="auto"/>
              <w:right w:val="single" w:sz="4" w:space="0" w:color="auto"/>
            </w:tcBorders>
            <w:shd w:val="clear" w:color="auto" w:fill="auto"/>
            <w:noWrap/>
            <w:vAlign w:val="bottom"/>
            <w:hideMark/>
          </w:tcPr>
          <w:p w14:paraId="30AEF7B8"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31/12/2020</w:t>
            </w:r>
          </w:p>
        </w:tc>
        <w:tc>
          <w:tcPr>
            <w:tcW w:w="1169" w:type="dxa"/>
            <w:tcBorders>
              <w:top w:val="nil"/>
              <w:left w:val="nil"/>
              <w:bottom w:val="single" w:sz="4" w:space="0" w:color="auto"/>
              <w:right w:val="single" w:sz="4" w:space="0" w:color="auto"/>
            </w:tcBorders>
            <w:shd w:val="clear" w:color="auto" w:fill="auto"/>
            <w:noWrap/>
            <w:vAlign w:val="bottom"/>
            <w:hideMark/>
          </w:tcPr>
          <w:p w14:paraId="43621028"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 </w:t>
            </w:r>
          </w:p>
        </w:tc>
        <w:tc>
          <w:tcPr>
            <w:tcW w:w="1156" w:type="dxa"/>
            <w:tcBorders>
              <w:top w:val="nil"/>
              <w:left w:val="nil"/>
              <w:bottom w:val="single" w:sz="4" w:space="0" w:color="auto"/>
              <w:right w:val="single" w:sz="4" w:space="0" w:color="auto"/>
            </w:tcBorders>
            <w:shd w:val="clear" w:color="auto" w:fill="auto"/>
            <w:noWrap/>
            <w:vAlign w:val="bottom"/>
            <w:hideMark/>
          </w:tcPr>
          <w:p w14:paraId="24129EDB"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 </w:t>
            </w:r>
          </w:p>
        </w:tc>
      </w:tr>
      <w:tr w:rsidR="00803EA4" w:rsidRPr="00AA7664" w14:paraId="486B13A6"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33BB5A5A"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Sales</w:t>
            </w:r>
          </w:p>
        </w:tc>
        <w:tc>
          <w:tcPr>
            <w:tcW w:w="1454" w:type="dxa"/>
            <w:tcBorders>
              <w:top w:val="nil"/>
              <w:left w:val="nil"/>
              <w:bottom w:val="single" w:sz="4" w:space="0" w:color="auto"/>
              <w:right w:val="single" w:sz="4" w:space="0" w:color="auto"/>
            </w:tcBorders>
            <w:shd w:val="clear" w:color="auto" w:fill="auto"/>
            <w:noWrap/>
            <w:vAlign w:val="bottom"/>
            <w:hideMark/>
          </w:tcPr>
          <w:p w14:paraId="3585F3DB"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4307000</w:t>
            </w:r>
          </w:p>
        </w:tc>
        <w:tc>
          <w:tcPr>
            <w:tcW w:w="1454" w:type="dxa"/>
            <w:tcBorders>
              <w:top w:val="nil"/>
              <w:left w:val="nil"/>
              <w:bottom w:val="single" w:sz="4" w:space="0" w:color="auto"/>
              <w:right w:val="single" w:sz="4" w:space="0" w:color="auto"/>
            </w:tcBorders>
            <w:shd w:val="clear" w:color="auto" w:fill="auto"/>
            <w:noWrap/>
            <w:vAlign w:val="bottom"/>
            <w:hideMark/>
          </w:tcPr>
          <w:p w14:paraId="6EE8E522"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9452000</w:t>
            </w:r>
          </w:p>
        </w:tc>
        <w:tc>
          <w:tcPr>
            <w:tcW w:w="1169" w:type="dxa"/>
            <w:tcBorders>
              <w:top w:val="nil"/>
              <w:left w:val="nil"/>
              <w:bottom w:val="single" w:sz="4" w:space="0" w:color="auto"/>
              <w:right w:val="single" w:sz="4" w:space="0" w:color="auto"/>
            </w:tcBorders>
            <w:shd w:val="clear" w:color="auto" w:fill="auto"/>
            <w:noWrap/>
            <w:vAlign w:val="bottom"/>
            <w:hideMark/>
          </w:tcPr>
          <w:p w14:paraId="77AB3B9D"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-5145000</w:t>
            </w:r>
          </w:p>
        </w:tc>
        <w:tc>
          <w:tcPr>
            <w:tcW w:w="1156" w:type="dxa"/>
            <w:tcBorders>
              <w:top w:val="nil"/>
              <w:left w:val="nil"/>
              <w:bottom w:val="single" w:sz="4" w:space="0" w:color="auto"/>
              <w:right w:val="single" w:sz="4" w:space="0" w:color="auto"/>
            </w:tcBorders>
            <w:shd w:val="clear" w:color="auto" w:fill="auto"/>
            <w:noWrap/>
            <w:vAlign w:val="bottom"/>
            <w:hideMark/>
          </w:tcPr>
          <w:p w14:paraId="7F1AF662"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-54</w:t>
            </w:r>
          </w:p>
        </w:tc>
      </w:tr>
      <w:tr w:rsidR="00803EA4" w:rsidRPr="00AA7664" w14:paraId="563D9051"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4EDD9F7F"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Cost of Goods Sold</w:t>
            </w:r>
          </w:p>
        </w:tc>
        <w:tc>
          <w:tcPr>
            <w:tcW w:w="1454" w:type="dxa"/>
            <w:tcBorders>
              <w:top w:val="nil"/>
              <w:left w:val="nil"/>
              <w:bottom w:val="single" w:sz="4" w:space="0" w:color="auto"/>
              <w:right w:val="single" w:sz="4" w:space="0" w:color="auto"/>
            </w:tcBorders>
            <w:shd w:val="clear" w:color="auto" w:fill="auto"/>
            <w:noWrap/>
            <w:vAlign w:val="bottom"/>
            <w:hideMark/>
          </w:tcPr>
          <w:p w14:paraId="273C9CF6"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3724000</w:t>
            </w:r>
          </w:p>
        </w:tc>
        <w:tc>
          <w:tcPr>
            <w:tcW w:w="1454" w:type="dxa"/>
            <w:tcBorders>
              <w:top w:val="nil"/>
              <w:left w:val="nil"/>
              <w:bottom w:val="single" w:sz="4" w:space="0" w:color="auto"/>
              <w:right w:val="single" w:sz="4" w:space="0" w:color="auto"/>
            </w:tcBorders>
            <w:shd w:val="clear" w:color="auto" w:fill="auto"/>
            <w:noWrap/>
            <w:vAlign w:val="bottom"/>
            <w:hideMark/>
          </w:tcPr>
          <w:p w14:paraId="5B5E4A54"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7017000</w:t>
            </w:r>
          </w:p>
        </w:tc>
        <w:tc>
          <w:tcPr>
            <w:tcW w:w="1169" w:type="dxa"/>
            <w:tcBorders>
              <w:top w:val="nil"/>
              <w:left w:val="nil"/>
              <w:bottom w:val="single" w:sz="4" w:space="0" w:color="auto"/>
              <w:right w:val="single" w:sz="4" w:space="0" w:color="auto"/>
            </w:tcBorders>
            <w:shd w:val="clear" w:color="auto" w:fill="auto"/>
            <w:noWrap/>
            <w:vAlign w:val="bottom"/>
            <w:hideMark/>
          </w:tcPr>
          <w:p w14:paraId="4B5664DD"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-3293000</w:t>
            </w:r>
          </w:p>
        </w:tc>
        <w:tc>
          <w:tcPr>
            <w:tcW w:w="1156" w:type="dxa"/>
            <w:tcBorders>
              <w:top w:val="nil"/>
              <w:left w:val="nil"/>
              <w:bottom w:val="single" w:sz="4" w:space="0" w:color="auto"/>
              <w:right w:val="single" w:sz="4" w:space="0" w:color="auto"/>
            </w:tcBorders>
            <w:shd w:val="clear" w:color="auto" w:fill="auto"/>
            <w:noWrap/>
            <w:vAlign w:val="bottom"/>
            <w:hideMark/>
          </w:tcPr>
          <w:p w14:paraId="4C683EC9"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-4</w:t>
            </w:r>
            <w:r>
              <w:rPr>
                <w:rFonts w:eastAsia="Times New Roman"/>
                <w:color w:val="000000"/>
                <w:sz w:val="22"/>
              </w:rPr>
              <w:t>7</w:t>
            </w:r>
          </w:p>
        </w:tc>
      </w:tr>
      <w:tr w:rsidR="00803EA4" w:rsidRPr="00AA7664" w14:paraId="4D160FB8"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12D65177"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Gross Profit</w:t>
            </w:r>
          </w:p>
        </w:tc>
        <w:tc>
          <w:tcPr>
            <w:tcW w:w="1454" w:type="dxa"/>
            <w:tcBorders>
              <w:top w:val="nil"/>
              <w:left w:val="nil"/>
              <w:bottom w:val="single" w:sz="4" w:space="0" w:color="auto"/>
              <w:right w:val="single" w:sz="4" w:space="0" w:color="auto"/>
            </w:tcBorders>
            <w:shd w:val="clear" w:color="auto" w:fill="auto"/>
            <w:noWrap/>
            <w:vAlign w:val="bottom"/>
            <w:hideMark/>
          </w:tcPr>
          <w:p w14:paraId="42FFF422"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583000</w:t>
            </w:r>
          </w:p>
        </w:tc>
        <w:tc>
          <w:tcPr>
            <w:tcW w:w="1454" w:type="dxa"/>
            <w:tcBorders>
              <w:top w:val="nil"/>
              <w:left w:val="nil"/>
              <w:bottom w:val="single" w:sz="4" w:space="0" w:color="auto"/>
              <w:right w:val="single" w:sz="4" w:space="0" w:color="auto"/>
            </w:tcBorders>
            <w:shd w:val="clear" w:color="auto" w:fill="auto"/>
            <w:noWrap/>
            <w:vAlign w:val="bottom"/>
            <w:hideMark/>
          </w:tcPr>
          <w:p w14:paraId="70459524"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2435000</w:t>
            </w:r>
          </w:p>
        </w:tc>
        <w:tc>
          <w:tcPr>
            <w:tcW w:w="1169" w:type="dxa"/>
            <w:tcBorders>
              <w:top w:val="nil"/>
              <w:left w:val="nil"/>
              <w:bottom w:val="single" w:sz="4" w:space="0" w:color="auto"/>
              <w:right w:val="single" w:sz="4" w:space="0" w:color="auto"/>
            </w:tcBorders>
            <w:shd w:val="clear" w:color="auto" w:fill="auto"/>
            <w:noWrap/>
            <w:vAlign w:val="bottom"/>
            <w:hideMark/>
          </w:tcPr>
          <w:p w14:paraId="38776949"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-1852000</w:t>
            </w:r>
          </w:p>
        </w:tc>
        <w:tc>
          <w:tcPr>
            <w:tcW w:w="1156" w:type="dxa"/>
            <w:tcBorders>
              <w:top w:val="nil"/>
              <w:left w:val="nil"/>
              <w:bottom w:val="single" w:sz="4" w:space="0" w:color="auto"/>
              <w:right w:val="single" w:sz="4" w:space="0" w:color="auto"/>
            </w:tcBorders>
            <w:shd w:val="clear" w:color="auto" w:fill="auto"/>
            <w:noWrap/>
            <w:vAlign w:val="bottom"/>
            <w:hideMark/>
          </w:tcPr>
          <w:p w14:paraId="580EDBE0"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-76</w:t>
            </w:r>
          </w:p>
        </w:tc>
      </w:tr>
      <w:tr w:rsidR="00803EA4" w:rsidRPr="00AA7664" w14:paraId="4B61FDD6"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6265DC89"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Operating Expenses</w:t>
            </w:r>
          </w:p>
        </w:tc>
        <w:tc>
          <w:tcPr>
            <w:tcW w:w="1454" w:type="dxa"/>
            <w:tcBorders>
              <w:top w:val="nil"/>
              <w:left w:val="nil"/>
              <w:bottom w:val="single" w:sz="4" w:space="0" w:color="auto"/>
              <w:right w:val="single" w:sz="4" w:space="0" w:color="auto"/>
            </w:tcBorders>
            <w:shd w:val="clear" w:color="auto" w:fill="auto"/>
            <w:noWrap/>
            <w:vAlign w:val="bottom"/>
            <w:hideMark/>
          </w:tcPr>
          <w:p w14:paraId="78CA53AD"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702000</w:t>
            </w:r>
          </w:p>
        </w:tc>
        <w:tc>
          <w:tcPr>
            <w:tcW w:w="1454" w:type="dxa"/>
            <w:tcBorders>
              <w:top w:val="nil"/>
              <w:left w:val="nil"/>
              <w:bottom w:val="single" w:sz="4" w:space="0" w:color="auto"/>
              <w:right w:val="single" w:sz="4" w:space="0" w:color="auto"/>
            </w:tcBorders>
            <w:shd w:val="clear" w:color="auto" w:fill="auto"/>
            <w:noWrap/>
            <w:vAlign w:val="bottom"/>
            <w:hideMark/>
          </w:tcPr>
          <w:p w14:paraId="04F900DF"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859000</w:t>
            </w:r>
          </w:p>
        </w:tc>
        <w:tc>
          <w:tcPr>
            <w:tcW w:w="1169" w:type="dxa"/>
            <w:tcBorders>
              <w:top w:val="nil"/>
              <w:left w:val="nil"/>
              <w:bottom w:val="single" w:sz="4" w:space="0" w:color="auto"/>
              <w:right w:val="single" w:sz="4" w:space="0" w:color="auto"/>
            </w:tcBorders>
            <w:shd w:val="clear" w:color="auto" w:fill="auto"/>
            <w:noWrap/>
            <w:vAlign w:val="bottom"/>
            <w:hideMark/>
          </w:tcPr>
          <w:p w14:paraId="5FA32993"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-157000</w:t>
            </w:r>
          </w:p>
        </w:tc>
        <w:tc>
          <w:tcPr>
            <w:tcW w:w="1156" w:type="dxa"/>
            <w:tcBorders>
              <w:top w:val="nil"/>
              <w:left w:val="nil"/>
              <w:bottom w:val="single" w:sz="4" w:space="0" w:color="auto"/>
              <w:right w:val="single" w:sz="4" w:space="0" w:color="auto"/>
            </w:tcBorders>
            <w:shd w:val="clear" w:color="auto" w:fill="auto"/>
            <w:noWrap/>
            <w:vAlign w:val="bottom"/>
            <w:hideMark/>
          </w:tcPr>
          <w:p w14:paraId="117EDFF2"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-18</w:t>
            </w:r>
          </w:p>
        </w:tc>
      </w:tr>
      <w:tr w:rsidR="00803EA4" w:rsidRPr="00AA7664" w14:paraId="64112DE6"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0953DA0E"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Operating Income</w:t>
            </w:r>
          </w:p>
        </w:tc>
        <w:tc>
          <w:tcPr>
            <w:tcW w:w="1454" w:type="dxa"/>
            <w:tcBorders>
              <w:top w:val="nil"/>
              <w:left w:val="nil"/>
              <w:bottom w:val="single" w:sz="4" w:space="0" w:color="auto"/>
              <w:right w:val="single" w:sz="4" w:space="0" w:color="auto"/>
            </w:tcBorders>
            <w:shd w:val="clear" w:color="auto" w:fill="auto"/>
            <w:noWrap/>
            <w:vAlign w:val="bottom"/>
            <w:hideMark/>
          </w:tcPr>
          <w:p w14:paraId="70E1005B"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-119000</w:t>
            </w:r>
          </w:p>
        </w:tc>
        <w:tc>
          <w:tcPr>
            <w:tcW w:w="1454" w:type="dxa"/>
            <w:tcBorders>
              <w:top w:val="nil"/>
              <w:left w:val="nil"/>
              <w:bottom w:val="single" w:sz="4" w:space="0" w:color="auto"/>
              <w:right w:val="single" w:sz="4" w:space="0" w:color="auto"/>
            </w:tcBorders>
            <w:shd w:val="clear" w:color="auto" w:fill="auto"/>
            <w:noWrap/>
            <w:vAlign w:val="bottom"/>
            <w:hideMark/>
          </w:tcPr>
          <w:p w14:paraId="02D7A8E2"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1576000</w:t>
            </w:r>
          </w:p>
        </w:tc>
        <w:tc>
          <w:tcPr>
            <w:tcW w:w="1169" w:type="dxa"/>
            <w:tcBorders>
              <w:top w:val="nil"/>
              <w:left w:val="nil"/>
              <w:bottom w:val="single" w:sz="4" w:space="0" w:color="auto"/>
              <w:right w:val="single" w:sz="4" w:space="0" w:color="auto"/>
            </w:tcBorders>
            <w:shd w:val="clear" w:color="auto" w:fill="auto"/>
            <w:noWrap/>
            <w:vAlign w:val="bottom"/>
            <w:hideMark/>
          </w:tcPr>
          <w:p w14:paraId="2676A977"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-1695000</w:t>
            </w:r>
          </w:p>
        </w:tc>
        <w:tc>
          <w:tcPr>
            <w:tcW w:w="1156" w:type="dxa"/>
            <w:tcBorders>
              <w:top w:val="nil"/>
              <w:left w:val="nil"/>
              <w:bottom w:val="single" w:sz="4" w:space="0" w:color="auto"/>
              <w:right w:val="single" w:sz="4" w:space="0" w:color="auto"/>
            </w:tcBorders>
            <w:shd w:val="clear" w:color="auto" w:fill="auto"/>
            <w:noWrap/>
            <w:vAlign w:val="bottom"/>
            <w:hideMark/>
          </w:tcPr>
          <w:p w14:paraId="314FF906"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-10</w:t>
            </w:r>
            <w:r>
              <w:rPr>
                <w:rFonts w:eastAsia="Times New Roman"/>
                <w:color w:val="000000"/>
                <w:sz w:val="22"/>
              </w:rPr>
              <w:t>8</w:t>
            </w:r>
          </w:p>
        </w:tc>
      </w:tr>
      <w:tr w:rsidR="00803EA4" w:rsidRPr="00AA7664" w14:paraId="05EED35E"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021ABEC7"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Interest Expense</w:t>
            </w:r>
          </w:p>
        </w:tc>
        <w:tc>
          <w:tcPr>
            <w:tcW w:w="1454" w:type="dxa"/>
            <w:tcBorders>
              <w:top w:val="nil"/>
              <w:left w:val="nil"/>
              <w:bottom w:val="single" w:sz="4" w:space="0" w:color="auto"/>
              <w:right w:val="single" w:sz="4" w:space="0" w:color="auto"/>
            </w:tcBorders>
            <w:shd w:val="clear" w:color="auto" w:fill="auto"/>
            <w:noWrap/>
            <w:vAlign w:val="bottom"/>
            <w:hideMark/>
          </w:tcPr>
          <w:p w14:paraId="5715932F"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429000</w:t>
            </w:r>
          </w:p>
        </w:tc>
        <w:tc>
          <w:tcPr>
            <w:tcW w:w="1454" w:type="dxa"/>
            <w:tcBorders>
              <w:top w:val="nil"/>
              <w:left w:val="nil"/>
              <w:bottom w:val="single" w:sz="4" w:space="0" w:color="auto"/>
              <w:right w:val="single" w:sz="4" w:space="0" w:color="auto"/>
            </w:tcBorders>
            <w:shd w:val="clear" w:color="auto" w:fill="auto"/>
            <w:noWrap/>
            <w:vAlign w:val="bottom"/>
            <w:hideMark/>
          </w:tcPr>
          <w:p w14:paraId="71BC696F"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414000</w:t>
            </w:r>
          </w:p>
        </w:tc>
        <w:tc>
          <w:tcPr>
            <w:tcW w:w="1169" w:type="dxa"/>
            <w:tcBorders>
              <w:top w:val="nil"/>
              <w:left w:val="nil"/>
              <w:bottom w:val="single" w:sz="4" w:space="0" w:color="auto"/>
              <w:right w:val="single" w:sz="4" w:space="0" w:color="auto"/>
            </w:tcBorders>
            <w:shd w:val="clear" w:color="auto" w:fill="auto"/>
            <w:noWrap/>
            <w:vAlign w:val="bottom"/>
            <w:hideMark/>
          </w:tcPr>
          <w:p w14:paraId="6425C5BA"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15000</w:t>
            </w:r>
          </w:p>
        </w:tc>
        <w:tc>
          <w:tcPr>
            <w:tcW w:w="1156" w:type="dxa"/>
            <w:tcBorders>
              <w:top w:val="nil"/>
              <w:left w:val="nil"/>
              <w:bottom w:val="single" w:sz="4" w:space="0" w:color="auto"/>
              <w:right w:val="single" w:sz="4" w:space="0" w:color="auto"/>
            </w:tcBorders>
            <w:shd w:val="clear" w:color="auto" w:fill="auto"/>
            <w:noWrap/>
            <w:vAlign w:val="bottom"/>
            <w:hideMark/>
          </w:tcPr>
          <w:p w14:paraId="181F5AE5"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3.6</w:t>
            </w:r>
            <w:r>
              <w:rPr>
                <w:rFonts w:eastAsia="Times New Roman"/>
                <w:color w:val="000000"/>
                <w:sz w:val="22"/>
              </w:rPr>
              <w:t>0</w:t>
            </w:r>
          </w:p>
        </w:tc>
      </w:tr>
      <w:tr w:rsidR="00803EA4" w:rsidRPr="00AA7664" w14:paraId="037609D9"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362F7E43"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Total Other Income/Expenses Net</w:t>
            </w:r>
          </w:p>
        </w:tc>
        <w:tc>
          <w:tcPr>
            <w:tcW w:w="1454" w:type="dxa"/>
            <w:tcBorders>
              <w:top w:val="nil"/>
              <w:left w:val="nil"/>
              <w:bottom w:val="single" w:sz="4" w:space="0" w:color="auto"/>
              <w:right w:val="single" w:sz="4" w:space="0" w:color="auto"/>
            </w:tcBorders>
            <w:shd w:val="clear" w:color="auto" w:fill="auto"/>
            <w:noWrap/>
            <w:vAlign w:val="bottom"/>
            <w:hideMark/>
          </w:tcPr>
          <w:p w14:paraId="570BA442"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-376000</w:t>
            </w:r>
          </w:p>
        </w:tc>
        <w:tc>
          <w:tcPr>
            <w:tcW w:w="1454" w:type="dxa"/>
            <w:tcBorders>
              <w:top w:val="nil"/>
              <w:left w:val="nil"/>
              <w:bottom w:val="single" w:sz="4" w:space="0" w:color="auto"/>
              <w:right w:val="single" w:sz="4" w:space="0" w:color="auto"/>
            </w:tcBorders>
            <w:shd w:val="clear" w:color="auto" w:fill="auto"/>
            <w:noWrap/>
            <w:vAlign w:val="bottom"/>
            <w:hideMark/>
          </w:tcPr>
          <w:p w14:paraId="74A96299"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82000</w:t>
            </w:r>
          </w:p>
        </w:tc>
        <w:tc>
          <w:tcPr>
            <w:tcW w:w="1169" w:type="dxa"/>
            <w:tcBorders>
              <w:top w:val="nil"/>
              <w:left w:val="nil"/>
              <w:bottom w:val="single" w:sz="4" w:space="0" w:color="auto"/>
              <w:right w:val="single" w:sz="4" w:space="0" w:color="auto"/>
            </w:tcBorders>
            <w:shd w:val="clear" w:color="auto" w:fill="auto"/>
            <w:noWrap/>
            <w:vAlign w:val="bottom"/>
            <w:hideMark/>
          </w:tcPr>
          <w:p w14:paraId="213873A1"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-458000</w:t>
            </w:r>
          </w:p>
        </w:tc>
        <w:tc>
          <w:tcPr>
            <w:tcW w:w="1156" w:type="dxa"/>
            <w:tcBorders>
              <w:top w:val="nil"/>
              <w:left w:val="nil"/>
              <w:bottom w:val="single" w:sz="4" w:space="0" w:color="auto"/>
              <w:right w:val="single" w:sz="4" w:space="0" w:color="auto"/>
            </w:tcBorders>
            <w:shd w:val="clear" w:color="auto" w:fill="auto"/>
            <w:noWrap/>
            <w:vAlign w:val="bottom"/>
            <w:hideMark/>
          </w:tcPr>
          <w:p w14:paraId="0DB8BEA2"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-55</w:t>
            </w:r>
            <w:r>
              <w:rPr>
                <w:rFonts w:eastAsia="Times New Roman"/>
                <w:color w:val="000000"/>
                <w:sz w:val="22"/>
              </w:rPr>
              <w:t>9</w:t>
            </w:r>
          </w:p>
        </w:tc>
      </w:tr>
      <w:tr w:rsidR="00803EA4" w:rsidRPr="00AA7664" w14:paraId="0D9263CF"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626477C3"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 xml:space="preserve">Income Before Taxes </w:t>
            </w:r>
          </w:p>
        </w:tc>
        <w:tc>
          <w:tcPr>
            <w:tcW w:w="1454" w:type="dxa"/>
            <w:tcBorders>
              <w:top w:val="nil"/>
              <w:left w:val="nil"/>
              <w:bottom w:val="single" w:sz="4" w:space="0" w:color="auto"/>
              <w:right w:val="single" w:sz="4" w:space="0" w:color="auto"/>
            </w:tcBorders>
            <w:shd w:val="clear" w:color="auto" w:fill="auto"/>
            <w:noWrap/>
            <w:vAlign w:val="bottom"/>
            <w:hideMark/>
          </w:tcPr>
          <w:p w14:paraId="43535AF1"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-924000</w:t>
            </w:r>
          </w:p>
        </w:tc>
        <w:tc>
          <w:tcPr>
            <w:tcW w:w="1454" w:type="dxa"/>
            <w:tcBorders>
              <w:top w:val="nil"/>
              <w:left w:val="nil"/>
              <w:bottom w:val="single" w:sz="4" w:space="0" w:color="auto"/>
              <w:right w:val="single" w:sz="4" w:space="0" w:color="auto"/>
            </w:tcBorders>
            <w:shd w:val="clear" w:color="auto" w:fill="auto"/>
            <w:noWrap/>
            <w:vAlign w:val="bottom"/>
            <w:hideMark/>
          </w:tcPr>
          <w:p w14:paraId="6FD4A6FD"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1244000</w:t>
            </w:r>
          </w:p>
        </w:tc>
        <w:tc>
          <w:tcPr>
            <w:tcW w:w="1169" w:type="dxa"/>
            <w:tcBorders>
              <w:top w:val="nil"/>
              <w:left w:val="nil"/>
              <w:bottom w:val="single" w:sz="4" w:space="0" w:color="auto"/>
              <w:right w:val="single" w:sz="4" w:space="0" w:color="auto"/>
            </w:tcBorders>
            <w:shd w:val="clear" w:color="auto" w:fill="auto"/>
            <w:noWrap/>
            <w:vAlign w:val="bottom"/>
            <w:hideMark/>
          </w:tcPr>
          <w:p w14:paraId="4C173723"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-2168000</w:t>
            </w:r>
          </w:p>
        </w:tc>
        <w:tc>
          <w:tcPr>
            <w:tcW w:w="1156" w:type="dxa"/>
            <w:tcBorders>
              <w:top w:val="nil"/>
              <w:left w:val="nil"/>
              <w:bottom w:val="single" w:sz="4" w:space="0" w:color="auto"/>
              <w:right w:val="single" w:sz="4" w:space="0" w:color="auto"/>
            </w:tcBorders>
            <w:shd w:val="clear" w:color="auto" w:fill="auto"/>
            <w:noWrap/>
            <w:vAlign w:val="bottom"/>
            <w:hideMark/>
          </w:tcPr>
          <w:p w14:paraId="31AB240A"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-174</w:t>
            </w:r>
          </w:p>
        </w:tc>
      </w:tr>
      <w:tr w:rsidR="00803EA4" w:rsidRPr="00AA7664" w14:paraId="3E7A3523" w14:textId="77777777" w:rsidTr="007A4670">
        <w:trPr>
          <w:trHeight w:val="288"/>
        </w:trPr>
        <w:tc>
          <w:tcPr>
            <w:tcW w:w="4067" w:type="dxa"/>
            <w:tcBorders>
              <w:top w:val="nil"/>
              <w:left w:val="single" w:sz="4" w:space="0" w:color="auto"/>
              <w:bottom w:val="single" w:sz="4" w:space="0" w:color="auto"/>
              <w:right w:val="single" w:sz="4" w:space="0" w:color="auto"/>
            </w:tcBorders>
            <w:shd w:val="clear" w:color="auto" w:fill="auto"/>
            <w:noWrap/>
            <w:vAlign w:val="bottom"/>
            <w:hideMark/>
          </w:tcPr>
          <w:p w14:paraId="440BBD50"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Net Income</w:t>
            </w:r>
          </w:p>
        </w:tc>
        <w:tc>
          <w:tcPr>
            <w:tcW w:w="1454" w:type="dxa"/>
            <w:tcBorders>
              <w:top w:val="nil"/>
              <w:left w:val="nil"/>
              <w:bottom w:val="single" w:sz="4" w:space="0" w:color="auto"/>
              <w:right w:val="single" w:sz="4" w:space="0" w:color="auto"/>
            </w:tcBorders>
            <w:shd w:val="clear" w:color="auto" w:fill="auto"/>
            <w:noWrap/>
            <w:vAlign w:val="bottom"/>
            <w:hideMark/>
          </w:tcPr>
          <w:p w14:paraId="116A79FC"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-715000</w:t>
            </w:r>
          </w:p>
        </w:tc>
        <w:tc>
          <w:tcPr>
            <w:tcW w:w="1454" w:type="dxa"/>
            <w:tcBorders>
              <w:top w:val="nil"/>
              <w:left w:val="nil"/>
              <w:bottom w:val="single" w:sz="4" w:space="0" w:color="auto"/>
              <w:right w:val="single" w:sz="4" w:space="0" w:color="auto"/>
            </w:tcBorders>
            <w:shd w:val="clear" w:color="auto" w:fill="auto"/>
            <w:noWrap/>
            <w:vAlign w:val="bottom"/>
            <w:hideMark/>
          </w:tcPr>
          <w:p w14:paraId="3CD67CCF"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881000</w:t>
            </w:r>
          </w:p>
        </w:tc>
        <w:tc>
          <w:tcPr>
            <w:tcW w:w="1169" w:type="dxa"/>
            <w:tcBorders>
              <w:top w:val="nil"/>
              <w:left w:val="nil"/>
              <w:bottom w:val="single" w:sz="4" w:space="0" w:color="auto"/>
              <w:right w:val="single" w:sz="4" w:space="0" w:color="auto"/>
            </w:tcBorders>
            <w:shd w:val="clear" w:color="auto" w:fill="auto"/>
            <w:noWrap/>
            <w:vAlign w:val="bottom"/>
            <w:hideMark/>
          </w:tcPr>
          <w:p w14:paraId="0B7ED6E3"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-1596000</w:t>
            </w:r>
          </w:p>
        </w:tc>
        <w:tc>
          <w:tcPr>
            <w:tcW w:w="1156" w:type="dxa"/>
            <w:tcBorders>
              <w:top w:val="nil"/>
              <w:left w:val="nil"/>
              <w:bottom w:val="single" w:sz="4" w:space="0" w:color="auto"/>
              <w:right w:val="single" w:sz="4" w:space="0" w:color="auto"/>
            </w:tcBorders>
            <w:shd w:val="clear" w:color="auto" w:fill="auto"/>
            <w:noWrap/>
            <w:vAlign w:val="bottom"/>
            <w:hideMark/>
          </w:tcPr>
          <w:p w14:paraId="1C067319" w14:textId="77777777" w:rsidR="00803EA4" w:rsidRPr="00AA7664" w:rsidRDefault="00803EA4" w:rsidP="00012B15">
            <w:pPr>
              <w:spacing w:after="0"/>
              <w:jc w:val="center"/>
              <w:rPr>
                <w:rFonts w:eastAsia="Times New Roman"/>
                <w:color w:val="000000"/>
                <w:sz w:val="22"/>
              </w:rPr>
            </w:pPr>
            <w:r w:rsidRPr="00AA7664">
              <w:rPr>
                <w:rFonts w:eastAsia="Times New Roman"/>
                <w:color w:val="000000"/>
                <w:sz w:val="22"/>
              </w:rPr>
              <w:t>-181</w:t>
            </w:r>
          </w:p>
        </w:tc>
      </w:tr>
    </w:tbl>
    <w:p w14:paraId="71555C40" w14:textId="77777777" w:rsidR="00803EA4" w:rsidRPr="00AA7664" w:rsidRDefault="00803EA4" w:rsidP="00012B15"/>
    <w:p w14:paraId="5F1C1997" w14:textId="77777777" w:rsidR="00803EA4" w:rsidRDefault="00803EA4" w:rsidP="00012B15"/>
    <w:p w14:paraId="4277AF50" w14:textId="63A8F194" w:rsidR="008E356E" w:rsidRDefault="008E356E" w:rsidP="00012B15">
      <w:pPr>
        <w:jc w:val="center"/>
      </w:pPr>
    </w:p>
    <w:p w14:paraId="3E0DECA5" w14:textId="77777777" w:rsidR="008E356E" w:rsidRDefault="0095434A" w:rsidP="00012B15">
      <w:r>
        <w:lastRenderedPageBreak/>
        <w:t>Before starting the analysis, one common underline cause should be mentioned that has significantly influenced the financials of Hilton during the periods. This hidden macroeconomic effect is the advent of the COVID-19 pandemic. Because of Hilton being a hospitality company, it has been severely affected because of the lock downs and restrictions on peoples travel and tourism activities throughout the globe.</w:t>
      </w:r>
    </w:p>
    <w:p w14:paraId="1F9F7F66" w14:textId="10E16C1F" w:rsidR="008E356E" w:rsidRDefault="0095434A" w:rsidP="00012B15">
      <w:r>
        <w:t>From 2019 to 2020, Hilton experienced a decrease of about 54% in its revenue. That is, the revenue of the company filled by more than half due to discontinued tourism activities. This effect was undoubtedly a direct consequence of the pandemic. As a result, the cost of sales of the company should have been reduced to the same extent whereas the reduction in cost was less than the reduction in revenue, being around -47%. This change can be attributed to increase materials of production and service provision for the company.</w:t>
      </w:r>
      <w:r w:rsidR="00A36722">
        <w:t xml:space="preserve"> </w:t>
      </w:r>
      <w:proofErr w:type="gramStart"/>
      <w:r>
        <w:t>As</w:t>
      </w:r>
      <w:proofErr w:type="gramEnd"/>
      <w:r>
        <w:t xml:space="preserve"> a net effect, the gross profit of Hilton has reduced by 76% in comparison with the prior period. The profits were around 2.4 million in 2019 and it was reduced to only about 583,000 in 2020. Despite the reduction in the overall operations, the operating expenses of the company reduced only by 18% from prior period.</w:t>
      </w:r>
      <w:r w:rsidR="009B5D4E" w:rsidRPr="009B5D4E">
        <w:t xml:space="preserve"> </w:t>
      </w:r>
      <w:r w:rsidR="009B5D4E" w:rsidRPr="00AA7664">
        <w:t xml:space="preserve">The only item </w:t>
      </w:r>
      <w:r w:rsidR="00A96D3E">
        <w:t xml:space="preserve">with a </w:t>
      </w:r>
      <w:r w:rsidR="009B5D4E" w:rsidRPr="00AA7664">
        <w:t>positive change of 15000 is interest expense</w:t>
      </w:r>
      <w:r w:rsidR="00A96D3E">
        <w:t xml:space="preserve"> as it </w:t>
      </w:r>
      <w:r w:rsidR="009B5D4E" w:rsidRPr="00AA7664">
        <w:t xml:space="preserve">increased by 3.62% </w:t>
      </w:r>
      <w:r w:rsidR="00A96D3E">
        <w:t>between 2019 and 2020</w:t>
      </w:r>
      <w:r w:rsidR="009B5D4E" w:rsidRPr="00AA7664">
        <w:t>.</w:t>
      </w:r>
      <w:r w:rsidR="009B5D4E">
        <w:t xml:space="preserve"> </w:t>
      </w:r>
      <w:r w:rsidR="009B5D4E" w:rsidRPr="00AA7664">
        <w:t>The</w:t>
      </w:r>
      <w:r w:rsidR="00A96D3E">
        <w:t xml:space="preserve"> most</w:t>
      </w:r>
      <w:r w:rsidR="009B5D4E" w:rsidRPr="00AA7664">
        <w:t xml:space="preserve"> changed</w:t>
      </w:r>
      <w:r w:rsidR="00A96D3E">
        <w:t xml:space="preserve"> item </w:t>
      </w:r>
      <w:r w:rsidR="009B5D4E" w:rsidRPr="00AA7664">
        <w:t>is total other income/expenses net. Th</w:t>
      </w:r>
      <w:r w:rsidR="00A96D3E">
        <w:t>is</w:t>
      </w:r>
      <w:r w:rsidR="009B5D4E" w:rsidRPr="00AA7664">
        <w:t xml:space="preserve"> change was -458000 or -558.54% between two years</w:t>
      </w:r>
      <w:r w:rsidR="00A96D3E">
        <w:t xml:space="preserve">, which </w:t>
      </w:r>
      <w:r w:rsidR="009B5D4E" w:rsidRPr="00AA7664">
        <w:t xml:space="preserve">indicates that </w:t>
      </w:r>
      <w:r w:rsidR="00A96D3E">
        <w:t>while</w:t>
      </w:r>
      <w:r w:rsidR="009B5D4E" w:rsidRPr="00AA7664">
        <w:t xml:space="preserve"> income from other sources was greater than total other expense</w:t>
      </w:r>
      <w:r w:rsidR="00A96D3E">
        <w:t xml:space="preserve"> in 2019,</w:t>
      </w:r>
      <w:r w:rsidR="009B5D4E" w:rsidRPr="00AA7664">
        <w:t xml:space="preserve"> </w:t>
      </w:r>
      <w:r w:rsidR="00A96D3E">
        <w:t>it was the opposite in 2020</w:t>
      </w:r>
      <w:r w:rsidR="009B5D4E" w:rsidRPr="00AA7664">
        <w:t>.</w:t>
      </w:r>
      <w:r w:rsidR="009B5D4E">
        <w:t xml:space="preserve"> </w:t>
      </w:r>
      <w:r w:rsidR="009B5D4E" w:rsidRPr="00AA7664">
        <w:t>The change in net income before tax between two years is -2168000 or -174.28%, This means that net income before tax reduced and resulted in net loss in 2020.</w:t>
      </w:r>
      <w:r w:rsidR="009B5D4E">
        <w:t xml:space="preserve"> </w:t>
      </w:r>
      <w:r>
        <w:t xml:space="preserve">And accounting for the operating expenses and other income and expenses, Hilton had to face a loss of 715,000 in 2020 from a profit of 881,000 in 2019. The percentage change in net profit after tax is beyond imagination, which is </w:t>
      </w:r>
      <w:r w:rsidR="00C958B1">
        <w:t>-</w:t>
      </w:r>
      <w:r>
        <w:t>181%. The common conclusion drawn from the financial operations of Hilton is that any unexpected situations can lead the revenue of the company to fall significantly but costs and expenses do not reduce to the same extent and these activities result in huge losses for the company</w:t>
      </w:r>
      <w:r>
        <w:rPr>
          <w:lang w:val="en-US"/>
        </w:rPr>
        <w:t xml:space="preserve"> (</w:t>
      </w:r>
      <w:r w:rsidR="00012B15">
        <w:rPr>
          <w:lang w:val="en-US"/>
        </w:rPr>
        <w:t xml:space="preserve">Weygandt, Kimmel and </w:t>
      </w:r>
      <w:proofErr w:type="spellStart"/>
      <w:r w:rsidR="00012B15">
        <w:rPr>
          <w:lang w:val="en-US"/>
        </w:rPr>
        <w:t>Kieso</w:t>
      </w:r>
      <w:proofErr w:type="spellEnd"/>
      <w:r>
        <w:rPr>
          <w:lang w:val="en-US"/>
        </w:rPr>
        <w:t>, 2019)</w:t>
      </w:r>
      <w:r>
        <w:t>.</w:t>
      </w:r>
    </w:p>
    <w:p w14:paraId="7C5EDDD0" w14:textId="73F25F09" w:rsidR="000956BE" w:rsidRDefault="000956BE" w:rsidP="00012B15"/>
    <w:p w14:paraId="3434D940" w14:textId="6A7F4530" w:rsidR="00A36722" w:rsidRDefault="00A36722" w:rsidP="00012B15"/>
    <w:p w14:paraId="2F8E3395" w14:textId="77777777" w:rsidR="00A36722" w:rsidRDefault="00A36722" w:rsidP="00012B15"/>
    <w:p w14:paraId="20CADB68" w14:textId="7701796C" w:rsidR="00466925" w:rsidRPr="00AA7664" w:rsidRDefault="00466925" w:rsidP="00012B15"/>
    <w:tbl>
      <w:tblPr>
        <w:tblW w:w="9300" w:type="dxa"/>
        <w:tblLook w:val="04A0" w:firstRow="1" w:lastRow="0" w:firstColumn="1" w:lastColumn="0" w:noHBand="0" w:noVBand="1"/>
      </w:tblPr>
      <w:tblGrid>
        <w:gridCol w:w="4643"/>
        <w:gridCol w:w="1201"/>
        <w:gridCol w:w="1201"/>
        <w:gridCol w:w="1142"/>
        <w:gridCol w:w="1113"/>
      </w:tblGrid>
      <w:tr w:rsidR="00466925" w:rsidRPr="00AA7664" w14:paraId="136C7C82" w14:textId="77777777" w:rsidTr="007A4670">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4FF4BB"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lastRenderedPageBreak/>
              <w:t>Balance Sheet 2019 &amp; 2020</w:t>
            </w:r>
          </w:p>
        </w:tc>
      </w:tr>
      <w:tr w:rsidR="00466925" w:rsidRPr="00AA7664" w14:paraId="195D11F1" w14:textId="77777777" w:rsidTr="007A4670">
        <w:trPr>
          <w:trHeight w:val="288"/>
        </w:trPr>
        <w:tc>
          <w:tcPr>
            <w:tcW w:w="9300"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F14125"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Hilton Worldwide Holdings Inc. (HLT)</w:t>
            </w:r>
          </w:p>
        </w:tc>
      </w:tr>
      <w:tr w:rsidR="00466925" w:rsidRPr="00AA7664" w14:paraId="431BA18F"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22861ACD"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 </w:t>
            </w:r>
          </w:p>
        </w:tc>
        <w:tc>
          <w:tcPr>
            <w:tcW w:w="1201" w:type="dxa"/>
            <w:tcBorders>
              <w:top w:val="nil"/>
              <w:left w:val="nil"/>
              <w:bottom w:val="single" w:sz="4" w:space="0" w:color="auto"/>
              <w:right w:val="single" w:sz="4" w:space="0" w:color="auto"/>
            </w:tcBorders>
            <w:shd w:val="clear" w:color="auto" w:fill="auto"/>
            <w:noWrap/>
            <w:vAlign w:val="bottom"/>
            <w:hideMark/>
          </w:tcPr>
          <w:p w14:paraId="0DBEF28F"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2020</w:t>
            </w:r>
          </w:p>
        </w:tc>
        <w:tc>
          <w:tcPr>
            <w:tcW w:w="1201" w:type="dxa"/>
            <w:tcBorders>
              <w:top w:val="nil"/>
              <w:left w:val="nil"/>
              <w:bottom w:val="single" w:sz="4" w:space="0" w:color="auto"/>
              <w:right w:val="single" w:sz="4" w:space="0" w:color="auto"/>
            </w:tcBorders>
            <w:shd w:val="clear" w:color="auto" w:fill="auto"/>
            <w:noWrap/>
            <w:vAlign w:val="bottom"/>
            <w:hideMark/>
          </w:tcPr>
          <w:p w14:paraId="716C0162"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2019</w:t>
            </w:r>
          </w:p>
        </w:tc>
        <w:tc>
          <w:tcPr>
            <w:tcW w:w="1142" w:type="dxa"/>
            <w:tcBorders>
              <w:top w:val="nil"/>
              <w:left w:val="nil"/>
              <w:bottom w:val="single" w:sz="4" w:space="0" w:color="auto"/>
              <w:right w:val="single" w:sz="4" w:space="0" w:color="auto"/>
            </w:tcBorders>
            <w:shd w:val="clear" w:color="auto" w:fill="auto"/>
            <w:noWrap/>
            <w:vAlign w:val="bottom"/>
            <w:hideMark/>
          </w:tcPr>
          <w:p w14:paraId="577DF799"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Change</w:t>
            </w:r>
          </w:p>
        </w:tc>
        <w:tc>
          <w:tcPr>
            <w:tcW w:w="1113" w:type="dxa"/>
            <w:tcBorders>
              <w:top w:val="nil"/>
              <w:left w:val="nil"/>
              <w:bottom w:val="single" w:sz="4" w:space="0" w:color="auto"/>
              <w:right w:val="single" w:sz="4" w:space="0" w:color="auto"/>
            </w:tcBorders>
            <w:shd w:val="clear" w:color="auto" w:fill="auto"/>
            <w:noWrap/>
            <w:vAlign w:val="bottom"/>
            <w:hideMark/>
          </w:tcPr>
          <w:p w14:paraId="1690911C"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%Change</w:t>
            </w:r>
          </w:p>
        </w:tc>
      </w:tr>
      <w:tr w:rsidR="00466925" w:rsidRPr="00AA7664" w14:paraId="460A9932"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1611C23E"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Current Asset</w:t>
            </w:r>
          </w:p>
        </w:tc>
        <w:tc>
          <w:tcPr>
            <w:tcW w:w="1201" w:type="dxa"/>
            <w:tcBorders>
              <w:top w:val="nil"/>
              <w:left w:val="nil"/>
              <w:bottom w:val="single" w:sz="4" w:space="0" w:color="auto"/>
              <w:right w:val="single" w:sz="4" w:space="0" w:color="auto"/>
            </w:tcBorders>
            <w:shd w:val="clear" w:color="auto" w:fill="auto"/>
            <w:noWrap/>
            <w:vAlign w:val="bottom"/>
            <w:hideMark/>
          </w:tcPr>
          <w:p w14:paraId="42558F74"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4202000</w:t>
            </w:r>
          </w:p>
        </w:tc>
        <w:tc>
          <w:tcPr>
            <w:tcW w:w="1201" w:type="dxa"/>
            <w:tcBorders>
              <w:top w:val="nil"/>
              <w:left w:val="nil"/>
              <w:bottom w:val="single" w:sz="4" w:space="0" w:color="auto"/>
              <w:right w:val="single" w:sz="4" w:space="0" w:color="auto"/>
            </w:tcBorders>
            <w:shd w:val="clear" w:color="auto" w:fill="auto"/>
            <w:noWrap/>
            <w:vAlign w:val="bottom"/>
            <w:hideMark/>
          </w:tcPr>
          <w:p w14:paraId="676D2131"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2093000</w:t>
            </w:r>
          </w:p>
        </w:tc>
        <w:tc>
          <w:tcPr>
            <w:tcW w:w="1142" w:type="dxa"/>
            <w:tcBorders>
              <w:top w:val="nil"/>
              <w:left w:val="nil"/>
              <w:bottom w:val="single" w:sz="4" w:space="0" w:color="auto"/>
              <w:right w:val="single" w:sz="4" w:space="0" w:color="auto"/>
            </w:tcBorders>
            <w:shd w:val="clear" w:color="auto" w:fill="auto"/>
            <w:noWrap/>
            <w:vAlign w:val="bottom"/>
            <w:hideMark/>
          </w:tcPr>
          <w:p w14:paraId="609F3CA6"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2109000</w:t>
            </w:r>
          </w:p>
        </w:tc>
        <w:tc>
          <w:tcPr>
            <w:tcW w:w="1113" w:type="dxa"/>
            <w:tcBorders>
              <w:top w:val="nil"/>
              <w:left w:val="nil"/>
              <w:bottom w:val="single" w:sz="4" w:space="0" w:color="auto"/>
              <w:right w:val="single" w:sz="4" w:space="0" w:color="auto"/>
            </w:tcBorders>
            <w:shd w:val="clear" w:color="auto" w:fill="auto"/>
            <w:noWrap/>
            <w:vAlign w:val="bottom"/>
            <w:hideMark/>
          </w:tcPr>
          <w:p w14:paraId="57E6A311"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10</w:t>
            </w:r>
            <w:r>
              <w:rPr>
                <w:rFonts w:eastAsia="Times New Roman"/>
                <w:color w:val="000000"/>
                <w:sz w:val="22"/>
              </w:rPr>
              <w:t>1</w:t>
            </w:r>
          </w:p>
        </w:tc>
      </w:tr>
      <w:tr w:rsidR="00466925" w:rsidRPr="00AA7664" w14:paraId="4EAA9F85"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1FA3DAB9"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Non-Current Asset</w:t>
            </w:r>
          </w:p>
        </w:tc>
        <w:tc>
          <w:tcPr>
            <w:tcW w:w="1201" w:type="dxa"/>
            <w:tcBorders>
              <w:top w:val="nil"/>
              <w:left w:val="nil"/>
              <w:bottom w:val="single" w:sz="4" w:space="0" w:color="auto"/>
              <w:right w:val="single" w:sz="4" w:space="0" w:color="auto"/>
            </w:tcBorders>
            <w:shd w:val="clear" w:color="auto" w:fill="auto"/>
            <w:noWrap/>
            <w:vAlign w:val="bottom"/>
            <w:hideMark/>
          </w:tcPr>
          <w:p w14:paraId="6C0AB097"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15810000</w:t>
            </w:r>
          </w:p>
        </w:tc>
        <w:tc>
          <w:tcPr>
            <w:tcW w:w="1201" w:type="dxa"/>
            <w:tcBorders>
              <w:top w:val="nil"/>
              <w:left w:val="nil"/>
              <w:bottom w:val="single" w:sz="4" w:space="0" w:color="auto"/>
              <w:right w:val="single" w:sz="4" w:space="0" w:color="auto"/>
            </w:tcBorders>
            <w:shd w:val="clear" w:color="auto" w:fill="auto"/>
            <w:noWrap/>
            <w:vAlign w:val="bottom"/>
            <w:hideMark/>
          </w:tcPr>
          <w:p w14:paraId="71257256"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12558000</w:t>
            </w:r>
          </w:p>
        </w:tc>
        <w:tc>
          <w:tcPr>
            <w:tcW w:w="1142" w:type="dxa"/>
            <w:tcBorders>
              <w:top w:val="nil"/>
              <w:left w:val="nil"/>
              <w:bottom w:val="single" w:sz="4" w:space="0" w:color="auto"/>
              <w:right w:val="single" w:sz="4" w:space="0" w:color="auto"/>
            </w:tcBorders>
            <w:shd w:val="clear" w:color="auto" w:fill="auto"/>
            <w:noWrap/>
            <w:vAlign w:val="bottom"/>
            <w:hideMark/>
          </w:tcPr>
          <w:p w14:paraId="44A03338"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3252000</w:t>
            </w:r>
          </w:p>
        </w:tc>
        <w:tc>
          <w:tcPr>
            <w:tcW w:w="1113" w:type="dxa"/>
            <w:tcBorders>
              <w:top w:val="nil"/>
              <w:left w:val="nil"/>
              <w:bottom w:val="single" w:sz="4" w:space="0" w:color="auto"/>
              <w:right w:val="single" w:sz="4" w:space="0" w:color="auto"/>
            </w:tcBorders>
            <w:shd w:val="clear" w:color="auto" w:fill="auto"/>
            <w:noWrap/>
            <w:vAlign w:val="bottom"/>
            <w:hideMark/>
          </w:tcPr>
          <w:p w14:paraId="50D9CD6D"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2</w:t>
            </w:r>
            <w:r>
              <w:rPr>
                <w:rFonts w:eastAsia="Times New Roman"/>
                <w:color w:val="000000"/>
                <w:sz w:val="22"/>
              </w:rPr>
              <w:t>6</w:t>
            </w:r>
          </w:p>
        </w:tc>
      </w:tr>
      <w:tr w:rsidR="00466925" w:rsidRPr="00AA7664" w14:paraId="4D54253C"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02B691C1"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Total Asset</w:t>
            </w:r>
          </w:p>
        </w:tc>
        <w:tc>
          <w:tcPr>
            <w:tcW w:w="1201" w:type="dxa"/>
            <w:tcBorders>
              <w:top w:val="nil"/>
              <w:left w:val="nil"/>
              <w:bottom w:val="single" w:sz="4" w:space="0" w:color="auto"/>
              <w:right w:val="single" w:sz="4" w:space="0" w:color="auto"/>
            </w:tcBorders>
            <w:shd w:val="clear" w:color="auto" w:fill="auto"/>
            <w:noWrap/>
            <w:vAlign w:val="bottom"/>
            <w:hideMark/>
          </w:tcPr>
          <w:p w14:paraId="310243D3"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16755000</w:t>
            </w:r>
          </w:p>
        </w:tc>
        <w:tc>
          <w:tcPr>
            <w:tcW w:w="1201" w:type="dxa"/>
            <w:tcBorders>
              <w:top w:val="nil"/>
              <w:left w:val="nil"/>
              <w:bottom w:val="single" w:sz="4" w:space="0" w:color="auto"/>
              <w:right w:val="single" w:sz="4" w:space="0" w:color="auto"/>
            </w:tcBorders>
            <w:shd w:val="clear" w:color="auto" w:fill="auto"/>
            <w:noWrap/>
            <w:vAlign w:val="bottom"/>
            <w:hideMark/>
          </w:tcPr>
          <w:p w14:paraId="3EF0BDA9"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14957000</w:t>
            </w:r>
          </w:p>
        </w:tc>
        <w:tc>
          <w:tcPr>
            <w:tcW w:w="1142" w:type="dxa"/>
            <w:tcBorders>
              <w:top w:val="nil"/>
              <w:left w:val="nil"/>
              <w:bottom w:val="single" w:sz="4" w:space="0" w:color="auto"/>
              <w:right w:val="single" w:sz="4" w:space="0" w:color="auto"/>
            </w:tcBorders>
            <w:shd w:val="clear" w:color="auto" w:fill="auto"/>
            <w:noWrap/>
            <w:vAlign w:val="bottom"/>
            <w:hideMark/>
          </w:tcPr>
          <w:p w14:paraId="34A8DC3B"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1798000</w:t>
            </w:r>
          </w:p>
        </w:tc>
        <w:tc>
          <w:tcPr>
            <w:tcW w:w="1113" w:type="dxa"/>
            <w:tcBorders>
              <w:top w:val="nil"/>
              <w:left w:val="nil"/>
              <w:bottom w:val="single" w:sz="4" w:space="0" w:color="auto"/>
              <w:right w:val="single" w:sz="4" w:space="0" w:color="auto"/>
            </w:tcBorders>
            <w:shd w:val="clear" w:color="auto" w:fill="auto"/>
            <w:noWrap/>
            <w:vAlign w:val="bottom"/>
            <w:hideMark/>
          </w:tcPr>
          <w:p w14:paraId="4D15831F"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12</w:t>
            </w:r>
          </w:p>
        </w:tc>
      </w:tr>
      <w:tr w:rsidR="00466925" w:rsidRPr="00AA7664" w14:paraId="5CDFEFFC"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30255AFF"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Current Liabilities</w:t>
            </w:r>
          </w:p>
        </w:tc>
        <w:tc>
          <w:tcPr>
            <w:tcW w:w="1201" w:type="dxa"/>
            <w:tcBorders>
              <w:top w:val="nil"/>
              <w:left w:val="nil"/>
              <w:bottom w:val="single" w:sz="4" w:space="0" w:color="auto"/>
              <w:right w:val="single" w:sz="4" w:space="0" w:color="auto"/>
            </w:tcBorders>
            <w:shd w:val="clear" w:color="auto" w:fill="auto"/>
            <w:noWrap/>
            <w:vAlign w:val="bottom"/>
            <w:hideMark/>
          </w:tcPr>
          <w:p w14:paraId="2420A734"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2431000</w:t>
            </w:r>
          </w:p>
        </w:tc>
        <w:tc>
          <w:tcPr>
            <w:tcW w:w="1201" w:type="dxa"/>
            <w:tcBorders>
              <w:top w:val="nil"/>
              <w:left w:val="nil"/>
              <w:bottom w:val="single" w:sz="4" w:space="0" w:color="auto"/>
              <w:right w:val="single" w:sz="4" w:space="0" w:color="auto"/>
            </w:tcBorders>
            <w:shd w:val="clear" w:color="auto" w:fill="auto"/>
            <w:noWrap/>
            <w:vAlign w:val="bottom"/>
            <w:hideMark/>
          </w:tcPr>
          <w:p w14:paraId="13BB4312"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2871000</w:t>
            </w:r>
          </w:p>
        </w:tc>
        <w:tc>
          <w:tcPr>
            <w:tcW w:w="1142" w:type="dxa"/>
            <w:tcBorders>
              <w:top w:val="nil"/>
              <w:left w:val="nil"/>
              <w:bottom w:val="single" w:sz="4" w:space="0" w:color="auto"/>
              <w:right w:val="single" w:sz="4" w:space="0" w:color="auto"/>
            </w:tcBorders>
            <w:shd w:val="clear" w:color="auto" w:fill="auto"/>
            <w:noWrap/>
            <w:vAlign w:val="bottom"/>
            <w:hideMark/>
          </w:tcPr>
          <w:p w14:paraId="1208C077"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-440000</w:t>
            </w:r>
          </w:p>
        </w:tc>
        <w:tc>
          <w:tcPr>
            <w:tcW w:w="1113" w:type="dxa"/>
            <w:tcBorders>
              <w:top w:val="nil"/>
              <w:left w:val="nil"/>
              <w:bottom w:val="single" w:sz="4" w:space="0" w:color="auto"/>
              <w:right w:val="single" w:sz="4" w:space="0" w:color="auto"/>
            </w:tcBorders>
            <w:shd w:val="clear" w:color="auto" w:fill="auto"/>
            <w:noWrap/>
            <w:vAlign w:val="bottom"/>
            <w:hideMark/>
          </w:tcPr>
          <w:p w14:paraId="74CC4E2C"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-15</w:t>
            </w:r>
          </w:p>
        </w:tc>
      </w:tr>
      <w:tr w:rsidR="00466925" w:rsidRPr="00AA7664" w14:paraId="0080918D"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16067615"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Non-Current Liabilities</w:t>
            </w:r>
          </w:p>
        </w:tc>
        <w:tc>
          <w:tcPr>
            <w:tcW w:w="1201" w:type="dxa"/>
            <w:tcBorders>
              <w:top w:val="nil"/>
              <w:left w:val="nil"/>
              <w:bottom w:val="single" w:sz="4" w:space="0" w:color="auto"/>
              <w:right w:val="single" w:sz="4" w:space="0" w:color="auto"/>
            </w:tcBorders>
            <w:shd w:val="clear" w:color="auto" w:fill="auto"/>
            <w:noWrap/>
            <w:vAlign w:val="bottom"/>
            <w:hideMark/>
          </w:tcPr>
          <w:p w14:paraId="10ECCDD0"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15810000</w:t>
            </w:r>
          </w:p>
        </w:tc>
        <w:tc>
          <w:tcPr>
            <w:tcW w:w="1201" w:type="dxa"/>
            <w:tcBorders>
              <w:top w:val="nil"/>
              <w:left w:val="nil"/>
              <w:bottom w:val="single" w:sz="4" w:space="0" w:color="auto"/>
              <w:right w:val="single" w:sz="4" w:space="0" w:color="auto"/>
            </w:tcBorders>
            <w:shd w:val="clear" w:color="auto" w:fill="auto"/>
            <w:noWrap/>
            <w:vAlign w:val="bottom"/>
            <w:hideMark/>
          </w:tcPr>
          <w:p w14:paraId="67A0514B"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12558000</w:t>
            </w:r>
          </w:p>
        </w:tc>
        <w:tc>
          <w:tcPr>
            <w:tcW w:w="1142" w:type="dxa"/>
            <w:tcBorders>
              <w:top w:val="nil"/>
              <w:left w:val="nil"/>
              <w:bottom w:val="single" w:sz="4" w:space="0" w:color="auto"/>
              <w:right w:val="single" w:sz="4" w:space="0" w:color="auto"/>
            </w:tcBorders>
            <w:shd w:val="clear" w:color="auto" w:fill="auto"/>
            <w:noWrap/>
            <w:vAlign w:val="bottom"/>
            <w:hideMark/>
          </w:tcPr>
          <w:p w14:paraId="0C5B94F3"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3252000</w:t>
            </w:r>
          </w:p>
        </w:tc>
        <w:tc>
          <w:tcPr>
            <w:tcW w:w="1113" w:type="dxa"/>
            <w:tcBorders>
              <w:top w:val="nil"/>
              <w:left w:val="nil"/>
              <w:bottom w:val="single" w:sz="4" w:space="0" w:color="auto"/>
              <w:right w:val="single" w:sz="4" w:space="0" w:color="auto"/>
            </w:tcBorders>
            <w:shd w:val="clear" w:color="auto" w:fill="auto"/>
            <w:noWrap/>
            <w:vAlign w:val="bottom"/>
            <w:hideMark/>
          </w:tcPr>
          <w:p w14:paraId="306DD491"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2</w:t>
            </w:r>
            <w:r>
              <w:rPr>
                <w:rFonts w:eastAsia="Times New Roman"/>
                <w:color w:val="000000"/>
                <w:sz w:val="22"/>
              </w:rPr>
              <w:t>6</w:t>
            </w:r>
          </w:p>
        </w:tc>
      </w:tr>
      <w:tr w:rsidR="00466925" w:rsidRPr="00AA7664" w14:paraId="62F364CC"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5F5C7DA7"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Total Liabilities</w:t>
            </w:r>
          </w:p>
        </w:tc>
        <w:tc>
          <w:tcPr>
            <w:tcW w:w="1201" w:type="dxa"/>
            <w:tcBorders>
              <w:top w:val="nil"/>
              <w:left w:val="nil"/>
              <w:bottom w:val="single" w:sz="4" w:space="0" w:color="auto"/>
              <w:right w:val="single" w:sz="4" w:space="0" w:color="auto"/>
            </w:tcBorders>
            <w:shd w:val="clear" w:color="auto" w:fill="auto"/>
            <w:noWrap/>
            <w:vAlign w:val="bottom"/>
            <w:hideMark/>
          </w:tcPr>
          <w:p w14:paraId="7A4D48AE"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18241000</w:t>
            </w:r>
          </w:p>
        </w:tc>
        <w:tc>
          <w:tcPr>
            <w:tcW w:w="1201" w:type="dxa"/>
            <w:tcBorders>
              <w:top w:val="nil"/>
              <w:left w:val="nil"/>
              <w:bottom w:val="single" w:sz="4" w:space="0" w:color="auto"/>
              <w:right w:val="single" w:sz="4" w:space="0" w:color="auto"/>
            </w:tcBorders>
            <w:shd w:val="clear" w:color="auto" w:fill="auto"/>
            <w:noWrap/>
            <w:vAlign w:val="bottom"/>
            <w:hideMark/>
          </w:tcPr>
          <w:p w14:paraId="01EA3ECA"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15429000</w:t>
            </w:r>
          </w:p>
        </w:tc>
        <w:tc>
          <w:tcPr>
            <w:tcW w:w="1142" w:type="dxa"/>
            <w:tcBorders>
              <w:top w:val="nil"/>
              <w:left w:val="nil"/>
              <w:bottom w:val="single" w:sz="4" w:space="0" w:color="auto"/>
              <w:right w:val="single" w:sz="4" w:space="0" w:color="auto"/>
            </w:tcBorders>
            <w:shd w:val="clear" w:color="auto" w:fill="auto"/>
            <w:noWrap/>
            <w:vAlign w:val="bottom"/>
            <w:hideMark/>
          </w:tcPr>
          <w:p w14:paraId="12777D5D"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2812000</w:t>
            </w:r>
          </w:p>
        </w:tc>
        <w:tc>
          <w:tcPr>
            <w:tcW w:w="1113" w:type="dxa"/>
            <w:tcBorders>
              <w:top w:val="nil"/>
              <w:left w:val="nil"/>
              <w:bottom w:val="single" w:sz="4" w:space="0" w:color="auto"/>
              <w:right w:val="single" w:sz="4" w:space="0" w:color="auto"/>
            </w:tcBorders>
            <w:shd w:val="clear" w:color="auto" w:fill="auto"/>
            <w:noWrap/>
            <w:vAlign w:val="bottom"/>
            <w:hideMark/>
          </w:tcPr>
          <w:p w14:paraId="0D111230"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18</w:t>
            </w:r>
          </w:p>
        </w:tc>
      </w:tr>
      <w:tr w:rsidR="00466925" w:rsidRPr="00AA7664" w14:paraId="3D9E1223"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2E6ECA24"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Common Stock</w:t>
            </w:r>
          </w:p>
        </w:tc>
        <w:tc>
          <w:tcPr>
            <w:tcW w:w="1201" w:type="dxa"/>
            <w:tcBorders>
              <w:top w:val="nil"/>
              <w:left w:val="nil"/>
              <w:bottom w:val="single" w:sz="4" w:space="0" w:color="auto"/>
              <w:right w:val="single" w:sz="4" w:space="0" w:color="auto"/>
            </w:tcBorders>
            <w:shd w:val="clear" w:color="auto" w:fill="auto"/>
            <w:noWrap/>
            <w:vAlign w:val="bottom"/>
            <w:hideMark/>
          </w:tcPr>
          <w:p w14:paraId="6B4D8D5C"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3000</w:t>
            </w:r>
          </w:p>
        </w:tc>
        <w:tc>
          <w:tcPr>
            <w:tcW w:w="1201" w:type="dxa"/>
            <w:tcBorders>
              <w:top w:val="nil"/>
              <w:left w:val="nil"/>
              <w:bottom w:val="single" w:sz="4" w:space="0" w:color="auto"/>
              <w:right w:val="single" w:sz="4" w:space="0" w:color="auto"/>
            </w:tcBorders>
            <w:shd w:val="clear" w:color="auto" w:fill="auto"/>
            <w:noWrap/>
            <w:vAlign w:val="bottom"/>
            <w:hideMark/>
          </w:tcPr>
          <w:p w14:paraId="1934EACD"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3000</w:t>
            </w:r>
          </w:p>
        </w:tc>
        <w:tc>
          <w:tcPr>
            <w:tcW w:w="1142" w:type="dxa"/>
            <w:tcBorders>
              <w:top w:val="nil"/>
              <w:left w:val="nil"/>
              <w:bottom w:val="single" w:sz="4" w:space="0" w:color="auto"/>
              <w:right w:val="single" w:sz="4" w:space="0" w:color="auto"/>
            </w:tcBorders>
            <w:shd w:val="clear" w:color="auto" w:fill="auto"/>
            <w:noWrap/>
            <w:vAlign w:val="bottom"/>
            <w:hideMark/>
          </w:tcPr>
          <w:p w14:paraId="1E206F00"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0</w:t>
            </w:r>
          </w:p>
        </w:tc>
        <w:tc>
          <w:tcPr>
            <w:tcW w:w="1113" w:type="dxa"/>
            <w:tcBorders>
              <w:top w:val="nil"/>
              <w:left w:val="nil"/>
              <w:bottom w:val="single" w:sz="4" w:space="0" w:color="auto"/>
              <w:right w:val="single" w:sz="4" w:space="0" w:color="auto"/>
            </w:tcBorders>
            <w:shd w:val="clear" w:color="auto" w:fill="auto"/>
            <w:noWrap/>
            <w:vAlign w:val="bottom"/>
            <w:hideMark/>
          </w:tcPr>
          <w:p w14:paraId="5D4F1323"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0.00%</w:t>
            </w:r>
          </w:p>
        </w:tc>
      </w:tr>
      <w:tr w:rsidR="00466925" w:rsidRPr="00AA7664" w14:paraId="3C10D3B2"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742A9C2F"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Retained Earnings</w:t>
            </w:r>
          </w:p>
        </w:tc>
        <w:tc>
          <w:tcPr>
            <w:tcW w:w="1201" w:type="dxa"/>
            <w:tcBorders>
              <w:top w:val="nil"/>
              <w:left w:val="nil"/>
              <w:bottom w:val="single" w:sz="4" w:space="0" w:color="auto"/>
              <w:right w:val="single" w:sz="4" w:space="0" w:color="auto"/>
            </w:tcBorders>
            <w:shd w:val="clear" w:color="auto" w:fill="auto"/>
            <w:noWrap/>
            <w:vAlign w:val="bottom"/>
            <w:hideMark/>
          </w:tcPr>
          <w:p w14:paraId="21B69E41"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-6732000</w:t>
            </w:r>
          </w:p>
        </w:tc>
        <w:tc>
          <w:tcPr>
            <w:tcW w:w="1201" w:type="dxa"/>
            <w:tcBorders>
              <w:top w:val="nil"/>
              <w:left w:val="nil"/>
              <w:bottom w:val="single" w:sz="4" w:space="0" w:color="auto"/>
              <w:right w:val="single" w:sz="4" w:space="0" w:color="auto"/>
            </w:tcBorders>
            <w:shd w:val="clear" w:color="auto" w:fill="auto"/>
            <w:noWrap/>
            <w:vAlign w:val="bottom"/>
            <w:hideMark/>
          </w:tcPr>
          <w:p w14:paraId="75E1DBBB"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-5965000</w:t>
            </w:r>
          </w:p>
        </w:tc>
        <w:tc>
          <w:tcPr>
            <w:tcW w:w="1142" w:type="dxa"/>
            <w:tcBorders>
              <w:top w:val="nil"/>
              <w:left w:val="nil"/>
              <w:bottom w:val="single" w:sz="4" w:space="0" w:color="auto"/>
              <w:right w:val="single" w:sz="4" w:space="0" w:color="auto"/>
            </w:tcBorders>
            <w:shd w:val="clear" w:color="auto" w:fill="auto"/>
            <w:noWrap/>
            <w:vAlign w:val="bottom"/>
            <w:hideMark/>
          </w:tcPr>
          <w:p w14:paraId="74B79702"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-767000</w:t>
            </w:r>
          </w:p>
        </w:tc>
        <w:tc>
          <w:tcPr>
            <w:tcW w:w="1113" w:type="dxa"/>
            <w:tcBorders>
              <w:top w:val="nil"/>
              <w:left w:val="nil"/>
              <w:bottom w:val="single" w:sz="4" w:space="0" w:color="auto"/>
              <w:right w:val="single" w:sz="4" w:space="0" w:color="auto"/>
            </w:tcBorders>
            <w:shd w:val="clear" w:color="auto" w:fill="auto"/>
            <w:noWrap/>
            <w:vAlign w:val="bottom"/>
            <w:hideMark/>
          </w:tcPr>
          <w:p w14:paraId="42290E27"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1</w:t>
            </w:r>
            <w:r>
              <w:rPr>
                <w:rFonts w:eastAsia="Times New Roman"/>
                <w:color w:val="000000"/>
                <w:sz w:val="22"/>
              </w:rPr>
              <w:t>3</w:t>
            </w:r>
          </w:p>
        </w:tc>
      </w:tr>
      <w:tr w:rsidR="00466925" w:rsidRPr="00AA7664" w14:paraId="30F398BD"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6C963239"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Total Shareholder's Equity</w:t>
            </w:r>
          </w:p>
        </w:tc>
        <w:tc>
          <w:tcPr>
            <w:tcW w:w="1201" w:type="dxa"/>
            <w:tcBorders>
              <w:top w:val="nil"/>
              <w:left w:val="nil"/>
              <w:bottom w:val="single" w:sz="4" w:space="0" w:color="auto"/>
              <w:right w:val="single" w:sz="4" w:space="0" w:color="auto"/>
            </w:tcBorders>
            <w:shd w:val="clear" w:color="auto" w:fill="auto"/>
            <w:noWrap/>
            <w:vAlign w:val="bottom"/>
            <w:hideMark/>
          </w:tcPr>
          <w:p w14:paraId="59119763"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-1490000</w:t>
            </w:r>
          </w:p>
        </w:tc>
        <w:tc>
          <w:tcPr>
            <w:tcW w:w="1201" w:type="dxa"/>
            <w:tcBorders>
              <w:top w:val="nil"/>
              <w:left w:val="nil"/>
              <w:bottom w:val="single" w:sz="4" w:space="0" w:color="auto"/>
              <w:right w:val="single" w:sz="4" w:space="0" w:color="auto"/>
            </w:tcBorders>
            <w:shd w:val="clear" w:color="auto" w:fill="auto"/>
            <w:noWrap/>
            <w:vAlign w:val="bottom"/>
            <w:hideMark/>
          </w:tcPr>
          <w:p w14:paraId="12E99359"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-482000</w:t>
            </w:r>
          </w:p>
        </w:tc>
        <w:tc>
          <w:tcPr>
            <w:tcW w:w="1142" w:type="dxa"/>
            <w:tcBorders>
              <w:top w:val="nil"/>
              <w:left w:val="nil"/>
              <w:bottom w:val="single" w:sz="4" w:space="0" w:color="auto"/>
              <w:right w:val="single" w:sz="4" w:space="0" w:color="auto"/>
            </w:tcBorders>
            <w:shd w:val="clear" w:color="auto" w:fill="auto"/>
            <w:noWrap/>
            <w:vAlign w:val="bottom"/>
            <w:hideMark/>
          </w:tcPr>
          <w:p w14:paraId="25C683C4"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-1008000</w:t>
            </w:r>
          </w:p>
        </w:tc>
        <w:tc>
          <w:tcPr>
            <w:tcW w:w="1113" w:type="dxa"/>
            <w:tcBorders>
              <w:top w:val="nil"/>
              <w:left w:val="nil"/>
              <w:bottom w:val="single" w:sz="4" w:space="0" w:color="auto"/>
              <w:right w:val="single" w:sz="4" w:space="0" w:color="auto"/>
            </w:tcBorders>
            <w:shd w:val="clear" w:color="auto" w:fill="auto"/>
            <w:noWrap/>
            <w:vAlign w:val="bottom"/>
            <w:hideMark/>
          </w:tcPr>
          <w:p w14:paraId="4BB9C627"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209</w:t>
            </w:r>
          </w:p>
        </w:tc>
      </w:tr>
      <w:tr w:rsidR="00466925" w:rsidRPr="00AA7664" w14:paraId="7BCC7975" w14:textId="77777777" w:rsidTr="007A4670">
        <w:trPr>
          <w:trHeight w:val="288"/>
        </w:trPr>
        <w:tc>
          <w:tcPr>
            <w:tcW w:w="4643" w:type="dxa"/>
            <w:tcBorders>
              <w:top w:val="nil"/>
              <w:left w:val="single" w:sz="4" w:space="0" w:color="auto"/>
              <w:bottom w:val="single" w:sz="4" w:space="0" w:color="auto"/>
              <w:right w:val="single" w:sz="4" w:space="0" w:color="auto"/>
            </w:tcBorders>
            <w:shd w:val="clear" w:color="auto" w:fill="auto"/>
            <w:noWrap/>
            <w:vAlign w:val="bottom"/>
            <w:hideMark/>
          </w:tcPr>
          <w:p w14:paraId="0C376AF2"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Total Liabilities and Stockholder's Equity</w:t>
            </w:r>
          </w:p>
        </w:tc>
        <w:tc>
          <w:tcPr>
            <w:tcW w:w="1201" w:type="dxa"/>
            <w:tcBorders>
              <w:top w:val="nil"/>
              <w:left w:val="nil"/>
              <w:bottom w:val="single" w:sz="4" w:space="0" w:color="auto"/>
              <w:right w:val="single" w:sz="4" w:space="0" w:color="auto"/>
            </w:tcBorders>
            <w:shd w:val="clear" w:color="auto" w:fill="auto"/>
            <w:noWrap/>
            <w:vAlign w:val="bottom"/>
            <w:hideMark/>
          </w:tcPr>
          <w:p w14:paraId="450E890D"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16755000</w:t>
            </w:r>
          </w:p>
        </w:tc>
        <w:tc>
          <w:tcPr>
            <w:tcW w:w="1201" w:type="dxa"/>
            <w:tcBorders>
              <w:top w:val="nil"/>
              <w:left w:val="nil"/>
              <w:bottom w:val="single" w:sz="4" w:space="0" w:color="auto"/>
              <w:right w:val="single" w:sz="4" w:space="0" w:color="auto"/>
            </w:tcBorders>
            <w:shd w:val="clear" w:color="auto" w:fill="auto"/>
            <w:noWrap/>
            <w:vAlign w:val="bottom"/>
            <w:hideMark/>
          </w:tcPr>
          <w:p w14:paraId="59AC87F8"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14957000</w:t>
            </w:r>
          </w:p>
        </w:tc>
        <w:tc>
          <w:tcPr>
            <w:tcW w:w="1142" w:type="dxa"/>
            <w:tcBorders>
              <w:top w:val="nil"/>
              <w:left w:val="nil"/>
              <w:bottom w:val="single" w:sz="4" w:space="0" w:color="auto"/>
              <w:right w:val="single" w:sz="4" w:space="0" w:color="auto"/>
            </w:tcBorders>
            <w:shd w:val="clear" w:color="auto" w:fill="auto"/>
            <w:noWrap/>
            <w:vAlign w:val="bottom"/>
            <w:hideMark/>
          </w:tcPr>
          <w:p w14:paraId="4AE9238A" w14:textId="77777777" w:rsidR="00466925" w:rsidRPr="00AA7664" w:rsidRDefault="00466925" w:rsidP="00012B15">
            <w:pPr>
              <w:spacing w:after="0"/>
              <w:rPr>
                <w:rFonts w:eastAsia="Times New Roman"/>
                <w:color w:val="000000"/>
                <w:sz w:val="22"/>
              </w:rPr>
            </w:pPr>
            <w:r w:rsidRPr="00AA7664">
              <w:rPr>
                <w:rFonts w:eastAsia="Times New Roman"/>
                <w:color w:val="000000"/>
                <w:sz w:val="22"/>
              </w:rPr>
              <w:t>1798000</w:t>
            </w:r>
          </w:p>
        </w:tc>
        <w:tc>
          <w:tcPr>
            <w:tcW w:w="1113" w:type="dxa"/>
            <w:tcBorders>
              <w:top w:val="nil"/>
              <w:left w:val="nil"/>
              <w:bottom w:val="single" w:sz="4" w:space="0" w:color="auto"/>
              <w:right w:val="single" w:sz="4" w:space="0" w:color="auto"/>
            </w:tcBorders>
            <w:shd w:val="clear" w:color="auto" w:fill="auto"/>
            <w:noWrap/>
            <w:vAlign w:val="bottom"/>
            <w:hideMark/>
          </w:tcPr>
          <w:p w14:paraId="6D0534EE" w14:textId="77777777" w:rsidR="00466925" w:rsidRPr="00AA7664" w:rsidRDefault="00466925" w:rsidP="00012B15">
            <w:pPr>
              <w:spacing w:after="0"/>
              <w:jc w:val="center"/>
              <w:rPr>
                <w:rFonts w:eastAsia="Times New Roman"/>
                <w:color w:val="000000"/>
                <w:sz w:val="22"/>
              </w:rPr>
            </w:pPr>
            <w:r w:rsidRPr="00AA7664">
              <w:rPr>
                <w:rFonts w:eastAsia="Times New Roman"/>
                <w:color w:val="000000"/>
                <w:sz w:val="22"/>
              </w:rPr>
              <w:t>12</w:t>
            </w:r>
          </w:p>
        </w:tc>
      </w:tr>
    </w:tbl>
    <w:p w14:paraId="6E5C6607" w14:textId="77777777" w:rsidR="00466925" w:rsidRPr="00AA7664" w:rsidRDefault="00466925" w:rsidP="00012B15"/>
    <w:p w14:paraId="68222754" w14:textId="5484B03A" w:rsidR="00F33733" w:rsidRDefault="0095434A" w:rsidP="00012B15">
      <w:r>
        <w:t>Now looking at the statement of financial position part of the table, it appears that current assets where almost doubled in 2020 than in 2019. Noncurrent assets on the other hand increased as well by 26%. This increase in current and noncurrent assets can be attributable to the increase in noncurrent liability to the same extent.</w:t>
      </w:r>
      <w:r w:rsidR="00466925" w:rsidRPr="00466925">
        <w:t xml:space="preserve"> </w:t>
      </w:r>
      <w:r w:rsidR="00A96D3E">
        <w:t>T</w:t>
      </w:r>
      <w:r w:rsidR="00466925" w:rsidRPr="00AA7664">
        <w:t>he total asset has increased 1798000 or 12% in 2020 than total asset of 2019.</w:t>
      </w:r>
      <w:r w:rsidR="008E40DD">
        <w:t xml:space="preserve"> </w:t>
      </w:r>
      <w:r w:rsidR="00A96D3E">
        <w:t>However</w:t>
      </w:r>
      <w:r w:rsidR="00466925" w:rsidRPr="00AA7664">
        <w:t xml:space="preserve">, </w:t>
      </w:r>
      <w:r w:rsidR="00A96D3E">
        <w:t xml:space="preserve">there is evidently </w:t>
      </w:r>
      <w:r w:rsidR="00466925" w:rsidRPr="00AA7664">
        <w:t xml:space="preserve">a decrease of 15% or 440000 in current liabilities in 2020 and </w:t>
      </w:r>
      <w:r w:rsidR="00A96D3E">
        <w:t xml:space="preserve">an </w:t>
      </w:r>
      <w:r w:rsidR="00466925" w:rsidRPr="00AA7664">
        <w:t>increase of 2</w:t>
      </w:r>
      <w:r w:rsidR="008E40DD">
        <w:t>6</w:t>
      </w:r>
      <w:r w:rsidR="00466925" w:rsidRPr="00AA7664">
        <w:t>% or 3252000 in non-current liabilities.</w:t>
      </w:r>
      <w:r w:rsidR="008E40DD">
        <w:t xml:space="preserve"> </w:t>
      </w:r>
      <w:r w:rsidR="00A96D3E">
        <w:t>Therefore</w:t>
      </w:r>
      <w:r w:rsidR="00466925" w:rsidRPr="00AA7664">
        <w:t xml:space="preserve">, the total liabilities increased </w:t>
      </w:r>
      <w:r w:rsidR="00A96D3E">
        <w:t xml:space="preserve">by </w:t>
      </w:r>
      <w:r w:rsidR="00466925" w:rsidRPr="00AA7664">
        <w:t>about 18% or 2812000 in 2020 compared to 2019.The</w:t>
      </w:r>
      <w:r w:rsidR="00A96D3E">
        <w:t xml:space="preserve">re was no change in </w:t>
      </w:r>
      <w:r w:rsidR="00466925" w:rsidRPr="00AA7664">
        <w:t>common stock number</w:t>
      </w:r>
      <w:r w:rsidR="00A96D3E">
        <w:t xml:space="preserve"> throughout </w:t>
      </w:r>
      <w:r w:rsidR="00466925" w:rsidRPr="00AA7664">
        <w:t>the years</w:t>
      </w:r>
      <w:r w:rsidR="00A96D3E">
        <w:t xml:space="preserve">, so </w:t>
      </w:r>
      <w:r w:rsidR="00466925" w:rsidRPr="00AA7664">
        <w:t>no new common stock has been issued.</w:t>
      </w:r>
      <w:r w:rsidR="008E40DD">
        <w:t xml:space="preserve"> </w:t>
      </w:r>
      <w:r w:rsidR="00466925" w:rsidRPr="00AA7664">
        <w:t>We can also see an increased retained loss of 767000 in 2020. In other words, the retained loss increased 1</w:t>
      </w:r>
      <w:r w:rsidR="008E40DD">
        <w:t xml:space="preserve">3% </w:t>
      </w:r>
      <w:r w:rsidR="00466925" w:rsidRPr="00AA7664">
        <w:t>more in 2020 than 2019.</w:t>
      </w:r>
      <w:r w:rsidR="00F33733">
        <w:t>T</w:t>
      </w:r>
      <w:r>
        <w:t>he stockholders’ equity for Hilton decreased from -482,000 in 2019 to -1,490,000 in 2020. This change is 209% which is obviously significant and a real cause of concern for the management of the company</w:t>
      </w:r>
      <w:r w:rsidR="00B372CA">
        <w:t>.</w:t>
      </w:r>
      <w:r>
        <w:t xml:space="preserve"> The stockholders’ equity of negative 1.5 million bears a very bad impression to investors in the market who will not find confidence in investing in the company</w:t>
      </w:r>
      <w:r>
        <w:rPr>
          <w:lang w:val="en-US"/>
        </w:rPr>
        <w:t xml:space="preserve"> (</w:t>
      </w:r>
      <w:proofErr w:type="spellStart"/>
      <w:r w:rsidR="002666A5">
        <w:rPr>
          <w:lang w:val="en-US"/>
        </w:rPr>
        <w:t>Kieso</w:t>
      </w:r>
      <w:proofErr w:type="spellEnd"/>
      <w:r w:rsidR="002666A5">
        <w:rPr>
          <w:lang w:val="en-US"/>
        </w:rPr>
        <w:t xml:space="preserve">, </w:t>
      </w:r>
      <w:proofErr w:type="gramStart"/>
      <w:r w:rsidR="002666A5">
        <w:rPr>
          <w:lang w:val="en-US"/>
        </w:rPr>
        <w:t>Weygandt,  and</w:t>
      </w:r>
      <w:proofErr w:type="gramEnd"/>
      <w:r w:rsidR="002666A5">
        <w:rPr>
          <w:lang w:val="en-US"/>
        </w:rPr>
        <w:t xml:space="preserve"> Warfield</w:t>
      </w:r>
      <w:r>
        <w:rPr>
          <w:lang w:val="en-US"/>
        </w:rPr>
        <w:t>, 2018)</w:t>
      </w:r>
      <w:r>
        <w:t>.</w:t>
      </w:r>
      <w:r w:rsidR="00B372CA">
        <w:t xml:space="preserve"> </w:t>
      </w:r>
    </w:p>
    <w:p w14:paraId="75C20742" w14:textId="7D66B45C" w:rsidR="008E356E" w:rsidRDefault="00F33733" w:rsidP="00012B15">
      <w:r>
        <w:t>Finally,</w:t>
      </w:r>
      <w:r w:rsidR="00B372CA">
        <w:t xml:space="preserve"> </w:t>
      </w:r>
      <w:r w:rsidR="00B372CA" w:rsidRPr="00AA7664">
        <w:t xml:space="preserve">we can see the total liability and shareholder’s equity has increased 12% or 1798000 in 2020 compared to 2019. This was mostly because of the increase in non-current liabilities. </w:t>
      </w:r>
      <w:r w:rsidR="0095434A">
        <w:t xml:space="preserve"> To come out of this situation in a profitable way, the company should look for alternative sources of </w:t>
      </w:r>
      <w:r w:rsidR="0095434A">
        <w:lastRenderedPageBreak/>
        <w:t>revenue and Foster sustainable growth by conducting intensive research and development activities.</w:t>
      </w:r>
    </w:p>
    <w:p w14:paraId="2F9D7314" w14:textId="77777777" w:rsidR="008E356E" w:rsidRDefault="008E356E" w:rsidP="00012B15"/>
    <w:p w14:paraId="465482BC" w14:textId="77777777" w:rsidR="008E356E" w:rsidRDefault="0095434A" w:rsidP="00012B15">
      <w:pPr>
        <w:pStyle w:val="Heading1"/>
      </w:pPr>
      <w:bookmarkStart w:id="2" w:name="_Toc103683222"/>
      <w:r>
        <w:t>Other Financial Ratios</w:t>
      </w:r>
      <w:bookmarkEnd w:id="2"/>
    </w:p>
    <w:p w14:paraId="3328302D" w14:textId="77777777" w:rsidR="008E356E" w:rsidRDefault="0095434A" w:rsidP="00012B15">
      <w:r>
        <w:t>Below are some other important ratios and their interpretation in light of the financial data of Hilton for financial years 2019 and 2020.</w:t>
      </w:r>
    </w:p>
    <w:p w14:paraId="27CD0BEF" w14:textId="77777777" w:rsidR="008E356E" w:rsidRDefault="0095434A" w:rsidP="00012B15">
      <w:pPr>
        <w:jc w:val="center"/>
      </w:pPr>
      <w:r>
        <w:rPr>
          <w:noProof/>
          <w:lang w:val="en-US"/>
        </w:rPr>
        <w:drawing>
          <wp:inline distT="0" distB="0" distL="0" distR="0" wp14:anchorId="6E0EE67E" wp14:editId="4CAD553A">
            <wp:extent cx="5495925" cy="1343025"/>
            <wp:effectExtent l="0" t="0" r="9525" b="9525"/>
            <wp:docPr id="1027"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7" cstate="print"/>
                    <a:srcRect/>
                    <a:stretch/>
                  </pic:blipFill>
                  <pic:spPr>
                    <a:xfrm>
                      <a:off x="0" y="0"/>
                      <a:ext cx="5495925" cy="1343025"/>
                    </a:xfrm>
                    <a:prstGeom prst="rect">
                      <a:avLst/>
                    </a:prstGeom>
                    <a:ln>
                      <a:noFill/>
                    </a:ln>
                  </pic:spPr>
                </pic:pic>
              </a:graphicData>
            </a:graphic>
          </wp:inline>
        </w:drawing>
      </w:r>
    </w:p>
    <w:p w14:paraId="004FA4A6" w14:textId="348E78FC" w:rsidR="008E356E" w:rsidRDefault="0095434A" w:rsidP="00012B15">
      <w:pPr>
        <w:jc w:val="center"/>
        <w:rPr>
          <w:i/>
          <w:iCs/>
          <w:sz w:val="20"/>
          <w:szCs w:val="18"/>
        </w:rPr>
      </w:pPr>
      <w:r>
        <w:rPr>
          <w:i/>
          <w:iCs/>
          <w:sz w:val="20"/>
          <w:szCs w:val="18"/>
        </w:rPr>
        <w:t xml:space="preserve">Table </w:t>
      </w:r>
      <w:r w:rsidR="0044027F">
        <w:rPr>
          <w:i/>
          <w:iCs/>
          <w:sz w:val="20"/>
          <w:szCs w:val="18"/>
        </w:rPr>
        <w:t>1</w:t>
      </w:r>
      <w:r>
        <w:rPr>
          <w:i/>
          <w:iCs/>
          <w:sz w:val="20"/>
          <w:szCs w:val="18"/>
        </w:rPr>
        <w:t>: Relevant ratio calculation for Hilton Worldwide Inc in 2019 and 2020 (Student’s Analysis, 2022)</w:t>
      </w:r>
    </w:p>
    <w:p w14:paraId="0A6C1919" w14:textId="77777777" w:rsidR="008E356E" w:rsidRDefault="0095434A" w:rsidP="00012B15">
      <w:pPr>
        <w:rPr>
          <w:lang w:val="en-US"/>
        </w:rPr>
      </w:pPr>
      <w:r>
        <w:rPr>
          <w:lang w:val="en-US"/>
        </w:rPr>
        <w:t>The debt-to-asset ratio implies what portion of a company's total assets constitute the company's total debt (Robinson, 2020). For Hilton in the given table, its debt-to-asset ratio was 0.84 in 2019 which increased to 0.94 in 2020. The higher the debt-to-asset ratio, the higher the chances that a company can default on its outstanding long-term loans and borrowings. For Hilton in 2020, 94% of its total assets are clogged up as debt implying a high leverage risk for the company. Hence, the company's leverage risk is very significant (Wilson, 2018). As such, if sudden claims by debtholders are made on the company's assets, Hilton may have to liquidate its business.</w:t>
      </w:r>
    </w:p>
    <w:p w14:paraId="700B8EAD" w14:textId="77777777" w:rsidR="008E356E" w:rsidRDefault="0095434A" w:rsidP="00012B15">
      <w:pPr>
        <w:rPr>
          <w:lang w:val="en-US"/>
        </w:rPr>
      </w:pPr>
      <w:r>
        <w:rPr>
          <w:lang w:val="en-US"/>
        </w:rPr>
        <w:t>The return on asset (ROA) for Hilton was almost 6% in 2019 which reduced significantly and became negative 4% in 2020. That is, the company incurred losses in 2020. A negative return on asset signals negative information in the market which may hurt share prices in the short term.</w:t>
      </w:r>
    </w:p>
    <w:p w14:paraId="066D6CB7" w14:textId="77777777" w:rsidR="008E356E" w:rsidRDefault="0095434A" w:rsidP="00012B15">
      <w:pPr>
        <w:rPr>
          <w:lang w:val="en-US"/>
        </w:rPr>
      </w:pPr>
      <w:r>
        <w:rPr>
          <w:lang w:val="en-US"/>
        </w:rPr>
        <w:t>The net margin of Hilton reduced from positive 9% in 2019 to negative 16% in 2020. That is, despite selling sufficiently, the company could not generate profits in 2020. This loss situation has decreased the company's equity. The operating margin of the company has also followed the same trend. It was positive in 2019 but reduce significantly and indicated a negative operating margin in 2020.</w:t>
      </w:r>
    </w:p>
    <w:p w14:paraId="2EF065FF" w14:textId="248D4F57" w:rsidR="008E356E" w:rsidRDefault="0095434A" w:rsidP="00012B15">
      <w:pPr>
        <w:rPr>
          <w:lang w:val="en-US"/>
        </w:rPr>
      </w:pPr>
      <w:r>
        <w:rPr>
          <w:lang w:val="en-US"/>
        </w:rPr>
        <w:lastRenderedPageBreak/>
        <w:t>The current ratio implies the liquidity of a company by providing a measure of the ratio between the company's current assets and current liabilities (</w:t>
      </w:r>
      <w:proofErr w:type="spellStart"/>
      <w:r w:rsidR="00012B15">
        <w:rPr>
          <w:lang w:val="en-US"/>
        </w:rPr>
        <w:t>Wahlen</w:t>
      </w:r>
      <w:proofErr w:type="spellEnd"/>
      <w:r w:rsidR="00012B15">
        <w:rPr>
          <w:lang w:val="en-US"/>
        </w:rPr>
        <w:t xml:space="preserve">, </w:t>
      </w:r>
      <w:proofErr w:type="gramStart"/>
      <w:r w:rsidR="00012B15">
        <w:rPr>
          <w:lang w:val="en-US"/>
        </w:rPr>
        <w:t>Bradshaw,  and</w:t>
      </w:r>
      <w:proofErr w:type="gramEnd"/>
      <w:r w:rsidR="00012B15">
        <w:rPr>
          <w:lang w:val="en-US"/>
        </w:rPr>
        <w:t xml:space="preserve"> </w:t>
      </w:r>
      <w:proofErr w:type="spellStart"/>
      <w:r w:rsidR="00012B15">
        <w:rPr>
          <w:lang w:val="en-US"/>
        </w:rPr>
        <w:t>Baginski</w:t>
      </w:r>
      <w:proofErr w:type="spellEnd"/>
      <w:r w:rsidR="00012B15">
        <w:rPr>
          <w:lang w:val="en-US"/>
        </w:rPr>
        <w:t>,</w:t>
      </w:r>
      <w:r>
        <w:rPr>
          <w:lang w:val="en-US"/>
        </w:rPr>
        <w:t xml:space="preserve"> 2018). The current ratio of Hilton in 2019 was 0.73, implying that the company had only 0.73 pound current asset for every 1 pound of current liability. The position in 2020 went positive, however, the current ratio being 1.73 which was quite near to the standard. The higher the current ratio of a company, the stronger the company's liquidity to meet the demand for short-term creditors instantly.</w:t>
      </w:r>
    </w:p>
    <w:p w14:paraId="5785C658" w14:textId="77777777" w:rsidR="008E356E" w:rsidRDefault="008E356E" w:rsidP="00012B15"/>
    <w:p w14:paraId="42170E96" w14:textId="77777777" w:rsidR="008E356E" w:rsidRDefault="008E356E" w:rsidP="00012B15"/>
    <w:p w14:paraId="09976A8F" w14:textId="77777777" w:rsidR="008E356E" w:rsidRDefault="0095434A" w:rsidP="00012B15">
      <w:pPr>
        <w:jc w:val="left"/>
      </w:pPr>
      <w:r>
        <w:br w:type="page"/>
      </w:r>
    </w:p>
    <w:p w14:paraId="10DFB02A" w14:textId="77777777" w:rsidR="008E356E" w:rsidRDefault="0095434A" w:rsidP="00012B15">
      <w:pPr>
        <w:pStyle w:val="Heading1"/>
      </w:pPr>
      <w:bookmarkStart w:id="3" w:name="_Toc103683223"/>
      <w:r>
        <w:lastRenderedPageBreak/>
        <w:t>Importance of Ratio Analysis in Decision Making</w:t>
      </w:r>
      <w:bookmarkEnd w:id="3"/>
    </w:p>
    <w:p w14:paraId="70760848" w14:textId="77777777" w:rsidR="008E356E" w:rsidRDefault="0095434A" w:rsidP="00012B15">
      <w:pPr>
        <w:rPr>
          <w:lang w:val="en-US"/>
        </w:rPr>
      </w:pPr>
      <w:r>
        <w:rPr>
          <w:lang w:val="en-US"/>
        </w:rPr>
        <w:t>Russian analysis provides relative measure in standard absolute comparison and that is why it is very relevant in comparative analysis both horizontally and vertically. The importance of ratio analysis in decision making in terms of Hilton is as follows.</w:t>
      </w:r>
    </w:p>
    <w:p w14:paraId="7B28A7DE" w14:textId="1CB273C9" w:rsidR="008E356E" w:rsidRDefault="0095434A" w:rsidP="00012B15">
      <w:pPr>
        <w:rPr>
          <w:lang w:val="en-US"/>
        </w:rPr>
      </w:pPr>
      <w:r>
        <w:rPr>
          <w:lang w:val="en-US"/>
        </w:rPr>
        <w:t xml:space="preserve">1. Logical comparison: Ratio analysis measures various financial variables and compares them on the basis of relative measures such as the percentage. For example, the absolute change in the sales figure of a company from one period to another is unnecessary unless it can be measured the ratio of the change </w:t>
      </w:r>
      <w:proofErr w:type="gramStart"/>
      <w:r>
        <w:rPr>
          <w:lang w:val="en-US"/>
        </w:rPr>
        <w:t>in light of</w:t>
      </w:r>
      <w:proofErr w:type="gramEnd"/>
      <w:r>
        <w:rPr>
          <w:lang w:val="en-US"/>
        </w:rPr>
        <w:t xml:space="preserve"> the sales figure in the prior period (Gibson, 2013). </w:t>
      </w:r>
    </w:p>
    <w:p w14:paraId="61BCD746" w14:textId="0510B1DA" w:rsidR="008E356E" w:rsidRDefault="0095434A" w:rsidP="00012B15">
      <w:pPr>
        <w:rPr>
          <w:lang w:val="en-US"/>
        </w:rPr>
      </w:pPr>
      <w:r>
        <w:rPr>
          <w:lang w:val="en-US"/>
        </w:rPr>
        <w:t xml:space="preserve">2. Business risk identification: Ratio analysis provides various measures of risk by comparing a company's current and noncurrent liabilities with other variables. </w:t>
      </w:r>
    </w:p>
    <w:p w14:paraId="249B7A5D" w14:textId="77777777" w:rsidR="008E356E" w:rsidRDefault="0095434A" w:rsidP="00012B15">
      <w:pPr>
        <w:rPr>
          <w:lang w:val="en-US"/>
        </w:rPr>
      </w:pPr>
      <w:r>
        <w:rPr>
          <w:lang w:val="en-US"/>
        </w:rPr>
        <w:t>3. Planning and future forecasting: Ratio analysis helps the company to identify and observe past trends in various figures such as sales or operating income. Based on the trend in a specific variable change, the future estimate of the variable can easily be made on the basis of the past information which is calculated through ratio analysis.</w:t>
      </w:r>
    </w:p>
    <w:p w14:paraId="7BB204C5" w14:textId="1A52418A" w:rsidR="008E356E" w:rsidRDefault="0095434A" w:rsidP="00012B15">
      <w:pPr>
        <w:rPr>
          <w:lang w:val="en-US"/>
        </w:rPr>
      </w:pPr>
      <w:r>
        <w:rPr>
          <w:lang w:val="en-US"/>
        </w:rPr>
        <w:t>4. Measures of efficiency: Ratio analysis provides the guideline for measuring the efficiency of the operations of a company. For example, the horizontal analysis in sales figures and profit figures indicates how better or works the performance of the company has been in terms of the prior period (</w:t>
      </w:r>
      <w:r w:rsidR="002666A5">
        <w:rPr>
          <w:lang w:val="en-US"/>
        </w:rPr>
        <w:t xml:space="preserve">Thomas, </w:t>
      </w:r>
      <w:proofErr w:type="spellStart"/>
      <w:r w:rsidR="002666A5">
        <w:rPr>
          <w:lang w:val="en-US"/>
        </w:rPr>
        <w:t>Tietz</w:t>
      </w:r>
      <w:proofErr w:type="spellEnd"/>
      <w:r w:rsidR="002666A5">
        <w:rPr>
          <w:lang w:val="en-US"/>
        </w:rPr>
        <w:t>,</w:t>
      </w:r>
      <w:r w:rsidR="002666A5">
        <w:rPr>
          <w:lang w:val="en-US"/>
        </w:rPr>
        <w:t xml:space="preserve"> and Harrison</w:t>
      </w:r>
      <w:r>
        <w:rPr>
          <w:lang w:val="en-US"/>
        </w:rPr>
        <w:t xml:space="preserve">, 2019). </w:t>
      </w:r>
    </w:p>
    <w:p w14:paraId="776DE23D" w14:textId="77777777" w:rsidR="008E356E" w:rsidRDefault="0095434A" w:rsidP="00012B15">
      <w:pPr>
        <w:rPr>
          <w:lang w:val="en-US"/>
        </w:rPr>
      </w:pPr>
      <w:r>
        <w:rPr>
          <w:lang w:val="en-US"/>
        </w:rPr>
        <w:t>5. Way of corrective actions: A company can make period to period comparison through ratio analysis to find what negative changes have taken place regarding the financials of the company. If the management games any negative change to be of great significance, it can identify the reasons for such change and take necessary correct directions so that the change can be reduced or eliminated to an acceptable level.</w:t>
      </w:r>
    </w:p>
    <w:p w14:paraId="44060BC2" w14:textId="261C22B2" w:rsidR="008E356E" w:rsidRPr="00E07D44" w:rsidRDefault="0095434A" w:rsidP="00012B15">
      <w:pPr>
        <w:rPr>
          <w:lang w:val="en-US"/>
        </w:rPr>
      </w:pPr>
      <w:r>
        <w:rPr>
          <w:lang w:val="en-US"/>
        </w:rPr>
        <w:t>6. Comparison between businesses of unequal sizes: It is undoubtedly illogical to compare the financial strength and performance of a large business with those of another small business in the same industry. But ratio analysis provides a comparative or relative measure (</w:t>
      </w:r>
      <w:proofErr w:type="gramStart"/>
      <w:r>
        <w:rPr>
          <w:lang w:val="en-US"/>
        </w:rPr>
        <w:t>F  J</w:t>
      </w:r>
      <w:proofErr w:type="gramEnd"/>
      <w:r>
        <w:rPr>
          <w:lang w:val="en-US"/>
        </w:rPr>
        <w:t xml:space="preserve">  C Benade </w:t>
      </w:r>
      <w:r w:rsidRPr="00E07D44">
        <w:rPr>
          <w:i/>
          <w:iCs/>
          <w:lang w:val="en-US"/>
        </w:rPr>
        <w:t>et al</w:t>
      </w:r>
      <w:r>
        <w:rPr>
          <w:lang w:val="en-US"/>
        </w:rPr>
        <w:t>, 2017). From that perspective, even a logical comparison can be made between a large and small business.</w:t>
      </w:r>
      <w:r>
        <w:br w:type="page"/>
      </w:r>
    </w:p>
    <w:p w14:paraId="36FDF355" w14:textId="77777777" w:rsidR="008E356E" w:rsidRDefault="0095434A" w:rsidP="00012B15">
      <w:pPr>
        <w:pStyle w:val="Heading1"/>
      </w:pPr>
      <w:bookmarkStart w:id="4" w:name="_Toc103683224"/>
      <w:r>
        <w:lastRenderedPageBreak/>
        <w:t>Limitations of Ratio Analysis</w:t>
      </w:r>
      <w:bookmarkEnd w:id="4"/>
    </w:p>
    <w:p w14:paraId="476CE642" w14:textId="77777777" w:rsidR="008E356E" w:rsidRDefault="0095434A" w:rsidP="00012B15">
      <w:pPr>
        <w:rPr>
          <w:lang w:val="en-US"/>
        </w:rPr>
      </w:pPr>
      <w:r>
        <w:rPr>
          <w:lang w:val="en-US"/>
        </w:rPr>
        <w:t>As I have discussed that ratio analysis is significantly a key player in the effective decision making of any company like Hilton. It has some limitations as well which are important to know so that the probable pitfalls during business decisions can be avoided and taken proper care of. The limitations are:</w:t>
      </w:r>
    </w:p>
    <w:p w14:paraId="37CA5EC6" w14:textId="77777777" w:rsidR="008E356E" w:rsidRDefault="0095434A" w:rsidP="00012B15">
      <w:pPr>
        <w:rPr>
          <w:lang w:val="en-US"/>
        </w:rPr>
      </w:pPr>
      <w:r>
        <w:rPr>
          <w:lang w:val="en-US"/>
        </w:rPr>
        <w:t>1. Historical information: Critics argue that the information on whose basis the ratio analysis is performed is historical and it does not relate to the current or future period. From that perspective, analysing past data is not quite useful because the events have already occurred. However, past information is still useful in predicting future trends and taking corrective actions.</w:t>
      </w:r>
    </w:p>
    <w:p w14:paraId="69A2A1E0" w14:textId="77777777" w:rsidR="008E356E" w:rsidRDefault="0095434A" w:rsidP="00012B15">
      <w:pPr>
        <w:rPr>
          <w:lang w:val="en-US"/>
        </w:rPr>
      </w:pPr>
      <w:r>
        <w:rPr>
          <w:lang w:val="en-US"/>
        </w:rPr>
        <w:t>2. No importance on external factors: The external factors such as the market impression or the effect of current research and development on future sales are overlooked. That is, ratio analysis is limited to only the internal financial variables of the company which are obviously calculated but it does not takes into account other external factors.</w:t>
      </w:r>
    </w:p>
    <w:p w14:paraId="1F290750" w14:textId="55407D84" w:rsidR="008E356E" w:rsidRDefault="0095434A" w:rsidP="00012B15">
      <w:pPr>
        <w:rPr>
          <w:lang w:val="en-US"/>
        </w:rPr>
      </w:pPr>
      <w:r>
        <w:rPr>
          <w:lang w:val="en-US"/>
        </w:rPr>
        <w:t>3. No focus on the human element: Ratio analysis only focuses on the outcome but it does not shed any light on the human element of the organisation which is the building block of organisational efficiency and revenue generation. For example, one efficient department of head of Hilton may be significant to the efficient operations of the company (</w:t>
      </w:r>
      <w:proofErr w:type="spellStart"/>
      <w:r w:rsidR="00E07D44">
        <w:rPr>
          <w:lang w:val="en-US"/>
        </w:rPr>
        <w:t>Steffy</w:t>
      </w:r>
      <w:proofErr w:type="spellEnd"/>
      <w:r w:rsidR="00E07D44">
        <w:rPr>
          <w:lang w:val="en-US"/>
        </w:rPr>
        <w:t xml:space="preserve">, </w:t>
      </w:r>
      <w:proofErr w:type="spellStart"/>
      <w:proofErr w:type="gramStart"/>
      <w:r w:rsidR="00E07D44">
        <w:rPr>
          <w:lang w:val="en-US"/>
        </w:rPr>
        <w:t>Zearley</w:t>
      </w:r>
      <w:proofErr w:type="spellEnd"/>
      <w:r w:rsidR="00E07D44">
        <w:rPr>
          <w:lang w:val="en-US"/>
        </w:rPr>
        <w:t>,  and</w:t>
      </w:r>
      <w:proofErr w:type="gramEnd"/>
      <w:r w:rsidR="00E07D44">
        <w:rPr>
          <w:lang w:val="en-US"/>
        </w:rPr>
        <w:t xml:space="preserve"> Strunk,  </w:t>
      </w:r>
      <w:r>
        <w:rPr>
          <w:lang w:val="en-US"/>
        </w:rPr>
        <w:t>2014). His skills, abilities, and experiences are not reflected in the ratio analysis.</w:t>
      </w:r>
    </w:p>
    <w:p w14:paraId="040A41FC" w14:textId="77777777" w:rsidR="008E356E" w:rsidRDefault="0095434A" w:rsidP="00012B15">
      <w:pPr>
        <w:rPr>
          <w:lang w:val="en-US"/>
        </w:rPr>
      </w:pPr>
      <w:r>
        <w:rPr>
          <w:lang w:val="en-US"/>
        </w:rPr>
        <w:t>4. No consideration of seasonal effect: Sometimes, the amount of sales and relevant cost of sales there is from season to season or from quarter to quarter due to the type of the product the company operates in (Green, 2013). For example, Hilton and its business activities remain completely occupied during the summer season when the demand for travel and tourism services is high. The opposite occurs when the summer is gone and in other seasons Hilton does not generate the same amount of revenue as in summer. Therefore, such analysis makes the comparison illogical when making comparisons from one season to another or from one quarter to another.</w:t>
      </w:r>
    </w:p>
    <w:p w14:paraId="189223AF" w14:textId="77777777" w:rsidR="008E356E" w:rsidRDefault="0095434A" w:rsidP="00012B15">
      <w:pPr>
        <w:rPr>
          <w:lang w:val="en-US"/>
        </w:rPr>
      </w:pPr>
      <w:r>
        <w:rPr>
          <w:lang w:val="en-US"/>
        </w:rPr>
        <w:t xml:space="preserve">Despite all the limitations discussed, ratio analysis is essential for companies as well as other stakeholders to have a clear and complete ID about the financials and the relationship between variables of the company. </w:t>
      </w:r>
    </w:p>
    <w:p w14:paraId="396FC0D3" w14:textId="77777777" w:rsidR="008E356E" w:rsidRDefault="0095434A" w:rsidP="00012B15">
      <w:pPr>
        <w:pStyle w:val="Heading1"/>
      </w:pPr>
      <w:r>
        <w:br w:type="page"/>
      </w:r>
      <w:bookmarkStart w:id="5" w:name="_Toc103683225"/>
      <w:r>
        <w:lastRenderedPageBreak/>
        <w:t>Conclusion</w:t>
      </w:r>
      <w:bookmarkEnd w:id="5"/>
    </w:p>
    <w:p w14:paraId="0F4526BD" w14:textId="77777777" w:rsidR="008E356E" w:rsidRDefault="0095434A" w:rsidP="00012B15">
      <w:r>
        <w:rPr>
          <w:lang w:val="en-US"/>
        </w:rPr>
        <w:t xml:space="preserve">The ratio analysis for Hilton revealed the poor financial condition and performance of Hilton in 2020 in comparison with 2019. As stated earlier, the downward trend in profits and operations was due to the advent of the COVID-19 pandemic. The last situation also had negative complications on the market price of the shares of the company. It is recommended that the company undertakes innovative actions to regenerate the lost profits through providing more products and services than before. </w:t>
      </w:r>
    </w:p>
    <w:p w14:paraId="6AEBCA18" w14:textId="77777777" w:rsidR="008E356E" w:rsidRDefault="0095434A" w:rsidP="00012B15">
      <w:pPr>
        <w:jc w:val="left"/>
      </w:pPr>
      <w:r>
        <w:br w:type="page"/>
      </w:r>
    </w:p>
    <w:p w14:paraId="72B4E5B7" w14:textId="77777777" w:rsidR="008E356E" w:rsidRDefault="0095434A" w:rsidP="00012B15">
      <w:pPr>
        <w:pStyle w:val="Heading1"/>
      </w:pPr>
      <w:bookmarkStart w:id="6" w:name="_Toc103683226"/>
      <w:r>
        <w:lastRenderedPageBreak/>
        <w:t>References</w:t>
      </w:r>
      <w:bookmarkEnd w:id="6"/>
    </w:p>
    <w:p w14:paraId="20DD8602" w14:textId="56FEC76A" w:rsidR="008E356E" w:rsidRDefault="0095434A" w:rsidP="00012B15">
      <w:pPr>
        <w:rPr>
          <w:lang w:val="en-US"/>
        </w:rPr>
      </w:pPr>
      <w:proofErr w:type="gramStart"/>
      <w:r>
        <w:rPr>
          <w:lang w:val="en-US"/>
        </w:rPr>
        <w:t>F  J</w:t>
      </w:r>
      <w:proofErr w:type="gramEnd"/>
      <w:r>
        <w:rPr>
          <w:lang w:val="en-US"/>
        </w:rPr>
        <w:t xml:space="preserve">  C Benade, Skae, F.O., A Combrink, A De Graff, Jonker, W.D., S Ndlovu, Nobatyi, A.E., Plant, G.J., Steyn, B.L. and M Steyn (2017) Managerial finance. Durban: Lexisnexis.</w:t>
      </w:r>
    </w:p>
    <w:p w14:paraId="6D6ABD2F" w14:textId="0735070D" w:rsidR="008E356E" w:rsidRDefault="0095434A" w:rsidP="00012B15">
      <w:pPr>
        <w:rPr>
          <w:lang w:val="en-US"/>
        </w:rPr>
      </w:pPr>
      <w:r>
        <w:rPr>
          <w:lang w:val="en-US"/>
        </w:rPr>
        <w:t>Gibson, C.H. (2013) Financial statement analysis. Mason, Ohio: South-Western ; Andover.</w:t>
      </w:r>
    </w:p>
    <w:p w14:paraId="32E8B8B3" w14:textId="185C3386" w:rsidR="008E356E" w:rsidRDefault="0095434A" w:rsidP="00012B15">
      <w:pPr>
        <w:rPr>
          <w:lang w:val="en-US"/>
        </w:rPr>
      </w:pPr>
      <w:r>
        <w:rPr>
          <w:lang w:val="en-US"/>
        </w:rPr>
        <w:t>Green, J. (2013) Financial Statement Analysis and Equity Valuation. SSRN Electronic Journal. doi:10.2139/ssrn.2271238.</w:t>
      </w:r>
    </w:p>
    <w:p w14:paraId="250271FD" w14:textId="24315F31" w:rsidR="008E356E" w:rsidRDefault="0095434A" w:rsidP="00012B15">
      <w:pPr>
        <w:rPr>
          <w:lang w:val="en-US"/>
        </w:rPr>
      </w:pPr>
      <w:r>
        <w:rPr>
          <w:lang w:val="en-US"/>
        </w:rPr>
        <w:t>Kieso, D.E., Weygandt, J.J. and Warfield, T.D. (2018) Intermediate accounting. Hoboken, Nj Wiley.</w:t>
      </w:r>
    </w:p>
    <w:p w14:paraId="69DBAAE8" w14:textId="151DA788" w:rsidR="008E356E" w:rsidRDefault="0095434A" w:rsidP="00012B15">
      <w:pPr>
        <w:rPr>
          <w:lang w:val="en-US"/>
        </w:rPr>
      </w:pPr>
      <w:r>
        <w:rPr>
          <w:lang w:val="en-US"/>
        </w:rPr>
        <w:t>Paton, W.A. and Russell Alger Stevenson (2016) Principles of accounting. Andesite Press.</w:t>
      </w:r>
    </w:p>
    <w:p w14:paraId="2B3888BC" w14:textId="2DB0BFE2" w:rsidR="008E356E" w:rsidRDefault="0095434A" w:rsidP="00012B15">
      <w:pPr>
        <w:rPr>
          <w:lang w:val="en-US"/>
        </w:rPr>
      </w:pPr>
      <w:r>
        <w:rPr>
          <w:lang w:val="en-US"/>
        </w:rPr>
        <w:t>Robinson, T.R. (2020) International Financial Statement Analysis Workbook. S.L.: John Wiley &amp; Sons.</w:t>
      </w:r>
    </w:p>
    <w:p w14:paraId="32E250D7" w14:textId="70BE12C5" w:rsidR="008E356E" w:rsidRDefault="0095434A" w:rsidP="00012B15">
      <w:pPr>
        <w:rPr>
          <w:lang w:val="en-US"/>
        </w:rPr>
      </w:pPr>
      <w:r>
        <w:rPr>
          <w:lang w:val="en-US"/>
        </w:rPr>
        <w:t xml:space="preserve">Steffy, W., Zearley, T. and Strunk, J. (2014) Financial ratio </w:t>
      </w:r>
      <w:proofErr w:type="gramStart"/>
      <w:r>
        <w:rPr>
          <w:lang w:val="en-US"/>
        </w:rPr>
        <w:t>analysis :</w:t>
      </w:r>
      <w:proofErr w:type="gramEnd"/>
      <w:r>
        <w:rPr>
          <w:lang w:val="en-US"/>
        </w:rPr>
        <w:t xml:space="preserve"> an effective management tool. Ann Arbor: Industrial Development Division, Institute Of Science And Technology, University Of Michigan.</w:t>
      </w:r>
    </w:p>
    <w:p w14:paraId="2F4418F4" w14:textId="46E30F52" w:rsidR="008E356E" w:rsidRDefault="0095434A" w:rsidP="00012B15">
      <w:pPr>
        <w:rPr>
          <w:lang w:val="en-US"/>
        </w:rPr>
      </w:pPr>
      <w:r>
        <w:rPr>
          <w:lang w:val="en-US"/>
        </w:rPr>
        <w:t xml:space="preserve">Thomas, C.W., </w:t>
      </w:r>
      <w:proofErr w:type="spellStart"/>
      <w:r>
        <w:rPr>
          <w:lang w:val="en-US"/>
        </w:rPr>
        <w:t>Tietz</w:t>
      </w:r>
      <w:proofErr w:type="spellEnd"/>
      <w:r>
        <w:rPr>
          <w:lang w:val="en-US"/>
        </w:rPr>
        <w:t>, W.M. and Harrison, W.T. (2019) Financial accounting. New York: Pearson.</w:t>
      </w:r>
    </w:p>
    <w:p w14:paraId="627E221A" w14:textId="0FCF8B18" w:rsidR="008E356E" w:rsidRDefault="0095434A" w:rsidP="00012B15">
      <w:pPr>
        <w:rPr>
          <w:lang w:val="en-US"/>
        </w:rPr>
      </w:pPr>
      <w:r>
        <w:rPr>
          <w:lang w:val="en-US"/>
        </w:rPr>
        <w:t xml:space="preserve">Wahlen, J.M., Bradshaw, M. and Baginski, S.P. (2018) Financial reporting, financial statement analysis and </w:t>
      </w:r>
      <w:proofErr w:type="gramStart"/>
      <w:r>
        <w:rPr>
          <w:lang w:val="en-US"/>
        </w:rPr>
        <w:t>valuation :</w:t>
      </w:r>
      <w:proofErr w:type="gramEnd"/>
      <w:r>
        <w:rPr>
          <w:lang w:val="en-US"/>
        </w:rPr>
        <w:t xml:space="preserve"> a strategic perspective. Boston: Cengage Learning.</w:t>
      </w:r>
    </w:p>
    <w:p w14:paraId="1BEF3B01" w14:textId="2817C414" w:rsidR="008E356E" w:rsidRDefault="0095434A" w:rsidP="00012B15">
      <w:pPr>
        <w:rPr>
          <w:lang w:val="en-US"/>
        </w:rPr>
      </w:pPr>
      <w:r>
        <w:rPr>
          <w:lang w:val="en-US"/>
        </w:rPr>
        <w:t>Weygandt, J.J., Kimmel, P.D. and Kieso, D.E. (2019) Accounting principles. Hoboken, New Jersey: John Wiley &amp; Sons, Inc.</w:t>
      </w:r>
    </w:p>
    <w:p w14:paraId="43B75CFF" w14:textId="32C9FB1F" w:rsidR="008E356E" w:rsidRDefault="0095434A" w:rsidP="00012B15">
      <w:r>
        <w:rPr>
          <w:lang w:val="en-US"/>
        </w:rPr>
        <w:t>Wilson, C. (2018) Financial management. South Melbourne, Victoria: Cengage Learning Australia.</w:t>
      </w:r>
    </w:p>
    <w:sectPr w:rsidR="008E35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80937"/>
    <w:multiLevelType w:val="hybridMultilevel"/>
    <w:tmpl w:val="818E8D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78F5FD5"/>
    <w:multiLevelType w:val="hybridMultilevel"/>
    <w:tmpl w:val="10366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356E"/>
    <w:rsid w:val="00012B15"/>
    <w:rsid w:val="000956BE"/>
    <w:rsid w:val="002666A5"/>
    <w:rsid w:val="003A1824"/>
    <w:rsid w:val="00420950"/>
    <w:rsid w:val="0044027F"/>
    <w:rsid w:val="00466925"/>
    <w:rsid w:val="004700BE"/>
    <w:rsid w:val="004A2407"/>
    <w:rsid w:val="006A1070"/>
    <w:rsid w:val="00803EA4"/>
    <w:rsid w:val="008E356E"/>
    <w:rsid w:val="008E40DD"/>
    <w:rsid w:val="00910E33"/>
    <w:rsid w:val="0095434A"/>
    <w:rsid w:val="00993F1C"/>
    <w:rsid w:val="009B5D4E"/>
    <w:rsid w:val="00A36722"/>
    <w:rsid w:val="00A96D3E"/>
    <w:rsid w:val="00B372CA"/>
    <w:rsid w:val="00BB2446"/>
    <w:rsid w:val="00C8684E"/>
    <w:rsid w:val="00C958B1"/>
    <w:rsid w:val="00E07D44"/>
    <w:rsid w:val="00F33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1EF0"/>
  <w15:docId w15:val="{4D0FA1F3-330A-4FCE-BA92-9D7D93964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pPr>
      <w:keepNext/>
      <w:keepLines/>
      <w:outlineLvl w:val="0"/>
    </w:pPr>
    <w:rPr>
      <w:rFonts w:eastAsia="SimSun"/>
      <w:b/>
      <w:sz w:val="32"/>
      <w:szCs w:val="32"/>
    </w:rPr>
  </w:style>
  <w:style w:type="paragraph" w:styleId="Heading2">
    <w:name w:val="heading 2"/>
    <w:basedOn w:val="Normal"/>
    <w:next w:val="Normal"/>
    <w:link w:val="Heading2Char"/>
    <w:uiPriority w:val="9"/>
    <w:qFormat/>
    <w:pPr>
      <w:keepNext/>
      <w:keepLines/>
      <w:outlineLvl w:val="1"/>
    </w:pPr>
    <w:rPr>
      <w:rFonts w:eastAsia="SimSun"/>
      <w:b/>
      <w:sz w:val="28"/>
      <w:szCs w:val="26"/>
    </w:rPr>
  </w:style>
  <w:style w:type="paragraph" w:styleId="Heading3">
    <w:name w:val="heading 3"/>
    <w:basedOn w:val="Normal"/>
    <w:next w:val="Normal"/>
    <w:link w:val="Heading3Char"/>
    <w:uiPriority w:val="9"/>
    <w:qFormat/>
    <w:pPr>
      <w:keepNext/>
      <w:keepLines/>
      <w:spacing w:before="40" w:after="0"/>
      <w:outlineLvl w:val="2"/>
    </w:pPr>
    <w:rPr>
      <w:rFonts w:eastAsia="SimSun"/>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imes New Roman" w:eastAsia="SimSun" w:hAnsi="Times New Roman" w:cs="SimSun"/>
      <w:b/>
      <w:sz w:val="32"/>
      <w:szCs w:val="32"/>
    </w:rPr>
  </w:style>
  <w:style w:type="character" w:customStyle="1" w:styleId="Heading2Char">
    <w:name w:val="Heading 2 Char"/>
    <w:basedOn w:val="DefaultParagraphFont"/>
    <w:link w:val="Heading2"/>
    <w:uiPriority w:val="9"/>
    <w:rPr>
      <w:rFonts w:ascii="Times New Roman" w:eastAsia="SimSun" w:hAnsi="Times New Roman" w:cs="SimSun"/>
      <w:b/>
      <w:sz w:val="28"/>
      <w:szCs w:val="26"/>
    </w:rPr>
  </w:style>
  <w:style w:type="character" w:customStyle="1" w:styleId="Heading3Char">
    <w:name w:val="Heading 3 Char"/>
    <w:basedOn w:val="DefaultParagraphFont"/>
    <w:link w:val="Heading3"/>
    <w:uiPriority w:val="9"/>
    <w:rPr>
      <w:rFonts w:ascii="Times New Roman" w:eastAsia="SimSun" w:hAnsi="Times New Roman" w:cs="SimSun"/>
      <w:b/>
      <w:sz w:val="24"/>
      <w:szCs w:val="24"/>
    </w:rPr>
  </w:style>
  <w:style w:type="paragraph" w:styleId="TOCHeading">
    <w:name w:val="TOC Heading"/>
    <w:basedOn w:val="Heading1"/>
    <w:next w:val="Normal"/>
    <w:uiPriority w:val="39"/>
    <w:qFormat/>
    <w:pPr>
      <w:spacing w:before="240" w:after="0" w:line="259" w:lineRule="auto"/>
      <w:jc w:val="left"/>
      <w:outlineLvl w:val="9"/>
    </w:pPr>
    <w:rPr>
      <w:rFonts w:ascii="Cambria" w:hAnsi="Cambria"/>
      <w:b w:val="0"/>
      <w:color w:val="365F91"/>
      <w:lang w:val="en-US"/>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Title">
    <w:name w:val="Title"/>
    <w:basedOn w:val="Normal"/>
    <w:next w:val="Normal"/>
    <w:link w:val="TitleChar"/>
    <w:uiPriority w:val="10"/>
    <w:qFormat/>
    <w:rsid w:val="00BB2446"/>
    <w:pPr>
      <w:spacing w:after="0" w:line="240" w:lineRule="auto"/>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446"/>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9B5D4E"/>
    <w:pPr>
      <w:ind w:left="720"/>
      <w:contextualSpacing/>
      <w:jc w:val="left"/>
    </w:pPr>
    <w:rPr>
      <w:rFonts w:eastAsiaTheme="minorHAnsi"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6783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010A4-B493-4FFE-9CB2-9A3B6007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2536</Words>
  <Characters>14461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Arifur Rahman Khan (2022401)</cp:lastModifiedBy>
  <cp:revision>8</cp:revision>
  <dcterms:created xsi:type="dcterms:W3CDTF">2022-06-01T17:53:00Z</dcterms:created>
  <dcterms:modified xsi:type="dcterms:W3CDTF">2022-06-01T19:19:00Z</dcterms:modified>
</cp:coreProperties>
</file>